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Inhalt</w:t>
          </w:r>
        </w:p>
        <w:p>
          <w:r>
            <w:fldChar w:fldCharType="begin" w:dirty="true"/>
            <w:instrText xml:space="preserve">TOC \o "1-2" \h \z \u</w:instrText>
            <w:fldChar w:fldCharType="separate"/>
            <w:fldChar w:fldCharType="end"/>
          </w:r>
        </w:p>
      </w:sdtContent>
    </w:sdt>
    <w:bookmarkStart w:id="20" w:name="impressum"/>
    <w:p>
      <w:pPr>
        <w:pStyle w:val="Heading1"/>
      </w:pPr>
      <w:r>
        <w:t xml:space="preserve">Impressum</w:t>
      </w:r>
    </w:p>
    <w:p>
      <w:pPr>
        <w:pStyle w:val="FirstParagraph"/>
      </w:pPr>
      <w:r>
        <w:rPr>
          <w:bCs/>
          <w:b/>
        </w:rPr>
        <w:t xml:space="preserve">Das Peptid-Handbuch</w:t>
      </w:r>
      <w:r>
        <w:t xml:space="preserve"> </w:t>
      </w:r>
      <w:r>
        <w:t xml:space="preserve">Alle Humanstudien im Vergleich – Wirkung, Risiken, Rechtslage und Ausblick</w:t>
      </w:r>
    </w:p>
    <w:p>
      <w:pPr>
        <w:pStyle w:val="BodyText"/>
      </w:pPr>
      <w:r>
        <w:t xml:space="preserve">© 2026 Josef Gallab. Alle Rechte vorbehalten.</w:t>
      </w:r>
    </w:p>
    <w:p>
      <w:pPr>
        <w:numPr>
          <w:ilvl w:val="0"/>
          <w:numId w:val="1001"/>
        </w:numPr>
        <w:pStyle w:val="Compact"/>
      </w:pPr>
      <w:r>
        <w:t xml:space="preserve">Auflage, Stand der Recherche: Oktober/November 2026</w:t>
      </w:r>
    </w:p>
    <w:p>
      <w:pPr>
        <w:pStyle w:val="FirstParagraph"/>
      </w:pPr>
      <w:r>
        <w:t xml:space="preserve">Dieses Buch dient ausschließlich der Information. Es ersetzt keine ärztliche Beratung, Diagnose oder Behandlung</w:t>
      </w:r>
      <w:r>
        <w:t xml:space="preserve"> </w:t>
      </w:r>
      <w:r>
        <w:t xml:space="preserve">und enthält keine Anwendungsempfehlungen. Viele der beschriebenen Stoffe sind nicht als Arzneimittel zugelassen.</w:t>
      </w:r>
    </w:p>
    <w:p>
      <w:pPr>
        <w:pStyle w:val="BodyText"/>
      </w:pPr>
      <w:r>
        <w:t xml:space="preserve">Cover: Josef Gallab</w:t>
      </w:r>
    </w:p>
    <w:p>
      <w:pPr>
        <w:pStyle w:val="BodyText"/>
      </w:pPr>
      <w:r>
        <w:t xml:space="preserve">Angaben zu Zulassung, Rechtslage und Dopingstatus geben den Stand Oktober/November 2026 wieder. Sie können sich jederzeit ändern – bitte vor jeder Entscheidung aktuell prüfen. Die Quellen zu jeder Aussage stehen in den Fußnoten und im Studienverzeichnis.</w:t>
      </w:r>
    </w:p>
    <w:p>
      <w:pPr>
        <w:pStyle w:val="BodyText"/>
      </w:pPr>
      <w:r>
        <w:t xml:space="preserve">Kein Teil dieses Werkes darf ohne schriftliche Genehmigung des Autors vervielfältigt oder verbreitet werden.</w:t>
      </w:r>
    </w:p>
    <w:bookmarkEnd w:id="20"/>
    <w:bookmarkStart w:id="21" w:name="vorwort"/>
    <w:p>
      <w:pPr>
        <w:pStyle w:val="Heading1"/>
      </w:pPr>
      <w:r>
        <w:t xml:space="preserve">Vorwort</w:t>
      </w:r>
    </w:p>
    <w:p>
      <w:pPr>
        <w:pStyle w:val="FirstParagraph"/>
      </w:pPr>
      <w:r>
        <w:t xml:space="preserve">Seit mehr als fünf Jahren lassen mich Peptide nicht mehr los. Angefangen hat es wie bei vielen: mit Sport, mit dem Wunsch, schneller zu regenerieren, leistungsfähiger zu werden und mehr aus meinem Körper herauszuholen. Über das Biohacking bin ich auf Substanzen gestoßen, von denen die meisten Menschen noch nie gehört haben – BPC-157, MOTS-c, Semax, GHK-Cu, später Retatrutid. Ich habe mich intensiv mit ihnen auseinandergesetzt, unzählige Erfahrungsberichte gelesen und mit vielen Menschen gesprochen, die sie verwenden.</w:t>
      </w:r>
    </w:p>
    <w:p>
      <w:pPr>
        <w:pStyle w:val="BodyText"/>
      </w:pPr>
      <w:r>
        <w:t xml:space="preserve">Was mich dabei immer wieder gestört hat: Die Informationen, die man findet, sind entweder Werbung oder Panikmache. Händlerseiten versprechen Wunder, in Foren wechseln sich Begeisterung und Horrorgeschichten ab, und auf der anderen Seite steht oft pauschale Ablehnung. Was fast immer fehlt, ist der nüchterne Blick in die Studien. Was wurde wirklich untersucht – an Menschen, nicht nur an Ratten? Wie groß waren die Studien? Was weiß man über die Risiken?</w:t>
      </w:r>
    </w:p>
    <w:p>
      <w:pPr>
        <w:pStyle w:val="BodyText"/>
      </w:pPr>
      <w:r>
        <w:t xml:space="preserve">Dieses Buch ist das Buch, das ich mir selbst vor fünf Jahren gewünscht hätte.</w:t>
      </w:r>
    </w:p>
    <w:p>
      <w:pPr>
        <w:pStyle w:val="BodyText"/>
      </w:pPr>
      <w:r>
        <w:t xml:space="preserve">Ich bin überzeugt, dass Peptide zu den spannendsten Entwicklungen der Medizin gehören. Die GLP-1-Medikamente haben in wenigen Jahren verändert, wie wir über Übergewicht, Diabetes und Herzgesundheit denken. Viele andere Peptide zeigen im Labor und in ersten Studien ein Potenzial, das mich begeistert. Ich glaube, dass sie eines Tages viele unserer gesundheitlichen Probleme lösen und uns helfen können, das Beste aus unserem Körper herauszuholen.</w:t>
      </w:r>
    </w:p>
    <w:p>
      <w:pPr>
        <w:pStyle w:val="BodyText"/>
      </w:pPr>
      <w:r>
        <w:t xml:space="preserve">Aber – und genau deshalb ist dieses Buch so geworden, wie es ist – Begeisterung ersetzt keine Beweise. Für viele Peptide, die im Internet gefeiert werden, gibt es bis heute keine einzige aussagekräftige Studie am Menschen. Auch noch so viele Erfahrungsberichte sind Einzelfälle und kein Beleg. Wer jedem Hype blind folgt, geht Risiken ein, die oft niemand kennt: verunreinigte Produkte vom Graumarkt, unbekannte Langzeitfolgen, rechtliche Probleme.</w:t>
      </w:r>
    </w:p>
    <w:p>
      <w:pPr>
        <w:pStyle w:val="BodyText"/>
      </w:pPr>
      <w:r>
        <w:t xml:space="preserve">Deshalb findest du in diesem Buch zu jedem der 58 Peptide beides: das Potenzial und die offenen Fragen. Jede Aussage ist mit einer Quelle belegt, die du selbst nachschlagen kannst. Die Evidenzstufen von A bis D zeigen dir auf einen Blick, wie sicher das Wissen ist. Und wo die Datenlage dünn ist, steht das ausdrücklich da.</w:t>
      </w:r>
    </w:p>
    <w:p>
      <w:pPr>
        <w:pStyle w:val="BodyText"/>
      </w:pPr>
      <w:r>
        <w:t xml:space="preserve">Dosierungen und Bezugsquellen wirst du hier nicht finden. Das ist Absicht. Dieses Buch soll dir helfen, dir ein eigenes Urteil zu bilden – und die richtigen Fragen zu stellen, wenn du mit deiner Ärztin oder deinem Arzt sprichst.</w:t>
      </w:r>
    </w:p>
    <w:p>
      <w:pPr>
        <w:pStyle w:val="BodyText"/>
      </w:pPr>
      <w:r>
        <w:t xml:space="preserve">Die Forschung ist schneller als je zuvor. Vieles, was heute noch offen ist, wird in wenigen Jahren beantwortet sein. Ich freue mich darauf – und ich hoffe, dieses Buch begleitet dich dabei.</w:t>
      </w:r>
    </w:p>
    <w:p>
      <w:pPr>
        <w:pStyle w:val="BodyText"/>
      </w:pPr>
      <w:r>
        <w:rPr>
          <w:iCs/>
          <w:i/>
        </w:rPr>
        <w:t xml:space="preserve">Josef Gallab</w:t>
      </w:r>
    </w:p>
    <w:bookmarkEnd w:id="21"/>
    <w:bookmarkStart w:id="28" w:name="wichtiger-hinweis"/>
    <w:p>
      <w:pPr>
        <w:pStyle w:val="Heading1"/>
      </w:pPr>
      <w:r>
        <w:t xml:space="preserve">Wichtiger Hinweis</w:t>
      </w:r>
    </w:p>
    <w:bookmarkStart w:id="22" w:name="kein-ersatz-für-ärztlichen-rat"/>
    <w:p>
      <w:pPr>
        <w:pStyle w:val="Heading3"/>
      </w:pPr>
      <w:r>
        <w:t xml:space="preserve">Kein Ersatz für ärztlichen Rat</w:t>
      </w:r>
    </w:p>
    <w:p>
      <w:pPr>
        <w:pStyle w:val="FirstParagraph"/>
      </w:pPr>
      <w:r>
        <w:t xml:space="preserve">Dieses Buch dient ausschließlich der allgemeinen Information und Bildung. Es ersetzt keine ärztliche Beratung, Diagnose oder Behandlung. Bevor du Entscheidungen über deine Gesundheit triffst, ein Arzneimittel beginnst, absetzt oder veränderst, sprich bitte mit einer Ärztin, einem Arzt oder einer Apothekerin beziehungsweise einem Apotheker. Bei akuten Beschwerden wende dich an den ärztlichen Notdienst oder ruf den Notruf.</w:t>
      </w:r>
    </w:p>
    <w:bookmarkEnd w:id="22"/>
    <w:bookmarkStart w:id="23" w:name="keine-anwendungsempfehlungen"/>
    <w:p>
      <w:pPr>
        <w:pStyle w:val="Heading3"/>
      </w:pPr>
      <w:r>
        <w:t xml:space="preserve">Keine Anwendungsempfehlungen</w:t>
      </w:r>
    </w:p>
    <w:p>
      <w:pPr>
        <w:pStyle w:val="FirstParagraph"/>
      </w:pPr>
      <w:r>
        <w:t xml:space="preserve">Dieses Buch enthält bewusst keine Empfehlungen zur Anwendung von Peptiden, keine Dosierungen, Einnahme- oder Injektionsanleitungen, keine Anwendungszyklen und keine Kombinationsempfehlungen. Wenn im Text eine Dosis genannt wird, beschreibt sie ausschließlich, was in einer bestimmten Studie untersucht wurde. Sie ist keine Empfehlung und lässt sich nicht auf deine persönliche Situation übertragen. Für zugelassene Arzneimittel sind die Fachinformation, die Gebrauchsinformation und die ärztliche Begleitung maßgeblich.</w:t>
      </w:r>
    </w:p>
    <w:bookmarkEnd w:id="23"/>
    <w:bookmarkStart w:id="24" w:name="viele-stoffe-sind-nicht-zugelassen"/>
    <w:p>
      <w:pPr>
        <w:pStyle w:val="Heading3"/>
      </w:pPr>
      <w:r>
        <w:t xml:space="preserve">Viele Stoffe sind nicht zugelassen</w:t>
      </w:r>
    </w:p>
    <w:p>
      <w:pPr>
        <w:pStyle w:val="FirstParagraph"/>
      </w:pPr>
      <w:r>
        <w:t xml:space="preserve">Zahlreiche der in diesem Buch beschriebenen Peptide sind in der Europäischen Union, in Österreich, in Deutschland und in den USA</w:t>
      </w:r>
      <w:r>
        <w:t xml:space="preserve"> </w:t>
      </w:r>
      <w:r>
        <w:rPr>
          <w:bCs/>
          <w:b/>
        </w:rPr>
        <w:t xml:space="preserve">nicht</w:t>
      </w:r>
      <w:r>
        <w:t xml:space="preserve"> </w:t>
      </w:r>
      <w:r>
        <w:t xml:space="preserve">als Arzneimittel zugelassen. Für viele liegen nur Tier- oder Laborstudien vor. Die Darstellung solcher Stoffe in diesem Buch ist keine Aussage über ihre Wirksamkeit oder Sicherheit beim Menschen und keine Aufforderung, sie zu verwenden. Produkte, die im Internet als „Research Peptides“ oder „nur für Forschungszwecke“ angeboten werden, können falsch dosiert, verunreinigt oder gefälscht sein. Ihre Anwendung kann erhebliche gesundheitliche und rechtliche Folgen haben.</w:t>
      </w:r>
    </w:p>
    <w:bookmarkEnd w:id="24"/>
    <w:bookmarkStart w:id="25" w:name="doping"/>
    <w:p>
      <w:pPr>
        <w:pStyle w:val="Heading3"/>
      </w:pPr>
      <w:r>
        <w:t xml:space="preserve">Doping</w:t>
      </w:r>
    </w:p>
    <w:p>
      <w:pPr>
        <w:pStyle w:val="FirstParagraph"/>
      </w:pPr>
      <w:r>
        <w:t xml:space="preserve">Viele der beschriebenen Peptide stehen auf der Verbotsliste der Welt-Anti-Doping-Agentur (WADA). Ihre Anwendung kann für Sportlerinnen und Sportler, die Dopingkontrollen unterliegen, zu Sperren führen. In Österreich und Deutschland können Handel, Weitergabe und in bestimmten Fällen auch Besitz von Dopingmitteln strafbar sein.</w:t>
      </w:r>
    </w:p>
    <w:bookmarkEnd w:id="25"/>
    <w:bookmarkStart w:id="26" w:name="stand-und-gewähr"/>
    <w:p>
      <w:pPr>
        <w:pStyle w:val="Heading3"/>
      </w:pPr>
      <w:r>
        <w:t xml:space="preserve">Stand und Gewähr</w:t>
      </w:r>
    </w:p>
    <w:p>
      <w:pPr>
        <w:pStyle w:val="FirstParagraph"/>
      </w:pPr>
      <w:r>
        <w:t xml:space="preserve">Die Informationen in diesem Buch entsprechen dem</w:t>
      </w:r>
      <w:r>
        <w:t xml:space="preserve"> </w:t>
      </w:r>
      <w:r>
        <w:rPr>
          <w:bCs/>
          <w:b/>
        </w:rPr>
        <w:t xml:space="preserve">Stand November 2026</w:t>
      </w:r>
      <w:r>
        <w:t xml:space="preserve">. Die Recherche in den Datenbanken erfolgte im Oktober 2026. Medizinisches Wissen, Zulassungen, Gesetze und die Anti-Doping-Bestimmungen ändern sich laufend. Alle Angaben wurden nach bestem Wissen und mit großer Sorgfalt zusammengestellt, erfolgen jedoch ohne Gewähr für Richtigkeit, Vollständigkeit und Aktualität. Eine Haftung des Autors für Schäden, die aus der Verwendung der Informationen in diesem Buch entstehen, ist ausgeschlossen, soweit dies gesetzlich zulässig ist. Die Darstellung der Rechtslage ist keine Rechtsberatung.</w:t>
      </w:r>
    </w:p>
    <w:bookmarkEnd w:id="26"/>
    <w:bookmarkStart w:id="27" w:name="wie-dieses-buch-entstanden-ist"/>
    <w:p>
      <w:pPr>
        <w:pStyle w:val="Heading3"/>
      </w:pPr>
      <w:r>
        <w:t xml:space="preserve">Wie dieses Buch entstanden ist</w:t>
      </w:r>
    </w:p>
    <w:p>
      <w:pPr>
        <w:pStyle w:val="FirstParagraph"/>
      </w:pPr>
      <w:r>
        <w:t xml:space="preserve">Für dieses Buch wurden die Datenbanken PubMed und ClinicalTrials.gov systematisch durchsucht und die Zusammenfassungen der gefundenen Studien ausgewertet.</w:t>
      </w:r>
    </w:p>
    <w:p>
      <w:pPr>
        <w:pStyle w:val="BodyText"/>
      </w:pPr>
      <w:r>
        <w:t xml:space="preserve">Um Fehler zu vermeiden, gelten strenge Regeln: Jede genannte Studie ist mit ihrer PubMed-Nummer (PMID) oder ihrer Registernummer bei ClinicalTrials.gov (NCT-Nummer) angegeben. Jede Zahl stammt aus der Zusammenfassung der jeweiligen Veröffentlichung oder aus dem Registereintrag. Alle zitierten Nummern wurden zusätzlich automatisch gegen die Datenbanken geprüft. Du kannst damit jede Quelle selbst nachschlagen und die Angaben überprüfen. Wie das geht, steht im folgenden Abschnitt; Einzelheiten zur Recherche findest du im Anhang „Methodik“.</w:t>
      </w:r>
    </w:p>
    <w:bookmarkEnd w:id="27"/>
    <w:bookmarkEnd w:id="28"/>
    <w:bookmarkStart w:id="37" w:name="über-dieses-buch"/>
    <w:p>
      <w:pPr>
        <w:pStyle w:val="Heading1"/>
      </w:pPr>
      <w:r>
        <w:t xml:space="preserve">Über dieses Buch</w:t>
      </w:r>
    </w:p>
    <w:bookmarkStart w:id="29" w:name="wofür-dieses-buch-da-ist"/>
    <w:p>
      <w:pPr>
        <w:pStyle w:val="Heading3"/>
      </w:pPr>
      <w:r>
        <w:t xml:space="preserve">Wofür dieses Buch da ist</w:t>
      </w:r>
    </w:p>
    <w:p>
      <w:pPr>
        <w:pStyle w:val="FirstParagraph"/>
      </w:pPr>
      <w:r>
        <w:t xml:space="preserve">Peptide sind in aller Munde. Abnehmspritzen wie Semaglutid und Tirzepatid haben die Behandlung von Übergewicht verändert, und im Internet werden Dutzende weitere Peptide angeboten – für schnellere Heilung, mehr Muskeln, bessere Haut, mehr Energie oder ein längeres Leben. Zwischen den Versprechen in Foren, sozialen Medien und Online-Shops und dem, was tatsächlich am Menschen untersucht wurde, klafft oft eine große Lücke.</w:t>
      </w:r>
    </w:p>
    <w:p>
      <w:pPr>
        <w:pStyle w:val="BodyText"/>
      </w:pPr>
      <w:r>
        <w:t xml:space="preserve">Dieses Buch will diese Lücke sichtbar machen. Es stellt für jedes behandelte Peptid nüchtern dar, welche Studien am Menschen es gibt, was sie zeigen und was nicht, welche Risiken bekannt sind und wie die Rechtslage aussieht. Es vergleicht die Peptide miteinander und ordnet ein, wie belastbar die Belege jeweils sind. Es soll dir helfen, Behauptungen kritisch zu prüfen und informierte Gespräche mit Ärztinnen, Ärzten und Apotheken zu führen.</w:t>
      </w:r>
    </w:p>
    <w:bookmarkEnd w:id="29"/>
    <w:bookmarkStart w:id="30" w:name="für-wen-dieses-buch-geschrieben-ist"/>
    <w:p>
      <w:pPr>
        <w:pStyle w:val="Heading3"/>
      </w:pPr>
      <w:r>
        <w:t xml:space="preserve">Für wen dieses Buch geschrieben ist</w:t>
      </w:r>
    </w:p>
    <w:p>
      <w:pPr>
        <w:numPr>
          <w:ilvl w:val="0"/>
          <w:numId w:val="1002"/>
        </w:numPr>
        <w:pStyle w:val="Compact"/>
      </w:pPr>
      <w:r>
        <w:t xml:space="preserve">Für</w:t>
      </w:r>
      <w:r>
        <w:t xml:space="preserve"> </w:t>
      </w:r>
      <w:r>
        <w:rPr>
          <w:bCs/>
          <w:b/>
        </w:rPr>
        <w:t xml:space="preserve">interessierte Laien</w:t>
      </w:r>
      <w:r>
        <w:t xml:space="preserve">, die wissen möchten, was hinter dem Peptid-Boom steckt.</w:t>
      </w:r>
    </w:p>
    <w:p>
      <w:pPr>
        <w:numPr>
          <w:ilvl w:val="0"/>
          <w:numId w:val="1002"/>
        </w:numPr>
        <w:pStyle w:val="Compact"/>
      </w:pPr>
      <w:r>
        <w:t xml:space="preserve">Für Menschen, die ein</w:t>
      </w:r>
      <w:r>
        <w:t xml:space="preserve"> </w:t>
      </w:r>
      <w:r>
        <w:rPr>
          <w:bCs/>
          <w:b/>
        </w:rPr>
        <w:t xml:space="preserve">zugelassenes Peptid-Medikament</w:t>
      </w:r>
      <w:r>
        <w:t xml:space="preserve"> </w:t>
      </w:r>
      <w:r>
        <w:t xml:space="preserve">verschrieben bekommen haben oder darüber nachdenken und die Studienlage verstehen möchten.</w:t>
      </w:r>
    </w:p>
    <w:p>
      <w:pPr>
        <w:numPr>
          <w:ilvl w:val="0"/>
          <w:numId w:val="1002"/>
        </w:numPr>
        <w:pStyle w:val="Compact"/>
      </w:pPr>
      <w:r>
        <w:t xml:space="preserve">Für</w:t>
      </w:r>
      <w:r>
        <w:t xml:space="preserve"> </w:t>
      </w:r>
      <w:r>
        <w:rPr>
          <w:bCs/>
          <w:b/>
        </w:rPr>
        <w:t xml:space="preserve">Sportlerinnen und Sportler</w:t>
      </w:r>
      <w:r>
        <w:t xml:space="preserve">, Trainerinnen und Trainer, die Werbeversprechen und Dopingrisiken einschätzen wollen.</w:t>
      </w:r>
    </w:p>
    <w:p>
      <w:pPr>
        <w:numPr>
          <w:ilvl w:val="0"/>
          <w:numId w:val="1002"/>
        </w:numPr>
        <w:pStyle w:val="Compact"/>
      </w:pPr>
      <w:r>
        <w:t xml:space="preserve">Für</w:t>
      </w:r>
      <w:r>
        <w:t xml:space="preserve"> </w:t>
      </w:r>
      <w:r>
        <w:rPr>
          <w:bCs/>
          <w:b/>
        </w:rPr>
        <w:t xml:space="preserve">Fachleute</w:t>
      </w:r>
      <w:r>
        <w:t xml:space="preserve"> </w:t>
      </w:r>
      <w:r>
        <w:t xml:space="preserve">aus Pharmazie, Medizin, Ernährungsberatung, Kosmetik und Journalismus, die einen schnellen, quellengestützten Überblick suchen.</w:t>
      </w:r>
    </w:p>
    <w:p>
      <w:pPr>
        <w:pStyle w:val="FirstParagraph"/>
      </w:pPr>
      <w:r>
        <w:t xml:space="preserve">Vorkenntnisse sind nicht nötig. Fachbegriffe werden beim ersten Auftreten erklärt und finden sich zusätzlich im Glossar.</w:t>
      </w:r>
    </w:p>
    <w:bookmarkEnd w:id="30"/>
    <w:bookmarkStart w:id="31" w:name="wie-das-buch-aufgebaut-ist"/>
    <w:p>
      <w:pPr>
        <w:pStyle w:val="Heading3"/>
      </w:pPr>
      <w:r>
        <w:t xml:space="preserve">Wie das Buch aufgebaut ist</w:t>
      </w:r>
    </w:p>
    <w:p>
      <w:pPr>
        <w:pStyle w:val="FirstParagraph"/>
      </w:pPr>
      <w:r>
        <w:rPr>
          <w:bCs/>
          <w:b/>
        </w:rPr>
        <w:t xml:space="preserve">Teil I – Grundlagen</w:t>
      </w:r>
      <w:r>
        <w:t xml:space="preserve"> </w:t>
      </w:r>
      <w:r>
        <w:t xml:space="preserve">erklärt, was Peptide sind, wie sich die Peptidmedizin entwickelt hat, wie Peptide in den Körper gelangen, wie man Studien liest, was auf dem Graumarkt passiert und welcher rechtliche Rahmen gilt. Wer mit diesen Themen nicht vertraut ist, sollte hier beginnen.</w:t>
      </w:r>
    </w:p>
    <w:p>
      <w:pPr>
        <w:pStyle w:val="BodyText"/>
      </w:pPr>
      <w:r>
        <w:rPr>
          <w:bCs/>
          <w:b/>
        </w:rPr>
        <w:t xml:space="preserve">Teil II – Die Peptide</w:t>
      </w:r>
      <w:r>
        <w:t xml:space="preserve"> </w:t>
      </w:r>
      <w:r>
        <w:t xml:space="preserve">stellt die einzelnen Wirkstoffe in sechs Gruppen vor: Stoffwechsel und Gewicht; Heilung, Regeneration und Immunsystem; Wachstumshormon-Achse; Gehirn, Schlaf und Langlebigkeit; Hormone, Sexualität und Pigmentierung; Kollagen, Ernährung und Kosmetik. Jedes Kapitel folgt demselben Aufbau: Steckbrief, Wirkprinzip, Studien am Menschen, Tier- und Laborstudien, Risiken und Nebenwirkungen, Rechtslage, laufende Studien und Ausblick, Fazit. So kannst du Peptide leicht miteinander vergleichen und gezielt nachschlagen.</w:t>
      </w:r>
    </w:p>
    <w:p>
      <w:pPr>
        <w:pStyle w:val="BodyText"/>
      </w:pPr>
      <w:r>
        <w:rPr>
          <w:bCs/>
          <w:b/>
        </w:rPr>
        <w:t xml:space="preserve">Teil III – Der große Vergleich</w:t>
      </w:r>
      <w:r>
        <w:t xml:space="preserve"> </w:t>
      </w:r>
      <w:r>
        <w:t xml:space="preserve">stellt alle Peptide nebeneinander und vergleicht die GLP-1-Medikamente direkt.</w:t>
      </w:r>
    </w:p>
    <w:p>
      <w:pPr>
        <w:pStyle w:val="BodyText"/>
      </w:pPr>
      <w:r>
        <w:rPr>
          <w:bCs/>
          <w:b/>
        </w:rPr>
        <w:t xml:space="preserve">Teil IV – Risiken</w:t>
      </w:r>
      <w:r>
        <w:t xml:space="preserve"> </w:t>
      </w:r>
      <w:r>
        <w:t xml:space="preserve">fasst Nebenwirkungen, Krebs- und Immunrisiken, Probleme von Graumarkt-Produkten und besondere Risikogruppen zusammen.</w:t>
      </w:r>
    </w:p>
    <w:p>
      <w:pPr>
        <w:pStyle w:val="BodyText"/>
      </w:pPr>
      <w:r>
        <w:rPr>
          <w:bCs/>
          <w:b/>
        </w:rPr>
        <w:t xml:space="preserve">Teil V – Zukunft</w:t>
      </w:r>
      <w:r>
        <w:t xml:space="preserve"> </w:t>
      </w:r>
      <w:r>
        <w:t xml:space="preserve">blickt auf die Entwicklungspipeline, neue Darreichungsformen, Patentabläufe und Preise. Gesicherte Fakten und Einschätzungen werden dabei klar getrennt.</w:t>
      </w:r>
    </w:p>
    <w:p>
      <w:pPr>
        <w:pStyle w:val="BodyText"/>
      </w:pPr>
      <w:r>
        <w:t xml:space="preserve">Im</w:t>
      </w:r>
      <w:r>
        <w:t xml:space="preserve"> </w:t>
      </w:r>
      <w:r>
        <w:rPr>
          <w:bCs/>
          <w:b/>
        </w:rPr>
        <w:t xml:space="preserve">Anhang</w:t>
      </w:r>
      <w:r>
        <w:t xml:space="preserve"> </w:t>
      </w:r>
      <w:r>
        <w:t xml:space="preserve">findest du das Glossar, die Methodik der Recherche und das Verzeichnis der ausgewerteten Studien.</w:t>
      </w:r>
    </w:p>
    <w:bookmarkEnd w:id="31"/>
    <w:bookmarkStart w:id="32" w:name="die-evidenzstufen"/>
    <w:p>
      <w:pPr>
        <w:pStyle w:val="Heading3"/>
      </w:pPr>
      <w:r>
        <w:t xml:space="preserve">Die Evidenzstufen</w:t>
      </w:r>
    </w:p>
    <w:p>
      <w:pPr>
        <w:pStyle w:val="FirstParagraph"/>
      </w:pPr>
      <w:r>
        <w:t xml:space="preserve">Jedes Peptid erhält im Steckbrief eine Evidenzstufe. Sie beschreibt, wie gut die Datenlage</w:t>
      </w:r>
      <w:r>
        <w:t xml:space="preserve"> </w:t>
      </w:r>
      <w:r>
        <w:rPr>
          <w:bCs/>
          <w:b/>
        </w:rPr>
        <w:t xml:space="preserve">am Menschen</w:t>
      </w:r>
      <w:r>
        <w:t xml:space="preserve"> </w:t>
      </w:r>
      <w:r>
        <w:t xml:space="preserve">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Bedeutung</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Evidenzstufe ist keine Empfehlung und keine Aussage darüber, ob ein Stoff sicher ist. Auch ein Wirkstoff der Stufe A hat Nebenwirkungen, und ein Stoff der Stufe D ist nicht zwangsläufig wirkungslos – er ist nur noch nicht ausreichend am Menschen untersucht. Was hinter den Begriffen „randomisiert“, „kontrolliert“ oder „Surrogat-Endpunkt“ steckt, erklärt das Kapitel „Studien richtig lesen“.</w:t>
      </w:r>
    </w:p>
    <w:bookmarkEnd w:id="32"/>
    <w:bookmarkStart w:id="33" w:name="wie-quellen-angegeben-sind"/>
    <w:p>
      <w:pPr>
        <w:pStyle w:val="Heading3"/>
      </w:pPr>
      <w:r>
        <w:t xml:space="preserve">Wie Quellen angegeben sind</w:t>
      </w:r>
    </w:p>
    <w:p>
      <w:pPr>
        <w:pStyle w:val="FirstParagraph"/>
      </w:pPr>
      <w:r>
        <w:t xml:space="preserve">Damit der Text gut lesbar bleibt, stehen die Quellen in Fußnoten. Im E-Book erscheint an der betreffenden Stelle eine kleine hochgestellte Ziffer; ein Tippen darauf zeigt die Quelle. Jede Fußnote nennt Erstautorin oder Erstautor, Erscheinungsjahr und PubMed-Nummer, zum Beispiel: Wilding 2021, PMID 33567185.</w:t>
      </w:r>
    </w:p>
    <w:p>
      <w:pPr>
        <w:pStyle w:val="BodyText"/>
      </w:pPr>
      <w:r>
        <w:t xml:space="preserve">Registrierte Studien, insbesondere laufende, sind mit ihrer Nummer im US-amerikanischen Studienregister ClinicalTrials.gov angegeben, zum Beispiel NCT03548935. In Tabellen stehen die Quellen direkt in der ersten Spalte.</w:t>
      </w:r>
    </w:p>
    <w:p>
      <w:pPr>
        <w:pStyle w:val="BodyText"/>
      </w:pPr>
      <w:r>
        <w:t xml:space="preserve">Die Fußnoten stehen jeweils am Ende des Kapitels; das vollständige Studienverzeichnis steht im Anhang.</w:t>
      </w:r>
    </w:p>
    <w:bookmarkEnd w:id="33"/>
    <w:bookmarkStart w:id="34" w:name="so-schlägst-du-eine-quelle-nach"/>
    <w:p>
      <w:pPr>
        <w:pStyle w:val="Heading3"/>
      </w:pPr>
      <w:r>
        <w:t xml:space="preserve">So schlägst du eine Quelle nach</w:t>
      </w:r>
    </w:p>
    <w:p>
      <w:pPr>
        <w:pStyle w:val="FirstParagraph"/>
      </w:pPr>
      <w:r>
        <w:rPr>
          <w:bCs/>
          <w:b/>
        </w:rPr>
        <w:t xml:space="preserve">PMID</w:t>
      </w:r>
      <w:r>
        <w:t xml:space="preserve">: Die PubMed-Identifikationsnummer ist eine eindeutige Nummer für jeden Eintrag in PubMed, der frei zugänglichen Literaturdatenbank der US-amerikanischen National Library of Medicine.</w:t>
      </w:r>
    </w:p>
    <w:p>
      <w:pPr>
        <w:numPr>
          <w:ilvl w:val="0"/>
          <w:numId w:val="1003"/>
        </w:numPr>
        <w:pStyle w:val="Compact"/>
      </w:pPr>
      <w:r>
        <w:t xml:space="preserve">Öffne in deinem Browser die Seite pubmed.ncbi.nlm.nih.gov.</w:t>
      </w:r>
    </w:p>
    <w:p>
      <w:pPr>
        <w:numPr>
          <w:ilvl w:val="0"/>
          <w:numId w:val="1003"/>
        </w:numPr>
        <w:pStyle w:val="Compact"/>
      </w:pPr>
      <w:r>
        <w:t xml:space="preserve">Gib die Nummer in das Suchfeld ein, zum Beispiel 33567185, und starte die Suche.</w:t>
      </w:r>
    </w:p>
    <w:p>
      <w:pPr>
        <w:numPr>
          <w:ilvl w:val="0"/>
          <w:numId w:val="1003"/>
        </w:numPr>
        <w:pStyle w:val="Compact"/>
      </w:pPr>
      <w:r>
        <w:t xml:space="preserve">Du gelangst direkt zum Eintrag mit Titel, Autorinnen und Autoren, Fachzeitschrift und meist einer Zusammenfassung (Abstract).</w:t>
      </w:r>
    </w:p>
    <w:p>
      <w:pPr>
        <w:pStyle w:val="FirstParagraph"/>
      </w:pPr>
      <w:r>
        <w:t xml:space="preserve">Alternativ kannst du die Nummer direkt an die Adresse anhängen: pubmed.ncbi.nlm.nih.gov/33567185. Viele Einträge enthalten einen Link zum Volltext, der teils frei, teils nur gegen Bezahlung verfügbar ist.</w:t>
      </w:r>
    </w:p>
    <w:p>
      <w:pPr>
        <w:pStyle w:val="BodyText"/>
      </w:pPr>
      <w:r>
        <w:rPr>
          <w:bCs/>
          <w:b/>
        </w:rPr>
        <w:t xml:space="preserve">NCT-Nummer</w:t>
      </w:r>
      <w:r>
        <w:t xml:space="preserve">: Registrierte Studien findest du auf der Seite clinicaltrials.gov, indem du die Nummer in das Suchfeld eingibst oder an die Adresse clinicaltrials.gov/study/ anhängst, zum Beispiel clinicaltrials.gov/study/NCT03548935. Dort siehst du Studiendesign, Teilnehmerzahl, Endpunkte und den aktuellen Status.</w:t>
      </w:r>
    </w:p>
    <w:bookmarkEnd w:id="34"/>
    <w:bookmarkStart w:id="35" w:name="was-dieses-buch-bewusst-nicht-enthält"/>
    <w:p>
      <w:pPr>
        <w:pStyle w:val="Heading3"/>
      </w:pPr>
      <w:r>
        <w:t xml:space="preserve">Was dieses Buch bewusst nicht enthält</w:t>
      </w:r>
    </w:p>
    <w:p>
      <w:pPr>
        <w:numPr>
          <w:ilvl w:val="0"/>
          <w:numId w:val="1004"/>
        </w:numPr>
        <w:pStyle w:val="Compact"/>
      </w:pPr>
      <w:r>
        <w:rPr>
          <w:bCs/>
          <w:b/>
        </w:rPr>
        <w:t xml:space="preserve">Keine Dosierungen und Anwendungsanleitungen.</w:t>
      </w:r>
      <w:r>
        <w:t xml:space="preserve"> </w:t>
      </w:r>
      <w:r>
        <w:t xml:space="preserve">Es gibt keine Angaben dazu, wie viel, wie oft oder wie lange ein Peptid angewendet werden soll, keine Anleitungen zum Auflösen oder Spritzen und keine Kombinationen mehrerer Stoffe. Bei zugelassenen Arzneimitteln verweist das Buch auf die Fachinformation und die ärztliche Begleitung.</w:t>
      </w:r>
    </w:p>
    <w:p>
      <w:pPr>
        <w:numPr>
          <w:ilvl w:val="0"/>
          <w:numId w:val="1004"/>
        </w:numPr>
        <w:pStyle w:val="Compact"/>
      </w:pPr>
      <w:r>
        <w:rPr>
          <w:bCs/>
          <w:b/>
        </w:rPr>
        <w:t xml:space="preserve">Keine Bezugsquellen.</w:t>
      </w:r>
      <w:r>
        <w:t xml:space="preserve"> </w:t>
      </w:r>
      <w:r>
        <w:t xml:space="preserve">Es werden keine Shops, Hersteller, Apotheken oder Länder genannt, in denen man Peptide erwerben kann, und keine Hinweise gegeben, wie man Kontrollen umgeht.</w:t>
      </w:r>
    </w:p>
    <w:p>
      <w:pPr>
        <w:numPr>
          <w:ilvl w:val="0"/>
          <w:numId w:val="1004"/>
        </w:numPr>
        <w:pStyle w:val="Compact"/>
      </w:pPr>
      <w:r>
        <w:rPr>
          <w:bCs/>
          <w:b/>
        </w:rPr>
        <w:t xml:space="preserve">Keine Heilversprechen.</w:t>
      </w:r>
      <w:r>
        <w:t xml:space="preserve"> </w:t>
      </w:r>
      <w:r>
        <w:t xml:space="preserve">Das Buch berichtet, was in Studien beobachtet wurde – nicht, was ein Stoff bei dir bewirken wird.</w:t>
      </w:r>
    </w:p>
    <w:p>
      <w:pPr>
        <w:numPr>
          <w:ilvl w:val="0"/>
          <w:numId w:val="1004"/>
        </w:numPr>
        <w:pStyle w:val="Compact"/>
      </w:pPr>
      <w:r>
        <w:rPr>
          <w:bCs/>
          <w:b/>
        </w:rPr>
        <w:t xml:space="preserve">Keine Produktempfehlungen.</w:t>
      </w:r>
      <w:r>
        <w:t xml:space="preserve"> </w:t>
      </w:r>
      <w:r>
        <w:t xml:space="preserve">Weder Marken noch Anbieter werden empfohlen. Markennamen zugelassener Arzneimittel werden nur genannt, wenn sie zum Verständnis nötig sind.</w:t>
      </w:r>
    </w:p>
    <w:bookmarkEnd w:id="35"/>
    <w:bookmarkStart w:id="36" w:name="ein-wort-zum-schluss"/>
    <w:p>
      <w:pPr>
        <w:pStyle w:val="Heading3"/>
      </w:pPr>
      <w:r>
        <w:t xml:space="preserve">Ein Wort zum Schluss</w:t>
      </w:r>
    </w:p>
    <w:p>
      <w:pPr>
        <w:pStyle w:val="FirstParagraph"/>
      </w:pPr>
      <w:r>
        <w:t xml:space="preserve">Dieses Buch ist ein Werkzeug zum Nachdenken, kein Ratgeber zur Selbstbehandlung. Wenn du nach der Lektüre mehr Fragen hast als vorher, ist das kein schlechtes Zeichen: Oft ist die ehrlichste Antwort auf die Frage „Wirkt dieses Peptid?“ ein „Das weiß noch niemand“.</w:t>
      </w:r>
    </w:p>
    <w:bookmarkEnd w:id="36"/>
    <w:bookmarkEnd w:id="37"/>
    <w:bookmarkStart w:id="231" w:name="teil-i-grundlagen"/>
    <w:p>
      <w:pPr>
        <w:pStyle w:val="Heading1"/>
      </w:pPr>
      <w:r>
        <w:t xml:space="preserve">Teil I – Grundlagen</w:t>
      </w:r>
    </w:p>
    <w:p>
      <w:pPr>
        <w:pStyle w:val="FirstParagraph"/>
      </w:pPr>
      <w:r>
        <w:t xml:space="preserve">Bevor es in Teil II um einzelne Wirkstoffe geht, legt dieser Teil das Fundament. Du erfährst, was ein Peptid chemisch eigentlich ist, wie aus einem Extrakt aus Hundebauchspeicheldrüsen innerhalb eines Jahrhunderts eine der umsatzstärksten Arzneimittelgruppen der Welt wurde, warum die meisten Peptide gespritzt werden müssen, wie man eine Studie liest, ohne sich von Schlagzeilen täuschen zu lassen, was auf dem Graumarkt tatsächlich in den Fläschchen steckt und welche rechtlichen Regeln gelten.</w:t>
      </w:r>
    </w:p>
    <w:p>
      <w:pPr>
        <w:pStyle w:val="BodyText"/>
      </w:pPr>
      <w:r>
        <w:t xml:space="preserve">Wer nur ein bestimmtes Peptid nachschlagen möchte, kann direkt in Teil II springen. Die Kapitel dieses Teils erklären aber die Begriffe und Maßstäbe, die dort ständig verwendet werden – etwa „randomisiert“, „Surrogat-Endpunkt“, „Evidenzstufe B“ oder „Research Peptide“. Ein kurzer Blick lohnt sich daher auch für eilige Leserinnen und Leser.</w:t>
      </w:r>
    </w:p>
    <w:bookmarkStart w:id="63" w:name="was-peptide-sind-und-was-nicht"/>
    <w:p>
      <w:pPr>
        <w:pStyle w:val="Heading2"/>
      </w:pPr>
      <w:r>
        <w:t xml:space="preserve">Was Peptide sind – und was nicht</w:t>
      </w:r>
    </w:p>
    <w:p>
      <w:pPr>
        <w:pStyle w:val="FirstParagraph"/>
      </w:pPr>
      <w:r>
        <w:t xml:space="preserve">Das Wort „Peptid“ hat in den letzten Jahren eine erstaunliche Karriere gemacht. Es steht auf Hautcremes und Proteinpulvern, in Werbeanzeigen für Abnehmspritzen und in Online-Foren, in denen über „Heilungspeptide“ diskutiert wird. Dabei bezeichnet der Begriff zunächst nur eine bestimmte chemische Bauweise – nicht mehr und nicht weniger. Er sagt nichts darüber aus, ob ein Stoff wirkt, ob er sicher ist oder ob er überhaupt in den Körper gelangt. Dieses Kapitel klärt die Grundbegriffe und räumt mit einigen verbreiteten Missverständnissen auf.</w:t>
      </w:r>
    </w:p>
    <w:bookmarkStart w:id="38" w:name="aminosäuren-die-bausteine"/>
    <w:p>
      <w:pPr>
        <w:pStyle w:val="Heading3"/>
      </w:pPr>
      <w:r>
        <w:t xml:space="preserve">Aminosäuren: die Bausteine</w:t>
      </w:r>
    </w:p>
    <w:p>
      <w:pPr>
        <w:pStyle w:val="FirstParagraph"/>
      </w:pPr>
      <w:r>
        <w:t xml:space="preserve">Alle Peptide und Proteine bestehen aus Aminosäuren. Eine Aminosäure ist ein kleines Molekül mit zwei typischen Bestandteilen: einer Aminogruppe (sie enthält Stickstoff) und einer Säuregruppe (Carboxylgruppe). Dazwischen sitzt ein zentrales Kohlenstoffatom, an dem eine sogenannte Seitenkette hängt. Diese Seitenkette unterscheidet die Aminosäuren voneinander: Sie kann klein und unscheinbar sein wie beim Glycin, ölig und wasserabweisend wie beim Leucin, elektrisch geladen wie beim Lysin oder schwefelhaltig wie beim Cystein.</w:t>
      </w:r>
    </w:p>
    <w:p>
      <w:pPr>
        <w:pStyle w:val="BodyText"/>
      </w:pPr>
      <w:r>
        <w:t xml:space="preserve">Der menschliche Körper baut seine Eiweiße im Wesentlichen aus 20 Standard-Aminosäuren auf. Einige davon kann er selbst herstellen, andere – die „essenziellen“ Aminosäuren – muss er mit der Nahrung aufnehmen. Daneben gibt es Hunderte weiterer Aminosäuren, die in der Natur vorkommen oder im Labor hergestellt werden. Für die Arzneimittelentwicklung sind solche „nicht natürlichen“ Aminosäuren wichtig, weil sie ein Peptid stabiler machen können. Ein Beispiel findest du weiter unten beim Semaglutid.</w:t>
      </w:r>
    </w:p>
    <w:p>
      <w:pPr>
        <w:pStyle w:val="BodyText"/>
      </w:pPr>
      <w:r>
        <w:t xml:space="preserve">Wichtig für das Verständnis vieler Werbeversprechen: Einzelne Aminosäuren sind keine Peptide. Ein Nahrungsergänzungsmittel mit Arginin, Glutamin oder „BCAA“ enthält freie Aminosäuren, also lose Bausteine – kein Peptid.</w:t>
      </w:r>
    </w:p>
    <w:bookmarkEnd w:id="38"/>
    <w:bookmarkStart w:id="39" w:name="die-peptidbindung"/>
    <w:p>
      <w:pPr>
        <w:pStyle w:val="Heading3"/>
      </w:pPr>
      <w:r>
        <w:t xml:space="preserve">Die Peptidbindung</w:t>
      </w:r>
    </w:p>
    <w:p>
      <w:pPr>
        <w:pStyle w:val="FirstParagraph"/>
      </w:pPr>
      <w:r>
        <w:t xml:space="preserve">Wenn zwei Aminosäuren sich verbinden, reagiert die Säuregruppe der einen mit der Aminogruppe der anderen. Dabei wird ein Wassermolekül abgespalten, und es entsteht eine stabile Verknüpfung: die Peptidbindung. Das Ergebnis heißt Dipeptid. Hängt man eine weitere Aminosäure an, entsteht ein Tripeptid, dann ein Tetrapeptid und so weiter. Eine solche Kette hat immer eine Richtung: Sie beginnt mit einer freien Aminogruppe (dem „N-Terminus“) und endet mit einer freien Säuregruppe (dem „C-Terminus“). In Fachartikeln werden Aminosäuren deshalb immer von links nach rechts, vom N- zum C-Ende, aufgeschrieben – oft mit Ein-Buchstaben-Kürzeln. Das Tripeptid „GHK“ etwa steht für Glycin–Histidin–Lysin.</w:t>
      </w:r>
    </w:p>
    <w:p>
      <w:pPr>
        <w:pStyle w:val="BodyText"/>
      </w:pPr>
      <w:r>
        <w:t xml:space="preserve">Die Reihenfolge der Aminosäuren nennt man Sequenz oder Primärstruktur. Sie ist entscheidend: Zwei Peptide aus denselben Bausteinen in anderer Reihenfolge sind verschiedene Stoffe mit unterschiedlichen Eigenschaften – so wie „Rose“ und „Eros“ aus denselben Buchstaben bestehen.</w:t>
      </w:r>
    </w:p>
    <w:bookmarkEnd w:id="39"/>
    <w:bookmarkStart w:id="42" w:name="peptid-oder-protein-eine-frage-der-länge"/>
    <w:p>
      <w:pPr>
        <w:pStyle w:val="Heading3"/>
      </w:pPr>
      <w:r>
        <w:t xml:space="preserve">Peptid oder Protein? Eine Frage der Länge</w:t>
      </w:r>
    </w:p>
    <w:p>
      <w:pPr>
        <w:pStyle w:val="FirstParagraph"/>
      </w:pPr>
      <w:r>
        <w:t xml:space="preserve">Zwischen Peptiden und Proteinen gibt es keine scharfe naturwissenschaftliche Grenze, sondern eine Konvention. Grob gilt:</w:t>
      </w:r>
    </w:p>
    <w:p>
      <w:pPr>
        <w:numPr>
          <w:ilvl w:val="0"/>
          <w:numId w:val="1005"/>
        </w:numPr>
        <w:pStyle w:val="Compact"/>
      </w:pPr>
      <w:r>
        <w:rPr>
          <w:bCs/>
          <w:b/>
        </w:rPr>
        <w:t xml:space="preserve">Oligopeptide</w:t>
      </w:r>
      <w:r>
        <w:t xml:space="preserve">: etwa 2 bis 10 Aminosäuren, zum Beispiel das Tripeptid Glutathion oder das Dipeptid Carnosin.</w:t>
      </w:r>
    </w:p>
    <w:p>
      <w:pPr>
        <w:numPr>
          <w:ilvl w:val="0"/>
          <w:numId w:val="1005"/>
        </w:numPr>
        <w:pStyle w:val="Compact"/>
      </w:pPr>
      <w:r>
        <w:rPr>
          <w:bCs/>
          <w:b/>
        </w:rPr>
        <w:t xml:space="preserve">Polypeptide</w:t>
      </w:r>
      <w:r>
        <w:t xml:space="preserve">: längere Ketten bis etwa 50 Aminosäuren.</w:t>
      </w:r>
    </w:p>
    <w:p>
      <w:pPr>
        <w:numPr>
          <w:ilvl w:val="0"/>
          <w:numId w:val="1005"/>
        </w:numPr>
        <w:pStyle w:val="Compact"/>
      </w:pPr>
      <w:r>
        <w:rPr>
          <w:bCs/>
          <w:b/>
        </w:rPr>
        <w:t xml:space="preserve">Proteine</w:t>
      </w:r>
      <w:r>
        <w:t xml:space="preserve">: größere Moleküle, meist mit mehr als 50 Aminosäuren und einer festen räumlichen Faltung.</w:t>
      </w:r>
    </w:p>
    <w:p>
      <w:pPr>
        <w:pStyle w:val="FirstParagraph"/>
      </w:pPr>
      <w:r>
        <w:t xml:space="preserve">Das Insulin liegt mit 51 Aminosäuren genau an dieser Grenze. Es besteht aus zwei Ketten, die über Schwefelbrücken verbunden sind, und wird je nach Lehrbuch als Peptid oder als kleines Protein bezeichnet. Das menschliche Wachstumshormon ist dagegen eindeutig ein Protein: Die häufigste Form besteht aus 191 Aminosäuren und wiegt rund 22.000 Dalton</w:t>
      </w:r>
      <w:r>
        <w:rPr>
          <w:rStyle w:val="FootnoteReference"/>
        </w:rPr>
        <w:footnoteReference w:id="40"/>
      </w:r>
      <w:r>
        <w:t xml:space="preserve">. Dalton ist die Einheit für die Masse von Molekülen; eine durchschnittliche Aminosäure in einer Kette wiegt etwas mehr als 100 Dalton.</w:t>
      </w:r>
    </w:p>
    <w:p>
      <w:pPr>
        <w:pStyle w:val="BodyText"/>
      </w:pPr>
      <w:r>
        <w:t xml:space="preserve">Einige Beispiele aus diesem Buch zur Orientierung: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Stoff</w:t>
            </w:r>
          </w:p>
        </w:tc>
        <w:tc>
          <w:tcPr/>
          <w:p>
            <w:pPr>
              <w:pStyle w:val="Compact"/>
              <w:jc w:val="left"/>
            </w:pPr>
            <w:r>
              <w:t xml:space="preserve">Länge</w:t>
            </w:r>
          </w:p>
        </w:tc>
        <w:tc>
          <w:tcPr/>
          <w:p>
            <w:pPr>
              <w:pStyle w:val="Compact"/>
              <w:jc w:val="left"/>
            </w:pPr>
            <w:r>
              <w:t xml:space="preserve">Bemerkung</w:t>
            </w:r>
          </w:p>
        </w:tc>
      </w:tr>
      <w:tr>
        <w:tc>
          <w:tcPr/>
          <w:p>
            <w:pPr>
              <w:pStyle w:val="Compact"/>
              <w:jc w:val="left"/>
            </w:pPr>
            <w:r>
              <w:t xml:space="preserve">Carnosin</w:t>
            </w:r>
          </w:p>
        </w:tc>
        <w:tc>
          <w:tcPr/>
          <w:p>
            <w:pPr>
              <w:pStyle w:val="Compact"/>
              <w:jc w:val="left"/>
            </w:pPr>
            <w:r>
              <w:t xml:space="preserve">2 Aminosäuren</w:t>
            </w:r>
          </w:p>
        </w:tc>
        <w:tc>
          <w:tcPr/>
          <w:p>
            <w:pPr>
              <w:pStyle w:val="Compact"/>
              <w:jc w:val="left"/>
            </w:pPr>
            <w:r>
              <w:t xml:space="preserve">kommt in Muskeln vor</w:t>
            </w:r>
          </w:p>
        </w:tc>
      </w:tr>
      <w:tr>
        <w:tc>
          <w:tcPr/>
          <w:p>
            <w:pPr>
              <w:pStyle w:val="Compact"/>
              <w:jc w:val="left"/>
            </w:pPr>
            <w:r>
              <w:t xml:space="preserve">Glutathion</w:t>
            </w:r>
          </w:p>
        </w:tc>
        <w:tc>
          <w:tcPr/>
          <w:p>
            <w:pPr>
              <w:pStyle w:val="Compact"/>
              <w:jc w:val="left"/>
            </w:pPr>
            <w:r>
              <w:t xml:space="preserve">3 Aminosäuren</w:t>
            </w:r>
          </w:p>
        </w:tc>
        <w:tc>
          <w:tcPr/>
          <w:p>
            <w:pPr>
              <w:pStyle w:val="Compact"/>
              <w:jc w:val="left"/>
            </w:pPr>
            <w:r>
              <w:t xml:space="preserve">körpereigenes Schutzmolekül</w:t>
            </w:r>
          </w:p>
        </w:tc>
      </w:tr>
      <w:tr>
        <w:tc>
          <w:tcPr/>
          <w:p>
            <w:pPr>
              <w:pStyle w:val="Compact"/>
              <w:jc w:val="left"/>
            </w:pPr>
            <w:r>
              <w:t xml:space="preserve">Oxytocin</w:t>
            </w:r>
          </w:p>
        </w:tc>
        <w:tc>
          <w:tcPr/>
          <w:p>
            <w:pPr>
              <w:pStyle w:val="Compact"/>
              <w:jc w:val="left"/>
            </w:pPr>
            <w:r>
              <w:t xml:space="preserve">9 Aminosäuren</w:t>
            </w:r>
          </w:p>
        </w:tc>
        <w:tc>
          <w:tcPr/>
          <w:p>
            <w:pPr>
              <w:pStyle w:val="Compact"/>
              <w:jc w:val="left"/>
            </w:pPr>
            <w:r>
              <w:t xml:space="preserve">Hormon, ringförmig gebaut</w:t>
            </w:r>
          </w:p>
        </w:tc>
      </w:tr>
      <w:tr>
        <w:tc>
          <w:tcPr/>
          <w:p>
            <w:pPr>
              <w:pStyle w:val="Compact"/>
              <w:jc w:val="left"/>
            </w:pPr>
            <w:r>
              <w:t xml:space="preserve">GLP-1 (aktive Form)</w:t>
            </w:r>
          </w:p>
        </w:tc>
        <w:tc>
          <w:tcPr/>
          <w:p>
            <w:pPr>
              <w:pStyle w:val="Compact"/>
              <w:jc w:val="left"/>
            </w:pPr>
            <w:r>
              <w:t xml:space="preserve">30 Aminosäuren</w:t>
            </w:r>
          </w:p>
        </w:tc>
        <w:tc>
          <w:tcPr/>
          <w:p>
            <w:pPr>
              <w:pStyle w:val="Compact"/>
              <w:jc w:val="left"/>
            </w:pPr>
            <w:r>
              <w:t xml:space="preserve">Darmhormon</w:t>
            </w:r>
          </w:p>
        </w:tc>
      </w:tr>
      <w:tr>
        <w:tc>
          <w:tcPr/>
          <w:p>
            <w:pPr>
              <w:pStyle w:val="Compact"/>
              <w:jc w:val="left"/>
            </w:pPr>
            <w:r>
              <w:t xml:space="preserve">Exendin-4 (Exenatid)</w:t>
            </w:r>
          </w:p>
        </w:tc>
        <w:tc>
          <w:tcPr/>
          <w:p>
            <w:pPr>
              <w:pStyle w:val="Compact"/>
              <w:jc w:val="left"/>
            </w:pPr>
            <w:r>
              <w:t xml:space="preserve">39 Aminosäuren</w:t>
            </w:r>
          </w:p>
        </w:tc>
        <w:tc>
          <w:tcPr/>
          <w:p>
            <w:pPr>
              <w:pStyle w:val="Compact"/>
              <w:jc w:val="left"/>
            </w:pPr>
            <w:r>
              <w:t xml:space="preserve">aus Echsengift</w:t>
            </w:r>
          </w:p>
        </w:tc>
      </w:tr>
      <w:tr>
        <w:tc>
          <w:tcPr/>
          <w:p>
            <w:pPr>
              <w:pStyle w:val="Compact"/>
              <w:jc w:val="left"/>
            </w:pPr>
            <w:r>
              <w:t xml:space="preserve">Insulin</w:t>
            </w:r>
          </w:p>
        </w:tc>
        <w:tc>
          <w:tcPr/>
          <w:p>
            <w:pPr>
              <w:pStyle w:val="Compact"/>
              <w:jc w:val="left"/>
            </w:pPr>
            <w:r>
              <w:t xml:space="preserve">51 Aminosäuren</w:t>
            </w:r>
          </w:p>
        </w:tc>
        <w:tc>
          <w:tcPr/>
          <w:p>
            <w:pPr>
              <w:pStyle w:val="Compact"/>
              <w:jc w:val="left"/>
            </w:pPr>
            <w:r>
              <w:t xml:space="preserve">zwei Ketten</w:t>
            </w:r>
          </w:p>
        </w:tc>
      </w:tr>
      <w:tr>
        <w:tc>
          <w:tcPr/>
          <w:p>
            <w:pPr>
              <w:pStyle w:val="Compact"/>
              <w:jc w:val="left"/>
            </w:pPr>
            <w:r>
              <w:t xml:space="preserve">Wachstumshormon</w:t>
            </w:r>
          </w:p>
        </w:tc>
        <w:tc>
          <w:tcPr/>
          <w:p>
            <w:pPr>
              <w:pStyle w:val="Compact"/>
              <w:jc w:val="left"/>
            </w:pPr>
            <w:r>
              <w:t xml:space="preserve">191 Aminosäuren</w:t>
            </w:r>
          </w:p>
        </w:tc>
        <w:tc>
          <w:tcPr/>
          <w:p>
            <w:pPr>
              <w:pStyle w:val="Compact"/>
              <w:jc w:val="left"/>
            </w:pPr>
            <w:r>
              <w:t xml:space="preserve">Protein</w:t>
            </w:r>
          </w:p>
        </w:tc>
      </w:tr>
    </w:tbl>
    <w:p>
      <w:pPr>
        <w:pStyle w:val="BodyText"/>
      </w:pPr>
      <w:r>
        <w:t xml:space="preserve">Die Länge von Exendin-4 ist in der Erstbeschreibung angegeben</w:t>
      </w:r>
      <w:r>
        <w:rPr>
          <w:rStyle w:val="FootnoteReference"/>
        </w:rPr>
        <w:footnoteReference w:id="41"/>
      </w:r>
      <w:r>
        <w:t xml:space="preserve">; die übrigen Angaben entsprechen dem Lehrbuchwissen.</w:t>
      </w:r>
    </w:p>
    <w:p>
      <w:pPr>
        <w:pStyle w:val="BodyText"/>
      </w:pPr>
      <w:r>
        <w:t xml:space="preserve">Für die Praxis ist die Länge aus mehreren Gründen wichtig. Kurze Peptide lassen sich einfacher und billiger chemisch herstellen. Lange Ketten falten sich zu komplexen Formen, die für die Wirkung unverzichtbar sein können. Und je größer ein Molekül, desto schwerer gelangt es durch Haut oder Darmwand – dazu mehr im Kapitel über die Darreichungsformen.</w:t>
      </w:r>
    </w:p>
    <w:bookmarkEnd w:id="42"/>
    <w:bookmarkStart w:id="44" w:name="wie-peptide-im-körper-wirken"/>
    <w:p>
      <w:pPr>
        <w:pStyle w:val="Heading3"/>
      </w:pPr>
      <w:r>
        <w:t xml:space="preserve">Wie Peptide im Körper wirken</w:t>
      </w:r>
    </w:p>
    <w:p>
      <w:pPr>
        <w:pStyle w:val="FirstParagraph"/>
      </w:pPr>
      <w:r>
        <w:t xml:space="preserve">Der menschliche Körper nutzt Peptide vor allem als Botenstoffe. Ein Peptidhormon wird in einer Zelle gebildet, ins Blut oder ins Gewebe abgegeben und dockt an einer anderen Zelle an einen passenden Rezeptor an. Rezeptoren sind Eiweißmoleküle in der Zellhülle, die wie ein Schloss funktionieren: Nur der passende Schlüssel löst ein Signal im Zellinneren aus.</w:t>
      </w:r>
    </w:p>
    <w:p>
      <w:pPr>
        <w:pStyle w:val="BodyText"/>
      </w:pPr>
      <w:r>
        <w:t xml:space="preserve">Weil Peptide meist zu groß und zu wasserlöslich sind, um durch die fettige Zellhülle hindurchzuschlüpfen, wirken die meisten über Rezeptoren an der Zelloberfläche. Viele davon gehören zur großen Familie der G-Protein-gekoppelten Rezeptoren. Der GLP-1-Rezeptor, über den Semaglutid oder Liraglutid wirken, ist ein solcher Rezeptor. Er kommt nicht nur in der Bauchspeicheldrüse vor, sondern auch in Magen-Darm-Trakt, Herz, Lunge, Nieren und Gehirn</w:t>
      </w:r>
      <w:r>
        <w:rPr>
          <w:rStyle w:val="FootnoteReference"/>
        </w:rPr>
        <w:footnoteReference w:id="43"/>
      </w:r>
      <w:r>
        <w:t xml:space="preserve"> </w:t>
      </w:r>
      <w:r>
        <w:t xml:space="preserve">– das erklärt, warum diese Wirkstoffe so viele unterschiedliche Effekte haben.</w:t>
      </w:r>
    </w:p>
    <w:p>
      <w:pPr>
        <w:pStyle w:val="BodyText"/>
      </w:pPr>
      <w:r>
        <w:t xml:space="preserve">Peptide übernehmen im Körper sehr verschiedene Aufgaben:</w:t>
      </w:r>
    </w:p>
    <w:p>
      <w:pPr>
        <w:numPr>
          <w:ilvl w:val="0"/>
          <w:numId w:val="1006"/>
        </w:numPr>
        <w:pStyle w:val="Compact"/>
      </w:pPr>
      <w:r>
        <w:rPr>
          <w:bCs/>
          <w:b/>
        </w:rPr>
        <w:t xml:space="preserve">Hormone</w:t>
      </w:r>
      <w:r>
        <w:t xml:space="preserve"> </w:t>
      </w:r>
      <w:r>
        <w:t xml:space="preserve">wie Insulin, Glukagon, GLP-1, Oxytocin oder Vasopressin steuern Stoffwechsel, Wasserhaushalt und Fortpflanzung.</w:t>
      </w:r>
    </w:p>
    <w:p>
      <w:pPr>
        <w:numPr>
          <w:ilvl w:val="0"/>
          <w:numId w:val="1006"/>
        </w:numPr>
        <w:pStyle w:val="Compact"/>
      </w:pPr>
      <w:r>
        <w:rPr>
          <w:bCs/>
          <w:b/>
        </w:rPr>
        <w:t xml:space="preserve">Freisetzungsfaktoren</w:t>
      </w:r>
      <w:r>
        <w:t xml:space="preserve"> </w:t>
      </w:r>
      <w:r>
        <w:t xml:space="preserve">aus dem Zwischenhirn, etwa das Gonadotropin-Releasing-Hormon (GnRH), geben der Hirnanhangdrüse Befehle.</w:t>
      </w:r>
    </w:p>
    <w:p>
      <w:pPr>
        <w:numPr>
          <w:ilvl w:val="0"/>
          <w:numId w:val="1006"/>
        </w:numPr>
        <w:pStyle w:val="Compact"/>
      </w:pPr>
      <w:r>
        <w:rPr>
          <w:bCs/>
          <w:b/>
        </w:rPr>
        <w:t xml:space="preserve">Neuropeptide</w:t>
      </w:r>
      <w:r>
        <w:t xml:space="preserve"> </w:t>
      </w:r>
      <w:r>
        <w:t xml:space="preserve">wie Endorphine wirken als Signalstoffe im Nervensystem.</w:t>
      </w:r>
    </w:p>
    <w:p>
      <w:pPr>
        <w:numPr>
          <w:ilvl w:val="0"/>
          <w:numId w:val="1006"/>
        </w:numPr>
        <w:pStyle w:val="Compact"/>
      </w:pPr>
      <w:r>
        <w:rPr>
          <w:bCs/>
          <w:b/>
        </w:rPr>
        <w:t xml:space="preserve">Antimikrobielle Peptide</w:t>
      </w:r>
      <w:r>
        <w:t xml:space="preserve"> </w:t>
      </w:r>
      <w:r>
        <w:t xml:space="preserve">wie LL-37 sind Teil der angeborenen Immunabwehr.</w:t>
      </w:r>
    </w:p>
    <w:p>
      <w:pPr>
        <w:numPr>
          <w:ilvl w:val="0"/>
          <w:numId w:val="1006"/>
        </w:numPr>
        <w:pStyle w:val="Compact"/>
      </w:pPr>
      <w:r>
        <w:rPr>
          <w:bCs/>
          <w:b/>
        </w:rPr>
        <w:t xml:space="preserve">Strukturbausteine und Abbauprodukte</w:t>
      </w:r>
      <w:r>
        <w:t xml:space="preserve">: Wenn Kollagen oder Milcheiweiß verdaut werden, entstehen kurze Peptide, von denen einige im Blut nachweisbar sind.</w:t>
      </w:r>
    </w:p>
    <w:p>
      <w:pPr>
        <w:pStyle w:val="FirstParagraph"/>
      </w:pPr>
      <w:r>
        <w:t xml:space="preserve">Diese Vielfalt erklärt, warum unter dem Begriff „Peptid“ so unterschiedliche Stoffe zusammengefasst werden: ein hochwirksames, verschreibungspflichtiges Diabetes-Medikament ebenso wie ein Kollagenpulver aus dem Supermarkt.</w:t>
      </w:r>
    </w:p>
    <w:bookmarkEnd w:id="44"/>
    <w:bookmarkStart w:id="48" w:name="X017f8018abf05d6cd2bb297c02d7c0acb679173"/>
    <w:p>
      <w:pPr>
        <w:pStyle w:val="Heading3"/>
      </w:pPr>
      <w:r>
        <w:t xml:space="preserve">Kurze Lebensdauer: das Grundproblem natürlicher Peptide</w:t>
      </w:r>
    </w:p>
    <w:p>
      <w:pPr>
        <w:pStyle w:val="FirstParagraph"/>
      </w:pPr>
      <w:r>
        <w:t xml:space="preserve">Körpereigene Peptide sind meist für eine kurze, präzise Wirkung gebaut. Der Körper hält eine Vielzahl von Enzymen bereit, die Peptidbindungen spalten – sogenannte Peptidasen oder Proteasen. Das ist sinnvoll: Ein Hormonsignal soll nach dem Essen kommen und wieder gehen.</w:t>
      </w:r>
    </w:p>
    <w:p>
      <w:pPr>
        <w:pStyle w:val="BodyText"/>
      </w:pPr>
      <w:r>
        <w:t xml:space="preserve">Für ein Medikament ist diese kurze Lebensdauer jedoch ein Problem. Das natürliche GLP-1 wird von dem Enzym Dipeptidylpeptidase-4 (DPP-4) rasch zerschnitten. In menschlichem Blutplasma im Reagenzglas betrug die Halbwertszeit rund 20 Minuten</w:t>
      </w:r>
      <w:r>
        <w:rPr>
          <w:rStyle w:val="FootnoteReference"/>
        </w:rPr>
        <w:footnoteReference w:id="45"/>
      </w:r>
      <w:r>
        <w:t xml:space="preserve">; im Körper wird GLP-1 zusätzlich schnell aus dem Kreislauf entfernt. Als Medikament wäre unverändertes GLP-1 deshalb kaum brauchbar.</w:t>
      </w:r>
    </w:p>
    <w:p>
      <w:pPr>
        <w:pStyle w:val="BodyText"/>
      </w:pPr>
      <w:r>
        <w:t xml:space="preserve">Die Lösung der Pharmaforschung bestand darin, das Molekül gezielt zu verändern. Beim Semaglutid wurden zwei Aminosäuren des natürlichen GLP-1 ausgetauscht – an Position 8 steht die nicht natürliche Aminosäure Aib, die das Molekül vor DPP-4 schützt – und an die Kette wurde über einen Verbindungsteil eine Fettsäure angehängt. Die Fettsäure sorgt dafür, dass sich Semaglutid im Blut reversibel an das Transporteiweiß Albumin bindet</w:t>
      </w:r>
      <w:r>
        <w:rPr>
          <w:rStyle w:val="FootnoteReference"/>
        </w:rPr>
        <w:footnoteReference w:id="46"/>
      </w:r>
      <w:r>
        <w:t xml:space="preserve">. So entsteht ein Depot, aus dem der Wirkstoff langsam freigesetzt wird. Die Halbwertszeit beim Menschen liegt bei etwa einer Woche</w:t>
      </w:r>
      <w:r>
        <w:rPr>
          <w:rStyle w:val="FootnoteReference"/>
        </w:rPr>
        <w:footnoteReference w:id="47"/>
      </w:r>
      <w:r>
        <w:t xml:space="preserve"> </w:t>
      </w:r>
      <w:r>
        <w:t xml:space="preserve">– deshalb genügt eine Spritze pro Woche.</w:t>
      </w:r>
    </w:p>
    <w:p>
      <w:pPr>
        <w:pStyle w:val="BodyText"/>
      </w:pPr>
      <w:r>
        <w:t xml:space="preserve">Dieses Prinzip – natürliches Vorbild, gezielt stabilisiert – zieht sich durch die moderne Peptidmedizin. Es bedeutet aber auch: Ein Peptid-Arzneimittel ist meist</w:t>
      </w:r>
      <w:r>
        <w:t xml:space="preserve"> </w:t>
      </w:r>
      <w:r>
        <w:rPr>
          <w:bCs/>
          <w:b/>
        </w:rPr>
        <w:t xml:space="preserve">kein</w:t>
      </w:r>
      <w:r>
        <w:t xml:space="preserve"> </w:t>
      </w:r>
      <w:r>
        <w:t xml:space="preserve">„natürlicher“ Stoff im Sinne von unverändert körpereigen. Es ist ein Molekül, das von der Natur inspiriert, aber im Labor optimiert wurde.</w:t>
      </w:r>
    </w:p>
    <w:bookmarkEnd w:id="48"/>
    <w:bookmarkStart w:id="52" w:name="wie-peptide-hergestellt-werden"/>
    <w:p>
      <w:pPr>
        <w:pStyle w:val="Heading3"/>
      </w:pPr>
      <w:r>
        <w:t xml:space="preserve">Wie Peptide hergestellt werden</w:t>
      </w:r>
    </w:p>
    <w:p>
      <w:pPr>
        <w:pStyle w:val="FirstParagraph"/>
      </w:pPr>
      <w:r>
        <w:t xml:space="preserve">Es gibt drei grundlegende Wege, Peptide zu gewinnen:</w:t>
      </w:r>
    </w:p>
    <w:p>
      <w:pPr>
        <w:pStyle w:val="BodyText"/>
      </w:pPr>
      <w:r>
        <w:rPr>
          <w:bCs/>
          <w:b/>
        </w:rPr>
        <w:t xml:space="preserve">Chemische Synthese.</w:t>
      </w:r>
      <w:r>
        <w:t xml:space="preserve"> </w:t>
      </w:r>
      <w:r>
        <w:t xml:space="preserve">Seit den 1960er-Jahren werden Peptide Baustein für Baustein an einem festen Trägermaterial aufgebaut. Dieses Verfahren der Festphasen-Peptidsynthese wurde von Robert Bruce Merrifield entwickelt</w:t>
      </w:r>
      <w:r>
        <w:rPr>
          <w:rStyle w:val="FootnoteReference"/>
        </w:rPr>
        <w:footnoteReference w:id="49"/>
      </w:r>
      <w:r>
        <w:t xml:space="preserve">, der dafür 1984 den Chemie-Nobelpreis erhielt. Heute laufen solche Synthesen weitgehend automatisch. Sie sind die Grundlage nahezu aller kurzen Peptide, auch der auf dem Graumarkt angebotenen. Bei jedem Kopplungsschritt können allerdings Fehler entstehen – etwa fehlende oder doppelte Aminosäuren. Ein sorgfältiger Reinigungsschritt ist daher unverzichtbar.</w:t>
      </w:r>
    </w:p>
    <w:p>
      <w:pPr>
        <w:pStyle w:val="BodyText"/>
      </w:pPr>
      <w:r>
        <w:rPr>
          <w:bCs/>
          <w:b/>
        </w:rPr>
        <w:t xml:space="preserve">Gentechnische (rekombinante) Herstellung.</w:t>
      </w:r>
      <w:r>
        <w:t xml:space="preserve"> </w:t>
      </w:r>
      <w:r>
        <w:t xml:space="preserve">Dabei wird die Bauanleitung für das Peptid in Bakterien oder Hefezellen eingeschleust, die es dann in großen Tanks produzieren. Humaninsulin war das erste so hergestellte Arzneimittel; in klinischen Studien am Menschen wurde es ab 1980 eingesetzt</w:t>
      </w:r>
      <w:r>
        <w:rPr>
          <w:rStyle w:val="FootnoteReference"/>
        </w:rPr>
        <w:footnoteReference w:id="50"/>
      </w:r>
      <w:r>
        <w:t xml:space="preserve">. Größere Peptide und Proteine werden bis heute überwiegend auf diese Weise gewonnen, teils kombiniert mit chemischen Veränderungsschritten.</w:t>
      </w:r>
    </w:p>
    <w:p>
      <w:pPr>
        <w:pStyle w:val="BodyText"/>
      </w:pPr>
      <w:r>
        <w:rPr>
          <w:bCs/>
          <w:b/>
        </w:rPr>
        <w:t xml:space="preserve">Gewinnung aus natürlichen Quellen.</w:t>
      </w:r>
      <w:r>
        <w:t xml:space="preserve"> </w:t>
      </w:r>
      <w:r>
        <w:t xml:space="preserve">Frühe Insuline wurden aus Bauchspeicheldrüsen von Rindern und Schweinen gewonnen. Kollagenpeptide entstehen heute, indem Kollagen aus Haut, Knochen oder Fischschuppen mit Enzymen in kleinere Stücke zerlegt wird (Hydrolyse). Solche Hydrolysate sind Gemische aus vielen verschiedenen Peptiden – kein einheitlicher Wirkstoff.</w:t>
      </w:r>
    </w:p>
    <w:p>
      <w:pPr>
        <w:pStyle w:val="BodyText"/>
      </w:pPr>
      <w:r>
        <w:t xml:space="preserve">Der Herstellungsweg ist für die Sicherheit bedeutsam. Eine Untersuchung verglich Nachahmerprodukte von Semaglutid und Liraglutid mit den Originalpräparaten und fand bei einigen Nachahmer-Wirkstoffen neue Verunreinigungen, darunter höhermolekulare Eiweiße, Spurenmetalle und Lösungsmittelreste</w:t>
      </w:r>
      <w:r>
        <w:rPr>
          <w:rStyle w:val="FootnoteReference"/>
        </w:rPr>
        <w:footnoteReference w:id="51"/>
      </w:r>
      <w:r>
        <w:t xml:space="preserve">. Ob solche Unterschiede klinisch relevant sind, ist offen – sie zeigen aber, dass „derselbe Wirkstoff“ nicht automatisch „dasselbe Produkt“ bedeutet. Die Untersuchung wurde übrigens vom Hersteller der Originalpräparate durchgeführt, was bei der Bewertung berücksichtigt werden sollte.</w:t>
      </w:r>
    </w:p>
    <w:bookmarkEnd w:id="52"/>
    <w:bookmarkStart w:id="55" w:name="Xeea2beea38a4d8784c977cd8fa761d0158c5024"/>
    <w:p>
      <w:pPr>
        <w:pStyle w:val="Heading3"/>
      </w:pPr>
      <w:r>
        <w:t xml:space="preserve">Peptide als Arzneimittel: eine wachsende Gruppe</w:t>
      </w:r>
    </w:p>
    <w:p>
      <w:pPr>
        <w:pStyle w:val="FirstParagraph"/>
      </w:pPr>
      <w:r>
        <w:t xml:space="preserve">Peptide besetzen eine Nische zwischen den klassischen „kleinen Molekülen“ (wie Aspirin oder Metformin) und den großen Biologika (wie Antikörpern). Sie können sehr gezielt an einen Rezeptor binden, was oft zu wenigen unerwünschten Nebenwirkungen an anderen Stellen führt. Gleichzeitig sind sie schwerer in Tablettenform zu bringen und oft teuer in der Herstellung.</w:t>
      </w:r>
    </w:p>
    <w:p>
      <w:pPr>
        <w:pStyle w:val="BodyText"/>
      </w:pPr>
      <w:r>
        <w:t xml:space="preserve">Einer Übersichtsarbeit zufolge haben seit der Einführung des Insulins mehr als 80 Peptid-Arzneimittel den Markt erreicht, etwa gegen Diabetes, Krebs, Osteoporose, Multiple Sklerose, HIV-Infektion und chronische Schmerzen</w:t>
      </w:r>
      <w:r>
        <w:rPr>
          <w:rStyle w:val="FootnoteReference"/>
        </w:rPr>
        <w:footnoteReference w:id="53"/>
      </w:r>
      <w:r>
        <w:t xml:space="preserve">. Eine andere Auswertung zählte über 150 Peptide in aktiver klinischer Entwicklung</w:t>
      </w:r>
      <w:r>
        <w:rPr>
          <w:rStyle w:val="FootnoteReference"/>
        </w:rPr>
        <w:footnoteReference w:id="54"/>
      </w:r>
      <w:r>
        <w:t xml:space="preserve">. Die Zahlen unterscheiden sich je nach Zählweise, zeigen aber dieselbe Richtung: Peptide sind ein fester und wachsender Teil der Medizin.</w:t>
      </w:r>
    </w:p>
    <w:p>
      <w:pPr>
        <w:pStyle w:val="BodyText"/>
      </w:pPr>
      <w:r>
        <w:t xml:space="preserve">Viele Arzneimittel-Peptide kennst du vielleicht, ohne sie als Peptide wahrgenommen zu haben: Insulin, das Osteoporosemittel Teriparatid (ein Teilstück des Parathormons aus 34 Aminosäuren), Wirkstoffe gegen Prostatakrebs, die das GnRH-System beeinflussen, das Wehenmittel Oxytocin oder das Antibiotikum Vancomycin, ein Glykopeptid.</w:t>
      </w:r>
    </w:p>
    <w:bookmarkEnd w:id="55"/>
    <w:bookmarkStart w:id="57" w:name="was-peptide-nicht-sind"/>
    <w:p>
      <w:pPr>
        <w:pStyle w:val="Heading3"/>
      </w:pPr>
      <w:r>
        <w:t xml:space="preserve">Was Peptide nicht sind</w:t>
      </w:r>
    </w:p>
    <w:p>
      <w:pPr>
        <w:pStyle w:val="FirstParagraph"/>
      </w:pPr>
      <w:r>
        <w:t xml:space="preserve">Gerade weil der Begriff so populär geworden ist, lohnt sich ein Blick auf verbreitete Missverständnisse.</w:t>
      </w:r>
    </w:p>
    <w:p>
      <w:pPr>
        <w:pStyle w:val="BodyText"/>
      </w:pPr>
      <w:r>
        <w:rPr>
          <w:bCs/>
          <w:b/>
        </w:rPr>
        <w:t xml:space="preserve">„Peptid“ ist kein Qualitätsmerkmal.</w:t>
      </w:r>
      <w:r>
        <w:t xml:space="preserve"> </w:t>
      </w:r>
      <w:r>
        <w:t xml:space="preserve">Die chemische Bauweise sagt nichts über Nutzen oder Risiko. Insulin rettet täglich Leben – in falscher Menge kann es tödlich sein. Ein Peptid ist nicht automatisch sanfter als ein „chemisches“ Medikament.</w:t>
      </w:r>
    </w:p>
    <w:p>
      <w:pPr>
        <w:pStyle w:val="BodyText"/>
      </w:pPr>
      <w:r>
        <w:rPr>
          <w:bCs/>
          <w:b/>
        </w:rPr>
        <w:t xml:space="preserve">„Körpereigen“ heißt nicht „harmlos“.</w:t>
      </w:r>
      <w:r>
        <w:t xml:space="preserve"> </w:t>
      </w:r>
      <w:r>
        <w:t xml:space="preserve">Viele Graumarkt-Peptide werden als „körpereigen“ oder „bioidentisch“ beworben. Doch auch körpereigene Stoffe können in unnatürlich hoher Menge, am falschen Ort oder über lange Zeit schaden. Ein Beispiel ist das Wachstumshormon-System: Ein Mangel macht krank, ein dauerhaftes Zuviel ebenfalls. Zudem sind viele angeblich körpereigene Peptide in Wahrheit Abwandlungen oder Bruchstücke, die so im Körper gar nicht vorkommen. BPC-157 etwa ist eine 15 Aminosäuren lange Sequenz</w:t>
      </w:r>
      <w:r>
        <w:rPr>
          <w:rStyle w:val="FootnoteReference"/>
        </w:rPr>
        <w:footnoteReference w:id="56"/>
      </w:r>
      <w:r>
        <w:t xml:space="preserve">, die von ihren Entdeckern aus Magensaft abgeleitet wurde; als eigenständiges Hormon des Menschen ist sie nicht etabliert.</w:t>
      </w:r>
    </w:p>
    <w:p>
      <w:pPr>
        <w:pStyle w:val="BodyText"/>
      </w:pPr>
      <w:r>
        <w:rPr>
          <w:bCs/>
          <w:b/>
        </w:rPr>
        <w:t xml:space="preserve">Peptide sind keine Steroide.</w:t>
      </w:r>
      <w:r>
        <w:t xml:space="preserve"> </w:t>
      </w:r>
      <w:r>
        <w:t xml:space="preserve">Anabolika wie Testosteron sind Steroidhormone mit einem völlig anderen chemischen Gerüst aus Kohlenstoffringen. Sie wirken über Rezeptoren im Zellinneren. Im Fitnessbereich werden beide Gruppen manchmal in einen Topf geworfen; chemisch und pharmakologisch haben sie wenig gemeinsam.</w:t>
      </w:r>
    </w:p>
    <w:p>
      <w:pPr>
        <w:pStyle w:val="BodyText"/>
      </w:pPr>
      <w:r>
        <w:rPr>
          <w:bCs/>
          <w:b/>
        </w:rPr>
        <w:t xml:space="preserve">Nicht alles, was ähnlich wirkt, ist ein Peptid.</w:t>
      </w:r>
      <w:r>
        <w:t xml:space="preserve"> </w:t>
      </w:r>
      <w:r>
        <w:t xml:space="preserve">Orforglipron etwa aktiviert wie Semaglutid den GLP-1-Rezeptor, ist aber ein kleines, nicht peptidisches Molekül. Ibutamoren (MK-677) regt die Wachstumshormon-Ausschüttung an wie einige Peptide, ist selbst aber keines. Beide werden in diesem Buch deshalb nur zum Vergleich behandelt.</w:t>
      </w:r>
    </w:p>
    <w:p>
      <w:pPr>
        <w:pStyle w:val="BodyText"/>
      </w:pPr>
      <w:r>
        <w:rPr>
          <w:bCs/>
          <w:b/>
        </w:rPr>
        <w:t xml:space="preserve">Ein Peptid in der Creme ist nicht dasselbe wie ein Peptid in der Spritze.</w:t>
      </w:r>
      <w:r>
        <w:t xml:space="preserve"> </w:t>
      </w:r>
      <w:r>
        <w:t xml:space="preserve">Kosmetik-Peptide wie Palmitoyl-Pentapeptid-4 sind eigens so gestaltet, dass sie in der obersten Hautschicht wirken sollen. Ob und wie tief sie eindringen, ist eine eigene Frage. Umgekehrt gelangt ein Peptid, das als Arzneimittel gespritzt wird, nicht einfach durch die Haut, wenn man es aufträgt.</w:t>
      </w:r>
    </w:p>
    <w:p>
      <w:pPr>
        <w:pStyle w:val="BodyText"/>
      </w:pPr>
      <w:r>
        <w:rPr>
          <w:bCs/>
          <w:b/>
        </w:rPr>
        <w:t xml:space="preserve">Gegessene Peptide werden meist verdaut.</w:t>
      </w:r>
      <w:r>
        <w:t xml:space="preserve"> </w:t>
      </w:r>
      <w:r>
        <w:t xml:space="preserve">Der Magen-Darm-Trakt ist darauf ausgelegt, Eiweiße in Aminosäuren und sehr kurze Bruchstücke zu zerlegen. Ein Peptidhormon, das man schluckt, wird deshalb in aller Regel abgebaut, bevor es wirken kann. Ausnahmen – etwa sehr kleine Peptide aus Kollagen, die im Blut nachweisbar sind, oder die Semaglutid-Tablette mit ihrem Hilfsstoff – werden im übernächsten Kapitel erklärt.</w:t>
      </w:r>
    </w:p>
    <w:bookmarkEnd w:id="57"/>
    <w:bookmarkStart w:id="58" w:name="natürlich-naturidentisch-modifiziert"/>
    <w:p>
      <w:pPr>
        <w:pStyle w:val="Heading3"/>
      </w:pPr>
      <w:r>
        <w:t xml:space="preserve">Natürlich, naturidentisch, modifiziert</w:t>
      </w:r>
    </w:p>
    <w:p>
      <w:pPr>
        <w:pStyle w:val="FirstParagraph"/>
      </w:pPr>
      <w:r>
        <w:t xml:space="preserve">Für die Einordnung der Peptide in Teil II hilft eine einfache Unterscheidung:</w:t>
      </w:r>
    </w:p>
    <w:p>
      <w:pPr>
        <w:numPr>
          <w:ilvl w:val="0"/>
          <w:numId w:val="1007"/>
        </w:numPr>
        <w:pStyle w:val="Compact"/>
      </w:pPr>
      <w:r>
        <w:rPr>
          <w:bCs/>
          <w:b/>
        </w:rPr>
        <w:t xml:space="preserve">Naturidentische Peptide</w:t>
      </w:r>
      <w:r>
        <w:t xml:space="preserve"> </w:t>
      </w:r>
      <w:r>
        <w:t xml:space="preserve">entsprechen exakt einem körpereigenen Molekül, etwa Oxytocin oder Glutathion.</w:t>
      </w:r>
    </w:p>
    <w:p>
      <w:pPr>
        <w:numPr>
          <w:ilvl w:val="0"/>
          <w:numId w:val="1007"/>
        </w:numPr>
        <w:pStyle w:val="Compact"/>
      </w:pPr>
      <w:r>
        <w:rPr>
          <w:bCs/>
          <w:b/>
        </w:rPr>
        <w:t xml:space="preserve">Modifizierte Analoga</w:t>
      </w:r>
      <w:r>
        <w:t xml:space="preserve"> </w:t>
      </w:r>
      <w:r>
        <w:t xml:space="preserve">sind vom natürlichen Vorbild abgeleitet, aber gezielt verändert – durch ausgetauschte Aminosäuren, angehängte Fettsäuren oder ringförmige Strukturen. Fast alle modernen Peptid-Arzneimittel gehören dazu.</w:t>
      </w:r>
    </w:p>
    <w:p>
      <w:pPr>
        <w:numPr>
          <w:ilvl w:val="0"/>
          <w:numId w:val="1007"/>
        </w:numPr>
        <w:pStyle w:val="Compact"/>
      </w:pPr>
      <w:r>
        <w:rPr>
          <w:bCs/>
          <w:b/>
        </w:rPr>
        <w:t xml:space="preserve">Fremde oder neu entworfene Peptide</w:t>
      </w:r>
      <w:r>
        <w:t xml:space="preserve"> </w:t>
      </w:r>
      <w:r>
        <w:t xml:space="preserve">stammen aus anderen Lebewesen (wie Exendin-4 aus dem Speichel der Gila-Krustenechse) oder wurden im Labor neu entwickelt (wie die Kosmetik-Peptide oder die Doppel- und Dreifach-Agonisten Tirzepatid und Retatrutid).</w:t>
      </w:r>
    </w:p>
    <w:p>
      <w:pPr>
        <w:pStyle w:val="FirstParagraph"/>
      </w:pPr>
      <w:r>
        <w:t xml:space="preserve">Für die Sicherheit ist diese Einteilung allein nicht entscheidend. Sie hilft aber zu verstehen, warum Studien am Menschen bei allen drei Gruppen unverzichtbar sind: Selbst ein naturidentisches Molekül verhält sich anders, wenn es in hoher Menge von außen zugeführt wird.</w:t>
      </w:r>
    </w:p>
    <w:bookmarkEnd w:id="58"/>
    <w:bookmarkStart w:id="61" w:name="X5fc135c440778af62235654f069ff9bf21ca1b0"/>
    <w:p>
      <w:pPr>
        <w:pStyle w:val="Heading3"/>
      </w:pPr>
      <w:r>
        <w:t xml:space="preserve">Warum Peptide gerade jetzt so viel Aufmerksamkeit bekommen</w:t>
      </w:r>
    </w:p>
    <w:p>
      <w:pPr>
        <w:pStyle w:val="FirstParagraph"/>
      </w:pPr>
      <w:r>
        <w:t xml:space="preserve">Drei Entwicklungen erklären den Boom der letzten Jahre:</w:t>
      </w:r>
    </w:p>
    <w:p>
      <w:pPr>
        <w:pStyle w:val="BodyText"/>
      </w:pPr>
      <w:r>
        <w:rPr>
          <w:bCs/>
          <w:b/>
        </w:rPr>
        <w:t xml:space="preserve">Erstens die GLP-1-Medikamente.</w:t>
      </w:r>
      <w:r>
        <w:t xml:space="preserve"> </w:t>
      </w:r>
      <w:r>
        <w:t xml:space="preserve">Die Ergebnisse von Wirkstoffen wie Semaglutid und Tirzepatid bei Übergewicht haben Peptide in die Schlagzeilen gebracht. In der Zulassungsstudie STEP 1 verloren Teilnehmende mit Semaglutid im Mittel 14,9 % ihres Körpergewichts, mit Placebo 2,4 %</w:t>
      </w:r>
      <w:r>
        <w:rPr>
          <w:rStyle w:val="FootnoteReference"/>
        </w:rPr>
        <w:footnoteReference w:id="59"/>
      </w:r>
      <w:r>
        <w:t xml:space="preserve">. Solche Zahlen waren mit Medikamenten zuvor nicht erreicht worden.</w:t>
      </w:r>
    </w:p>
    <w:p>
      <w:pPr>
        <w:pStyle w:val="BodyText"/>
      </w:pPr>
      <w:r>
        <w:rPr>
          <w:bCs/>
          <w:b/>
        </w:rPr>
        <w:t xml:space="preserve">Zweitens die einfache Verfügbarkeit.</w:t>
      </w:r>
      <w:r>
        <w:t xml:space="preserve"> </w:t>
      </w:r>
      <w:r>
        <w:t xml:space="preserve">Kurze Peptide lassen sich heute in vielen Ländern günstig synthetisieren und werden über das Internet weltweit angeboten – häufig mit dem Etikett „nur für Forschungszwecke“. Was das bedeutet, behandelt das Kapitel über den Graumarkt.</w:t>
      </w:r>
    </w:p>
    <w:p>
      <w:pPr>
        <w:pStyle w:val="BodyText"/>
      </w:pPr>
      <w:r>
        <w:rPr>
          <w:bCs/>
          <w:b/>
        </w:rPr>
        <w:t xml:space="preserve">Drittens soziale Medien.</w:t>
      </w:r>
      <w:r>
        <w:t xml:space="preserve"> </w:t>
      </w:r>
      <w:r>
        <w:t xml:space="preserve">Erfahrungsberichte, Vorher-nachher-Bilder und Influencer-Empfehlungen verbreiten sich schneller als wissenschaftliche Daten. Eine Übersichtsarbeit beschreibt, wie digitale Werbung, Graumarkt-Zugang und Selbstinjektion zusammenwirken und Produkte normalisieren, deren Identität, Reinheit und Sicherheit unklar sind</w:t>
      </w:r>
      <w:r>
        <w:rPr>
          <w:rStyle w:val="FootnoteReference"/>
        </w:rPr>
        <w:footnoteReference w:id="60"/>
      </w:r>
      <w:r>
        <w:t xml:space="preserve">.</w:t>
      </w:r>
    </w:p>
    <w:p>
      <w:pPr>
        <w:pStyle w:val="BodyText"/>
      </w:pPr>
      <w:r>
        <w:t xml:space="preserve">Dieses Buch will hier einen nüchternen Gegenpol bieten: Für jedes Peptid wird geprüft, was am Menschen tatsächlich untersucht wurde – und was nicht.</w:t>
      </w:r>
    </w:p>
    <w:bookmarkEnd w:id="61"/>
    <w:bookmarkStart w:id="62" w:name="das-wichtigste-in-kürze"/>
    <w:p>
      <w:pPr>
        <w:pStyle w:val="Heading3"/>
      </w:pPr>
      <w:r>
        <w:t xml:space="preserve">Das Wichtigste in Kürze</w:t>
      </w:r>
    </w:p>
    <w:p>
      <w:pPr>
        <w:numPr>
          <w:ilvl w:val="0"/>
          <w:numId w:val="1008"/>
        </w:numPr>
        <w:pStyle w:val="Compact"/>
      </w:pPr>
      <w:r>
        <w:t xml:space="preserve">Peptide sind Ketten aus Aminosäuren, verbunden durch Peptidbindungen. Ab etwa 50 Aminosäuren spricht man meist von Proteinen.</w:t>
      </w:r>
    </w:p>
    <w:p>
      <w:pPr>
        <w:numPr>
          <w:ilvl w:val="0"/>
          <w:numId w:val="1008"/>
        </w:numPr>
        <w:pStyle w:val="Compact"/>
      </w:pPr>
      <w:r>
        <w:t xml:space="preserve">Im Körper wirken Peptide vor allem als Botenstoffe über Rezeptoren an der Zelloberfläche.</w:t>
      </w:r>
    </w:p>
    <w:p>
      <w:pPr>
        <w:numPr>
          <w:ilvl w:val="0"/>
          <w:numId w:val="1008"/>
        </w:numPr>
        <w:pStyle w:val="Compact"/>
      </w:pPr>
      <w:r>
        <w:t xml:space="preserve">Natürliche Peptide werden schnell abgebaut. Moderne Peptid-Arzneimittel sind deshalb fast immer gezielt veränderte Moleküle.</w:t>
      </w:r>
    </w:p>
    <w:p>
      <w:pPr>
        <w:numPr>
          <w:ilvl w:val="0"/>
          <w:numId w:val="1008"/>
        </w:numPr>
        <w:pStyle w:val="Compact"/>
      </w:pPr>
      <w:r>
        <w:t xml:space="preserve">Peptide werden chemisch synthetisiert, gentechnisch hergestellt oder aus natürlichen Quellen gewonnen. Herstellungsweg und Reinheit beeinflussen die Sicherheit.</w:t>
      </w:r>
    </w:p>
    <w:p>
      <w:pPr>
        <w:numPr>
          <w:ilvl w:val="0"/>
          <w:numId w:val="1008"/>
        </w:numPr>
        <w:pStyle w:val="Compact"/>
      </w:pPr>
      <w:r>
        <w:t xml:space="preserve">„Peptid“ ist eine chemische Beschreibung, kein Gütesiegel. Ob ein bestimmtes Peptid beim Menschen wirkt und sicher ist, können nur gute Studien zeigen.</w:t>
      </w:r>
    </w:p>
    <w:bookmarkEnd w:id="62"/>
    <w:bookmarkEnd w:id="63"/>
    <w:bookmarkStart w:id="100" w:name="X750f07fb58e7207f9c462cf0058933a10bc4059"/>
    <w:p>
      <w:pPr>
        <w:pStyle w:val="Heading2"/>
      </w:pPr>
      <w:r>
        <w:t xml:space="preserve">Kurze Geschichte: von Insulin bis zu den GLP-1-Medikamenten</w:t>
      </w:r>
    </w:p>
    <w:p>
      <w:pPr>
        <w:pStyle w:val="FirstParagraph"/>
      </w:pPr>
      <w:r>
        <w:t xml:space="preserve">Die Geschichte der Peptid-Medikamente ist eine Geschichte von Durchbrüchen, Irrwegen und erstaunlichen Zufällen. Sie beginnt mit einem verzweifelten Experiment in Toronto, führt über das Gift einer amerikanischen Wüstenechse und endet – vorläufig – bei Abnehmspritzen, die zu den meistverkauften Arzneimitteln der Welt gehören. Dieses Kapitel erzählt die wichtigsten Stationen. Es soll dir helfen, die heutige Aufregung um Peptide einzuordnen: Vieles, was als revolutionär verkauft wird, steht auf den Schultern von hundert Jahren mühsamer Forschung.</w:t>
      </w:r>
    </w:p>
    <w:bookmarkStart w:id="64" w:name="vor-1922-botenstoffe-werden-entdeckt"/>
    <w:p>
      <w:pPr>
        <w:pStyle w:val="Heading3"/>
      </w:pPr>
      <w:r>
        <w:t xml:space="preserve">Vor 1922: Botenstoffe werden entdeckt</w:t>
      </w:r>
    </w:p>
    <w:p>
      <w:pPr>
        <w:pStyle w:val="FirstParagraph"/>
      </w:pPr>
      <w:r>
        <w:t xml:space="preserve">Um 1900 setzte sich in der Physiologie eine neue Idee durch: Organe verständigen sich nicht nur über Nerven, sondern auch über chemische Botenstoffe im Blut. Die britischen Physiologen William Bayliss und Ernest Starling beschrieben 1902 das Sekretin, einen Stoff aus der Darmwand, der die Bauchspeicheldrüse zur Saftproduktion anregt. Für solche Botenstoffe prägte Starling wenig später den Begriff „Hormon“. Sekretin ist – wie man heute weiß – ein Peptid. Damit stand ein Peptid am Anfang der gesamten Hormonforschung.</w:t>
      </w:r>
    </w:p>
    <w:p>
      <w:pPr>
        <w:pStyle w:val="BodyText"/>
      </w:pPr>
      <w:r>
        <w:t xml:space="preserve">Gleichzeitig war bekannt, dass die Zuckerkrankheit (Diabetes mellitus) mit der Bauchspeicheldrüse zusammenhängt. Hunde, denen man das Organ entfernte, entwickelten einen tödlichen Diabetes. Viele Forschergruppen versuchten, den vermuteten blutzuckersenkenden Stoff aus der Drüse zu gewinnen. Die Extrakte waren jedoch entweder unwirksam oder so verunreinigt, dass sie schwere Reaktionen auslösten.</w:t>
      </w:r>
    </w:p>
    <w:bookmarkEnd w:id="64"/>
    <w:bookmarkStart w:id="68" w:name="insulin-das-erste-peptid-medikament"/>
    <w:p>
      <w:pPr>
        <w:pStyle w:val="Heading3"/>
      </w:pPr>
      <w:r>
        <w:t xml:space="preserve">1922: Insulin – das erste Peptid-Medikament</w:t>
      </w:r>
    </w:p>
    <w:p>
      <w:pPr>
        <w:pStyle w:val="FirstParagraph"/>
      </w:pPr>
      <w:r>
        <w:t xml:space="preserve">Im Sommer 1921 gelang einer Gruppe an der Universität Toronto der entscheidende Schritt. Frederick Banting und Charles Best gewannen unter der Leitung von John Macleod einen Extrakt, der bei Hunden ohne Bauchspeicheldrüse den Blutzucker senkte. Der Biochemiker James Collip verbesserte die Reinigung so weit, dass der Extrakt am Menschen erprobt werden konnte. Im Januar 1922 erhielt ein 14-jähriger Junge mit schwerem Diabetes in Toronto die ersten Injektionen. Noch im selben Jahr berichtete die Gruppe über ihre Erfahrungen bei Patienten</w:t>
      </w:r>
      <w:r>
        <w:rPr>
          <w:rStyle w:val="FootnoteReference"/>
        </w:rPr>
        <w:footnoteReference w:id="65"/>
      </w:r>
      <w:r>
        <w:t xml:space="preserve">.</w:t>
      </w:r>
    </w:p>
    <w:p>
      <w:pPr>
        <w:pStyle w:val="BodyText"/>
      </w:pPr>
      <w:r>
        <w:t xml:space="preserve">Der Effekt war dramatisch: Typ-1-Diabetes, bis dahin innerhalb kurzer Zeit tödlich, wurde zu einer behandelbaren chronischen Erkrankung. Eine Übersichtsarbeit zum hundertjährigen Jubiläum beschreibt genau diesen Wandel als den Kern der Entdeckung</w:t>
      </w:r>
      <w:r>
        <w:rPr>
          <w:rStyle w:val="FootnoteReference"/>
        </w:rPr>
        <w:footnoteReference w:id="66"/>
      </w:r>
      <w:r>
        <w:t xml:space="preserve">. Banting und Macleod erhielten 1923 den Nobelpreis für Medizin.</w:t>
      </w:r>
    </w:p>
    <w:p>
      <w:pPr>
        <w:pStyle w:val="BodyText"/>
      </w:pPr>
      <w:r>
        <w:t xml:space="preserve">Die folgenden Jahrzehnte drehten sich, wie eine historische Übersicht zusammenfasst, um ganz praktische Fragen: genug Insulin herzustellen, es reiner zu machen, um allergische Reaktionen zu vermeiden, Standards festzulegen und die Wirkdauer zu verlängern, damit weniger Spritzen nötig sind</w:t>
      </w:r>
      <w:r>
        <w:rPr>
          <w:rStyle w:val="FootnoteReference"/>
        </w:rPr>
        <w:footnoteReference w:id="67"/>
      </w:r>
      <w:r>
        <w:t xml:space="preserve">. Genau diese Themen – Herstellung, Reinheit, Wirkdauer, Verabreichung – begleiten die Peptidmedizin bis heute.</w:t>
      </w:r>
    </w:p>
    <w:bookmarkEnd w:id="68"/>
    <w:bookmarkStart w:id="71" w:name="X5cf975bfe7776b9d46750ae3aec2864e3c5cec6"/>
    <w:p>
      <w:pPr>
        <w:pStyle w:val="Heading3"/>
      </w:pPr>
      <w:r>
        <w:t xml:space="preserve">1950er-Jahre: Peptide werden lesbar und herstellbar</w:t>
      </w:r>
    </w:p>
    <w:p>
      <w:pPr>
        <w:pStyle w:val="FirstParagraph"/>
      </w:pPr>
      <w:r>
        <w:t xml:space="preserve">Lange war unklar, wie Insulin chemisch aufgebaut ist. Der britische Biochemiker Frederick Sanger entschlüsselte Anfang der 1950er-Jahre Schritt für Schritt die Abfolge der Aminosäuren in den beiden Insulinketten</w:t>
      </w:r>
      <w:r>
        <w:rPr>
          <w:rStyle w:val="FootnoteReference"/>
        </w:rPr>
        <w:footnoteReference w:id="69"/>
      </w:r>
      <w:r>
        <w:t xml:space="preserve">. Insulin war damit das erste Eiweißmolekül, dessen vollständige Sequenz bekannt war. Sanger erhielt dafür 1958 den Chemie-Nobelpreis. Die Erkenntnis, dass Eiweiße eine feste, genau definierte Reihenfolge von Bausteinen haben, war grundlegend für die gesamte Molekularbiologie.</w:t>
      </w:r>
    </w:p>
    <w:p>
      <w:pPr>
        <w:pStyle w:val="BodyText"/>
      </w:pPr>
      <w:r>
        <w:t xml:space="preserve">Fast zur gleichen Zeit gelang dem amerikanischen Chemiker Vincent du Vigneaud die erste chemische Herstellung eines Peptidhormons: Oxytocin, ein Hormon aus neun Aminosäuren, das Wehen und Milchfluss auslöst. Er wurde dafür 1955 mit dem Chemie-Nobelpreis ausgezeichnet. Zum ersten Mal war ein körpereigenes Hormon im Labor „nachgebaut“ worden – synthetisches Oxytocin wird in der Geburtshilfe bis heute eingesetzt.</w:t>
      </w:r>
    </w:p>
    <w:p>
      <w:pPr>
        <w:pStyle w:val="BodyText"/>
      </w:pPr>
      <w:r>
        <w:t xml:space="preserve">In den 1960er-Jahren entwickelte Robert Bruce Merrifield die Festphasen-Synthese, bei der eine Peptidkette an einem festen Träger Baustein für Baustein verlängert wird</w:t>
      </w:r>
      <w:r>
        <w:rPr>
          <w:rStyle w:val="FootnoteReference"/>
        </w:rPr>
        <w:footnoteReference w:id="70"/>
      </w:r>
      <w:r>
        <w:t xml:space="preserve">. Das Verfahren ließ sich automatisieren und machte die Herstellung beliebiger kurzer Peptide erst praktikabel. Merrifield erhielt 1984 den Chemie-Nobelpreis. Ohne diese Technik gäbe es weder die meisten modernen Peptid-Arzneimittel noch den heutigen Graumarkt.</w:t>
      </w:r>
    </w:p>
    <w:bookmarkEnd w:id="71"/>
    <w:bookmarkStart w:id="73" w:name="er--und-1970er-jahre-messen-und-steuern"/>
    <w:p>
      <w:pPr>
        <w:pStyle w:val="Heading3"/>
      </w:pPr>
      <w:r>
        <w:t xml:space="preserve">1960er- und 1970er-Jahre: Messen und Steuern</w:t>
      </w:r>
    </w:p>
    <w:p>
      <w:pPr>
        <w:pStyle w:val="FirstParagraph"/>
      </w:pPr>
      <w:r>
        <w:t xml:space="preserve">Ein weiteres Hindernis war die Messbarkeit. Peptidhormone kommen im Blut in winzigen Mengen vor. Rosalyn Yalow und Solomon Berson entwickelten ein Messverfahren mit Antikörpern und radioaktiv markierten Molekülen, den Radioimmunoassay, und bestimmten damit erstmals Insulin im Blut von Menschen</w:t>
      </w:r>
      <w:r>
        <w:rPr>
          <w:rStyle w:val="FootnoteReference"/>
        </w:rPr>
        <w:footnoteReference w:id="72"/>
      </w:r>
      <w:r>
        <w:t xml:space="preserve">. Yalow erhielt 1977 den Nobelpreis. Plötzlich ließ sich verfolgen, wann der Körper welche Peptidhormone ausschüttet.</w:t>
      </w:r>
    </w:p>
    <w:p>
      <w:pPr>
        <w:pStyle w:val="BodyText"/>
      </w:pPr>
      <w:r>
        <w:t xml:space="preserve">Im selben Jahr wurden Roger Guillemin und Andrew Schally ausgezeichnet. Sie hatten die Peptid-Botenstoffe des Hypothalamus entschlüsselt – jener Hirnregion, die der Hirnanhangdrüse Befehle gibt. Aus diesen Entdeckungen gingen ganze Arzneimittelklassen hervor: Abwandlungen des Gonadotropin-Releasing-Hormons (GnRH) werden etwa bei Prostatakrebs, Endometriose und in der Kinderwunschbehandlung eingesetzt. Das Hormon Somatostatin wurde zum Vorbild für Octreotid, das bei hormonbildenden Tumoren und Akromegalie verwendet wird. Auch die Wachstumshormon-freisetzenden Peptide, die in Teil II ausführlich behandelt werden, haben hier ihre Wurzeln.</w:t>
      </w:r>
    </w:p>
    <w:bookmarkEnd w:id="73"/>
    <w:bookmarkStart w:id="77" w:name="er-jahre-gentechnik-verändert-alles"/>
    <w:p>
      <w:pPr>
        <w:pStyle w:val="Heading3"/>
      </w:pPr>
      <w:r>
        <w:t xml:space="preserve">1980er-Jahre: Gentechnik verändert alles</w:t>
      </w:r>
    </w:p>
    <w:p>
      <w:pPr>
        <w:pStyle w:val="FirstParagraph"/>
      </w:pPr>
      <w:r>
        <w:t xml:space="preserve">Bis in die 1980er-Jahre stammte Insulin aus Bauchspeicheldrüsen von Schlachttieren. Das menschliche Wachstumshormon wurde aus den Hirnanhangdrüsen Verstorbener gewonnen; dieser Zeitraum reichte von 1958 bis 1985</w:t>
      </w:r>
      <w:r>
        <w:rPr>
          <w:rStyle w:val="FootnoteReference"/>
        </w:rPr>
        <w:footnoteReference w:id="74"/>
      </w:r>
      <w:r>
        <w:t xml:space="preserve">. Diese Gewinnung hatte eine tragische Kehrseite: Einige Kinder, die solches Hormon erhalten hatten, erkrankten Jahre später an der Creutzfeldt-Jakob-Krankheit, die durch verunreinigte Präparate übertragen worden war. Die Episode ist bis heute ein Mahnmal dafür, wie wichtig Reinheit und Herkunft bei biologischen Wirkstoffen sind.</w:t>
      </w:r>
    </w:p>
    <w:p>
      <w:pPr>
        <w:pStyle w:val="BodyText"/>
      </w:pPr>
      <w:r>
        <w:t xml:space="preserve">Die Gentechnik bot einen Ausweg. Humaninsulin, in Bakterien hergestellt, kam ab 1980 in klinischen Studien am Menschen zum Einsatz und war das erste Arzneimittel aus rekombinanter DNA-Technik</w:t>
      </w:r>
      <w:r>
        <w:rPr>
          <w:rStyle w:val="FootnoteReference"/>
        </w:rPr>
        <w:footnoteReference w:id="75"/>
      </w:r>
      <w:r>
        <w:t xml:space="preserve">. Wenige Jahre später folgte rekombinantes Wachstumshormon. Erstmals standen menschliche Peptide und Proteine in praktisch unbegrenzter Menge zur Verfügung.</w:t>
      </w:r>
    </w:p>
    <w:p>
      <w:pPr>
        <w:pStyle w:val="BodyText"/>
      </w:pPr>
      <w:r>
        <w:t xml:space="preserve">In den 1990er-Jahren gingen die Hersteller einen Schritt weiter: Sie veränderten die Insulinmoleküle gezielt, um sie schneller oder langsamer wirken zu lassen. Diese „Insulin-Analoga“ waren ein Vorläufer des Prinzips, das später die GLP-1-Medikamente so erfolgreich machte: ein natürliches Vorbild, im Labor für die Anwendung optimiert.</w:t>
      </w:r>
    </w:p>
    <w:p>
      <w:pPr>
        <w:pStyle w:val="BodyText"/>
      </w:pPr>
      <w:r>
        <w:t xml:space="preserve">Auch andere Peptid-Arzneimittel etablierten sich. Ein Beispiel ist Teriparatid, ein Teilstück des Parathormons. In einer großen Studie mit 1.637 Frauen nach den Wechseljahren und Osteoporose traten neue Wirbelbrüche bei 14 % der Frauen mit Placebo auf, aber nur bei 5 % beziehungsweise 4 % in den beiden Teriparatid-Gruppen</w:t>
      </w:r>
      <w:r>
        <w:rPr>
          <w:rStyle w:val="FootnoteReference"/>
        </w:rPr>
        <w:footnoteReference w:id="76"/>
      </w:r>
      <w:r>
        <w:t xml:space="preserve">. Solche Studien mit „harten“ Endpunkten wie Knochenbrüchen setzten den Maßstab, an dem sich auch neue Peptide messen lassen müssen.</w:t>
      </w:r>
    </w:p>
    <w:bookmarkEnd w:id="77"/>
    <w:bookmarkStart w:id="80" w:name="die-inkretine-vom-darm-zum-medikament"/>
    <w:p>
      <w:pPr>
        <w:pStyle w:val="Heading3"/>
      </w:pPr>
      <w:r>
        <w:t xml:space="preserve">Die Inkretine: vom Darm zum Medikament</w:t>
      </w:r>
    </w:p>
    <w:p>
      <w:pPr>
        <w:pStyle w:val="FirstParagraph"/>
      </w:pPr>
      <w:r>
        <w:t xml:space="preserve">Die Geschichte der GLP-1-Medikamente beginnt mit einer Beobachtung aus den 1960er-Jahren: Zucker, den man schluckt, löst eine viel stärkere Insulinausschüttung aus als dieselbe Menge Zucker, die direkt ins Blut gespritzt wird. Der Darm muss also beim Essen Signale an die Bauchspeicheldrüse senden. Diese Signalstoffe nannte man Inkretine.</w:t>
      </w:r>
    </w:p>
    <w:p>
      <w:pPr>
        <w:pStyle w:val="BodyText"/>
      </w:pPr>
      <w:r>
        <w:t xml:space="preserve">Das erste bekannte Inkretin war das GIP (glukoseabhängiges insulinotropes Polypeptid). In den 1980er-Jahren stieß man auf ein zweites: das Glucagon-like Peptide-1, kurz GLP-1. Eine britische Gruppe zeigte 1987, dass GLP-1 beim Menschen nach einer Mahlzeit im Blut ansteigt, dass es – in Mengen wie nach dem Essen infundiert – bei sieben Freiwilligen die Insulinausschüttung steigerte und den Blutzucker senkte und dass es dabei wirksamer war als GIP</w:t>
      </w:r>
      <w:r>
        <w:rPr>
          <w:rStyle w:val="FootnoteReference"/>
        </w:rPr>
        <w:footnoteReference w:id="78"/>
      </w:r>
      <w:r>
        <w:t xml:space="preserve">.</w:t>
      </w:r>
    </w:p>
    <w:p>
      <w:pPr>
        <w:pStyle w:val="BodyText"/>
      </w:pPr>
      <w:r>
        <w:t xml:space="preserve">Das Problem: Natürliches GLP-1 wird im Blut innerhalb von Minuten durch das Enzym DPP-4 abgebaut</w:t>
      </w:r>
      <w:r>
        <w:rPr>
          <w:rStyle w:val="FootnoteReference"/>
        </w:rPr>
        <w:footnoteReference w:id="79"/>
      </w:r>
      <w:r>
        <w:t xml:space="preserve">. Als Medikament war es so kaum zu gebrauchen. Zwei Lösungswege wurden verfolgt: Hemmstoffe des Abbauenzyms (die sogenannten Gliptine, die als Tabletten zugelassen sind und keine Peptide sind) und stabile Nachbildungen des GLP-1 selbst.</w:t>
      </w:r>
    </w:p>
    <w:bookmarkEnd w:id="80"/>
    <w:bookmarkStart w:id="83" w:name="das-echsengift-exenatid"/>
    <w:p>
      <w:pPr>
        <w:pStyle w:val="Heading3"/>
      </w:pPr>
      <w:r>
        <w:t xml:space="preserve">Das Echsengift: Exenatid</w:t>
      </w:r>
    </w:p>
    <w:p>
      <w:pPr>
        <w:pStyle w:val="FirstParagraph"/>
      </w:pPr>
      <w:r>
        <w:t xml:space="preserve">Die erste stabile Nachbildung kam aus einer unerwarteten Richtung. Der amerikanische Endokrinologe John Eng untersuchte Anfang der 1990er-Jahre das Gift der Gila-Krustenechse (Heloderma suspectum), eines giftigen Reptils aus dem Südwesten der USA. Er isolierte daraus ein Peptid aus 39 Aminosäuren, das er Exendin-4 nannte</w:t>
      </w:r>
      <w:r>
        <w:rPr>
          <w:rStyle w:val="FootnoteReference"/>
        </w:rPr>
        <w:footnoteReference w:id="81"/>
      </w:r>
      <w:r>
        <w:t xml:space="preserve">. Exendin-4 ähnelt dem menschlichen GLP-1, aktiviert denselben Rezeptor, wird aber von DPP-4 kaum angegriffen.</w:t>
      </w:r>
    </w:p>
    <w:p>
      <w:pPr>
        <w:pStyle w:val="BodyText"/>
      </w:pPr>
      <w:r>
        <w:t xml:space="preserve">Synthetisches Exendin-4 erhielt den Namen Exenatid und wurde 2005 in den USA als erstes Medikament dieser Klasse zugelassen. In einer der Zulassungsstudien mit 336 Menschen mit Typ-2-Diabetes, die bereits Metformin einnahmen, sank der Langzeit-Blutzuckerwert HbA1c nach 30 Wochen in der höheren Dosisgruppe um 0,78 Prozentpunkte, unter Placebo stieg er leicht um 0,08 Prozentpunkte. Gleichzeitig nahmen die Teilnehmenden mit Exenatid ab, in der höheren Dosis um 2,8 kg</w:t>
      </w:r>
      <w:r>
        <w:rPr>
          <w:rStyle w:val="FootnoteReference"/>
        </w:rPr>
        <w:footnoteReference w:id="82"/>
      </w:r>
      <w:r>
        <w:t xml:space="preserve">. Exenatid musste anfangs zweimal täglich gespritzt werden.</w:t>
      </w:r>
    </w:p>
    <w:p>
      <w:pPr>
        <w:pStyle w:val="BodyText"/>
      </w:pPr>
      <w:r>
        <w:t xml:space="preserve">Der Gewichtsverlust galt damals als willkommene Nebenwirkung. Dass genau dieser Effekt zwei Jahrzehnte später die ganze Klasse berühmt machen würde, ahnten damals wohl nur wenige.</w:t>
      </w:r>
    </w:p>
    <w:bookmarkEnd w:id="83"/>
    <w:bookmarkStart w:id="88" w:name="länger-wirksam-liraglutid-und-semaglutid"/>
    <w:p>
      <w:pPr>
        <w:pStyle w:val="Heading3"/>
      </w:pPr>
      <w:r>
        <w:t xml:space="preserve">Länger wirksam: Liraglutid und Semaglutid</w:t>
      </w:r>
    </w:p>
    <w:p>
      <w:pPr>
        <w:pStyle w:val="FirstParagraph"/>
      </w:pPr>
      <w:r>
        <w:t xml:space="preserve">Der dänische Hersteller Novo Nordisk ging einen anderen Weg. Statt ein fremdes Peptid zu verwenden, veränderte man das menschliche GLP-1 so, dass es sich im Blut an das Transporteiweiß Albumin bindet und dadurch langsamer abgebaut wird. Das Ergebnis war Liraglutid, das einmal täglich gespritzt wird und 2009 in der EU zugelassen wurde. Eine Übersicht der Entwickler beschreibt, wie dafür passende Kombinationen aus Fettsäure und Verbindungsstück gesucht wurden, um die Albuminbindung zu maximieren, ohne die Wirkung am Rezeptor zu verlieren</w:t>
      </w:r>
      <w:r>
        <w:rPr>
          <w:rStyle w:val="FootnoteReference"/>
        </w:rPr>
        <w:footnoteReference w:id="84"/>
      </w:r>
      <w:r>
        <w:t xml:space="preserve">.</w:t>
      </w:r>
    </w:p>
    <w:p>
      <w:pPr>
        <w:pStyle w:val="BodyText"/>
      </w:pPr>
      <w:r>
        <w:t xml:space="preserve">Liraglutid wurde später in höherer Dosis auch zur Gewichtsbehandlung erprobt. In der Studie SCALE mit 3.731 Teilnehmenden ohne Diabetes verloren Menschen mit Liraglutid in 56 Wochen im Mittel 8,4 kg, mit Placebo 2,8 kg</w:t>
      </w:r>
      <w:r>
        <w:rPr>
          <w:rStyle w:val="FootnoteReference"/>
        </w:rPr>
        <w:footnoteReference w:id="85"/>
      </w:r>
      <w:r>
        <w:t xml:space="preserve">.</w:t>
      </w:r>
    </w:p>
    <w:p>
      <w:pPr>
        <w:pStyle w:val="BodyText"/>
      </w:pPr>
      <w:r>
        <w:t xml:space="preserve">Den nächsten Schritt markierte Semaglutid: ein noch stärker an Albumin gebundenes Molekül, das nur einmal pro Woche gespritzt werden muss</w:t>
      </w:r>
      <w:r>
        <w:rPr>
          <w:rStyle w:val="FootnoteReference"/>
        </w:rPr>
        <w:footnoteReference w:id="86"/>
      </w:r>
      <w:r>
        <w:t xml:space="preserve">. In der Zulassungsstudie STEP 1 mit 1.961 Erwachsenen mit Übergewicht oder Adipositas sank das Körpergewicht über 68 Wochen im Mittel um 14,9 %, unter Placebo um 2,4 %</w:t>
      </w:r>
      <w:r>
        <w:rPr>
          <w:rStyle w:val="FootnoteReference"/>
        </w:rPr>
        <w:footnoteReference w:id="87"/>
      </w:r>
      <w:r>
        <w:t xml:space="preserve">. Diese Größenordnung lag deutlich über allem, was frühere Abnehmmedikamente erreicht hatten.</w:t>
      </w:r>
    </w:p>
    <w:bookmarkEnd w:id="88"/>
    <w:bookmarkStart w:id="92" w:name="vom-blutzucker-zum-herzen"/>
    <w:p>
      <w:pPr>
        <w:pStyle w:val="Heading3"/>
      </w:pPr>
      <w:r>
        <w:t xml:space="preserve">Vom Blutzucker zum Herzen</w:t>
      </w:r>
    </w:p>
    <w:p>
      <w:pPr>
        <w:pStyle w:val="FirstParagraph"/>
      </w:pPr>
      <w:r>
        <w:t xml:space="preserve">Ein Wendepunkt kam, als die Behörden nach Problemen mit einem anderen Diabetesmittel ab 2008 von neuen Diabetes-Medikamenten verlangten, ihre Herz-Kreislauf-Sicherheit in großen Studien nachzuweisen. Diese Studien sollten eigentlich nur zeigen, dass die Mittel das Herz nicht gefährden. Bei den GLP-1-Medikamenten zeigten sie mehr.</w:t>
      </w:r>
    </w:p>
    <w:p>
      <w:pPr>
        <w:pStyle w:val="BodyText"/>
      </w:pPr>
      <w:r>
        <w:t xml:space="preserve">In der Studie LEADER mit 9.340 Menschen mit Typ-2-Diabetes und hohem Herz-Kreislauf-Risiko trat das kombinierte Ereignis aus Herz-Kreislauf-Tod, nicht tödlichem Herzinfarkt oder Schlaganfall unter Liraglutid bei 13,0 % auf, unter Placebo bei 14,9 %</w:t>
      </w:r>
      <w:r>
        <w:rPr>
          <w:rStyle w:val="FootnoteReference"/>
        </w:rPr>
        <w:footnoteReference w:id="89"/>
      </w:r>
      <w:r>
        <w:t xml:space="preserve">. In der Studie SUSTAIN-6 mit 3.297 Teilnehmenden waren es unter Semaglutid 6,6 %, unter Placebo 8,9 %; allerdings traten unter Semaglutid häufiger Komplikationen an der Netzhaut auf</w:t>
      </w:r>
      <w:r>
        <w:rPr>
          <w:rStyle w:val="FootnoteReference"/>
        </w:rPr>
        <w:footnoteReference w:id="90"/>
      </w:r>
      <w:r>
        <w:t xml:space="preserve">.</w:t>
      </w:r>
    </w:p>
    <w:p>
      <w:pPr>
        <w:pStyle w:val="BodyText"/>
      </w:pPr>
      <w:r>
        <w:t xml:space="preserve">2023 folgte die Studie SELECT, die erstmals Menschen mit Übergewicht und Herz-Kreislauf-Erkrankung, aber ohne Diabetes untersuchte. Bei 17.604 Teilnehmenden trat das kombinierte Herz-Kreislauf-Ereignis über im Mittel 39,8 Monate unter Semaglutid bei 6,5 % auf, unter Placebo bei 8,0 %</w:t>
      </w:r>
      <w:r>
        <w:rPr>
          <w:rStyle w:val="FootnoteReference"/>
        </w:rPr>
        <w:footnoteReference w:id="91"/>
      </w:r>
      <w:r>
        <w:t xml:space="preserve">. Damit war gezeigt, dass ein Peptid-Medikament bei Adipositas nicht nur das Gewicht, sondern auch harte Ereignisse wie Herzinfarkte beeinflussen kann. Was diese Prozentzahlen bedeuten – und warum man zwischen relativen und absoluten Unterschieden unterscheiden muss –, erklärt das Kapitel „Studien richtig lesen“.</w:t>
      </w:r>
    </w:p>
    <w:bookmarkEnd w:id="92"/>
    <w:bookmarkStart w:id="96" w:name="die-tablette-und-die-mehrfach-agonisten"/>
    <w:p>
      <w:pPr>
        <w:pStyle w:val="Heading3"/>
      </w:pPr>
      <w:r>
        <w:t xml:space="preserve">Die Tablette und die Mehrfach-Agonisten</w:t>
      </w:r>
    </w:p>
    <w:p>
      <w:pPr>
        <w:pStyle w:val="FirstParagraph"/>
      </w:pPr>
      <w:r>
        <w:t xml:space="preserve">Zwei weitere Entwicklungen prägten die letzten Jahre.</w:t>
      </w:r>
    </w:p>
    <w:p>
      <w:pPr>
        <w:pStyle w:val="BodyText"/>
      </w:pPr>
      <w:r>
        <w:rPr>
          <w:bCs/>
          <w:b/>
        </w:rPr>
        <w:t xml:space="preserve">Die erste Peptid-Tablette dieser Klasse.</w:t>
      </w:r>
      <w:r>
        <w:t xml:space="preserve"> </w:t>
      </w:r>
      <w:r>
        <w:t xml:space="preserve">Mit einem speziellen Hilfsstoff gelang es, Semaglutid als Tablette verfügbar zu machen. In der Studie PIONEER 1 senkte orales Semaglutid den HbA1c-Wert bei Menschen mit Typ-2-Diabetes deutlich stärker als Placebo</w:t>
      </w:r>
      <w:r>
        <w:rPr>
          <w:rStyle w:val="FootnoteReference"/>
        </w:rPr>
        <w:footnoteReference w:id="93"/>
      </w:r>
      <w:r>
        <w:t xml:space="preserve">. Wie das technisch funktioniert, erklärt das nächste Kapitel.</w:t>
      </w:r>
    </w:p>
    <w:p>
      <w:pPr>
        <w:pStyle w:val="BodyText"/>
      </w:pPr>
      <w:r>
        <w:rPr>
          <w:bCs/>
          <w:b/>
        </w:rPr>
        <w:t xml:space="preserve">Kombinierte Wirkstoffe.</w:t>
      </w:r>
      <w:r>
        <w:t xml:space="preserve"> </w:t>
      </w:r>
      <w:r>
        <w:t xml:space="preserve">Tirzepatid aktiviert gleichzeitig den GLP-1- und den GIP-Rezeptor. In der Studie SURMOUNT-1 mit 2.539 Erwachsenen mit Adipositas betrug der mittlere Gewichtsverlust nach 72 Wochen je nach Dosis 15,0 % bis 20,9 %, unter Placebo 3,1 %</w:t>
      </w:r>
      <w:r>
        <w:rPr>
          <w:rStyle w:val="FootnoteReference"/>
        </w:rPr>
        <w:footnoteReference w:id="94"/>
      </w:r>
      <w:r>
        <w:t xml:space="preserve">. Inzwischen werden Dreifach-Agonisten wie Retatrutid sowie Kombinationen mit dem Hormon Amylin in großen Studien geprüft. Teil II stellt sie einzeln vor, Teil V wirft einen Blick auf die Pipeline.</w:t>
      </w:r>
    </w:p>
    <w:p>
      <w:pPr>
        <w:pStyle w:val="BodyText"/>
      </w:pPr>
      <w:r>
        <w:t xml:space="preserve">Bemerkenswert ist, dass das Inkretin GIP, das in den 1980er-Jahren gegenüber GLP-1 als schwächer galt</w:t>
      </w:r>
      <w:r>
        <w:rPr>
          <w:rStyle w:val="FootnoteReference"/>
        </w:rPr>
        <w:footnoteReference w:id="95"/>
      </w:r>
      <w:r>
        <w:t xml:space="preserve">, in Kombination wieder eine Rolle spielt. Die Forschung verläuft selten geradlinig.</w:t>
      </w:r>
    </w:p>
    <w:bookmarkEnd w:id="96"/>
    <w:bookmarkStart w:id="97" w:name="die-kehrseite-des-erfolgs"/>
    <w:p>
      <w:pPr>
        <w:pStyle w:val="Heading3"/>
      </w:pPr>
      <w:r>
        <w:t xml:space="preserve">Die Kehrseite des Erfolgs</w:t>
      </w:r>
    </w:p>
    <w:p>
      <w:pPr>
        <w:pStyle w:val="FirstParagraph"/>
      </w:pPr>
      <w:r>
        <w:t xml:space="preserve">Der enorme Erfolg der GLP-1-Medikamente hatte Nebenwirkungen jenseits der Pharmakologie. Lieferengpässe ab 2022 führten dazu, dass Menschen mit Diabetes ihre Medikamente zeitweise nicht bekamen. In den USA nutzten Apotheken eine Ausnahmeregel, um Nachahmerpräparate herzustellen. Weltweit tauchten Fälschungen auf, die in einigen Fällen statt Semaglutid Insulin enthielten. Und das wachsende Interesse an „Peptiden“ allgemein öffnete einen Markt für Stoffe, die nie ordentlich am Menschen untersucht wurden. Das Kapitel über den Graumarkt geht darauf ausführlich ein.</w:t>
      </w:r>
    </w:p>
    <w:bookmarkEnd w:id="97"/>
    <w:bookmarkStart w:id="98" w:name="was-die-geschichte-lehrt"/>
    <w:p>
      <w:pPr>
        <w:pStyle w:val="Heading3"/>
      </w:pPr>
      <w:r>
        <w:t xml:space="preserve">Was die Geschichte lehrt</w:t>
      </w:r>
    </w:p>
    <w:p>
      <w:pPr>
        <w:pStyle w:val="FirstParagraph"/>
      </w:pPr>
      <w:r>
        <w:t xml:space="preserve">Aus hundert Jahren Peptidmedizin lassen sich einige Lehren ziehen, die für die Bewertung der Stoffe in diesem Buch nützlich sind:</w:t>
      </w:r>
    </w:p>
    <w:p>
      <w:pPr>
        <w:numPr>
          <w:ilvl w:val="0"/>
          <w:numId w:val="1009"/>
        </w:numPr>
        <w:pStyle w:val="Compact"/>
      </w:pPr>
      <w:r>
        <w:rPr>
          <w:bCs/>
          <w:b/>
        </w:rPr>
        <w:t xml:space="preserve">Reinheit ist kein Detail.</w:t>
      </w:r>
      <w:r>
        <w:t xml:space="preserve"> </w:t>
      </w:r>
      <w:r>
        <w:t xml:space="preserve">Von den verunreinigten Insulin-Extrakten der Frühzeit bis zum Wachstumshormon aus Leichen-Hirnanhangdrüsen zeigt die Geschichte, dass Herstellungsqualität über Leben und Tod entscheiden kann.</w:t>
      </w:r>
    </w:p>
    <w:p>
      <w:pPr>
        <w:numPr>
          <w:ilvl w:val="0"/>
          <w:numId w:val="1009"/>
        </w:numPr>
        <w:pStyle w:val="Compact"/>
      </w:pPr>
      <w:r>
        <w:rPr>
          <w:bCs/>
          <w:b/>
        </w:rPr>
        <w:t xml:space="preserve">Wirkmechanismus ist nicht gleich Nutzen.</w:t>
      </w:r>
      <w:r>
        <w:t xml:space="preserve"> </w:t>
      </w:r>
      <w:r>
        <w:t xml:space="preserve">Dass ein Peptid an einem Rezeptor wirkt, bedeutet noch nicht, dass es Menschen nützt. Bei den GLP-1-Medikamenten waren dafür große Studien mit Tausenden Teilnehmenden und mehrjähriger Beobachtung nötig.</w:t>
      </w:r>
    </w:p>
    <w:p>
      <w:pPr>
        <w:numPr>
          <w:ilvl w:val="0"/>
          <w:numId w:val="1009"/>
        </w:numPr>
        <w:pStyle w:val="Compact"/>
      </w:pPr>
      <w:r>
        <w:rPr>
          <w:bCs/>
          <w:b/>
        </w:rPr>
        <w:t xml:space="preserve">Überraschungen gibt es in beide Richtungen.</w:t>
      </w:r>
      <w:r>
        <w:t xml:space="preserve"> </w:t>
      </w:r>
      <w:r>
        <w:t xml:space="preserve">Der Gewichtsverlust durch Exenatid war zunächst eine Randnotiz, die Herzschutz-Effekte wurden in Sicherheitsstudien entdeckt. Umgekehrt zeigten sich in großen Studien auch unerwartete Risiken, etwa die Netzhaut-Komplikationen in SUSTAIN-6.</w:t>
      </w:r>
    </w:p>
    <w:p>
      <w:pPr>
        <w:numPr>
          <w:ilvl w:val="0"/>
          <w:numId w:val="1009"/>
        </w:numPr>
        <w:pStyle w:val="Compact"/>
      </w:pPr>
      <w:r>
        <w:rPr>
          <w:bCs/>
          <w:b/>
        </w:rPr>
        <w:t xml:space="preserve">Gute Ideen brauchen Zeit.</w:t>
      </w:r>
      <w:r>
        <w:t xml:space="preserve"> </w:t>
      </w:r>
      <w:r>
        <w:t xml:space="preserve">Zwischen der Beschreibung von GLP-1 beim Menschen 1987 und der Zulassung von Semaglutid zur Gewichtsbehandlung vergingen mehr als drei Jahrzehnte. Peptide, die heute im Internet als „Durchbruch“ beworben werden, ohne dass es eine einzige kontrollierte Studie am Menschen gibt, stehen bestenfalls am Anfang eines solchen Weges.</w:t>
      </w:r>
    </w:p>
    <w:bookmarkEnd w:id="98"/>
    <w:bookmarkStart w:id="99" w:name="zeittafel"/>
    <w:p>
      <w:pPr>
        <w:pStyle w:val="Heading3"/>
      </w:pPr>
      <w:r>
        <w:t xml:space="preserve">Zeittafel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Jahr</w:t>
            </w:r>
          </w:p>
        </w:tc>
        <w:tc>
          <w:tcPr/>
          <w:p>
            <w:pPr>
              <w:pStyle w:val="Compact"/>
              <w:jc w:val="left"/>
            </w:pPr>
            <w:r>
              <w:t xml:space="preserve">Ereignis</w:t>
            </w:r>
          </w:p>
        </w:tc>
      </w:tr>
      <w:tr>
        <w:tc>
          <w:tcPr/>
          <w:p>
            <w:pPr>
              <w:pStyle w:val="Compact"/>
              <w:jc w:val="left"/>
            </w:pPr>
            <w:r>
              <w:t xml:space="preserve">1902</w:t>
            </w:r>
          </w:p>
        </w:tc>
        <w:tc>
          <w:tcPr/>
          <w:p>
            <w:pPr>
              <w:pStyle w:val="Compact"/>
              <w:jc w:val="left"/>
            </w:pPr>
            <w:r>
              <w:t xml:space="preserve">Sekretin beschrieben, erstes Hormon (ein Peptid)</w:t>
            </w:r>
          </w:p>
        </w:tc>
      </w:tr>
      <w:tr>
        <w:tc>
          <w:tcPr/>
          <w:p>
            <w:pPr>
              <w:pStyle w:val="Compact"/>
              <w:jc w:val="left"/>
            </w:pPr>
            <w:r>
              <w:t xml:space="preserve">1922</w:t>
            </w:r>
          </w:p>
        </w:tc>
        <w:tc>
          <w:tcPr/>
          <w:p>
            <w:pPr>
              <w:pStyle w:val="Compact"/>
              <w:jc w:val="left"/>
            </w:pPr>
            <w:r>
              <w:t xml:space="preserve">Erste Insulin-Behandlung eines Menschen in Toronto</w:t>
            </w:r>
          </w:p>
        </w:tc>
      </w:tr>
      <w:tr>
        <w:tc>
          <w:tcPr/>
          <w:p>
            <w:pPr>
              <w:pStyle w:val="Compact"/>
              <w:jc w:val="left"/>
            </w:pPr>
            <w:r>
              <w:t xml:space="preserve">1951–1955</w:t>
            </w:r>
          </w:p>
        </w:tc>
        <w:tc>
          <w:tcPr/>
          <w:p>
            <w:pPr>
              <w:pStyle w:val="Compact"/>
              <w:jc w:val="left"/>
            </w:pPr>
            <w:r>
              <w:t xml:space="preserve">Sanger entschlüsselt die Insulinsequenz</w:t>
            </w:r>
          </w:p>
        </w:tc>
      </w:tr>
      <w:tr>
        <w:tc>
          <w:tcPr/>
          <w:p>
            <w:pPr>
              <w:pStyle w:val="Compact"/>
              <w:jc w:val="left"/>
            </w:pPr>
            <w:r>
              <w:t xml:space="preserve">1953</w:t>
            </w:r>
          </w:p>
        </w:tc>
        <w:tc>
          <w:tcPr/>
          <w:p>
            <w:pPr>
              <w:pStyle w:val="Compact"/>
              <w:jc w:val="left"/>
            </w:pPr>
            <w:r>
              <w:t xml:space="preserve">Erste chemische Synthese eines Peptidhormons (Oxytocin)</w:t>
            </w:r>
          </w:p>
        </w:tc>
      </w:tr>
      <w:tr>
        <w:tc>
          <w:tcPr/>
          <w:p>
            <w:pPr>
              <w:pStyle w:val="Compact"/>
              <w:jc w:val="left"/>
            </w:pPr>
            <w:r>
              <w:t xml:space="preserve">1960er</w:t>
            </w:r>
          </w:p>
        </w:tc>
        <w:tc>
          <w:tcPr/>
          <w:p>
            <w:pPr>
              <w:pStyle w:val="Compact"/>
              <w:jc w:val="left"/>
            </w:pPr>
            <w:r>
              <w:t xml:space="preserve">Festphasen-Synthese (Merrifield), Radioimmunoassay</w:t>
            </w:r>
          </w:p>
        </w:tc>
      </w:tr>
      <w:tr>
        <w:tc>
          <w:tcPr/>
          <w:p>
            <w:pPr>
              <w:pStyle w:val="Compact"/>
              <w:jc w:val="left"/>
            </w:pPr>
            <w:r>
              <w:t xml:space="preserve">1980</w:t>
            </w:r>
          </w:p>
        </w:tc>
        <w:tc>
          <w:tcPr/>
          <w:p>
            <w:pPr>
              <w:pStyle w:val="Compact"/>
              <w:jc w:val="left"/>
            </w:pPr>
            <w:r>
              <w:t xml:space="preserve">Humaninsulin aus Gentechnik in klinischen Studien</w:t>
            </w:r>
          </w:p>
        </w:tc>
      </w:tr>
      <w:tr>
        <w:tc>
          <w:tcPr/>
          <w:p>
            <w:pPr>
              <w:pStyle w:val="Compact"/>
              <w:jc w:val="left"/>
            </w:pPr>
            <w:r>
              <w:t xml:space="preserve">1985</w:t>
            </w:r>
          </w:p>
        </w:tc>
        <w:tc>
          <w:tcPr/>
          <w:p>
            <w:pPr>
              <w:pStyle w:val="Compact"/>
              <w:jc w:val="left"/>
            </w:pPr>
            <w:r>
              <w:t xml:space="preserve">Ende der Wachstumshormon-Gewinnung aus Hirnanhangdrüsen</w:t>
            </w:r>
          </w:p>
        </w:tc>
      </w:tr>
      <w:tr>
        <w:tc>
          <w:tcPr/>
          <w:p>
            <w:pPr>
              <w:pStyle w:val="Compact"/>
              <w:jc w:val="left"/>
            </w:pPr>
            <w:r>
              <w:t xml:space="preserve">1987</w:t>
            </w:r>
          </w:p>
        </w:tc>
        <w:tc>
          <w:tcPr/>
          <w:p>
            <w:pPr>
              <w:pStyle w:val="Compact"/>
              <w:jc w:val="left"/>
            </w:pPr>
            <w:r>
              <w:t xml:space="preserve">GLP-1 als Inkretin beim Menschen beschrieben</w:t>
            </w:r>
          </w:p>
        </w:tc>
      </w:tr>
      <w:tr>
        <w:tc>
          <w:tcPr/>
          <w:p>
            <w:pPr>
              <w:pStyle w:val="Compact"/>
              <w:jc w:val="left"/>
            </w:pPr>
            <w:r>
              <w:t xml:space="preserve">1992</w:t>
            </w:r>
          </w:p>
        </w:tc>
        <w:tc>
          <w:tcPr/>
          <w:p>
            <w:pPr>
              <w:pStyle w:val="Compact"/>
              <w:jc w:val="left"/>
            </w:pPr>
            <w:r>
              <w:t xml:space="preserve">Exendin-4 im Echsengift entdeckt</w:t>
            </w:r>
          </w:p>
        </w:tc>
      </w:tr>
      <w:tr>
        <w:tc>
          <w:tcPr/>
          <w:p>
            <w:pPr>
              <w:pStyle w:val="Compact"/>
              <w:jc w:val="left"/>
            </w:pPr>
            <w:r>
              <w:t xml:space="preserve">2005</w:t>
            </w:r>
          </w:p>
        </w:tc>
        <w:tc>
          <w:tcPr/>
          <w:p>
            <w:pPr>
              <w:pStyle w:val="Compact"/>
              <w:jc w:val="left"/>
            </w:pPr>
            <w:r>
              <w:t xml:space="preserve">Exenatid in den USA zugelassen</w:t>
            </w:r>
          </w:p>
        </w:tc>
      </w:tr>
      <w:tr>
        <w:tc>
          <w:tcPr/>
          <w:p>
            <w:pPr>
              <w:pStyle w:val="Compact"/>
              <w:jc w:val="left"/>
            </w:pPr>
            <w:r>
              <w:t xml:space="preserve">2009</w:t>
            </w:r>
          </w:p>
        </w:tc>
        <w:tc>
          <w:tcPr/>
          <w:p>
            <w:pPr>
              <w:pStyle w:val="Compact"/>
              <w:jc w:val="left"/>
            </w:pPr>
            <w:r>
              <w:t xml:space="preserve">Liraglutid in der EU zugelassen</w:t>
            </w:r>
          </w:p>
        </w:tc>
      </w:tr>
      <w:tr>
        <w:tc>
          <w:tcPr/>
          <w:p>
            <w:pPr>
              <w:pStyle w:val="Compact"/>
              <w:jc w:val="left"/>
            </w:pPr>
            <w:r>
              <w:t xml:space="preserve">2016</w:t>
            </w:r>
          </w:p>
        </w:tc>
        <w:tc>
          <w:tcPr/>
          <w:p>
            <w:pPr>
              <w:pStyle w:val="Compact"/>
              <w:jc w:val="left"/>
            </w:pPr>
            <w:r>
              <w:t xml:space="preserve">LEADER und SUSTAIN-6: weniger Herz-Kreislauf-Ereignisse</w:t>
            </w:r>
          </w:p>
        </w:tc>
      </w:tr>
      <w:tr>
        <w:tc>
          <w:tcPr/>
          <w:p>
            <w:pPr>
              <w:pStyle w:val="Compact"/>
              <w:jc w:val="left"/>
            </w:pPr>
            <w:r>
              <w:t xml:space="preserve">2019</w:t>
            </w:r>
          </w:p>
        </w:tc>
        <w:tc>
          <w:tcPr/>
          <w:p>
            <w:pPr>
              <w:pStyle w:val="Compact"/>
              <w:jc w:val="left"/>
            </w:pPr>
            <w:r>
              <w:t xml:space="preserve">Erste GLP-1-Tablette (orales Semaglutid)</w:t>
            </w:r>
          </w:p>
        </w:tc>
      </w:tr>
      <w:tr>
        <w:tc>
          <w:tcPr/>
          <w:p>
            <w:pPr>
              <w:pStyle w:val="Compact"/>
              <w:jc w:val="left"/>
            </w:pPr>
            <w:r>
              <w:t xml:space="preserve">2021</w:t>
            </w:r>
          </w:p>
        </w:tc>
        <w:tc>
          <w:tcPr/>
          <w:p>
            <w:pPr>
              <w:pStyle w:val="Compact"/>
              <w:jc w:val="left"/>
            </w:pPr>
            <w:r>
              <w:t xml:space="preserve">Semaglutid zur Gewichtsbehandlung (STEP-Programm)</w:t>
            </w:r>
          </w:p>
        </w:tc>
      </w:tr>
      <w:tr>
        <w:tc>
          <w:tcPr/>
          <w:p>
            <w:pPr>
              <w:pStyle w:val="Compact"/>
              <w:jc w:val="left"/>
            </w:pPr>
            <w:r>
              <w:t xml:space="preserve">2022</w:t>
            </w:r>
          </w:p>
        </w:tc>
        <w:tc>
          <w:tcPr/>
          <w:p>
            <w:pPr>
              <w:pStyle w:val="Compact"/>
              <w:jc w:val="left"/>
            </w:pPr>
            <w:r>
              <w:t xml:space="preserve">Tirzepatid: erster GIP/GLP-1-Doppelagonist</w:t>
            </w:r>
          </w:p>
        </w:tc>
      </w:tr>
      <w:tr>
        <w:tc>
          <w:tcPr/>
          <w:p>
            <w:pPr>
              <w:pStyle w:val="Compact"/>
              <w:jc w:val="left"/>
            </w:pPr>
            <w:r>
              <w:t xml:space="preserve">2023</w:t>
            </w:r>
          </w:p>
        </w:tc>
        <w:tc>
          <w:tcPr/>
          <w:p>
            <w:pPr>
              <w:pStyle w:val="Compact"/>
              <w:jc w:val="left"/>
            </w:pPr>
            <w:r>
              <w:t xml:space="preserve">SELECT: Herzschutz bei Adipositas ohne Diabetes</w:t>
            </w:r>
          </w:p>
        </w:tc>
      </w:tr>
    </w:tbl>
    <w:p>
      <w:pPr>
        <w:pStyle w:val="BodyText"/>
      </w:pPr>
      <w:r>
        <w:t xml:space="preserve">Die Zulassungsjahre beziehen sich auf die jeweils erste Zulassung; in anderen Ländern und für weitere Anwendungsgebiete gelten teils andere Daten. Stand 2026, bitte bei Bedarf aktuell prüfen.</w:t>
      </w:r>
    </w:p>
    <w:bookmarkEnd w:id="99"/>
    <w:bookmarkEnd w:id="100"/>
    <w:bookmarkStart w:id="135" w:name="Xb960cb453f746deee6def8cad91e4d644b41640"/>
    <w:p>
      <w:pPr>
        <w:pStyle w:val="Heading2"/>
      </w:pPr>
      <w:r>
        <w:t xml:space="preserve">Wie Peptide in den Körper kommen – und warum das schwierig ist</w:t>
      </w:r>
    </w:p>
    <w:p>
      <w:pPr>
        <w:pStyle w:val="FirstParagraph"/>
      </w:pPr>
      <w:r>
        <w:t xml:space="preserve">Fast jedes Peptid-Arzneimittel, das du kennst, wird gespritzt: Insulin, Semaglutid, Tirzepatid, Teriparatid. Das ist kein Zufall und keine Vorliebe der Pharmaindustrie, sondern eine Folge der Biologie. Der menschliche Körper ist hervorragend darin, Eiweiße und Peptide zu zerlegen – schließlich lebt er davon, die Eiweiße aus der Nahrung in ihre Bausteine aufzuspalten. Dieses Kapitel erklärt, welche Hürden ein Peptid auf dem Weg zu seinem Wirkort überwinden muss, welche Wege die Medizin gefunden hat und warum viele Versprechen zu Tropfen, Kapseln und Cremes mit Vorsicht zu betrachten sind.</w:t>
      </w:r>
    </w:p>
    <w:bookmarkStart w:id="102" w:name="das-grundproblem-bioverfügbarkeit"/>
    <w:p>
      <w:pPr>
        <w:pStyle w:val="Heading3"/>
      </w:pPr>
      <w:r>
        <w:t xml:space="preserve">Das Grundproblem: Bioverfügbarkeit</w:t>
      </w:r>
    </w:p>
    <w:p>
      <w:pPr>
        <w:pStyle w:val="FirstParagraph"/>
      </w:pPr>
      <w:r>
        <w:t xml:space="preserve">Ein zentraler Begriff in diesem Kapitel ist die</w:t>
      </w:r>
      <w:r>
        <w:t xml:space="preserve"> </w:t>
      </w:r>
      <w:r>
        <w:rPr>
          <w:bCs/>
          <w:b/>
        </w:rPr>
        <w:t xml:space="preserve">Bioverfügbarkeit</w:t>
      </w:r>
      <w:r>
        <w:t xml:space="preserve">. Sie gibt an, welcher Anteil einer verabreichten Menge tatsächlich unverändert im Blutkreislauf ankommt. Bei einer Infusion direkt in die Vene sind das definitionsgemäß 100 %. Bei allen anderen Wegen geht ein Teil verloren – durch Abbau, durch Barrieren oder weil der Stoff einfach wieder ausgeschieden wird.</w:t>
      </w:r>
    </w:p>
    <w:p>
      <w:pPr>
        <w:pStyle w:val="BodyText"/>
      </w:pPr>
      <w:r>
        <w:t xml:space="preserve">Für Peptide ist die Bioverfügbarkeit besonders kritisch, weil drei Eigenschaften zusammenkommen:</w:t>
      </w:r>
    </w:p>
    <w:p>
      <w:pPr>
        <w:numPr>
          <w:ilvl w:val="0"/>
          <w:numId w:val="1010"/>
        </w:numPr>
        <w:pStyle w:val="Compact"/>
      </w:pPr>
      <w:r>
        <w:rPr>
          <w:bCs/>
          <w:b/>
        </w:rPr>
        <w:t xml:space="preserve">Sie sind empfindlich gegenüber Enzymen.</w:t>
      </w:r>
      <w:r>
        <w:t xml:space="preserve"> </w:t>
      </w:r>
      <w:r>
        <w:t xml:space="preserve">Peptidbindungen werden von Verdauungsenzymen wie Pepsin im Magen oder Trypsin im Dünndarm gezielt gespalten, außerdem von zahlreichen Enzymen im Blut und in Geweben.</w:t>
      </w:r>
    </w:p>
    <w:p>
      <w:pPr>
        <w:numPr>
          <w:ilvl w:val="0"/>
          <w:numId w:val="1010"/>
        </w:numPr>
        <w:pStyle w:val="Compact"/>
      </w:pPr>
      <w:r>
        <w:rPr>
          <w:bCs/>
          <w:b/>
        </w:rPr>
        <w:t xml:space="preserve">Sie sind groß.</w:t>
      </w:r>
      <w:r>
        <w:t xml:space="preserve"> </w:t>
      </w:r>
      <w:r>
        <w:t xml:space="preserve">Verglichen mit klassischen Arzneistoffen wie Ibuprofen sind die meisten Peptide riesig. Schon ein Peptid aus zehn Aminosäuren wiegt mehr als 1.000 Dalton.</w:t>
      </w:r>
    </w:p>
    <w:p>
      <w:pPr>
        <w:numPr>
          <w:ilvl w:val="0"/>
          <w:numId w:val="1010"/>
        </w:numPr>
        <w:pStyle w:val="Compact"/>
      </w:pPr>
      <w:r>
        <w:rPr>
          <w:bCs/>
          <w:b/>
        </w:rPr>
        <w:t xml:space="preserve">Sie sind meist wasserlöslich und oft elektrisch geladen.</w:t>
      </w:r>
      <w:r>
        <w:t xml:space="preserve"> </w:t>
      </w:r>
      <w:r>
        <w:t xml:space="preserve">Damit tun sie sich schwer, durch die fetthaltigen Hüllen von Zellen zu gelangen.</w:t>
      </w:r>
    </w:p>
    <w:p>
      <w:pPr>
        <w:pStyle w:val="FirstParagraph"/>
      </w:pPr>
      <w:r>
        <w:t xml:space="preserve">Jeder Verabreichungsweg ist ein Versuch, diese Hürden zu umgehen. Eine Übersichtsarbeit zu oralen Peptiden fasst zusammen, dass Protein- und Peptidwirkstoffe in aller Regel unter Umgehung des Verdauungstrakts verabreicht werden müssen, was die Therapietreue beeinträchtigen kann</w:t>
      </w:r>
      <w:r>
        <w:rPr>
          <w:rStyle w:val="FootnoteReference"/>
        </w:rPr>
        <w:footnoteReference w:id="101"/>
      </w:r>
      <w:r>
        <w:t xml:space="preserve">.</w:t>
      </w:r>
    </w:p>
    <w:bookmarkEnd w:id="102"/>
    <w:bookmarkStart w:id="106" w:name="die-spritze-standardweg-mit-nachteilen"/>
    <w:p>
      <w:pPr>
        <w:pStyle w:val="Heading3"/>
      </w:pPr>
      <w:r>
        <w:t xml:space="preserve">Die Spritze: Standardweg mit Nachteilen</w:t>
      </w:r>
    </w:p>
    <w:p>
      <w:pPr>
        <w:pStyle w:val="FirstParagraph"/>
      </w:pPr>
      <w:r>
        <w:t xml:space="preserve">Die meisten Peptid-Arzneimittel werden</w:t>
      </w:r>
      <w:r>
        <w:t xml:space="preserve"> </w:t>
      </w:r>
      <w:r>
        <w:rPr>
          <w:bCs/>
          <w:b/>
        </w:rPr>
        <w:t xml:space="preserve">subkutan</w:t>
      </w:r>
      <w:r>
        <w:t xml:space="preserve"> </w:t>
      </w:r>
      <w:r>
        <w:t xml:space="preserve">gespritzt, also in das Unterhautfettgewebe – typischerweise am Bauch, am Oberschenkel oder am Oberarm. Von dort gelangt der Wirkstoff über kleine Blutgefäße und Lymphbahnen in den Kreislauf. Die Bioverfügbarkeit ist hoch, und Patientinnen und Patienten können die Spritze nach Schulung selbst setzen. Seltener werden Peptide in den Muskel (</w:t>
      </w:r>
      <w:r>
        <w:rPr>
          <w:bCs/>
          <w:b/>
        </w:rPr>
        <w:t xml:space="preserve">intramuskulär</w:t>
      </w:r>
      <w:r>
        <w:t xml:space="preserve">) oder direkt in die Vene (</w:t>
      </w:r>
      <w:r>
        <w:rPr>
          <w:bCs/>
          <w:b/>
        </w:rPr>
        <w:t xml:space="preserve">intravenös</w:t>
      </w:r>
      <w:r>
        <w:t xml:space="preserve">) gegeben, etwa im Krankenhaus.</w:t>
      </w:r>
    </w:p>
    <w:p>
      <w:pPr>
        <w:pStyle w:val="BodyText"/>
      </w:pPr>
      <w:r>
        <w:t xml:space="preserve">Die Spritze umgeht zwar den Verdauungstrakt, nicht aber die Enzyme im Blut. Deshalb hat die Pharmaforschung viel Mühe darauf verwendet, Peptide länger haltbar zu machen:</w:t>
      </w:r>
    </w:p>
    <w:p>
      <w:pPr>
        <w:numPr>
          <w:ilvl w:val="0"/>
          <w:numId w:val="1011"/>
        </w:numPr>
        <w:pStyle w:val="Compact"/>
      </w:pPr>
      <w:r>
        <w:rPr>
          <w:bCs/>
          <w:b/>
        </w:rPr>
        <w:t xml:space="preserve">Austausch von Aminosäuren</w:t>
      </w:r>
      <w:r>
        <w:t xml:space="preserve"> </w:t>
      </w:r>
      <w:r>
        <w:t xml:space="preserve">an den Stellen, an denen Enzyme angreifen.</w:t>
      </w:r>
    </w:p>
    <w:p>
      <w:pPr>
        <w:numPr>
          <w:ilvl w:val="0"/>
          <w:numId w:val="1011"/>
        </w:numPr>
        <w:pStyle w:val="Compact"/>
      </w:pPr>
      <w:r>
        <w:rPr>
          <w:bCs/>
          <w:b/>
        </w:rPr>
        <w:t xml:space="preserve">Anhängen von Fettsäuren</w:t>
      </w:r>
      <w:r>
        <w:t xml:space="preserve">, damit sich das Peptid an das Bluteiweiß Albumin bindet. Liraglutid und Semaglutid nutzen dieses Prinzip</w:t>
      </w:r>
      <w:r>
        <w:rPr>
          <w:rStyle w:val="FootnoteReference"/>
        </w:rPr>
        <w:footnoteReference w:id="103"/>
      </w:r>
      <w:r>
        <w:t xml:space="preserve">. Bei Semaglutid ergibt sich so eine Halbwertszeit von etwa einer Woche</w:t>
      </w:r>
      <w:r>
        <w:rPr>
          <w:rStyle w:val="FootnoteReference"/>
        </w:rPr>
        <w:footnoteReference w:id="104"/>
      </w:r>
      <w:r>
        <w:t xml:space="preserve">.</w:t>
      </w:r>
    </w:p>
    <w:p>
      <w:pPr>
        <w:numPr>
          <w:ilvl w:val="0"/>
          <w:numId w:val="1011"/>
        </w:numPr>
        <w:pStyle w:val="Compact"/>
      </w:pPr>
      <w:r>
        <w:rPr>
          <w:bCs/>
          <w:b/>
        </w:rPr>
        <w:t xml:space="preserve">Kopplung an größere Moleküle</w:t>
      </w:r>
      <w:r>
        <w:t xml:space="preserve">, etwa an Teile von Antikörpern oder an Polymere wie Polyethylenglykol. Dulaglutid ist ein Beispiel für ein GLP-1-Molekül, das an ein Antikörperfragment gebunden ist.</w:t>
      </w:r>
    </w:p>
    <w:p>
      <w:pPr>
        <w:numPr>
          <w:ilvl w:val="0"/>
          <w:numId w:val="1011"/>
        </w:numPr>
        <w:pStyle w:val="Compact"/>
      </w:pPr>
      <w:r>
        <w:rPr>
          <w:bCs/>
          <w:b/>
        </w:rPr>
        <w:t xml:space="preserve">Depotformen</w:t>
      </w:r>
      <w:r>
        <w:t xml:space="preserve">, bei denen der Wirkstoff in winzige Kügelchen oder Gele eingebettet ist, aus denen er langsam freigesetzt wird.</w:t>
      </w:r>
    </w:p>
    <w:p>
      <w:pPr>
        <w:pStyle w:val="FirstParagraph"/>
      </w:pPr>
      <w:r>
        <w:t xml:space="preserve">Für die Anwenderinnen und Anwender bringt die Spritze auch Pflichten mit sich: Das Produkt muss steril sein, die Nadel darf nur einmal verwendet werden, und viele Präparate müssen gekühlt gelagert werden. Fertigpens mit eingestellten Dosisschritten verringern das Risiko von Fehlern deutlich. Wie wichtig das ist, zeigt eine Fallserie aus einem US-Giftinformationszentrum: Bei Semaglutid, das in Apotheken als Fläschchen mit Spritzen abgegeben worden war, kam es zu zehnfachen Überdosierungen, unter anderem weil Milliliter, „Einheiten“ und Milligramm verwechselt wurden</w:t>
      </w:r>
      <w:r>
        <w:rPr>
          <w:rStyle w:val="FootnoteReference"/>
        </w:rPr>
        <w:footnoteReference w:id="105"/>
      </w:r>
      <w:r>
        <w:t xml:space="preserve">. Mehr dazu im Kapitel über den Graumarkt.</w:t>
      </w:r>
    </w:p>
    <w:bookmarkEnd w:id="106"/>
    <w:bookmarkStart w:id="108" w:name="die-tablette-der-schwierigste-weg"/>
    <w:p>
      <w:pPr>
        <w:pStyle w:val="Heading3"/>
      </w:pPr>
      <w:r>
        <w:t xml:space="preserve">Die Tablette: der schwierigste Weg</w:t>
      </w:r>
    </w:p>
    <w:p>
      <w:pPr>
        <w:pStyle w:val="FirstParagraph"/>
      </w:pPr>
      <w:r>
        <w:t xml:space="preserve">Eine Tablette wäre für die meisten Menschen die bequemste Lösung. Für Peptide ist sie zugleich die anspruchsvollste. Auf dem Weg vom Mund ins Blut lauern mehrere Hindernisse:</w:t>
      </w:r>
    </w:p>
    <w:p>
      <w:pPr>
        <w:numPr>
          <w:ilvl w:val="0"/>
          <w:numId w:val="1012"/>
        </w:numPr>
        <w:pStyle w:val="Compact"/>
      </w:pPr>
      <w:r>
        <w:rPr>
          <w:bCs/>
          <w:b/>
        </w:rPr>
        <w:t xml:space="preserve">Magensäure</w:t>
      </w:r>
      <w:r>
        <w:t xml:space="preserve"> </w:t>
      </w:r>
      <w:r>
        <w:t xml:space="preserve">kann die räumliche Struktur von Peptiden zerstören.</w:t>
      </w:r>
    </w:p>
    <w:p>
      <w:pPr>
        <w:numPr>
          <w:ilvl w:val="0"/>
          <w:numId w:val="1012"/>
        </w:numPr>
        <w:pStyle w:val="Compact"/>
      </w:pPr>
      <w:r>
        <w:rPr>
          <w:bCs/>
          <w:b/>
        </w:rPr>
        <w:t xml:space="preserve">Pepsin</w:t>
      </w:r>
      <w:r>
        <w:t xml:space="preserve"> </w:t>
      </w:r>
      <w:r>
        <w:t xml:space="preserve">im Magen und</w:t>
      </w:r>
      <w:r>
        <w:t xml:space="preserve"> </w:t>
      </w:r>
      <w:r>
        <w:rPr>
          <w:bCs/>
          <w:b/>
        </w:rPr>
        <w:t xml:space="preserve">Bauchspeicheldrüsen-Enzyme</w:t>
      </w:r>
      <w:r>
        <w:t xml:space="preserve"> </w:t>
      </w:r>
      <w:r>
        <w:t xml:space="preserve">im Dünndarm zerlegen Peptide in kleine Bruchstücke.</w:t>
      </w:r>
    </w:p>
    <w:p>
      <w:pPr>
        <w:numPr>
          <w:ilvl w:val="0"/>
          <w:numId w:val="1012"/>
        </w:numPr>
        <w:pStyle w:val="Compact"/>
      </w:pPr>
      <w:r>
        <w:t xml:space="preserve">Eine</w:t>
      </w:r>
      <w:r>
        <w:t xml:space="preserve"> </w:t>
      </w:r>
      <w:r>
        <w:rPr>
          <w:bCs/>
          <w:b/>
        </w:rPr>
        <w:t xml:space="preserve">Schleimschicht</w:t>
      </w:r>
      <w:r>
        <w:t xml:space="preserve"> </w:t>
      </w:r>
      <w:r>
        <w:t xml:space="preserve">über der Darmschleimhaut hält große Moleküle zurück.</w:t>
      </w:r>
    </w:p>
    <w:p>
      <w:pPr>
        <w:numPr>
          <w:ilvl w:val="0"/>
          <w:numId w:val="1012"/>
        </w:numPr>
        <w:pStyle w:val="Compact"/>
      </w:pPr>
      <w:r>
        <w:t xml:space="preserve">Die</w:t>
      </w:r>
      <w:r>
        <w:t xml:space="preserve"> </w:t>
      </w:r>
      <w:r>
        <w:rPr>
          <w:bCs/>
          <w:b/>
        </w:rPr>
        <w:t xml:space="preserve">Darmzellen</w:t>
      </w:r>
      <w:r>
        <w:t xml:space="preserve"> </w:t>
      </w:r>
      <w:r>
        <w:t xml:space="preserve">selbst sind dicht miteinander verbunden. Große, wasserlösliche Moleküle kommen weder durch die Zellen noch zwischen ihnen hindurch.</w:t>
      </w:r>
    </w:p>
    <w:p>
      <w:pPr>
        <w:numPr>
          <w:ilvl w:val="0"/>
          <w:numId w:val="1012"/>
        </w:numPr>
        <w:pStyle w:val="Compact"/>
      </w:pPr>
      <w:r>
        <w:t xml:space="preserve">Was es doch ins Blut schafft, passiert zuerst die</w:t>
      </w:r>
      <w:r>
        <w:t xml:space="preserve"> </w:t>
      </w:r>
      <w:r>
        <w:rPr>
          <w:bCs/>
          <w:b/>
        </w:rPr>
        <w:t xml:space="preserve">Leber</w:t>
      </w:r>
      <w:r>
        <w:t xml:space="preserve">, die einen weiteren Teil abbauen kann.</w:t>
      </w:r>
    </w:p>
    <w:p>
      <w:pPr>
        <w:pStyle w:val="FirstParagraph"/>
      </w:pPr>
      <w:r>
        <w:t xml:space="preserve">Die Übersichtsarbeit von Drucker nennt als Lösungsansätze Stoffe, die die Durchlässigkeit erhöhen, Hemmstoffe von Verdauungsenzymen sowie schleim- und zellgängige Trägerpeptide. In klinischen Studien wurden orale Formen unter anderem von Insulin, Calcitonin, Parathormon und Vasopressin erprobt</w:t>
      </w:r>
      <w:r>
        <w:rPr>
          <w:rStyle w:val="FootnoteReference"/>
        </w:rPr>
        <w:footnoteReference w:id="107"/>
      </w:r>
      <w:r>
        <w:t xml:space="preserve">. Der Durchbruch für einen breit eingesetzten Wirkstoff gelang aber erst mit der Semaglutid-Tablette.</w:t>
      </w:r>
    </w:p>
    <w:bookmarkEnd w:id="108"/>
    <w:bookmarkStart w:id="118" w:name="X357c2fa6354b8ec6bf63b48455146f0cbe4880b"/>
    <w:p>
      <w:pPr>
        <w:pStyle w:val="Heading3"/>
      </w:pPr>
      <w:r>
        <w:t xml:space="preserve">Die SNAC-Technik: wie die Semaglutid-Tablette funktioniert</w:t>
      </w:r>
    </w:p>
    <w:p>
      <w:pPr>
        <w:pStyle w:val="FirstParagraph"/>
      </w:pPr>
      <w:r>
        <w:t xml:space="preserve">Die Semaglutid-Tablette enthält neben dem Wirkstoff einen Hilfsstoff namens</w:t>
      </w:r>
      <w:r>
        <w:t xml:space="preserve"> </w:t>
      </w:r>
      <w:r>
        <w:rPr>
          <w:bCs/>
          <w:b/>
        </w:rPr>
        <w:t xml:space="preserve">SNAC</w:t>
      </w:r>
      <w:r>
        <w:t xml:space="preserve"> </w:t>
      </w:r>
      <w:r>
        <w:t xml:space="preserve">(Natrium-N-[8-(2-hydroxybenzoyl)amino]caprylat). Eine Studie, die Daten aus Untersuchungen am Menschen und an Hunden kombinierte, klärte auf, was dabei geschieht</w:t>
      </w:r>
      <w:r>
        <w:rPr>
          <w:rStyle w:val="FootnoteReference"/>
        </w:rPr>
        <w:footnoteReference w:id="109"/>
      </w:r>
      <w:r>
        <w:t xml:space="preserve">:</w:t>
      </w:r>
    </w:p>
    <w:p>
      <w:pPr>
        <w:numPr>
          <w:ilvl w:val="0"/>
          <w:numId w:val="1013"/>
        </w:numPr>
        <w:pStyle w:val="Compact"/>
      </w:pPr>
      <w:r>
        <w:t xml:space="preserve">Die Aufnahme findet überraschenderweise nicht im Darm statt, sondern</w:t>
      </w:r>
      <w:r>
        <w:t xml:space="preserve"> </w:t>
      </w:r>
      <w:r>
        <w:rPr>
          <w:bCs/>
          <w:b/>
        </w:rPr>
        <w:t xml:space="preserve">im Magen</w:t>
      </w:r>
      <w:r>
        <w:t xml:space="preserve">.</w:t>
      </w:r>
    </w:p>
    <w:p>
      <w:pPr>
        <w:numPr>
          <w:ilvl w:val="0"/>
          <w:numId w:val="1013"/>
        </w:numPr>
        <w:pStyle w:val="Compact"/>
      </w:pPr>
      <w:r>
        <w:t xml:space="preserve">Sie ist auf einen kleinen Bereich</w:t>
      </w:r>
      <w:r>
        <w:t xml:space="preserve"> </w:t>
      </w:r>
      <w:r>
        <w:rPr>
          <w:bCs/>
          <w:b/>
        </w:rPr>
        <w:t xml:space="preserve">direkt an der Tablettenoberfläche</w:t>
      </w:r>
      <w:r>
        <w:t xml:space="preserve"> </w:t>
      </w:r>
      <w:r>
        <w:t xml:space="preserve">beschränkt.</w:t>
      </w:r>
    </w:p>
    <w:p>
      <w:pPr>
        <w:numPr>
          <w:ilvl w:val="0"/>
          <w:numId w:val="1013"/>
        </w:numPr>
        <w:pStyle w:val="Compact"/>
      </w:pPr>
      <w:r>
        <w:t xml:space="preserve">SNAC puffert dort örtlich die Magensäure und</w:t>
      </w:r>
      <w:r>
        <w:t xml:space="preserve"> </w:t>
      </w:r>
      <w:r>
        <w:rPr>
          <w:bCs/>
          <w:b/>
        </w:rPr>
        <w:t xml:space="preserve">schützt</w:t>
      </w:r>
      <w:r>
        <w:t xml:space="preserve"> </w:t>
      </w:r>
      <w:r>
        <w:t xml:space="preserve">Semaglutid so vor dem Abbau durch Enzyme.</w:t>
      </w:r>
    </w:p>
    <w:p>
      <w:pPr>
        <w:numPr>
          <w:ilvl w:val="0"/>
          <w:numId w:val="1013"/>
        </w:numPr>
        <w:pStyle w:val="Compact"/>
      </w:pPr>
      <w:r>
        <w:t xml:space="preserve">SNAC erhöht die Durchlässigkeit der Magenschleimhaut nur</w:t>
      </w:r>
      <w:r>
        <w:t xml:space="preserve"> </w:t>
      </w:r>
      <w:r>
        <w:rPr>
          <w:bCs/>
          <w:b/>
        </w:rPr>
        <w:t xml:space="preserve">kurzzeitig</w:t>
      </w:r>
      <w:r>
        <w:t xml:space="preserve">.</w:t>
      </w:r>
    </w:p>
    <w:p>
      <w:pPr>
        <w:numPr>
          <w:ilvl w:val="0"/>
          <w:numId w:val="1013"/>
        </w:numPr>
        <w:pStyle w:val="Compact"/>
      </w:pPr>
      <w:r>
        <w:t xml:space="preserve">Semaglutid gelangt</w:t>
      </w:r>
      <w:r>
        <w:t xml:space="preserve"> </w:t>
      </w:r>
      <w:r>
        <w:rPr>
          <w:bCs/>
          <w:b/>
        </w:rPr>
        <w:t xml:space="preserve">durch die Zellen hindurch</w:t>
      </w:r>
      <w:r>
        <w:t xml:space="preserve"> </w:t>
      </w:r>
      <w:r>
        <w:t xml:space="preserve">ins Blut, ohne dass die Verbindungen zwischen den Zellen geöffnet werden.</w:t>
      </w:r>
    </w:p>
    <w:p>
      <w:pPr>
        <w:pStyle w:val="FirstParagraph"/>
      </w:pPr>
      <w:r>
        <w:t xml:space="preserve">Eine neuere Übersichtsarbeit ergänzt, dass SNAC den pH-Wert in der unmittelbaren Umgebung anhebt, die Aktivierung von Pepsin dämpft und dazu beiträgt, dass Semaglutid als Einzelmolekül vorliegt, statt sich zu größeren, schlechter aufnehmbaren Verbänden zusammenzulagern</w:t>
      </w:r>
      <w:r>
        <w:rPr>
          <w:rStyle w:val="FootnoteReference"/>
        </w:rPr>
        <w:footnoteReference w:id="110"/>
      </w:r>
      <w:r>
        <w:t xml:space="preserve">.</w:t>
      </w:r>
    </w:p>
    <w:p>
      <w:pPr>
        <w:pStyle w:val="BodyText"/>
      </w:pPr>
      <w:r>
        <w:t xml:space="preserve">Trotz dieser Technik ist die Ausbeute gering. Dieselbe Übersicht gibt die absolute Bioverfügbarkeit von oralem Semaglutid mit nur etwa 0,4 bis 1 % an – und das unter optimierten Bedingungen: nüchtern und mit wenig Wasser. Nach einer Mahlzeit ist im Blut praktisch kein Semaglutid nachweisbar</w:t>
      </w:r>
      <w:r>
        <w:rPr>
          <w:rStyle w:val="FootnoteReference"/>
        </w:rPr>
        <w:footnoteReference w:id="111"/>
      </w:r>
      <w:r>
        <w:t xml:space="preserve">. Deshalb gelten für die Tablette strenge Einnahmeregeln, die in der Fachinformation beschrieben sind und mit der behandelnden Ärztin oder dem behandelnden Arzt besprochen werden sollten.</w:t>
      </w:r>
    </w:p>
    <w:p>
      <w:pPr>
        <w:pStyle w:val="BodyText"/>
      </w:pPr>
      <w:r>
        <w:t xml:space="preserve">Die geringe Bioverfügbarkeit hat eine praktische Konsequenz: Für die Tablette wird ein Vielfaches an Wirkstoff benötigt. In der Studie SUSTAIN-6 erhielten die Teilnehmenden 0,5 oder 1,0 mg Semaglutid einmal pro Woche als Spritze</w:t>
      </w:r>
      <w:r>
        <w:rPr>
          <w:rStyle w:val="FootnoteReference"/>
        </w:rPr>
        <w:footnoteReference w:id="112"/>
      </w:r>
      <w:r>
        <w:t xml:space="preserve">. In der Tablettenstudie PIONEER 1 wurden dagegen täglich 3, 7 oder 14 mg untersucht</w:t>
      </w:r>
      <w:r>
        <w:rPr>
          <w:rStyle w:val="FootnoteReference"/>
        </w:rPr>
        <w:footnoteReference w:id="113"/>
      </w:r>
      <w:r>
        <w:t xml:space="preserve">. Dass die Langzeitwirkung trotzdem gleichmäßig ist, liegt an der langen Halbwertszeit: Schwankungen der Aufnahme von Tag zu Tag gleichen sich über die Woche weitgehend aus</w:t>
      </w:r>
      <w:r>
        <w:rPr>
          <w:rStyle w:val="FootnoteReference"/>
        </w:rPr>
        <w:footnoteReference w:id="114"/>
      </w:r>
      <w:r>
        <w:t xml:space="preserve">.</w:t>
      </w:r>
    </w:p>
    <w:p>
      <w:pPr>
        <w:pStyle w:val="BodyText"/>
      </w:pPr>
      <w:r>
        <w:t xml:space="preserve">Die Tablette wirkt, das zeigen die Studien. In PIONEER 1 mit 703 Menschen mit Typ-2-Diabetes sank der HbA1c-Wert nach 26 Wochen in der höchsten Dosis um 1,1 Prozentpunkte stärker als unter Placebo</w:t>
      </w:r>
      <w:r>
        <w:rPr>
          <w:rStyle w:val="FootnoteReference"/>
        </w:rPr>
        <w:footnoteReference w:id="115"/>
      </w:r>
      <w:r>
        <w:t xml:space="preserve">. In der Studie OASIS 1 wurde eine höhere Dosis von 50 mg täglich bei 667 Erwachsenen mit Übergewicht oder Adipositas ohne Diabetes geprüft. Nach 68 Wochen lag der mittlere Gewichtsverlust bei 15,1 %, unter Placebo bei 2,4 %</w:t>
      </w:r>
      <w:r>
        <w:rPr>
          <w:rStyle w:val="FootnoteReference"/>
        </w:rPr>
        <w:footnoteReference w:id="116"/>
      </w:r>
      <w:r>
        <w:t xml:space="preserve">. Magen-Darm-Beschwerden traten bei 80 % der Teilnehmenden mit Semaglutid und bei 46 % mit Placebo auf.</w:t>
      </w:r>
    </w:p>
    <w:p>
      <w:pPr>
        <w:pStyle w:val="BodyText"/>
      </w:pPr>
      <w:r>
        <w:t xml:space="preserve">Ein wichtiger Hinweis für die Praxis: Die SNAC-Technik ist an die genaue Zusammensetzung der Tablette gebunden. Eine Untersuchung von Nachahmerprodukten fand bei mehreren oralen Semaglutid-Präparaten deutlich weniger Wirkstoff als angegeben und ein anderes Freisetzungsverhalten von Semaglutid und SNAC, was die Aufnahme verringern könnte</w:t>
      </w:r>
      <w:r>
        <w:rPr>
          <w:rStyle w:val="FootnoteReference"/>
        </w:rPr>
        <w:footnoteReference w:id="117"/>
      </w:r>
      <w:r>
        <w:t xml:space="preserve">. Eine Tablette, die „Semaglutid“ enthält, ist also nicht automatisch so wirksam wie das zugelassene Präparat.</w:t>
      </w:r>
    </w:p>
    <w:p>
      <w:pPr>
        <w:pStyle w:val="BodyText"/>
      </w:pPr>
      <w:r>
        <w:t xml:space="preserve">Parallel zu den Peptid-Tabletten werden kleine, nicht peptidische Moleküle entwickelt, die denselben Rezeptor aktivieren und sich als gewöhnliche Tablette einnehmen lassen, etwa Orforglipron. Sie werden in Teil II zum Vergleich vorgestellt und in Teil V im Zusammenhang mit der Zukunft der Tabletten-Therapien behandelt.</w:t>
      </w:r>
    </w:p>
    <w:bookmarkEnd w:id="118"/>
    <w:bookmarkStart w:id="120" w:name="X1e31668aecaee748a4f038d3e89db5f731c6d66"/>
    <w:p>
      <w:pPr>
        <w:pStyle w:val="Heading3"/>
      </w:pPr>
      <w:r>
        <w:t xml:space="preserve">Ausnahme Lebensmittel: kurze Peptide aus Kollagen und Milch</w:t>
      </w:r>
    </w:p>
    <w:p>
      <w:pPr>
        <w:pStyle w:val="FirstParagraph"/>
      </w:pPr>
      <w:r>
        <w:t xml:space="preserve">Wenn Peptide im Magen-Darm-Trakt abgebaut werden, wie können dann Kollagenpeptide oder Milchpeptide wirken, die als Pulver oder Getränk verzehrt werden? Die Antwort ist differenziert.</w:t>
      </w:r>
    </w:p>
    <w:p>
      <w:pPr>
        <w:pStyle w:val="BodyText"/>
      </w:pPr>
      <w:r>
        <w:t xml:space="preserve">Bei der Verdauung entstehen nicht nur einzelne Aminosäuren, sondern auch sehr kurze Bruchstücke aus zwei oder drei Bausteinen. Einige davon sind gegen Enzyme relativ widerstandsfähig und werden über eigene Transportsysteme aufgenommen. So wurden nach dem Verzehr von Kollagenhydrolysat bei fünf gesunden Freiwilligen die Dipeptide Prolyl-Hydroxyprolin und Hydroxyprolyl-Glycin im Blutplasma gemessen</w:t>
      </w:r>
      <w:r>
        <w:rPr>
          <w:rStyle w:val="FootnoteReference"/>
        </w:rPr>
        <w:footnoteReference w:id="119"/>
      </w:r>
      <w:r>
        <w:t xml:space="preserve">.</w:t>
      </w:r>
    </w:p>
    <w:p>
      <w:pPr>
        <w:pStyle w:val="BodyText"/>
      </w:pPr>
      <w:r>
        <w:t xml:space="preserve">Daraus folgt aber nicht automatisch, dass diese Bruchstücke im Körper eine bestimmte Wirkung entfalten – etwa an der Haut oder an den Gelenken. Ob das der Fall ist, lässt sich nur in kontrollierten Studien mit klinischen Endpunkten klären. Diese Daten werden in Teil II im Kapitel über Kollagenpeptide besprochen. Für größere Peptide wie Hormone gilt dagegen: Geschluckt werden sie verdaut.</w:t>
      </w:r>
    </w:p>
    <w:bookmarkEnd w:id="120"/>
    <w:bookmarkStart w:id="122" w:name="unter-der-zunge-wenig-belege"/>
    <w:p>
      <w:pPr>
        <w:pStyle w:val="Heading3"/>
      </w:pPr>
      <w:r>
        <w:t xml:space="preserve">Unter der Zunge: wenig Belege</w:t>
      </w:r>
    </w:p>
    <w:p>
      <w:pPr>
        <w:pStyle w:val="FirstParagraph"/>
      </w:pPr>
      <w:r>
        <w:t xml:space="preserve">Die Mundschleimhaut, besonders unter der Zunge, ist gut durchblutet. Stoffe, die hier aufgenommen werden, umgehen Magen und Leber. Für einige kleine Arzneistoffe funktioniert das gut, für Peptide ist die Schleimhaut jedoch eine erhebliche Barriere.</w:t>
      </w:r>
    </w:p>
    <w:p>
      <w:pPr>
        <w:pStyle w:val="BodyText"/>
      </w:pPr>
      <w:r>
        <w:t xml:space="preserve">Trotzdem werden vor allem in den USA Semaglutid und Tirzepatid als Tropfen oder Schmelztabletten für die Anwendung unter der Zunge angeboten. Eine Auswertung von Angeboten US-amerikanischer Apotheken, die Arzneimittel selbst zubereiten, fand 33 Produkte, die von den zugelassenen Präparaten abweichen. Von den 17 Produkten mit nur einem Wirkstoff waren 82 % für die Anwendung unter der Zunge gedacht, die übrigen als Schmelztablette. Die Autorinnen und Autoren halten eine solche Darreichungsform zwar für grundsätzlich nachvollziehbar, stellen aber fest, dass ein Vorteil gegenüber den zugelassenen Präparaten nicht belegt ist und die Daten zu Sicherheit und Wirksamkeit fehlen</w:t>
      </w:r>
      <w:r>
        <w:rPr>
          <w:rStyle w:val="FootnoteReference"/>
        </w:rPr>
        <w:footnoteReference w:id="121"/>
      </w:r>
      <w:r>
        <w:t xml:space="preserve">.</w:t>
      </w:r>
    </w:p>
    <w:bookmarkEnd w:id="122"/>
    <w:bookmarkStart w:id="124" w:name="das-nasenspray-schnell-aber-begrenzt"/>
    <w:p>
      <w:pPr>
        <w:pStyle w:val="Heading3"/>
      </w:pPr>
      <w:r>
        <w:t xml:space="preserve">Das Nasenspray: schnell, aber begrenzt</w:t>
      </w:r>
    </w:p>
    <w:p>
      <w:pPr>
        <w:pStyle w:val="FirstParagraph"/>
      </w:pPr>
      <w:r>
        <w:t xml:space="preserve">Die Nasenschleimhaut hat eine große, gut durchblutete Oberfläche, und Stoffe gelangen von dort direkt ins Blut. Einige Peptid-Arzneimittel nutzen diesen Weg seit Langem, etwa das Vasopressin-Analogon Desmopressin. Auch Oxytocin wird als Nasenspray untersucht.</w:t>
      </w:r>
    </w:p>
    <w:p>
      <w:pPr>
        <w:pStyle w:val="BodyText"/>
      </w:pPr>
      <w:r>
        <w:t xml:space="preserve">Die Grenzen sind allerdings deutlich:</w:t>
      </w:r>
    </w:p>
    <w:p>
      <w:pPr>
        <w:numPr>
          <w:ilvl w:val="0"/>
          <w:numId w:val="1014"/>
        </w:numPr>
        <w:pStyle w:val="Compact"/>
      </w:pPr>
      <w:r>
        <w:t xml:space="preserve">Die Aufnahme ist für größere Peptide gering und schwankt stark – je nach Sprühtechnik, Schnupfen oder Schleimmenge.</w:t>
      </w:r>
    </w:p>
    <w:p>
      <w:pPr>
        <w:numPr>
          <w:ilvl w:val="0"/>
          <w:numId w:val="1014"/>
        </w:numPr>
        <w:pStyle w:val="Compact"/>
      </w:pPr>
      <w:r>
        <w:t xml:space="preserve">Ein Großteil des Sprühstoßes wird verschluckt oder über die Flimmerhärchen abtransportiert.</w:t>
      </w:r>
    </w:p>
    <w:p>
      <w:pPr>
        <w:numPr>
          <w:ilvl w:val="0"/>
          <w:numId w:val="1014"/>
        </w:numPr>
        <w:pStyle w:val="Compact"/>
      </w:pPr>
      <w:r>
        <w:t xml:space="preserve">Häufig verwendete Reizstoffe oder Hilfsstoffe können die Schleimhaut belasten.</w:t>
      </w:r>
    </w:p>
    <w:p>
      <w:pPr>
        <w:pStyle w:val="FirstParagraph"/>
      </w:pPr>
      <w:r>
        <w:t xml:space="preserve">Besonders beliebt ist die Vorstellung, Peptide könnten über die Nase „direkt ins Gehirn“ gelangen. Für einige Stoffe gibt es Hinweise auf solche Wege über Riech- und Gesichtsnerven, die Datenlage ist aber dünn. Eine viel zitierte kritische Übersicht kam für Oxytocin zu dem Ergebnis, dass nur sehr wenig des über die Nase gegebenen Oxytocins in der Hirn-Rückenmarks-Flüssigkeit ankommt, während die Konzentrationen im Blut auf Werte über dem natürlichen Niveau steigen – mit möglichen Wirkungen auf Magen-Darm-Trakt, Herz und Fortpflanzungsorgane</w:t>
      </w:r>
      <w:r>
        <w:rPr>
          <w:rStyle w:val="FootnoteReference"/>
        </w:rPr>
        <w:footnoteReference w:id="123"/>
      </w:r>
      <w:r>
        <w:t xml:space="preserve">. Die Autoren mahnen zu Skepsis gegenüber Studien mit Verhaltenseffekten und fordern vorab registrierte Studien. Das ist für alle Peptide relevant, die als „Nasenspray fürs Gehirn“ beworben werden, etwa Semax oder Selank, die in Teil II behandelt werden.</w:t>
      </w:r>
    </w:p>
    <w:bookmarkEnd w:id="124"/>
    <w:bookmarkStart w:id="126" w:name="inhalation-ein-lehrreicher-fehlschlag"/>
    <w:p>
      <w:pPr>
        <w:pStyle w:val="Heading3"/>
      </w:pPr>
      <w:r>
        <w:t xml:space="preserve">Inhalation: ein lehrreicher Fehlschlag</w:t>
      </w:r>
    </w:p>
    <w:p>
      <w:pPr>
        <w:pStyle w:val="FirstParagraph"/>
      </w:pPr>
      <w:r>
        <w:t xml:space="preserve">Die Lunge bietet eine riesige Oberfläche mit sehr dünner Barriere zum Blut. Deshalb wurde intensiv an inhalierbarem Insulin gearbeitet. Ein erstes Produkt kam auf den Markt, wurde aber bald wieder zurückgezogen; andere Entwicklungen wurden gestoppt. Ein Kommentar aus dieser Zeit beschreibt Vor- und Nachteile aus Sicht von Patienten, Ärzten, Industrie und Kostenträgern – darunter die Größe der Inhalationsgeräte und die Kosten</w:t>
      </w:r>
      <w:r>
        <w:rPr>
          <w:rStyle w:val="FootnoteReference"/>
        </w:rPr>
        <w:footnoteReference w:id="125"/>
      </w:r>
      <w:r>
        <w:t xml:space="preserve">. Später wurde in den USA ein anderes inhalierbares Insulin zugelassen. Für die meisten anderen Peptide spielt die Inhalation bisher keine Rolle.</w:t>
      </w:r>
    </w:p>
    <w:bookmarkEnd w:id="126"/>
    <w:bookmarkStart w:id="128" w:name="die-haut-eine-sehr-gute-barriere"/>
    <w:p>
      <w:pPr>
        <w:pStyle w:val="Heading3"/>
      </w:pPr>
      <w:r>
        <w:t xml:space="preserve">Die Haut: eine sehr gute Barriere</w:t>
      </w:r>
    </w:p>
    <w:p>
      <w:pPr>
        <w:pStyle w:val="FirstParagraph"/>
      </w:pPr>
      <w:r>
        <w:t xml:space="preserve">Die Haut ist eines der dichtesten Organe des Körpers. Ihre äußerste Schicht, die Hornschicht, besteht aus abgestorbenen Zellen, die in Fette eingebettet sind – eine Art Mauerwerk mit Mörtel. Eine bekannte Faustregel aus der Dermatologie besagt, dass ein Stoff kleiner als etwa 500 Dalton sein muss, um in nennenswertem Umfang durch die Haut zu gelangen. Die Autoren begründen das unter anderem damit, dass praktisch alle bekannten Kontaktallergene und alle in Pflastern zur Wirkstoffabgabe eingesetzten Arzneistoffe unter dieser Grenze liegen</w:t>
      </w:r>
      <w:r>
        <w:rPr>
          <w:rStyle w:val="FootnoteReference"/>
        </w:rPr>
        <w:footnoteReference w:id="127"/>
      </w:r>
      <w:r>
        <w:t xml:space="preserve">.</w:t>
      </w:r>
    </w:p>
    <w:p>
      <w:pPr>
        <w:pStyle w:val="BodyText"/>
      </w:pPr>
      <w:r>
        <w:t xml:space="preserve">Für Peptide bedeutet das: Schon ab etwa vier bis fünf Aminosäuren liegen sie in der Regel über dieser Grenze. Ein Tripeptid wie GHK kann sie unterschreiten, Peptide wie Palmitoyl-Pentapeptid-4 oder Acetyl-Hexapeptid-8 liegen deutlich darüber. Kosmetik-Hersteller versuchen, das Eindringen durch Fettsäure-Anhänge (wie beim „Palmitoyl“-Peptid) oder spezielle Trägersysteme zu verbessern. Ob die Peptide dabei in ausreichender Menge an ihre vermuteten Zielzellen in tieferen Hautschichten gelangen, ist eine Frage, die für jedes Produkt eigens untersucht werden müsste. Die Studienlage dazu wird in Teil II besprochen.</w:t>
      </w:r>
    </w:p>
    <w:p>
      <w:pPr>
        <w:pStyle w:val="BodyText"/>
      </w:pPr>
      <w:r>
        <w:t xml:space="preserve">Eine Regel ist eine Faustregel: Es gibt Ausnahmen, und Hilfsmittel wie Mikronadel-Pflaster können die Barriere überwinden. Solche Pflaster tragen winzige Nadeln, die nur die oberste Hautschicht durchdringen. Für Peptide sind sie noch weitgehend in Entwicklung.</w:t>
      </w:r>
    </w:p>
    <w:p>
      <w:pPr>
        <w:pStyle w:val="BodyText"/>
      </w:pPr>
      <w:r>
        <w:t xml:space="preserve">Für Arzneimittel-Peptide wie GLP-1-Analoga, Wachstumshormon-Freisetzer oder Melanotan gilt: Eine einfache Creme oder ein Gel bringt sie nicht in nennenswerter Menge ins Blut. Angebote im Internet, die das Gegenteil behaupten, solltest du mit großer Skepsis betrachten.</w:t>
      </w:r>
    </w:p>
    <w:bookmarkEnd w:id="128"/>
    <w:bookmarkStart w:id="130" w:name="stabilität-das-unterschätzte-problem"/>
    <w:p>
      <w:pPr>
        <w:pStyle w:val="Heading3"/>
      </w:pPr>
      <w:r>
        <w:t xml:space="preserve">Stabilität: das unterschätzte Problem</w:t>
      </w:r>
    </w:p>
    <w:p>
      <w:pPr>
        <w:pStyle w:val="FirstParagraph"/>
      </w:pPr>
      <w:r>
        <w:t xml:space="preserve">Auch außerhalb des Körpers sind Peptide empfindlich. Sie können zerfallen, sich chemisch verändern (etwa durch Oxidation) oder zu größeren Verbänden verklumpen. Solche Verklumpungen – Fachleute sprechen von Aggregation oder Fibrillenbildung – können die Wirkung verringern und das Immunsystem reizen. Eine Untersuchung fand bei Nachahmer-Präparaten von Liraglutid eine stärkere Neigung zur Fibrillenbildung und eine geringere physikalische Stabilität als beim Original</w:t>
      </w:r>
      <w:r>
        <w:rPr>
          <w:rStyle w:val="FootnoteReference"/>
        </w:rPr>
        <w:footnoteReference w:id="129"/>
      </w:r>
      <w:r>
        <w:t xml:space="preserve">.</w:t>
      </w:r>
    </w:p>
    <w:p>
      <w:pPr>
        <w:pStyle w:val="BodyText"/>
      </w:pPr>
      <w:r>
        <w:t xml:space="preserve">Deshalb werden zugelassene Peptid-Arzneimittel unter genau festgelegten Bedingungen hergestellt, verpackt, gekühlt transportiert und mit Haltbarkeitsdaten versehen. Graumarkt-Peptide werden dagegen meist als gefriergetrocknetes Pulver verkauft, das vor der Anwendung selbst aufgelöst werden muss. Jeder dieser Schritte – Transport ohne Kühlung, Lagerung, Auflösen, Aufziehen – ist eine mögliche Fehlerquelle.</w:t>
      </w:r>
    </w:p>
    <w:bookmarkEnd w:id="130"/>
    <w:bookmarkStart w:id="132" w:name="immunreaktionen"/>
    <w:p>
      <w:pPr>
        <w:pStyle w:val="Heading3"/>
      </w:pPr>
      <w:r>
        <w:t xml:space="preserve">Immunreaktionen</w:t>
      </w:r>
    </w:p>
    <w:p>
      <w:pPr>
        <w:pStyle w:val="FirstParagraph"/>
      </w:pPr>
      <w:r>
        <w:t xml:space="preserve">Peptide sind Eiweißstoffe und können vom Immunsystem als fremd erkannt werden, besonders wenn sie nicht genau einem körpereigenen Molekül entsprechen oder Verunreinigungen enthalten. Mögliche Folgen sind Reaktionen an der Einstichstelle, allergische Reaktionen oder die Bildung von Antikörpern, die die Wirkung abschwächen können. In der Analyse von Nachahmer-Semaglutid fanden sich computergestützt vorhergesagte neue Bindungsstellen für das Immunsystem, die auf ein mögliches Risiko für Immunreaktionen hindeuten</w:t>
      </w:r>
      <w:r>
        <w:rPr>
          <w:rStyle w:val="FootnoteReference"/>
        </w:rPr>
        <w:footnoteReference w:id="131"/>
      </w:r>
      <w:r>
        <w:t xml:space="preserve">. Teil IV behandelt Immunreaktionen ausführlich.</w:t>
      </w:r>
    </w:p>
    <w:bookmarkEnd w:id="132"/>
    <w:bookmarkStart w:id="133" w:name="X8e062571b20763d2ec192351e319b6d0bac8fc6"/>
    <w:p>
      <w:pPr>
        <w:pStyle w:val="Heading3"/>
      </w:pPr>
      <w:r>
        <w:t xml:space="preserve">Überblick: Verabreichungswege im Vergleich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Weg</w:t>
            </w:r>
          </w:p>
        </w:tc>
        <w:tc>
          <w:tcPr/>
          <w:p>
            <w:pPr>
              <w:pStyle w:val="Compact"/>
              <w:jc w:val="left"/>
            </w:pPr>
            <w:r>
              <w:t xml:space="preserve">Hauptproblem</w:t>
            </w:r>
          </w:p>
        </w:tc>
        <w:tc>
          <w:tcPr/>
          <w:p>
            <w:pPr>
              <w:pStyle w:val="Compact"/>
              <w:jc w:val="left"/>
            </w:pPr>
            <w:r>
              <w:t xml:space="preserve">Beispiele</w:t>
            </w:r>
          </w:p>
        </w:tc>
      </w:tr>
      <w:tr>
        <w:tc>
          <w:tcPr/>
          <w:p>
            <w:pPr>
              <w:pStyle w:val="Compact"/>
              <w:jc w:val="left"/>
            </w:pPr>
            <w:r>
              <w:t xml:space="preserve">Spritze unter die Haut</w:t>
            </w:r>
          </w:p>
        </w:tc>
        <w:tc>
          <w:tcPr/>
          <w:p>
            <w:pPr>
              <w:pStyle w:val="Compact"/>
              <w:jc w:val="left"/>
            </w:pPr>
            <w:r>
              <w:t xml:space="preserve">Nadel, Sterilität, Kühlung</w:t>
            </w:r>
          </w:p>
        </w:tc>
        <w:tc>
          <w:tcPr/>
          <w:p>
            <w:pPr>
              <w:pStyle w:val="Compact"/>
              <w:jc w:val="left"/>
            </w:pPr>
            <w:r>
              <w:t xml:space="preserve">Insulin, Semaglutid, Tirzepatid</w:t>
            </w:r>
          </w:p>
        </w:tc>
      </w:tr>
      <w:tr>
        <w:tc>
          <w:tcPr/>
          <w:p>
            <w:pPr>
              <w:pStyle w:val="Compact"/>
              <w:jc w:val="left"/>
            </w:pPr>
            <w:r>
              <w:t xml:space="preserve">Tablette</w:t>
            </w:r>
          </w:p>
        </w:tc>
        <w:tc>
          <w:tcPr/>
          <w:p>
            <w:pPr>
              <w:pStyle w:val="Compact"/>
              <w:jc w:val="left"/>
            </w:pPr>
            <w:r>
              <w:t xml:space="preserve">Abbau im Magen-Darm-Trakt</w:t>
            </w:r>
          </w:p>
        </w:tc>
        <w:tc>
          <w:tcPr/>
          <w:p>
            <w:pPr>
              <w:pStyle w:val="Compact"/>
              <w:jc w:val="left"/>
            </w:pPr>
            <w:r>
              <w:t xml:space="preserve">Semaglutid mit SNAC</w:t>
            </w:r>
          </w:p>
        </w:tc>
      </w:tr>
      <w:tr>
        <w:tc>
          <w:tcPr/>
          <w:p>
            <w:pPr>
              <w:pStyle w:val="Compact"/>
              <w:jc w:val="left"/>
            </w:pPr>
            <w:r>
              <w:t xml:space="preserve">Unter der Zunge</w:t>
            </w:r>
          </w:p>
        </w:tc>
        <w:tc>
          <w:tcPr/>
          <w:p>
            <w:pPr>
              <w:pStyle w:val="Compact"/>
              <w:jc w:val="left"/>
            </w:pPr>
            <w:r>
              <w:t xml:space="preserve">Schleimhaut als Barriere</w:t>
            </w:r>
          </w:p>
        </w:tc>
        <w:tc>
          <w:tcPr/>
          <w:p>
            <w:pPr>
              <w:pStyle w:val="Compact"/>
              <w:jc w:val="left"/>
            </w:pPr>
            <w:r>
              <w:t xml:space="preserve">keine belastbaren Daten</w:t>
            </w:r>
          </w:p>
        </w:tc>
      </w:tr>
      <w:tr>
        <w:tc>
          <w:tcPr/>
          <w:p>
            <w:pPr>
              <w:pStyle w:val="Compact"/>
              <w:jc w:val="left"/>
            </w:pPr>
            <w:r>
              <w:t xml:space="preserve">Nasenspray</w:t>
            </w:r>
          </w:p>
        </w:tc>
        <w:tc>
          <w:tcPr/>
          <w:p>
            <w:pPr>
              <w:pStyle w:val="Compact"/>
              <w:jc w:val="left"/>
            </w:pPr>
            <w:r>
              <w:t xml:space="preserve">geringe, schwankende Aufnahme</w:t>
            </w:r>
          </w:p>
        </w:tc>
        <w:tc>
          <w:tcPr/>
          <w:p>
            <w:pPr>
              <w:pStyle w:val="Compact"/>
              <w:jc w:val="left"/>
            </w:pPr>
            <w:r>
              <w:t xml:space="preserve">Desmopressin, Oxytocin</w:t>
            </w:r>
          </w:p>
        </w:tc>
      </w:tr>
      <w:tr>
        <w:tc>
          <w:tcPr/>
          <w:p>
            <w:pPr>
              <w:pStyle w:val="Compact"/>
              <w:jc w:val="left"/>
            </w:pPr>
            <w:r>
              <w:t xml:space="preserve">Inhalation</w:t>
            </w:r>
          </w:p>
        </w:tc>
        <w:tc>
          <w:tcPr/>
          <w:p>
            <w:pPr>
              <w:pStyle w:val="Compact"/>
              <w:jc w:val="left"/>
            </w:pPr>
            <w:r>
              <w:t xml:space="preserve">Geräte, Lungensicherheit</w:t>
            </w:r>
          </w:p>
        </w:tc>
        <w:tc>
          <w:tcPr/>
          <w:p>
            <w:pPr>
              <w:pStyle w:val="Compact"/>
              <w:jc w:val="left"/>
            </w:pPr>
            <w:r>
              <w:t xml:space="preserve">inhalierbares Insulin</w:t>
            </w:r>
          </w:p>
        </w:tc>
      </w:tr>
      <w:tr>
        <w:tc>
          <w:tcPr/>
          <w:p>
            <w:pPr>
              <w:pStyle w:val="Compact"/>
              <w:jc w:val="left"/>
            </w:pPr>
            <w:r>
              <w:t xml:space="preserve">Haut</w:t>
            </w:r>
          </w:p>
        </w:tc>
        <w:tc>
          <w:tcPr/>
          <w:p>
            <w:pPr>
              <w:pStyle w:val="Compact"/>
              <w:jc w:val="left"/>
            </w:pPr>
            <w:r>
              <w:t xml:space="preserve">Hornschicht, Molekülgröße</w:t>
            </w:r>
          </w:p>
        </w:tc>
        <w:tc>
          <w:tcPr/>
          <w:p>
            <w:pPr>
              <w:pStyle w:val="Compact"/>
              <w:jc w:val="left"/>
            </w:pPr>
            <w:r>
              <w:t xml:space="preserve">Kosmetik-Peptide</w:t>
            </w:r>
          </w:p>
        </w:tc>
      </w:tr>
    </w:tbl>
    <w:bookmarkEnd w:id="133"/>
    <w:bookmarkStart w:id="134" w:name="das-wichtigste-in-kürze-1"/>
    <w:p>
      <w:pPr>
        <w:pStyle w:val="Heading3"/>
      </w:pPr>
      <w:r>
        <w:t xml:space="preserve">Das Wichtigste in Kürze</w:t>
      </w:r>
    </w:p>
    <w:p>
      <w:pPr>
        <w:numPr>
          <w:ilvl w:val="0"/>
          <w:numId w:val="1015"/>
        </w:numPr>
        <w:pStyle w:val="Compact"/>
      </w:pPr>
      <w:r>
        <w:t xml:space="preserve">Peptide werden im Verdauungstrakt abgebaut, sind groß und schlecht membrangängig. Deshalb werden die meisten Peptid-Arzneimittel gespritzt.</w:t>
      </w:r>
    </w:p>
    <w:p>
      <w:pPr>
        <w:numPr>
          <w:ilvl w:val="0"/>
          <w:numId w:val="1015"/>
        </w:numPr>
        <w:pStyle w:val="Compact"/>
      </w:pPr>
      <w:r>
        <w:t xml:space="preserve">Lange Wirkdauer erreicht man durch gezielte Veränderungen des Moleküls, etwa Fettsäure-Anhänge zur Bindung an Albumin.</w:t>
      </w:r>
    </w:p>
    <w:p>
      <w:pPr>
        <w:numPr>
          <w:ilvl w:val="0"/>
          <w:numId w:val="1015"/>
        </w:numPr>
        <w:pStyle w:val="Compact"/>
      </w:pPr>
      <w:r>
        <w:t xml:space="preserve">Die Semaglutid-Tablette nutzt den Hilfsstoff SNAC, der eine Aufnahme im Magen ermöglicht. Die Bioverfügbarkeit bleibt mit etwa 0,4 bis 1 % sehr gering.</w:t>
      </w:r>
    </w:p>
    <w:p>
      <w:pPr>
        <w:numPr>
          <w:ilvl w:val="0"/>
          <w:numId w:val="1015"/>
        </w:numPr>
        <w:pStyle w:val="Compact"/>
      </w:pPr>
      <w:r>
        <w:t xml:space="preserve">Bei Nasensprays und Cremes ist die Aufnahme größerer Peptide begrenzt. Versprechen wie „direkt ins Gehirn“ oder „durch die Haut ins Blut“ sind meist nicht belegt.</w:t>
      </w:r>
    </w:p>
    <w:p>
      <w:pPr>
        <w:numPr>
          <w:ilvl w:val="0"/>
          <w:numId w:val="1015"/>
        </w:numPr>
        <w:pStyle w:val="Compact"/>
      </w:pPr>
      <w:r>
        <w:t xml:space="preserve">Stabilität, Sterilität und Reinheit sind bei Peptiden keine Nebensache, sondern Voraussetzung für Sicherheit und Wirkung.</w:t>
      </w:r>
    </w:p>
    <w:bookmarkEnd w:id="134"/>
    <w:bookmarkEnd w:id="135"/>
    <w:bookmarkStart w:id="167" w:name="studien-richtig-lesen"/>
    <w:p>
      <w:pPr>
        <w:pStyle w:val="Heading2"/>
      </w:pPr>
      <w:r>
        <w:t xml:space="preserve">Studien richtig lesen</w:t>
      </w:r>
    </w:p>
    <w:p>
      <w:pPr>
        <w:pStyle w:val="FirstParagraph"/>
      </w:pPr>
      <w:r>
        <w:t xml:space="preserve">„Studien zeigen …“ – kaum eine Formulierung wird in der Werbung für Peptide so oft verwendet. Gemeint sein kann damit alles Mögliche: ein Versuch mit Zellen in einer Petrischale, ein Experiment an zwölf Ratten, ein Erfahrungsbericht eines einzelnen Patienten oder eine Studie mit 17.000 Teilnehmenden über mehr als drei Jahre. Wer Peptide beurteilen will, muss diese Unterschiede kennen. Dieses Kapitel ist eine Art Werkzeugkasten. Es erklärt die wichtigsten Studientypen, die Fallstricke bei der Interpretation von Ergebnissen und wie du selbst prüfen kannst, was hinter einer Behauptung steckt.</w:t>
      </w:r>
    </w:p>
    <w:bookmarkStart w:id="136" w:name="die-evidenzpyramide"/>
    <w:p>
      <w:pPr>
        <w:pStyle w:val="Heading3"/>
      </w:pPr>
      <w:r>
        <w:t xml:space="preserve">Die Evidenzpyramide</w:t>
      </w:r>
    </w:p>
    <w:p>
      <w:pPr>
        <w:pStyle w:val="FirstParagraph"/>
      </w:pPr>
      <w:r>
        <w:t xml:space="preserve">Fachleute ordnen Studientypen häufig in einer Pyramide an. Unten stehen Studienformen, die viele Hinweise, aber wenig Gewissheit liefern; oben jene, die am zuverlässigsten zeigen, ob eine Behandlung beim Menschen wirkt. Von unten nach oben:</w:t>
      </w:r>
    </w:p>
    <w:p>
      <w:pPr>
        <w:numPr>
          <w:ilvl w:val="0"/>
          <w:numId w:val="1016"/>
        </w:numPr>
        <w:pStyle w:val="Compact"/>
      </w:pPr>
      <w:r>
        <w:rPr>
          <w:bCs/>
          <w:b/>
        </w:rPr>
        <w:t xml:space="preserve">Labor- und Zellstudien</w:t>
      </w:r>
      <w:r>
        <w:t xml:space="preserve"> </w:t>
      </w:r>
      <w:r>
        <w:t xml:space="preserve">(in vitro, „im Glas“): Zellen oder Gewebe werden im Labor einem Stoff ausgesetzt.</w:t>
      </w:r>
    </w:p>
    <w:p>
      <w:pPr>
        <w:numPr>
          <w:ilvl w:val="0"/>
          <w:numId w:val="1016"/>
        </w:numPr>
        <w:pStyle w:val="Compact"/>
      </w:pPr>
      <w:r>
        <w:rPr>
          <w:bCs/>
          <w:b/>
        </w:rPr>
        <w:t xml:space="preserve">Tierstudien</w:t>
      </w:r>
      <w:r>
        <w:t xml:space="preserve"> </w:t>
      </w:r>
      <w:r>
        <w:t xml:space="preserve">(meist an Mäusen oder Ratten).</w:t>
      </w:r>
    </w:p>
    <w:p>
      <w:pPr>
        <w:numPr>
          <w:ilvl w:val="0"/>
          <w:numId w:val="1016"/>
        </w:numPr>
        <w:pStyle w:val="Compact"/>
      </w:pPr>
      <w:r>
        <w:rPr>
          <w:bCs/>
          <w:b/>
        </w:rPr>
        <w:t xml:space="preserve">Fallberichte und Fallserien</w:t>
      </w:r>
      <w:r>
        <w:t xml:space="preserve">: Beschreibungen einzelner oder weniger Patientinnen und Patienten.</w:t>
      </w:r>
    </w:p>
    <w:p>
      <w:pPr>
        <w:numPr>
          <w:ilvl w:val="0"/>
          <w:numId w:val="1016"/>
        </w:numPr>
        <w:pStyle w:val="Compact"/>
      </w:pPr>
      <w:r>
        <w:rPr>
          <w:bCs/>
          <w:b/>
        </w:rPr>
        <w:t xml:space="preserve">Beobachtungsstudien</w:t>
      </w:r>
      <w:r>
        <w:t xml:space="preserve">: Man beobachtet Menschen, die einen Stoff ohnehin nehmen oder nicht nehmen, und vergleicht, was mit ihnen geschieht.</w:t>
      </w:r>
    </w:p>
    <w:p>
      <w:pPr>
        <w:numPr>
          <w:ilvl w:val="0"/>
          <w:numId w:val="1016"/>
        </w:numPr>
        <w:pStyle w:val="Compact"/>
      </w:pPr>
      <w:r>
        <w:rPr>
          <w:bCs/>
          <w:b/>
        </w:rPr>
        <w:t xml:space="preserve">Kontrollierte Studien ohne Zufallszuteilung</w:t>
      </w:r>
      <w:r>
        <w:t xml:space="preserve"> </w:t>
      </w:r>
      <w:r>
        <w:t xml:space="preserve">und</w:t>
      </w:r>
      <w:r>
        <w:t xml:space="preserve"> </w:t>
      </w:r>
      <w:r>
        <w:rPr>
          <w:bCs/>
          <w:b/>
        </w:rPr>
        <w:t xml:space="preserve">offene Studien</w:t>
      </w:r>
      <w:r>
        <w:t xml:space="preserve">.</w:t>
      </w:r>
    </w:p>
    <w:p>
      <w:pPr>
        <w:numPr>
          <w:ilvl w:val="0"/>
          <w:numId w:val="1016"/>
        </w:numPr>
        <w:pStyle w:val="Compact"/>
      </w:pPr>
      <w:r>
        <w:rPr>
          <w:bCs/>
          <w:b/>
        </w:rPr>
        <w:t xml:space="preserve">Randomisierte kontrollierte Studien</w:t>
      </w:r>
      <w:r>
        <w:t xml:space="preserve"> </w:t>
      </w:r>
      <w:r>
        <w:t xml:space="preserve">(RCT).</w:t>
      </w:r>
    </w:p>
    <w:p>
      <w:pPr>
        <w:numPr>
          <w:ilvl w:val="0"/>
          <w:numId w:val="1016"/>
        </w:numPr>
        <w:pStyle w:val="Compact"/>
      </w:pPr>
      <w:r>
        <w:rPr>
          <w:bCs/>
          <w:b/>
        </w:rPr>
        <w:t xml:space="preserve">Systematische Übersichten und Meta-Analysen</w:t>
      </w:r>
      <w:r>
        <w:t xml:space="preserve">, die alle verfügbaren guten Studien zu einer Frage zusammenfassen.</w:t>
      </w:r>
    </w:p>
    <w:p>
      <w:pPr>
        <w:pStyle w:val="FirstParagraph"/>
      </w:pPr>
      <w:r>
        <w:t xml:space="preserve">Die Pyramide ist eine Vereinfachung. Eine große, sorgfältige Beobachtungsstudie kann aussagekräftiger sein als ein winziger, schlecht gemachter RCT, und eine Meta-Analyse ist nur so gut wie die Studien, die in sie eingehen. Als grobe Orientierung ist sie aber hilfreich – vor allem, um zu erkennen, wie weit unten in der Pyramide die Belege für viele Graumarkt-Peptide angesiedelt sind.</w:t>
      </w:r>
    </w:p>
    <w:bookmarkEnd w:id="136"/>
    <w:bookmarkStart w:id="137" w:name="X0cef3bbbf27fa5911035f52f63b00a3a0fe70ed"/>
    <w:p>
      <w:pPr>
        <w:pStyle w:val="Heading3"/>
      </w:pPr>
      <w:r>
        <w:t xml:space="preserve">Laborstudien: Was in der Petrischale passiert</w:t>
      </w:r>
    </w:p>
    <w:p>
      <w:pPr>
        <w:pStyle w:val="FirstParagraph"/>
      </w:pPr>
      <w:r>
        <w:t xml:space="preserve">In Zellkulturen lassen sich Mechanismen gut untersuchen: Welcher Rezeptor wird aktiviert? Welche Gene werden abgelesen? Ob Zellen schneller wachsen oder wandern? Solche Studien sind für die Grundlagenforschung unverzichtbar.</w:t>
      </w:r>
    </w:p>
    <w:p>
      <w:pPr>
        <w:pStyle w:val="BodyText"/>
      </w:pPr>
      <w:r>
        <w:t xml:space="preserve">Ihre Grenzen sind aber groß. Zellen in einer Schale haben keinen Blutkreislauf, keine Leber, die Stoffe abbaut, kein Immunsystem und keine Verdauung. Die Konzentrationen, die im Labor verwendet werden, sind oft viel höher als jene, die im menschlichen Körper überhaupt erreichbar wären. Ein Stoff, der in der Petrischale Krebszellen abtötet, kann im Körper wirkungslos oder giftig sein. Wenn ein Werbetext sich auf „Studien“ beruft und es sich um Zellkulturen handelt, ist das ein Hinweis auf einen möglichen Mechanismus – nicht auf einen Nutzen beim Menschen.</w:t>
      </w:r>
    </w:p>
    <w:bookmarkEnd w:id="137"/>
    <w:bookmarkStart w:id="139" w:name="Xc09fc08ae9a58d90135113a4e9afb8356fa50e5"/>
    <w:p>
      <w:pPr>
        <w:pStyle w:val="Heading3"/>
      </w:pPr>
      <w:r>
        <w:t xml:space="preserve">Tierstudien: wichtig, aber nicht übertragbar</w:t>
      </w:r>
    </w:p>
    <w:p>
      <w:pPr>
        <w:pStyle w:val="FirstParagraph"/>
      </w:pPr>
      <w:r>
        <w:t xml:space="preserve">Tierversuche ermöglichen es, Wirkungen in einem ganzen Organismus zu untersuchen und Sicherheitsfragen zu klären, bevor Menschen einem neuen Stoff ausgesetzt werden. Gleichzeitig unterscheiden sich Mäuse und Ratten in Stoffwechsel, Lebensdauer, Körpergröße und Krankheitsentstehung erheblich vom Menschen. Zudem werden Krankheiten bei Tieren oft künstlich ausgelöst – etwa eine Sehnenverletzung durch einen Schnitt –, was der Situation bei Menschen nur bedingt entspricht.</w:t>
      </w:r>
    </w:p>
    <w:p>
      <w:pPr>
        <w:pStyle w:val="BodyText"/>
      </w:pPr>
      <w:r>
        <w:t xml:space="preserve">Wie schwierig die Übertragung ist, zeigt eine systematische Übersicht, die Behandlungseffekte in Tierversuchen mit denen in klinischen Studien verglich</w:t>
      </w:r>
      <w:r>
        <w:rPr>
          <w:rStyle w:val="FootnoteReference"/>
        </w:rPr>
        <w:footnoteReference w:id="138"/>
      </w:r>
      <w:r>
        <w:t xml:space="preserve">. Einige Beispiele daraus:</w:t>
      </w:r>
    </w:p>
    <w:p>
      <w:pPr>
        <w:numPr>
          <w:ilvl w:val="0"/>
          <w:numId w:val="1017"/>
        </w:numPr>
        <w:pStyle w:val="Compact"/>
      </w:pPr>
      <w:r>
        <w:t xml:space="preserve">Kortison-Präparate verbesserten bei Kopfverletzungen in Tiermodellen die Ergebnisse, in klinischen Studien am Menschen zeigte sich kein Nutzen.</w:t>
      </w:r>
    </w:p>
    <w:p>
      <w:pPr>
        <w:numPr>
          <w:ilvl w:val="0"/>
          <w:numId w:val="1017"/>
        </w:numPr>
        <w:pStyle w:val="Compact"/>
      </w:pPr>
      <w:r>
        <w:t xml:space="preserve">Der Wirkstoff Tirilazad verkleinerte bei Tieren mit Schlaganfall das geschädigte Hirnareal um 29 % und verbesserte neurologische Werte um 48 %. Bei Menschen mit Schlaganfall war er mit einem schlechteren Ergebnis verbunden.</w:t>
      </w:r>
    </w:p>
    <w:p>
      <w:pPr>
        <w:numPr>
          <w:ilvl w:val="0"/>
          <w:numId w:val="1017"/>
        </w:numPr>
        <w:pStyle w:val="Compact"/>
      </w:pPr>
      <w:r>
        <w:t xml:space="preserve">Andere Behandlungen, etwa die Auflösung von Blutgerinnseln beim Schlaganfall, wirkten sowohl bei Tieren als auch bei Menschen.</w:t>
      </w:r>
    </w:p>
    <w:p>
      <w:pPr>
        <w:pStyle w:val="FirstParagraph"/>
      </w:pPr>
      <w:r>
        <w:t xml:space="preserve">Die Autorinnen und Autoren führen die Abweichungen auf Verzerrungen in den Tierstudien und darauf zurück, dass Tiermodelle menschliche Krankheiten nicht ausreichend abbilden.</w:t>
      </w:r>
    </w:p>
    <w:p>
      <w:pPr>
        <w:pStyle w:val="BodyText"/>
      </w:pPr>
      <w:r>
        <w:t xml:space="preserve">Für dieses Buch hat das eine klare Konsequenz: Wenn für ein Peptid nur Tierdaten vorliegen, erhält es die Evidenzstufe D – unabhängig davon, wie beeindruckend die Ergebnisse bei Ratten aussehen. Und im Text wird stets ausdrücklich gesagt, wenn ein Ergebnis von Tieren oder aus dem Labor stammt.</w:t>
      </w:r>
    </w:p>
    <w:bookmarkEnd w:id="139"/>
    <w:bookmarkStart w:id="140" w:name="fallberichte-und-beobachtungsstudien"/>
    <w:p>
      <w:pPr>
        <w:pStyle w:val="Heading3"/>
      </w:pPr>
      <w:r>
        <w:t xml:space="preserve">Fallberichte und Beobachtungsstudien</w:t>
      </w:r>
    </w:p>
    <w:p>
      <w:pPr>
        <w:pStyle w:val="FirstParagraph"/>
      </w:pPr>
      <w:r>
        <w:rPr>
          <w:bCs/>
          <w:b/>
        </w:rPr>
        <w:t xml:space="preserve">Fallberichte</w:t>
      </w:r>
      <w:r>
        <w:t xml:space="preserve"> </w:t>
      </w:r>
      <w:r>
        <w:t xml:space="preserve">beschreiben einzelne Patientinnen oder Patienten. Für die Wirksamkeit sagen sie wenig, für die Sicherheit können sie dagegen sehr wertvoll sein: Seltene oder unerwartete Nebenwirkungen fallen oft zuerst in Fallberichten auf. Im Kapitel über den Graumarkt wirst du mehrere solcher Berichte kennenlernen, etwa über schwere Unterzuckerungen durch gefälschte Präparate.</w:t>
      </w:r>
    </w:p>
    <w:p>
      <w:pPr>
        <w:pStyle w:val="BodyText"/>
      </w:pPr>
      <w:r>
        <w:rPr>
          <w:bCs/>
          <w:b/>
        </w:rPr>
        <w:t xml:space="preserve">Beobachtungsstudien</w:t>
      </w:r>
      <w:r>
        <w:t xml:space="preserve"> </w:t>
      </w:r>
      <w:r>
        <w:t xml:space="preserve">vergleichen Menschen, die einen Stoff nehmen, mit Menschen, die ihn nicht nehmen. Ihr Hauptproblem ist die sogenannte</w:t>
      </w:r>
      <w:r>
        <w:t xml:space="preserve"> </w:t>
      </w:r>
      <w:r>
        <w:rPr>
          <w:bCs/>
          <w:b/>
        </w:rPr>
        <w:t xml:space="preserve">Störgröße</w:t>
      </w:r>
      <w:r>
        <w:t xml:space="preserve"> </w:t>
      </w:r>
      <w:r>
        <w:t xml:space="preserve">(Confounding): Wer ein bestimmtes Präparat nimmt, unterscheidet sich oft auch in anderen Punkten – etwa in Einkommen, Gesundheitsbewusstsein oder Vorerkrankungen. Ein gefundener Zusammenhang muss deshalb keine Ursache-Wirkungs-Beziehung sein.</w:t>
      </w:r>
    </w:p>
    <w:p>
      <w:pPr>
        <w:pStyle w:val="BodyText"/>
      </w:pPr>
      <w:r>
        <w:t xml:space="preserve">Eine Sonderform sind Auswertungen von</w:t>
      </w:r>
      <w:r>
        <w:t xml:space="preserve"> </w:t>
      </w:r>
      <w:r>
        <w:rPr>
          <w:bCs/>
          <w:b/>
        </w:rPr>
        <w:t xml:space="preserve">Nebenwirkungsmeldesystemen</w:t>
      </w:r>
      <w:r>
        <w:t xml:space="preserve"> </w:t>
      </w:r>
      <w:r>
        <w:t xml:space="preserve">wie der europäischen Datenbank EudraVigilance oder dem US-amerikanischen FAERS. Sie sammeln Verdachtsmeldungen von Ärztinnen, Patienten und Herstellern. Solche Daten zeigen Signale, die man weiter prüfen sollte, aber sie beweisen keinen Zusammenhang und sagen nichts darüber aus, wie häufig eine Nebenwirkung tatsächlich ist.</w:t>
      </w:r>
    </w:p>
    <w:bookmarkEnd w:id="140"/>
    <w:bookmarkStart w:id="141" w:name="X8a3572a71fe691855cc80988cab7ac776fbf320"/>
    <w:p>
      <w:pPr>
        <w:pStyle w:val="Heading3"/>
      </w:pPr>
      <w:r>
        <w:t xml:space="preserve">Die randomisierte kontrollierte Studie (RCT)</w:t>
      </w:r>
    </w:p>
    <w:p>
      <w:pPr>
        <w:pStyle w:val="FirstParagraph"/>
      </w:pPr>
      <w:r>
        <w:t xml:space="preserve">Der RCT gilt als Goldstandard, um die Wirkung einer Behandlung zu prüfen. Drei Elemente machen ihn aus:</w:t>
      </w:r>
    </w:p>
    <w:p>
      <w:pPr>
        <w:pStyle w:val="BodyText"/>
      </w:pPr>
      <w:r>
        <w:rPr>
          <w:bCs/>
          <w:b/>
        </w:rPr>
        <w:t xml:space="preserve">Kontrollgruppe.</w:t>
      </w:r>
      <w:r>
        <w:t xml:space="preserve"> </w:t>
      </w:r>
      <w:r>
        <w:t xml:space="preserve">Neben der Gruppe, die den Wirkstoff erhält, gibt es eine Vergleichsgruppe – mit Placebo, einer Standardbehandlung oder gar keiner Behandlung. Nur so lässt sich sagen, ob eine Veränderung auf den Wirkstoff zurückgeht oder auch ohne ihn eingetreten wäre.</w:t>
      </w:r>
    </w:p>
    <w:p>
      <w:pPr>
        <w:pStyle w:val="BodyText"/>
      </w:pPr>
      <w:r>
        <w:rPr>
          <w:bCs/>
          <w:b/>
        </w:rPr>
        <w:t xml:space="preserve">Randomisierung.</w:t>
      </w:r>
      <w:r>
        <w:t xml:space="preserve"> </w:t>
      </w:r>
      <w:r>
        <w:t xml:space="preserve">Wer in welche Gruppe kommt, entscheidet der Zufall. Dadurch verteilen sich bekannte und unbekannte Einflussfaktoren gleichmäßig auf beide Gruppen. Unterschiede im Ergebnis lassen sich dann mit hoher Wahrscheinlichkeit auf die Behandlung zurückführen.</w:t>
      </w:r>
    </w:p>
    <w:p>
      <w:pPr>
        <w:pStyle w:val="BodyText"/>
      </w:pPr>
      <w:r>
        <w:rPr>
          <w:bCs/>
          <w:b/>
        </w:rPr>
        <w:t xml:space="preserve">Verblindung.</w:t>
      </w:r>
      <w:r>
        <w:t xml:space="preserve"> </w:t>
      </w:r>
      <w:r>
        <w:t xml:space="preserve">Bei einer</w:t>
      </w:r>
      <w:r>
        <w:t xml:space="preserve"> </w:t>
      </w:r>
      <w:r>
        <w:rPr>
          <w:bCs/>
          <w:b/>
        </w:rPr>
        <w:t xml:space="preserve">doppelblinden</w:t>
      </w:r>
      <w:r>
        <w:t xml:space="preserve"> </w:t>
      </w:r>
      <w:r>
        <w:t xml:space="preserve">Studie wissen weder die Teilnehmenden noch das Studienpersonal, wer den Wirkstoff und wer das Placebo bekommt. Das verhindert, dass Erwartungen das Ergebnis beeinflussen. In einer</w:t>
      </w:r>
      <w:r>
        <w:t xml:space="preserve"> </w:t>
      </w:r>
      <w:r>
        <w:rPr>
          <w:bCs/>
          <w:b/>
        </w:rPr>
        <w:t xml:space="preserve">offenen</w:t>
      </w:r>
      <w:r>
        <w:t xml:space="preserve"> </w:t>
      </w:r>
      <w:r>
        <w:t xml:space="preserve">Studie wissen alle Beteiligten Bescheid; das ist manchmal nicht anders möglich, macht die Ergebnisse aber anfälliger für Verzerrungen, besonders bei subjektiven Endpunkten wie Schmerz, Stimmung oder Hautbild.</w:t>
      </w:r>
    </w:p>
    <w:bookmarkEnd w:id="141"/>
    <w:bookmarkStart w:id="144" w:name="X8ef67140c841e013b9f939e075e4541205529ca"/>
    <w:p>
      <w:pPr>
        <w:pStyle w:val="Heading3"/>
      </w:pPr>
      <w:r>
        <w:t xml:space="preserve">Der Placebo-Effekt und warum Kontrollgruppen unverzichtbar sind</w:t>
      </w:r>
    </w:p>
    <w:p>
      <w:pPr>
        <w:pStyle w:val="FirstParagraph"/>
      </w:pPr>
      <w:r>
        <w:t xml:space="preserve">Menschen geht es in Studien oft besser, auch wenn sie nur ein Scheinpräparat erhalten. Das liegt an Erwartungen, an der zusätzlichen Aufmerksamkeit, an Lebensstiländerungen während einer Studie und daran, dass sich viele Beschwerden ohnehin von selbst bessern.</w:t>
      </w:r>
    </w:p>
    <w:p>
      <w:pPr>
        <w:pStyle w:val="BodyText"/>
      </w:pPr>
      <w:r>
        <w:t xml:space="preserve">Ein anschauliches Beispiel liefert die Studie STEP 1: Auch die Placebogruppe nahm über 68 Wochen im Mittel 2,4 % ihres Körpergewichts ab, weil alle Teilnehmenden zusätzlich eine Lebensstilberatung erhielten</w:t>
      </w:r>
      <w:r>
        <w:rPr>
          <w:rStyle w:val="FootnoteReference"/>
        </w:rPr>
        <w:footnoteReference w:id="142"/>
      </w:r>
      <w:r>
        <w:t xml:space="preserve">. Der eigentliche Effekt des Wirkstoffs ist der Unterschied zwischen den Gruppen – in diesem Fall 12,4 Prozentpunkte, nicht 14,9 %.</w:t>
      </w:r>
    </w:p>
    <w:p>
      <w:pPr>
        <w:pStyle w:val="BodyText"/>
      </w:pPr>
      <w:r>
        <w:t xml:space="preserve">Eine Übersichtsarbeit zu Peptiden in der Sportmedizin weist ausdrücklich darauf hin, dass der Placebo-Effekt einen Teil der berichteten Wirkungen unregulierter Peptide erklären könnte und soziale Medien diesen Effekt verstärken</w:t>
      </w:r>
      <w:r>
        <w:rPr>
          <w:rStyle w:val="FootnoteReference"/>
        </w:rPr>
        <w:footnoteReference w:id="143"/>
      </w:r>
      <w:r>
        <w:t xml:space="preserve">. Erfahrungsberichte aus Foren sind deshalb kein Ersatz für kontrollierte Studien.</w:t>
      </w:r>
    </w:p>
    <w:bookmarkEnd w:id="144"/>
    <w:bookmarkStart w:id="145" w:name="studienphasen"/>
    <w:p>
      <w:pPr>
        <w:pStyle w:val="Heading3"/>
      </w:pPr>
      <w:r>
        <w:t xml:space="preserve">Studienphasen</w:t>
      </w:r>
    </w:p>
    <w:p>
      <w:pPr>
        <w:pStyle w:val="FirstParagraph"/>
      </w:pPr>
      <w:r>
        <w:t xml:space="preserve">Neue Arzneimittel durchlaufen beim Menschen typischerweise vier Phasen: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Ziel</w:t>
            </w:r>
          </w:p>
        </w:tc>
        <w:tc>
          <w:tcPr/>
          <w:p>
            <w:pPr>
              <w:pStyle w:val="Compact"/>
              <w:jc w:val="left"/>
            </w:pPr>
            <w:r>
              <w:t xml:space="preserve">Typische Größe</w:t>
            </w:r>
          </w:p>
        </w:tc>
      </w:tr>
      <w:tr>
        <w:tc>
          <w:tcPr/>
          <w:p>
            <w:pPr>
              <w:pStyle w:val="Compact"/>
              <w:jc w:val="left"/>
            </w:pPr>
            <w:r>
              <w:t xml:space="preserve">Phase 1</w:t>
            </w:r>
          </w:p>
        </w:tc>
        <w:tc>
          <w:tcPr/>
          <w:p>
            <w:pPr>
              <w:pStyle w:val="Compact"/>
              <w:jc w:val="left"/>
            </w:pPr>
            <w:r>
              <w:t xml:space="preserve">Verträglichkeit, Verhalten im Körper</w:t>
            </w:r>
          </w:p>
        </w:tc>
        <w:tc>
          <w:tcPr/>
          <w:p>
            <w:pPr>
              <w:pStyle w:val="Compact"/>
              <w:jc w:val="left"/>
            </w:pPr>
            <w:r>
              <w:t xml:space="preserve">wenige Dutzend Gesunde</w:t>
            </w:r>
          </w:p>
        </w:tc>
      </w:tr>
      <w:tr>
        <w:tc>
          <w:tcPr/>
          <w:p>
            <w:pPr>
              <w:pStyle w:val="Compact"/>
              <w:jc w:val="left"/>
            </w:pPr>
            <w:r>
              <w:t xml:space="preserve">Phase 2</w:t>
            </w:r>
          </w:p>
        </w:tc>
        <w:tc>
          <w:tcPr/>
          <w:p>
            <w:pPr>
              <w:pStyle w:val="Compact"/>
              <w:jc w:val="left"/>
            </w:pPr>
            <w:r>
              <w:t xml:space="preserve">erste Wirksamkeit, Dosisfindung</w:t>
            </w:r>
          </w:p>
        </w:tc>
        <w:tc>
          <w:tcPr/>
          <w:p>
            <w:pPr>
              <w:pStyle w:val="Compact"/>
              <w:jc w:val="left"/>
            </w:pPr>
            <w:r>
              <w:t xml:space="preserve">etwa 100 bis einige Hundert</w:t>
            </w:r>
          </w:p>
        </w:tc>
      </w:tr>
      <w:tr>
        <w:tc>
          <w:tcPr/>
          <w:p>
            <w:pPr>
              <w:pStyle w:val="Compact"/>
              <w:jc w:val="left"/>
            </w:pPr>
            <w:r>
              <w:t xml:space="preserve">Phase 3</w:t>
            </w:r>
          </w:p>
        </w:tc>
        <w:tc>
          <w:tcPr/>
          <w:p>
            <w:pPr>
              <w:pStyle w:val="Compact"/>
              <w:jc w:val="left"/>
            </w:pPr>
            <w:r>
              <w:t xml:space="preserve">Wirksamkeit und Sicherheit im Vergleich</w:t>
            </w:r>
          </w:p>
        </w:tc>
        <w:tc>
          <w:tcPr/>
          <w:p>
            <w:pPr>
              <w:pStyle w:val="Compact"/>
              <w:jc w:val="left"/>
            </w:pPr>
            <w:r>
              <w:t xml:space="preserve">Hunderte bis Tausende</w:t>
            </w:r>
          </w:p>
        </w:tc>
      </w:tr>
      <w:tr>
        <w:tc>
          <w:tcPr/>
          <w:p>
            <w:pPr>
              <w:pStyle w:val="Compact"/>
              <w:jc w:val="left"/>
            </w:pPr>
            <w:r>
              <w:t xml:space="preserve">Phase 4</w:t>
            </w:r>
          </w:p>
        </w:tc>
        <w:tc>
          <w:tcPr/>
          <w:p>
            <w:pPr>
              <w:pStyle w:val="Compact"/>
              <w:jc w:val="left"/>
            </w:pPr>
            <w:r>
              <w:t xml:space="preserve">Beobachtung nach der Zulassung</w:t>
            </w:r>
          </w:p>
        </w:tc>
        <w:tc>
          <w:tcPr/>
          <w:p>
            <w:pPr>
              <w:pStyle w:val="Compact"/>
              <w:jc w:val="left"/>
            </w:pPr>
            <w:r>
              <w:t xml:space="preserve">oft sehr groß</w:t>
            </w:r>
          </w:p>
        </w:tc>
      </w:tr>
    </w:tbl>
    <w:p>
      <w:pPr>
        <w:pStyle w:val="BodyText"/>
      </w:pPr>
      <w:r>
        <w:t xml:space="preserve">Viele Wirkstoffe scheitern zwischen Phase 2 und Phase 3. Ein vielversprechendes Phase-2-Ergebnis ist deshalb noch keine Garantie für eine spätere Zulassung.</w:t>
      </w:r>
    </w:p>
    <w:bookmarkEnd w:id="145"/>
    <w:bookmarkStart w:id="147" w:name="endpunkte-was-wird-eigentlich-gemessen"/>
    <w:p>
      <w:pPr>
        <w:pStyle w:val="Heading3"/>
      </w:pPr>
      <w:r>
        <w:t xml:space="preserve">Endpunkte: Was wird eigentlich gemessen?</w:t>
      </w:r>
    </w:p>
    <w:p>
      <w:pPr>
        <w:pStyle w:val="FirstParagraph"/>
      </w:pPr>
      <w:r>
        <w:t xml:space="preserve">Jede Studie legt vorab einen</w:t>
      </w:r>
      <w:r>
        <w:t xml:space="preserve"> </w:t>
      </w:r>
      <w:r>
        <w:rPr>
          <w:bCs/>
          <w:b/>
        </w:rPr>
        <w:t xml:space="preserve">primären Endpunkt</w:t>
      </w:r>
      <w:r>
        <w:t xml:space="preserve"> </w:t>
      </w:r>
      <w:r>
        <w:t xml:space="preserve">fest – das Hauptziel, an dem der Erfolg gemessen wird. Dazu kommen sekundäre Endpunkte. Wird ein Ergebnis erst nachträglich als wichtig herausgestellt, ist Vorsicht geboten: Wer viele Endpunkte misst, findet fast immer irgendwo einen „signifikanten“ Unterschied.</w:t>
      </w:r>
    </w:p>
    <w:p>
      <w:pPr>
        <w:pStyle w:val="BodyText"/>
      </w:pPr>
      <w:r>
        <w:t xml:space="preserve">Besonders wichtig ist die Unterscheidung zwischen</w:t>
      </w:r>
      <w:r>
        <w:t xml:space="preserve"> </w:t>
      </w:r>
      <w:r>
        <w:rPr>
          <w:bCs/>
          <w:b/>
        </w:rPr>
        <w:t xml:space="preserve">harten Endpunkten</w:t>
      </w:r>
      <w:r>
        <w:t xml:space="preserve"> </w:t>
      </w:r>
      <w:r>
        <w:t xml:space="preserve">und</w:t>
      </w:r>
      <w:r>
        <w:t xml:space="preserve"> </w:t>
      </w:r>
      <w:r>
        <w:rPr>
          <w:bCs/>
          <w:b/>
        </w:rPr>
        <w:t xml:space="preserve">Surrogat-Endpunkten</w:t>
      </w:r>
      <w:r>
        <w:t xml:space="preserve">:</w:t>
      </w:r>
    </w:p>
    <w:p>
      <w:pPr>
        <w:numPr>
          <w:ilvl w:val="0"/>
          <w:numId w:val="1018"/>
        </w:numPr>
        <w:pStyle w:val="Compact"/>
      </w:pPr>
      <w:r>
        <w:rPr>
          <w:bCs/>
          <w:b/>
        </w:rPr>
        <w:t xml:space="preserve">Harte Endpunkte</w:t>
      </w:r>
      <w:r>
        <w:t xml:space="preserve"> </w:t>
      </w:r>
      <w:r>
        <w:t xml:space="preserve">sind Ereignisse, die für Patientinnen und Patienten unmittelbar zählen: Tod, Herzinfarkt, Schlaganfall, Knochenbruch, Erblindung, Lebensqualität.</w:t>
      </w:r>
    </w:p>
    <w:p>
      <w:pPr>
        <w:numPr>
          <w:ilvl w:val="0"/>
          <w:numId w:val="1018"/>
        </w:numPr>
        <w:pStyle w:val="Compact"/>
      </w:pPr>
      <w:r>
        <w:rPr>
          <w:bCs/>
          <w:b/>
        </w:rPr>
        <w:t xml:space="preserve">Surrogat-Endpunkte</w:t>
      </w:r>
      <w:r>
        <w:t xml:space="preserve"> </w:t>
      </w:r>
      <w:r>
        <w:t xml:space="preserve">(Ersatz-Endpunkte) sind Messwerte, von denen man annimmt, dass sie mit harten Endpunkten zusammenhängen: Blutzucker, HbA1c, Cholesterin, Blutdruck, Knochendichte, Körpergewicht oder Laborwerte wie IGF-1.</w:t>
      </w:r>
    </w:p>
    <w:p>
      <w:pPr>
        <w:pStyle w:val="FirstParagraph"/>
      </w:pPr>
      <w:r>
        <w:t xml:space="preserve">Surrogat-Endpunkte sind praktisch, weil sie sich schneller und mit weniger Teilnehmenden messen lassen. Aber sie können in die Irre führen. Das bekannteste Beispiel ist die Cardiac Arrhythmia Suppression Trial (CAST) aus den späten 1980er-Jahren. Man ging davon aus, dass Medikamente, die bestimmte Herzrhythmusstörungen nach einem Herzinfarkt unterdrücken, auch Todesfälle verhindern. Die Medikamente unterdrückten die Rhythmusstörungen tatsächlich – der Surrogat-Endpunkt war erreicht. Doch in der randomisierten Studie starben unter zwei dieser Medikamente mehr Menschen als unter Placebo: An Rhythmusstörungen starben 43 Teilnehmende mit Wirkstoff gegenüber 16 mit Placebo</w:t>
      </w:r>
      <w:r>
        <w:rPr>
          <w:rStyle w:val="FootnoteReference"/>
        </w:rPr>
        <w:footnoteReference w:id="146"/>
      </w:r>
      <w:r>
        <w:t xml:space="preserve">.</w:t>
      </w:r>
    </w:p>
    <w:p>
      <w:pPr>
        <w:pStyle w:val="BodyText"/>
      </w:pPr>
      <w:r>
        <w:t xml:space="preserve">Bei Peptiden begegnen dir Surrogat-Endpunkte ständig. Bei Wachstumshormon-Freisetzern wird oft nur gemessen, ob der Spiegel von Wachstumshormon oder IGF-1 steigt – nicht, ob Menschen dadurch gesünder, kräftiger oder länger leben. Bei den GLP-1-Medikamenten dagegen gibt es inzwischen große Studien mit harten Endpunkten wie Herzinfarkt und Schlaganfall. Das ist einer der Gründe, warum sie in diesem Buch die höchste Evidenzstufe erhalten.</w:t>
      </w:r>
    </w:p>
    <w:bookmarkEnd w:id="147"/>
    <w:bookmarkStart w:id="150" w:name="relative-und-absolute-risiken"/>
    <w:p>
      <w:pPr>
        <w:pStyle w:val="Heading3"/>
      </w:pPr>
      <w:r>
        <w:t xml:space="preserve">Relative und absolute Risiken</w:t>
      </w:r>
    </w:p>
    <w:p>
      <w:pPr>
        <w:pStyle w:val="FirstParagraph"/>
      </w:pPr>
      <w:r>
        <w:t xml:space="preserve">Kaum ein statistisches Detail wird so häufig missverstanden wie dieses. Nehmen wir die Studie SELECT: Über im Mittel 39,8 Monate trat das kombinierte Herz-Kreislauf-Ereignis bei 6,5 % der Teilnehmenden mit Semaglutid und bei 8,0 % mit Placebo auf. Das Hazard Ratio – ein Maß für das relative Risiko über die Zeit – betrug 0,80</w:t>
      </w:r>
      <w:r>
        <w:rPr>
          <w:rStyle w:val="FootnoteReference"/>
        </w:rPr>
        <w:footnoteReference w:id="148"/>
      </w:r>
      <w:r>
        <w:t xml:space="preserve">.</w:t>
      </w:r>
    </w:p>
    <w:p>
      <w:pPr>
        <w:pStyle w:val="BodyText"/>
      </w:pPr>
      <w:r>
        <w:t xml:space="preserve">Daraus lassen sich zwei Aussagen ableiten, die beide richtig sind:</w:t>
      </w:r>
    </w:p>
    <w:p>
      <w:pPr>
        <w:numPr>
          <w:ilvl w:val="0"/>
          <w:numId w:val="1019"/>
        </w:numPr>
        <w:pStyle w:val="Compact"/>
      </w:pPr>
      <w:r>
        <w:rPr>
          <w:bCs/>
          <w:b/>
        </w:rPr>
        <w:t xml:space="preserve">Relativ:</w:t>
      </w:r>
      <w:r>
        <w:t xml:space="preserve"> </w:t>
      </w:r>
      <w:r>
        <w:t xml:space="preserve">Das Risiko war um rund 20 % niedriger.</w:t>
      </w:r>
    </w:p>
    <w:p>
      <w:pPr>
        <w:numPr>
          <w:ilvl w:val="0"/>
          <w:numId w:val="1019"/>
        </w:numPr>
        <w:pStyle w:val="Compact"/>
      </w:pPr>
      <w:r>
        <w:rPr>
          <w:bCs/>
          <w:b/>
        </w:rPr>
        <w:t xml:space="preserve">Absolut:</w:t>
      </w:r>
      <w:r>
        <w:t xml:space="preserve"> </w:t>
      </w:r>
      <w:r>
        <w:t xml:space="preserve">Der Anteil der Betroffenen sank um 1,5 Prozentpunkte – von 8,0 auf 6,5 von 100 Menschen.</w:t>
      </w:r>
    </w:p>
    <w:p>
      <w:pPr>
        <w:pStyle w:val="FirstParagraph"/>
      </w:pPr>
      <w:r>
        <w:t xml:space="preserve">Aus dem absoluten Unterschied lässt sich die</w:t>
      </w:r>
      <w:r>
        <w:t xml:space="preserve"> </w:t>
      </w:r>
      <w:r>
        <w:rPr>
          <w:bCs/>
          <w:b/>
        </w:rPr>
        <w:t xml:space="preserve">Number Needed to Treat (NNT)</w:t>
      </w:r>
      <w:r>
        <w:t xml:space="preserve"> </w:t>
      </w:r>
      <w:r>
        <w:t xml:space="preserve">berechnen: wie viele Menschen behandelt werden müssen, damit einer ein Ereignis vermeidet. Hier sind das rechnerisch etwa 67 Menschen über gut drei Jahre. Das bedeutet nicht, dass die Behandlung unwichtig ist – bei Millionen Betroffenen ist der Effekt bedeutsam. Aber es zeigt, dass die meisten Behandelten kein Ereignis gehabt hätten, auch ohne Medikament, und dass einige trotz Medikament eines haben.</w:t>
      </w:r>
    </w:p>
    <w:p>
      <w:pPr>
        <w:pStyle w:val="BodyText"/>
      </w:pPr>
      <w:r>
        <w:t xml:space="preserve">Werbung und Schlagzeilen bevorzugen relative Zahlen, weil sie größer klingen. Gute Studienberichte nennen beides. Achte deshalb immer auf die Ausgangshäufigkeit: Eine „Halbierung“ des Risikos von 2 auf 1 von 10.000 ist etwas völlig anderes als von 20 auf 10 von 100.</w:t>
      </w:r>
    </w:p>
    <w:p>
      <w:pPr>
        <w:pStyle w:val="BodyText"/>
      </w:pPr>
      <w:r>
        <w:t xml:space="preserve">Dasselbe gilt für Nebenwirkungen. In SELECT brachen 16,6 % der Teilnehmenden mit Semaglutid die Behandlung wegen unerwünschter Ereignisse ab, gegenüber 8,2 % mit Placebo</w:t>
      </w:r>
      <w:r>
        <w:rPr>
          <w:rStyle w:val="FootnoteReference"/>
        </w:rPr>
        <w:footnoteReference w:id="149"/>
      </w:r>
      <w:r>
        <w:t xml:space="preserve">. Relativ ist das eine Verdopplung, absolut ein Unterschied von 8,4 Prozentpunkten.</w:t>
      </w:r>
    </w:p>
    <w:bookmarkEnd w:id="150"/>
    <w:bookmarkStart w:id="152" w:name="X05a639e05b231687b1a23dd50dc0275b23bd62b"/>
    <w:p>
      <w:pPr>
        <w:pStyle w:val="Heading3"/>
      </w:pPr>
      <w:r>
        <w:t xml:space="preserve">Statistische Signifikanz und Konfidenzintervalle</w:t>
      </w:r>
    </w:p>
    <w:p>
      <w:pPr>
        <w:pStyle w:val="FirstParagraph"/>
      </w:pPr>
      <w:r>
        <w:t xml:space="preserve">Ein</w:t>
      </w:r>
      <w:r>
        <w:t xml:space="preserve"> </w:t>
      </w:r>
      <w:r>
        <w:rPr>
          <w:bCs/>
          <w:b/>
        </w:rPr>
        <w:t xml:space="preserve">p-Wert</w:t>
      </w:r>
      <w:r>
        <w:t xml:space="preserve"> </w:t>
      </w:r>
      <w:r>
        <w:t xml:space="preserve">gibt an, wie wahrscheinlich ein mindestens so großer Unterschied wäre, wenn in Wirklichkeit kein Effekt bestünde. Ist er kleiner als 0,05, gilt ein Ergebnis üblicherweise als „statistisch signifikant“. Das heißt nicht, dass der Effekt groß oder bedeutsam ist – bei sehr großen Studien werden auch winzige Unterschiede signifikant.</w:t>
      </w:r>
    </w:p>
    <w:p>
      <w:pPr>
        <w:pStyle w:val="BodyText"/>
      </w:pPr>
      <w:r>
        <w:t xml:space="preserve">Aussagekräftiger ist oft das</w:t>
      </w:r>
      <w:r>
        <w:t xml:space="preserve"> </w:t>
      </w:r>
      <w:r>
        <w:rPr>
          <w:bCs/>
          <w:b/>
        </w:rPr>
        <w:t xml:space="preserve">95-%-Konfidenzintervall</w:t>
      </w:r>
      <w:r>
        <w:t xml:space="preserve">. Es gibt einen Bereich an, in dem der wahre Effekt mit hoher Wahrscheinlichkeit liegt. In STEP 1 lag der Unterschied im Körpergewicht zwischen Semaglutid und Placebo bei 12,4 Prozentpunkten, mit einem Konfidenzintervall von 11,5 bis 13,4</w:t>
      </w:r>
      <w:r>
        <w:rPr>
          <w:rStyle w:val="FootnoteReference"/>
        </w:rPr>
        <w:footnoteReference w:id="151"/>
      </w:r>
      <w:r>
        <w:t xml:space="preserve">. Ein so enges Intervall zeigt eine präzise Schätzung. Bei kleinen Studien sind die Intervalle oft sehr breit – ein Zeichen, dass der wahre Effekt groß, klein oder sogar null sein könnte.</w:t>
      </w:r>
    </w:p>
    <w:bookmarkEnd w:id="152"/>
    <w:bookmarkStart w:id="154" w:name="Xa582895335aa8ed631a7adb8063422fcc959212"/>
    <w:p>
      <w:pPr>
        <w:pStyle w:val="Heading3"/>
      </w:pPr>
      <w:r>
        <w:t xml:space="preserve">Wie man zählt: die Frage nach dem Schätzer</w:t>
      </w:r>
    </w:p>
    <w:p>
      <w:pPr>
        <w:pStyle w:val="FirstParagraph"/>
      </w:pPr>
      <w:r>
        <w:t xml:space="preserve">Ein Detail, das in neueren Studien wichtig geworden ist: Wie werden Menschen gezählt, die die Behandlung abbrechen oder zusätzliche Medikamente nehmen? In der Studie PIONEER 1 wurden zwei Auswertungen berichtet. Wertet man alle Teilnehmenden aus, unabhängig davon, ob sie die Tabletten weiter nahmen, sank der HbA1c-Wert in der höchsten Dosis um 1,1 Prozentpunkte stärker als unter Placebo. Betrachtet man nur die Zeit, in der die Tabletten tatsächlich genommen wurden, waren es 1,4 Prozentpunkte</w:t>
      </w:r>
      <w:r>
        <w:rPr>
          <w:rStyle w:val="FootnoteReference"/>
        </w:rPr>
        <w:footnoteReference w:id="153"/>
      </w:r>
      <w:r>
        <w:t xml:space="preserve">. Beide Zahlen sind korrekt, beantworten aber unterschiedliche Fragen. Die erste ist meist realistischer für den Alltag.</w:t>
      </w:r>
    </w:p>
    <w:bookmarkEnd w:id="154"/>
    <w:bookmarkStart w:id="156" w:name="dauer-und-größe"/>
    <w:p>
      <w:pPr>
        <w:pStyle w:val="Heading3"/>
      </w:pPr>
      <w:r>
        <w:t xml:space="preserve">Dauer und Größe</w:t>
      </w:r>
    </w:p>
    <w:p>
      <w:pPr>
        <w:pStyle w:val="FirstParagraph"/>
      </w:pPr>
      <w:r>
        <w:t xml:space="preserve">Viele Peptid-Studien sind kurz. Eine Veränderung von Laborwerten nach zwei Wochen sagt wenig darüber, was nach zwei Jahren geschieht – weder über den Nutzen noch über Risiken wie Krebs, die sich oft erst nach Jahren zeigen. Ebenso wichtig ist die Größe: Seltene Nebenwirkungen, die einen von tausend Menschen betreffen, bleiben in einer Studie mit 40 Teilnehmenden zwangsläufig unentdeckt. Das Fehlen von Nebenwirkungen in einer kleinen Studie ist kein Beleg für Sicherheit.</w:t>
      </w:r>
    </w:p>
    <w:p>
      <w:pPr>
        <w:pStyle w:val="BodyText"/>
      </w:pPr>
      <w:r>
        <w:t xml:space="preserve">Aus theoretischen Überlegungen und Simulationen leitete der Epidemiologe John Ioannidis ab, dass Forschungsergebnisse umso unzuverlässiger sind, je kleiner die Studien und die Effekte sind, je mehr Fragestellungen ohne Vorauswahl getestet werden, je flexibler Design und Auswertung sind und je größer finanzielle Interessen und Vorurteile in einem Feld sind</w:t>
      </w:r>
      <w:r>
        <w:rPr>
          <w:rStyle w:val="FootnoteReference"/>
        </w:rPr>
        <w:footnoteReference w:id="155"/>
      </w:r>
      <w:r>
        <w:t xml:space="preserve">. Viele dieser Merkmale treffen auf die Forschung zu wenig untersuchten Peptiden zu.</w:t>
      </w:r>
    </w:p>
    <w:bookmarkEnd w:id="156"/>
    <w:bookmarkStart w:id="158" w:name="interessenkonflikte"/>
    <w:p>
      <w:pPr>
        <w:pStyle w:val="Heading3"/>
      </w:pPr>
      <w:r>
        <w:t xml:space="preserve">Interessenkonflikte</w:t>
      </w:r>
    </w:p>
    <w:p>
      <w:pPr>
        <w:pStyle w:val="FirstParagraph"/>
      </w:pPr>
      <w:r>
        <w:t xml:space="preserve">Die großen Zulassungsstudien werden fast immer von den Herstellern finanziert. Das ist rechtlich so vorgesehen und nicht automatisch ein Makel – diese Studien unterliegen strengen Regeln, werden vorab registriert und von Behörden geprüft. Trotzdem lohnt sich ein Blick auf die Finanzierung. Eine Cochrane-Übersicht kam zu dem Ergebnis, dass von der Industrie gesponserte Studien häufiger günstige Wirksamkeitsergebnisse (relatives Risiko 1,27) und häufiger günstige Schlussfolgerungen (relatives Risiko 1,34) berichteten als Studien mit anderer Finanzierung</w:t>
      </w:r>
      <w:r>
        <w:rPr>
          <w:rStyle w:val="FootnoteReference"/>
        </w:rPr>
        <w:footnoteReference w:id="157"/>
      </w:r>
      <w:r>
        <w:t xml:space="preserve">.</w:t>
      </w:r>
    </w:p>
    <w:p>
      <w:pPr>
        <w:pStyle w:val="BodyText"/>
      </w:pPr>
      <w:r>
        <w:t xml:space="preserve">Interessenkonflikte gibt es nicht nur bei Pharmakonzernen. Auch Forschende, die einen Stoff entdeckt haben und Patente halten, Kliniken, die Peptid-Therapien verkaufen, oder Influencer mit Rabattcodes haben ein Interesse an positiven Ergebnissen. Ein Warnsignal ist es, wenn fast alle Studien zu einem Stoff aus einer einzigen Arbeitsgruppe stammen und von unabhängigen Teams nicht bestätigt wurden.</w:t>
      </w:r>
    </w:p>
    <w:bookmarkEnd w:id="158"/>
    <w:bookmarkStart w:id="160" w:name="das-problem-der-verschwundenen-studien"/>
    <w:p>
      <w:pPr>
        <w:pStyle w:val="Heading3"/>
      </w:pPr>
      <w:r>
        <w:t xml:space="preserve">Das Problem der verschwundenen Studien</w:t>
      </w:r>
    </w:p>
    <w:p>
      <w:pPr>
        <w:pStyle w:val="FirstParagraph"/>
      </w:pPr>
      <w:r>
        <w:t xml:space="preserve">Nicht jede Studie wird veröffentlicht – und es sind vor allem die enttäuschenden, die verschwinden. Wie stark das verzerren kann, zeigte eine Untersuchung zu Antidepressiva. Von 74 bei der US-Arzneimittelbehörde FDA registrierten Studien wurden 31 % nicht veröffentlicht. Nach der veröffentlichten Literatur waren 94 % der Studien positiv, nach der Analyse der FDA nur 51 %</w:t>
      </w:r>
      <w:r>
        <w:rPr>
          <w:rStyle w:val="FootnoteReference"/>
        </w:rPr>
        <w:footnoteReference w:id="159"/>
      </w:r>
      <w:r>
        <w:t xml:space="preserve">. Wer nur die Fachzeitschriften liest, bekommt ein zu rosiges Bild.</w:t>
      </w:r>
    </w:p>
    <w:bookmarkEnd w:id="160"/>
    <w:bookmarkStart w:id="162" w:name="studienregister"/>
    <w:p>
      <w:pPr>
        <w:pStyle w:val="Heading3"/>
      </w:pPr>
      <w:r>
        <w:t xml:space="preserve">Studienregister</w:t>
      </w:r>
    </w:p>
    <w:p>
      <w:pPr>
        <w:pStyle w:val="FirstParagraph"/>
      </w:pPr>
      <w:r>
        <w:t xml:space="preserve">Als Reaktion auf solche Befunde erklärte der Internationale Ausschuss der Herausgeber medizinischer Fachzeitschriften 2004, dass klinische Studien vor ihrem Beginn in einem öffentlichen Register eingetragen sein müssen, um später veröffentlicht zu werden</w:t>
      </w:r>
      <w:r>
        <w:rPr>
          <w:rStyle w:val="FootnoteReference"/>
        </w:rPr>
        <w:footnoteReference w:id="161"/>
      </w:r>
      <w:r>
        <w:t xml:space="preserve">. Heute sind Register ein zentrales Werkzeug:</w:t>
      </w:r>
    </w:p>
    <w:p>
      <w:pPr>
        <w:numPr>
          <w:ilvl w:val="0"/>
          <w:numId w:val="1020"/>
        </w:numPr>
        <w:pStyle w:val="Compact"/>
      </w:pPr>
      <w:r>
        <w:rPr>
          <w:bCs/>
          <w:b/>
        </w:rPr>
        <w:t xml:space="preserve">ClinicalTrials.gov</w:t>
      </w:r>
      <w:r>
        <w:t xml:space="preserve"> </w:t>
      </w:r>
      <w:r>
        <w:t xml:space="preserve">(USA) ist das größte Register. Jede Studie erhält eine Nummer im Format „NCT“ plus acht Ziffern. Die Studie SELECT etwa hat die Nummer NCT03574597.</w:t>
      </w:r>
    </w:p>
    <w:p>
      <w:pPr>
        <w:numPr>
          <w:ilvl w:val="0"/>
          <w:numId w:val="1020"/>
        </w:numPr>
        <w:pStyle w:val="Compact"/>
      </w:pPr>
      <w:r>
        <w:t xml:space="preserve">In der</w:t>
      </w:r>
      <w:r>
        <w:t xml:space="preserve"> </w:t>
      </w:r>
      <w:r>
        <w:rPr>
          <w:bCs/>
          <w:b/>
        </w:rPr>
        <w:t xml:space="preserve">EU</w:t>
      </w:r>
      <w:r>
        <w:t xml:space="preserve"> </w:t>
      </w:r>
      <w:r>
        <w:t xml:space="preserve">werden klinische Prüfungen im Clinical Trials Information System (CTIS) der Europäischen Arzneimittel-Agentur erfasst; ältere Studien finden sich im EU Clinical Trials Register.</w:t>
      </w:r>
    </w:p>
    <w:p>
      <w:pPr>
        <w:numPr>
          <w:ilvl w:val="0"/>
          <w:numId w:val="1020"/>
        </w:numPr>
        <w:pStyle w:val="Compact"/>
      </w:pPr>
      <w:r>
        <w:t xml:space="preserve">Die</w:t>
      </w:r>
      <w:r>
        <w:t xml:space="preserve"> </w:t>
      </w:r>
      <w:r>
        <w:rPr>
          <w:bCs/>
          <w:b/>
        </w:rPr>
        <w:t xml:space="preserve">Weltgesundheitsorganisation</w:t>
      </w:r>
      <w:r>
        <w:t xml:space="preserve"> </w:t>
      </w:r>
      <w:r>
        <w:t xml:space="preserve">bündelt viele nationale Register in einem Suchportal (ICTRP).</w:t>
      </w:r>
    </w:p>
    <w:p>
      <w:pPr>
        <w:pStyle w:val="FirstParagraph"/>
      </w:pPr>
      <w:r>
        <w:t xml:space="preserve">Im Register stehen unter anderem das geplante Studiendesign, die Zahl der Teilnehmenden, der primäre Endpunkt und der Status. So lässt sich prüfen, ob eine veröffentlichte Studie ihre ursprünglich geplanten Endpunkte berichtet – und ob zu einem Stoff Studien begonnen, aber nie veröffentlicht wurden. Für dieses Buch wurden Register vor allem genutzt, um laufende Studien zu finden. Wichtig: Ein Registereintrag ist kein Ergebnis. Dass eine Studie registriert ist, sagt nichts darüber, ob der Stoff wirkt.</w:t>
      </w:r>
    </w:p>
    <w:bookmarkEnd w:id="162"/>
    <w:bookmarkStart w:id="163" w:name="weitere-warnsignale"/>
    <w:p>
      <w:pPr>
        <w:pStyle w:val="Heading3"/>
      </w:pPr>
      <w:r>
        <w:t xml:space="preserve">Weitere Warnsignale</w:t>
      </w:r>
    </w:p>
    <w:p>
      <w:pPr>
        <w:numPr>
          <w:ilvl w:val="0"/>
          <w:numId w:val="1021"/>
        </w:numPr>
        <w:pStyle w:val="Compact"/>
      </w:pPr>
      <w:r>
        <w:rPr>
          <w:bCs/>
          <w:b/>
        </w:rPr>
        <w:t xml:space="preserve">Nur ein Kongress-Abstract oder ein Preprint.</w:t>
      </w:r>
      <w:r>
        <w:t xml:space="preserve"> </w:t>
      </w:r>
      <w:r>
        <w:t xml:space="preserve">Vorabveröffentlichungen (etwa auf medRxiv) und Kongressbeiträge sind noch nicht vollständig begutachtet.</w:t>
      </w:r>
    </w:p>
    <w:p>
      <w:pPr>
        <w:numPr>
          <w:ilvl w:val="0"/>
          <w:numId w:val="1021"/>
        </w:numPr>
        <w:pStyle w:val="Compact"/>
      </w:pPr>
      <w:r>
        <w:rPr>
          <w:bCs/>
          <w:b/>
        </w:rPr>
        <w:t xml:space="preserve">Fachzeitschriften mit fragwürdigen Standards.</w:t>
      </w:r>
      <w:r>
        <w:t xml:space="preserve"> </w:t>
      </w:r>
      <w:r>
        <w:t xml:space="preserve">Manche Zeitschriften veröffentlichen gegen Gebühr nahezu alles.</w:t>
      </w:r>
    </w:p>
    <w:p>
      <w:pPr>
        <w:numPr>
          <w:ilvl w:val="0"/>
          <w:numId w:val="1021"/>
        </w:numPr>
        <w:pStyle w:val="Compact"/>
      </w:pPr>
      <w:r>
        <w:rPr>
          <w:bCs/>
          <w:b/>
        </w:rPr>
        <w:t xml:space="preserve">Studien, die nicht auffindbar sind.</w:t>
      </w:r>
      <w:r>
        <w:t xml:space="preserve"> </w:t>
      </w:r>
      <w:r>
        <w:t xml:space="preserve">Wenn sich eine zitierte Studie in PubMed oder einem Register nicht finden lässt, ist Vorsicht geboten.</w:t>
      </w:r>
    </w:p>
    <w:p>
      <w:pPr>
        <w:numPr>
          <w:ilvl w:val="0"/>
          <w:numId w:val="1021"/>
        </w:numPr>
        <w:pStyle w:val="Compact"/>
      </w:pPr>
      <w:r>
        <w:rPr>
          <w:bCs/>
          <w:b/>
        </w:rPr>
        <w:t xml:space="preserve">Übertragung von Kranken auf Gesunde.</w:t>
      </w:r>
      <w:r>
        <w:t xml:space="preserve"> </w:t>
      </w:r>
      <w:r>
        <w:t xml:space="preserve">Ein Stoff, der bei einer bestimmten Erkrankung hilft, muss bei Gesunden keinen Nutzen haben – das Risiko-Nutzen-Verhältnis ist dort ein völlig anderes.</w:t>
      </w:r>
    </w:p>
    <w:p>
      <w:pPr>
        <w:numPr>
          <w:ilvl w:val="0"/>
          <w:numId w:val="1021"/>
        </w:numPr>
        <w:pStyle w:val="Compact"/>
      </w:pPr>
      <w:r>
        <w:rPr>
          <w:bCs/>
          <w:b/>
        </w:rPr>
        <w:t xml:space="preserve">Übertragung von einem Stoff auf einen anderen.</w:t>
      </w:r>
      <w:r>
        <w:t xml:space="preserve"> </w:t>
      </w:r>
      <w:r>
        <w:t xml:space="preserve">Ergebnisse zu Semaglutid gelten nicht automatisch für ein Graumarkt-Produkt, auf dem „Semaglutid“ steht – und Studien zu Thymosin Beta-4 nicht automatisch für das Fragment „TB-500“.</w:t>
      </w:r>
    </w:p>
    <w:bookmarkEnd w:id="163"/>
    <w:bookmarkStart w:id="164" w:name="zehn-fragen-an-jede-studie"/>
    <w:p>
      <w:pPr>
        <w:pStyle w:val="Heading3"/>
      </w:pPr>
      <w:r>
        <w:t xml:space="preserve">Zehn Fragen an jede Studie</w:t>
      </w:r>
    </w:p>
    <w:p>
      <w:pPr>
        <w:numPr>
          <w:ilvl w:val="0"/>
          <w:numId w:val="1022"/>
        </w:numPr>
        <w:pStyle w:val="Compact"/>
      </w:pPr>
      <w:r>
        <w:t xml:space="preserve">Wurden Menschen untersucht – oder Tiere oder Zellen?</w:t>
      </w:r>
    </w:p>
    <w:p>
      <w:pPr>
        <w:numPr>
          <w:ilvl w:val="0"/>
          <w:numId w:val="1022"/>
        </w:numPr>
        <w:pStyle w:val="Compact"/>
      </w:pPr>
      <w:r>
        <w:t xml:space="preserve">Gab es eine Kontrollgruppe, und wurde zufällig zugeteilt?</w:t>
      </w:r>
    </w:p>
    <w:p>
      <w:pPr>
        <w:numPr>
          <w:ilvl w:val="0"/>
          <w:numId w:val="1022"/>
        </w:numPr>
        <w:pStyle w:val="Compact"/>
      </w:pPr>
      <w:r>
        <w:t xml:space="preserve">War die Studie verblindet?</w:t>
      </w:r>
    </w:p>
    <w:p>
      <w:pPr>
        <w:numPr>
          <w:ilvl w:val="0"/>
          <w:numId w:val="1022"/>
        </w:numPr>
        <w:pStyle w:val="Compact"/>
      </w:pPr>
      <w:r>
        <w:t xml:space="preserve">Wie viele Teilnehmende waren es, und wie lange wurden sie beobachtet?</w:t>
      </w:r>
    </w:p>
    <w:p>
      <w:pPr>
        <w:numPr>
          <w:ilvl w:val="0"/>
          <w:numId w:val="1022"/>
        </w:numPr>
        <w:pStyle w:val="Compact"/>
      </w:pPr>
      <w:r>
        <w:t xml:space="preserve">Wer wurde untersucht – Kranke oder Gesunde, Junge oder Alte?</w:t>
      </w:r>
    </w:p>
    <w:p>
      <w:pPr>
        <w:numPr>
          <w:ilvl w:val="0"/>
          <w:numId w:val="1022"/>
        </w:numPr>
        <w:pStyle w:val="Compact"/>
      </w:pPr>
      <w:r>
        <w:t xml:space="preserve">Was war der primäre Endpunkt: ein harter Endpunkt oder ein Surrogat?</w:t>
      </w:r>
    </w:p>
    <w:p>
      <w:pPr>
        <w:numPr>
          <w:ilvl w:val="0"/>
          <w:numId w:val="1022"/>
        </w:numPr>
        <w:pStyle w:val="Compact"/>
      </w:pPr>
      <w:r>
        <w:t xml:space="preserve">Wie groß war der Unterschied absolut, nicht nur relativ?</w:t>
      </w:r>
    </w:p>
    <w:p>
      <w:pPr>
        <w:numPr>
          <w:ilvl w:val="0"/>
          <w:numId w:val="1022"/>
        </w:numPr>
        <w:pStyle w:val="Compact"/>
      </w:pPr>
      <w:r>
        <w:t xml:space="preserve">Wie viele brachen ab, und welche Nebenwirkungen traten auf?</w:t>
      </w:r>
    </w:p>
    <w:p>
      <w:pPr>
        <w:numPr>
          <w:ilvl w:val="0"/>
          <w:numId w:val="1022"/>
        </w:numPr>
        <w:pStyle w:val="Compact"/>
      </w:pPr>
      <w:r>
        <w:t xml:space="preserve">Wer hat die Studie bezahlt, und wurden die Ergebnisse unabhängig bestätigt?</w:t>
      </w:r>
    </w:p>
    <w:p>
      <w:pPr>
        <w:numPr>
          <w:ilvl w:val="0"/>
          <w:numId w:val="1022"/>
        </w:numPr>
        <w:pStyle w:val="Compact"/>
      </w:pPr>
      <w:r>
        <w:t xml:space="preserve">War die Studie vorab registriert, und stimmen die berichteten Endpunkte mit dem Register überein?</w:t>
      </w:r>
    </w:p>
    <w:bookmarkEnd w:id="164"/>
    <w:bookmarkStart w:id="165" w:name="wie-dieses-buch-die-evidenz-einstuft"/>
    <w:p>
      <w:pPr>
        <w:pStyle w:val="Heading3"/>
      </w:pPr>
      <w:r>
        <w:t xml:space="preserve">Wie dieses Buch die Evidenz einstuft</w:t>
      </w:r>
    </w:p>
    <w:p>
      <w:pPr>
        <w:pStyle w:val="FirstParagraph"/>
      </w:pPr>
      <w:r>
        <w:t xml:space="preserve">Jedes Peptid in Teil II erhält eine Evidenzstufe:</w:t>
      </w:r>
    </w:p>
    <w:p>
      <w:pPr>
        <w:numPr>
          <w:ilvl w:val="0"/>
          <w:numId w:val="1023"/>
        </w:numPr>
        <w:pStyle w:val="Compact"/>
      </w:pPr>
      <w:r>
        <w:rPr>
          <w:bCs/>
          <w:b/>
        </w:rPr>
        <w:t xml:space="preserve">A</w:t>
      </w:r>
      <w:r>
        <w:t xml:space="preserve">: mehrere große randomisierte Studien am Menschen, Zulassung als Arzneimittel.</w:t>
      </w:r>
    </w:p>
    <w:p>
      <w:pPr>
        <w:numPr>
          <w:ilvl w:val="0"/>
          <w:numId w:val="1023"/>
        </w:numPr>
        <w:pStyle w:val="Compact"/>
      </w:pPr>
      <w:r>
        <w:rPr>
          <w:bCs/>
          <w:b/>
        </w:rPr>
        <w:t xml:space="preserve">B</w:t>
      </w:r>
      <w:r>
        <w:t xml:space="preserve">: einzelne randomisierte Studien am Menschen.</w:t>
      </w:r>
    </w:p>
    <w:p>
      <w:pPr>
        <w:numPr>
          <w:ilvl w:val="0"/>
          <w:numId w:val="1023"/>
        </w:numPr>
        <w:pStyle w:val="Compact"/>
      </w:pPr>
      <w:r>
        <w:rPr>
          <w:bCs/>
          <w:b/>
        </w:rPr>
        <w:t xml:space="preserve">C</w:t>
      </w:r>
      <w:r>
        <w:t xml:space="preserve">: nur kleine oder unkontrollierte Humanstudien.</w:t>
      </w:r>
    </w:p>
    <w:p>
      <w:pPr>
        <w:numPr>
          <w:ilvl w:val="0"/>
          <w:numId w:val="1023"/>
        </w:numPr>
        <w:pStyle w:val="Compact"/>
      </w:pPr>
      <w:r>
        <w:rPr>
          <w:bCs/>
          <w:b/>
        </w:rPr>
        <w:t xml:space="preserve">D</w:t>
      </w:r>
      <w:r>
        <w:t xml:space="preserve">: nur Tier- und Laborstudien.</w:t>
      </w:r>
    </w:p>
    <w:p>
      <w:pPr>
        <w:pStyle w:val="FirstParagraph"/>
      </w:pPr>
      <w:r>
        <w:t xml:space="preserve">Die Stufe bewertet die</w:t>
      </w:r>
      <w:r>
        <w:t xml:space="preserve"> </w:t>
      </w:r>
      <w:r>
        <w:rPr>
          <w:bCs/>
          <w:b/>
        </w:rPr>
        <w:t xml:space="preserve">Menge und Qualität der Daten am Menschen</w:t>
      </w:r>
      <w:r>
        <w:t xml:space="preserve">, nicht, ob ein Stoff „gut“ oder „schlecht“ ist. Ein Peptid mit Stufe A kann erhebliche Nebenwirkungen haben, und ein Peptid mit Stufe D kann in Zukunft durchaus nützlich sein – es ist eben nur noch nicht ausreichend untersucht. Die Einstufung gilt zudem für eine bestimmte Anwendung: Ein Stoff kann für eine Erkrankung gut belegt sein und für eine andere gar nicht.</w:t>
      </w:r>
    </w:p>
    <w:bookmarkEnd w:id="165"/>
    <w:bookmarkStart w:id="166" w:name="das-wichtigste-in-kürze-2"/>
    <w:p>
      <w:pPr>
        <w:pStyle w:val="Heading3"/>
      </w:pPr>
      <w:r>
        <w:t xml:space="preserve">Das Wichtigste in Kürze</w:t>
      </w:r>
    </w:p>
    <w:p>
      <w:pPr>
        <w:numPr>
          <w:ilvl w:val="0"/>
          <w:numId w:val="1024"/>
        </w:numPr>
        <w:pStyle w:val="Compact"/>
      </w:pPr>
      <w:r>
        <w:t xml:space="preserve">Labor- und Tierstudien liefern Hinweise auf Mechanismen, aber keinen Beleg für einen Nutzen beim Menschen.</w:t>
      </w:r>
    </w:p>
    <w:p>
      <w:pPr>
        <w:numPr>
          <w:ilvl w:val="0"/>
          <w:numId w:val="1024"/>
        </w:numPr>
        <w:pStyle w:val="Compact"/>
      </w:pPr>
      <w:r>
        <w:t xml:space="preserve">Der randomisierte, kontrollierte, verblindete Vergleich ist der verlässlichste Weg, eine Wirkung nachzuweisen.</w:t>
      </w:r>
    </w:p>
    <w:p>
      <w:pPr>
        <w:numPr>
          <w:ilvl w:val="0"/>
          <w:numId w:val="1024"/>
        </w:numPr>
        <w:pStyle w:val="Compact"/>
      </w:pPr>
      <w:r>
        <w:t xml:space="preserve">Surrogat-Endpunkte wie Laborwerte können in die Irre führen; harte Endpunkte zählen.</w:t>
      </w:r>
    </w:p>
    <w:p>
      <w:pPr>
        <w:numPr>
          <w:ilvl w:val="0"/>
          <w:numId w:val="1024"/>
        </w:numPr>
        <w:pStyle w:val="Compact"/>
      </w:pPr>
      <w:r>
        <w:t xml:space="preserve">Relative Zahlen klingen größer als absolute. Frag immer nach der Ausgangshäufigkeit.</w:t>
      </w:r>
    </w:p>
    <w:p>
      <w:pPr>
        <w:numPr>
          <w:ilvl w:val="0"/>
          <w:numId w:val="1024"/>
        </w:numPr>
        <w:pStyle w:val="Compact"/>
      </w:pPr>
      <w:r>
        <w:t xml:space="preserve">Finanzierung, Veröffentlichungsverzerrung und fehlende Bestätigung durch unabhängige Gruppen können das Bild verzerren. Studienregister helfen, das zu prüfen.</w:t>
      </w:r>
    </w:p>
    <w:bookmarkEnd w:id="166"/>
    <w:bookmarkEnd w:id="167"/>
    <w:bookmarkStart w:id="212" w:name="der-graumarkt"/>
    <w:p>
      <w:pPr>
        <w:pStyle w:val="Heading2"/>
      </w:pPr>
      <w:r>
        <w:t xml:space="preserve">Der Graumarkt</w:t>
      </w:r>
    </w:p>
    <w:p>
      <w:pPr>
        <w:pStyle w:val="FirstParagraph"/>
      </w:pPr>
      <w:r>
        <w:t xml:space="preserve">Wer im Internet nach Peptiden sucht, landet schnell bei Online-Shops mit professionell wirkenden Seiten, Laborfotos und Reinheitszertifikaten. Angeboten werden Fläschchen mit weißem Pulver: BPC-157, TB-500, Ipamorelin, Melanotan II – und zunehmend auch Semaglutid, Tirzepatid oder noch gar nicht zugelassene Wirkstoffe wie Retatrutid. Fast immer steht irgendwo der Hinweis „Research Use Only“ oder „not for human consumption“ – nur für Forschungszwecke, nicht zur Anwendung am Menschen.</w:t>
      </w:r>
    </w:p>
    <w:p>
      <w:pPr>
        <w:pStyle w:val="BodyText"/>
      </w:pPr>
      <w:r>
        <w:t xml:space="preserve">Dieses Kapitel beschreibt, was über diesen Markt bekannt ist: aus Laboranalysen gekaufter und beschlagnahmter Produkte, aus Fallberichten von Vergiftungen und aus Auswertungen von Nebenwirkungsmeldungen. Es soll dir helfen, die Risiken realistisch einzuschätzen. Bezugsquellen werden in diesem Buch grundsätzlich nicht genannt.</w:t>
      </w:r>
    </w:p>
    <w:bookmarkStart w:id="170" w:name="was-research-peptides-sind"/>
    <w:p>
      <w:pPr>
        <w:pStyle w:val="Heading3"/>
      </w:pPr>
      <w:r>
        <w:t xml:space="preserve">Was „Research Peptides“ sind</w:t>
      </w:r>
    </w:p>
    <w:p>
      <w:pPr>
        <w:pStyle w:val="FirstParagraph"/>
      </w:pPr>
      <w:r>
        <w:t xml:space="preserve">Als „Research Peptides“ oder „Research Chemicals“ werden Stoffe bezeichnet, die offiziell nur an Labore für Forschungszwecke verkauft werden. Der Aufdruck „nicht zur Anwendung am Menschen“ soll den Verkauf rechtlich absichern: Ein Produkt, das nicht als Arzneimittel angeboten wird, muss – so die Logik der Anbieter – auch keine Arzneimittelzulassung haben. In der Praxis richten sich viele dieser Shops aber erkennbar an Privatpersonen, die die Stoffe selbst spritzen wollen. Ob diese Konstruktion rechtlich trägt, wird im nächsten Kapitel besprochen; in vielen Fällen tut sie es nicht.</w:t>
      </w:r>
    </w:p>
    <w:p>
      <w:pPr>
        <w:pStyle w:val="BodyText"/>
      </w:pPr>
      <w:r>
        <w:t xml:space="preserve">Eine Übersicht beschreibt das Muster am Beispiel von Semaglutid und Tirzepatid: Hersteller verkaufen Fläschchen „nur für Forschungszwecke“ oder „nicht zum menschlichen Verzehr“ direkt an Verbraucher, oft ohne die Materialien und das Wissen, die nötig wären, um den Wirkstoff aufzulösen, aufzuziehen und zu spritzen. Damit werden Ärztinnen, Ärzte und Apotheken umgangen – und mit ihnen die Prüfung auf Wechselwirkungen und die medizinische Überwachung</w:t>
      </w:r>
      <w:r>
        <w:rPr>
          <w:rStyle w:val="FootnoteReference"/>
        </w:rPr>
        <w:footnoteReference w:id="168"/>
      </w:r>
      <w:r>
        <w:t xml:space="preserve">.</w:t>
      </w:r>
    </w:p>
    <w:p>
      <w:pPr>
        <w:pStyle w:val="BodyText"/>
      </w:pPr>
      <w:r>
        <w:t xml:space="preserve">Wie schwierig die Anwendung für Laien ist, untersuchte eine kleine Studie an einer US-Universität. 20 Erwachsene sollten anhand von Internetinformationen die nötigen Schritte durchführen, um ein solches Semaglutid-Pulver aufzulösen und eine Spritze vorzubereiten. Von 34 Arbeitsschritten führten sie im Mittel 15 korrekt aus. Die Forschenden beobachteten Fehler, die zu falscher Dosierung, Nadelstichverletzungen oder Infektionen führen könnten</w:t>
      </w:r>
      <w:r>
        <w:rPr>
          <w:rStyle w:val="FootnoteReference"/>
        </w:rPr>
        <w:footnoteReference w:id="169"/>
      </w:r>
      <w:r>
        <w:t xml:space="preserve">.</w:t>
      </w:r>
    </w:p>
    <w:bookmarkEnd w:id="170"/>
    <w:bookmarkStart w:id="185" w:name="Xafcd743d57f83ef58ef1567de701afc24b717a6"/>
    <w:p>
      <w:pPr>
        <w:pStyle w:val="Heading3"/>
      </w:pPr>
      <w:r>
        <w:t xml:space="preserve">Was in den Fläschchen steckt: Laboranalysen</w:t>
      </w:r>
    </w:p>
    <w:p>
      <w:pPr>
        <w:pStyle w:val="FirstParagraph"/>
      </w:pPr>
      <w:r>
        <w:t xml:space="preserve">Die verlässlichsten Informationen über Graumarkt-Produkte stammen aus Laboranalysen. Sie werden vor allem von Anti-Doping-Laboren, Arzneimittelbehörden und einzelnen Forschungsgruppen durchgeführt, die Produkte gezielt kaufen oder von Zoll und Polizei erhalten.</w:t>
      </w:r>
    </w:p>
    <w:bookmarkStart w:id="172" w:name="Xe62cae00f42949beb6dfab9a7e12026cfbd6bbc"/>
    <w:p>
      <w:pPr>
        <w:pStyle w:val="Heading4"/>
      </w:pPr>
      <w:r>
        <w:t xml:space="preserve">Semaglutid aus illegalen Online-Apotheken</w:t>
      </w:r>
    </w:p>
    <w:p>
      <w:pPr>
        <w:pStyle w:val="FirstParagraph"/>
      </w:pPr>
      <w:r>
        <w:t xml:space="preserve">Eine besonders gründliche Untersuchung kombinierte eine Marktanalyse mit Testkäufen</w:t>
      </w:r>
      <w:r>
        <w:rPr>
          <w:rStyle w:val="FootnoteReference"/>
        </w:rPr>
        <w:footnoteReference w:id="171"/>
      </w:r>
      <w:r>
        <w:t xml:space="preserve">. Die Forschenden werteten 1.080 Links aus Suchmaschinen aus. 317 führten zu Online-Apotheken, davon 134 zu 59 verschiedenen illegalen Websites. Die 30 wichtigsten Domains mit Verbindung zu illegalen Apotheken verzeichneten in drei Monaten des Jahres 2023 über 4,7 Millionen Besuche.</w:t>
      </w:r>
    </w:p>
    <w:p>
      <w:pPr>
        <w:pStyle w:val="BodyText"/>
      </w:pPr>
      <w:r>
        <w:t xml:space="preserve">Bei sechs illegalen Anbietern wurden Testkäufe durchgeführt. Die Ergebnisse:</w:t>
      </w:r>
    </w:p>
    <w:p>
      <w:pPr>
        <w:numPr>
          <w:ilvl w:val="0"/>
          <w:numId w:val="1025"/>
        </w:numPr>
        <w:pStyle w:val="Compact"/>
      </w:pPr>
      <w:r>
        <w:t xml:space="preserve">Drei bestellte Ozempic-Fertigpens kamen nie an – es handelte sich um Betrug ohne Lieferung.</w:t>
      </w:r>
    </w:p>
    <w:p>
      <w:pPr>
        <w:numPr>
          <w:ilvl w:val="0"/>
          <w:numId w:val="1025"/>
        </w:numPr>
        <w:pStyle w:val="Compact"/>
      </w:pPr>
      <w:r>
        <w:t xml:space="preserve">Drei Fläschchen mit Pulver wurden geliefert. Alle galten als wahrscheinlich minderwertig oder gefälscht; bei der Sichtprüfung erfüllten sie 59 bis 63 % der Kriterien nicht.</w:t>
      </w:r>
    </w:p>
    <w:p>
      <w:pPr>
        <w:numPr>
          <w:ilvl w:val="0"/>
          <w:numId w:val="1025"/>
        </w:numPr>
        <w:pStyle w:val="Compact"/>
      </w:pPr>
      <w:r>
        <w:t xml:space="preserve">Der Semaglutid-Gehalt lag 28,6 bis 38,7 %</w:t>
      </w:r>
      <w:r>
        <w:t xml:space="preserve"> </w:t>
      </w:r>
      <w:r>
        <w:rPr>
          <w:bCs/>
          <w:b/>
        </w:rPr>
        <w:t xml:space="preserve">über</w:t>
      </w:r>
      <w:r>
        <w:t xml:space="preserve"> </w:t>
      </w:r>
      <w:r>
        <w:t xml:space="preserve">der angegebenen Menge.</w:t>
      </w:r>
    </w:p>
    <w:p>
      <w:pPr>
        <w:numPr>
          <w:ilvl w:val="0"/>
          <w:numId w:val="1025"/>
        </w:numPr>
        <w:pStyle w:val="Compact"/>
      </w:pPr>
      <w:r>
        <w:t xml:space="preserve">Die gemessene Reinheit betrug nur 7,7 bis 14,4 % – statt der auf dem Etikett versprochenen 99 %.</w:t>
      </w:r>
    </w:p>
    <w:p>
      <w:pPr>
        <w:numPr>
          <w:ilvl w:val="0"/>
          <w:numId w:val="1025"/>
        </w:numPr>
        <w:pStyle w:val="Compact"/>
      </w:pPr>
      <w:r>
        <w:t xml:space="preserve">Lebende Keime wurden nicht gefunden, aber in</w:t>
      </w:r>
      <w:r>
        <w:t xml:space="preserve"> </w:t>
      </w:r>
      <w:r>
        <w:rPr>
          <w:bCs/>
          <w:b/>
        </w:rPr>
        <w:t xml:space="preserve">allen</w:t>
      </w:r>
      <w:r>
        <w:t xml:space="preserve"> </w:t>
      </w:r>
      <w:r>
        <w:t xml:space="preserve">Proben waren Endotoxine nachweisbar.</w:t>
      </w:r>
    </w:p>
    <w:p>
      <w:pPr>
        <w:pStyle w:val="FirstParagraph"/>
      </w:pPr>
      <w:r>
        <w:t xml:space="preserve">Diese Studie zeigt mehrere typische Probleme gleichzeitig: falsche Mengenangaben, geringe Reinheit, Verunreinigung und schlichten Betrug.</w:t>
      </w:r>
    </w:p>
    <w:bookmarkEnd w:id="172"/>
    <w:bookmarkStart w:id="174" w:name="X2d2112dc0328416966f297acab3ee717de71943"/>
    <w:p>
      <w:pPr>
        <w:pStyle w:val="Heading4"/>
      </w:pPr>
      <w:r>
        <w:t xml:space="preserve">Nachahmerprodukte im Vergleich zum Original</w:t>
      </w:r>
    </w:p>
    <w:p>
      <w:pPr>
        <w:pStyle w:val="FirstParagraph"/>
      </w:pPr>
      <w:r>
        <w:t xml:space="preserve">Eine weitere Untersuchung analysierte 16 injizierbare und 8 orale Semaglutid-Nachahmerprodukte sowie 2 Liraglutid-Nachahmer und verglich sie mit den Originalpräparaten</w:t>
      </w:r>
      <w:r>
        <w:rPr>
          <w:rStyle w:val="FootnoteReference"/>
        </w:rPr>
        <w:footnoteReference w:id="173"/>
      </w:r>
      <w:r>
        <w:t xml:space="preserve">. Gefunden wurden neue Verunreinigungen, darunter größere Eiweißmoleküle, Spurenmetalle und Lösungsmittelreste. Mehrere orale Präparate enthielten deutlich weniger Semaglutid als angegeben. Zudem wurden Strukturen gefunden, die nach Computervorhersage vom Immunsystem erkannt werden könnten. Da die Studie vom Hersteller der Originalpräparate stammt, ist sie mit entsprechender Vorsicht zu lesen; die beschriebenen Probleme decken sich aber mit unabhängigen Befunden.</w:t>
      </w:r>
    </w:p>
    <w:bookmarkEnd w:id="174"/>
    <w:bookmarkStart w:id="176" w:name="melanotan-ii-aus-online-shops"/>
    <w:p>
      <w:pPr>
        <w:pStyle w:val="Heading4"/>
      </w:pPr>
      <w:r>
        <w:t xml:space="preserve">Melanotan II aus Online-Shops</w:t>
      </w:r>
    </w:p>
    <w:p>
      <w:pPr>
        <w:pStyle w:val="FirstParagraph"/>
      </w:pPr>
      <w:r>
        <w:t xml:space="preserve">Für das Bräunungspeptid Melanotan II untersuchte eine Forschungsgruppe Fläschchen aus drei Online-Shops. Alle Shops gaben 10 mg pro Fläschchen an; tatsächlich enthielten die Fläschchen zwischen 4,32 und 8,84 mg. In Produkten von zwei Shops fanden sich unbekannte Verunreinigungen von 4,1 bis 5,9 %</w:t>
      </w:r>
      <w:r>
        <w:rPr>
          <w:rStyle w:val="FootnoteReference"/>
        </w:rPr>
        <w:footnoteReference w:id="175"/>
      </w:r>
      <w:r>
        <w:t xml:space="preserve">.</w:t>
      </w:r>
    </w:p>
    <w:bookmarkEnd w:id="176"/>
    <w:bookmarkStart w:id="184" w:name="Xbb8be01c4d47c8ea49401f8af69029bc475fb02"/>
    <w:p>
      <w:pPr>
        <w:pStyle w:val="Heading4"/>
      </w:pPr>
      <w:r>
        <w:t xml:space="preserve">Beschlagnahmte Produkte aus dem Dopingumfeld</w:t>
      </w:r>
    </w:p>
    <w:p>
      <w:pPr>
        <w:pStyle w:val="FirstParagraph"/>
      </w:pPr>
      <w:r>
        <w:t xml:space="preserve">Das Kölner Anti-Doping-Labor analysiert seit Jahren beschlagnahmte Produkte. In einem Bericht über das Jahr 2009 beschrieb es unter anderem als Wachstumshormon beschriftete Fläschchen ohne jeden pharmakologisch aktiven Inhalt, ungereinigtes Long-R3-IGF-1 und Nahrungsergänzungsmittel, die das Wachstumshormon-freisetzende Peptid GHRP-2 enthielten</w:t>
      </w:r>
      <w:r>
        <w:rPr>
          <w:rStyle w:val="FootnoteReference"/>
        </w:rPr>
        <w:footnoteReference w:id="177"/>
      </w:r>
      <w:r>
        <w:t xml:space="preserve">. In Tabletten, die als frei verkäufliches Nahrungsergänzungsmittel angeboten wurden, wurden etwa 50 Mikrogramm GHRP-2 pro Tablette gemessen</w:t>
      </w:r>
      <w:r>
        <w:rPr>
          <w:rStyle w:val="FootnoteReference"/>
        </w:rPr>
        <w:footnoteReference w:id="178"/>
      </w:r>
      <w:r>
        <w:t xml:space="preserve"> </w:t>
      </w:r>
      <w:r>
        <w:t xml:space="preserve">– ein Stoff, der im Sport verboten ist und für den es keine Zulassung gibt.</w:t>
      </w:r>
    </w:p>
    <w:p>
      <w:pPr>
        <w:pStyle w:val="BodyText"/>
      </w:pPr>
      <w:r>
        <w:t xml:space="preserve">Zwischen 2010 und 2013 analysierte dasselbe Labor 337 weitere Produkte. Auf Peptidhormone und Wachstumsfaktoren entfielen 12,8 %, vor allem Wachstumshormon und Wachstumshormon-freisetzende Peptide. Zu den auffälligen Funden zählten Thymosin Beta-4 und ein Fusionsprotein mit unbekannter biologischer Wirkung</w:t>
      </w:r>
      <w:r>
        <w:rPr>
          <w:rStyle w:val="FootnoteReference"/>
        </w:rPr>
        <w:footnoteReference w:id="179"/>
      </w:r>
      <w:r>
        <w:t xml:space="preserve">. In Norwegen enthielten 28 % der zwischen 2011 und 2014 beschlagnahmten und analysierten Produkte peptid- oder eiweißbasierte Dopingmittel</w:t>
      </w:r>
      <w:r>
        <w:rPr>
          <w:rStyle w:val="FootnoteReference"/>
        </w:rPr>
        <w:footnoteReference w:id="180"/>
      </w:r>
      <w:r>
        <w:t xml:space="preserve">.</w:t>
      </w:r>
    </w:p>
    <w:p>
      <w:pPr>
        <w:pStyle w:val="BodyText"/>
      </w:pPr>
      <w:r>
        <w:t xml:space="preserve">Ein späterer Kölner Bericht beschreibt abgewandelte Varianten bekannter Peptide, die nicht als Arzneimittel existieren: Gly-GHRP-6, Gly-GHRP-2 und Gly-Ipamorelin – also die jeweiligen Peptide mit einer zusätzlichen Aminosäure Glycin am Anfang – sowie eine leicht veränderte Form des Wachstumshormons</w:t>
      </w:r>
      <w:r>
        <w:rPr>
          <w:rStyle w:val="FootnoteReference"/>
        </w:rPr>
        <w:footnoteReference w:id="181"/>
      </w:r>
      <w:r>
        <w:t xml:space="preserve">. Solche Abwandlungen sind möglicherweise Versuche, Dopingtests zu umgehen; ihre Wirkung und Sicherheit beim Menschen sind unbekannt.</w:t>
      </w:r>
    </w:p>
    <w:p>
      <w:pPr>
        <w:pStyle w:val="BodyText"/>
      </w:pPr>
      <w:r>
        <w:t xml:space="preserve">Auch BPC-157 wurde in beschlagnahmten Fläschchen identifiziert. Eine Forschungsgruppe entwickelte daraufhin ein Nachweisverfahren für Urinproben</w:t>
      </w:r>
      <w:r>
        <w:rPr>
          <w:rStyle w:val="FootnoteReference"/>
        </w:rPr>
        <w:footnoteReference w:id="182"/>
      </w:r>
      <w:r>
        <w:t xml:space="preserve">.</w:t>
      </w:r>
    </w:p>
    <w:p>
      <w:pPr>
        <w:pStyle w:val="BodyText"/>
      </w:pPr>
      <w:r>
        <w:t xml:space="preserve">Eine Übersichtsarbeit fasst zusammen, dass bei gefälschten Peptid- und Eiweiß-Arzneimitteln immer wieder der falsche Wirkstoff, die falsche Menge oder gar kein Wirkstoff gefunden wurde, dass giftige Verunreinigungen und herstellungsbedingte Nebenprodukte zu gesundheitlichen Schäden führten und dass in Beschlagnahmungen auch Substanzen auftauchten, die in klinischen Studien gescheitert waren oder sich noch in der Tierversuchsphase befanden</w:t>
      </w:r>
      <w:r>
        <w:rPr>
          <w:rStyle w:val="FootnoteReference"/>
        </w:rPr>
        <w:footnoteReference w:id="183"/>
      </w:r>
      <w:r>
        <w:t xml:space="preserve">.</w:t>
      </w:r>
    </w:p>
    <w:bookmarkEnd w:id="184"/>
    <w:bookmarkEnd w:id="185"/>
    <w:bookmarkStart w:id="186" w:name="Xdbf9ecf678eba8be8748312e5bd4dce3f2f47c2"/>
    <w:p>
      <w:pPr>
        <w:pStyle w:val="Heading3"/>
      </w:pPr>
      <w:r>
        <w:t xml:space="preserve">Die typischen Qualitätsprobleme im Überblick</w:t>
      </w:r>
    </w:p>
    <w:p>
      <w:pPr>
        <w:pStyle w:val="FirstParagraph"/>
      </w:pPr>
      <w:r>
        <w:t xml:space="preserve">Aus diesen Analysen ergibt sich ein wiederkehrendes Bild: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Folge</w:t>
            </w:r>
          </w:p>
        </w:tc>
        <w:tc>
          <w:tcPr/>
          <w:p>
            <w:pPr>
              <w:pStyle w:val="Compact"/>
              <w:jc w:val="left"/>
            </w:pPr>
            <w:r>
              <w:t xml:space="preserve">Beispiel</w:t>
            </w:r>
          </w:p>
        </w:tc>
      </w:tr>
      <w:tr>
        <w:tc>
          <w:tcPr/>
          <w:p>
            <w:pPr>
              <w:pStyle w:val="Compact"/>
              <w:jc w:val="left"/>
            </w:pPr>
            <w:r>
              <w:t xml:space="preserve">Zu viel Wirkstoff</w:t>
            </w:r>
          </w:p>
        </w:tc>
        <w:tc>
          <w:tcPr/>
          <w:p>
            <w:pPr>
              <w:pStyle w:val="Compact"/>
              <w:jc w:val="left"/>
            </w:pPr>
            <w:r>
              <w:t xml:space="preserve">Überdosierung, mehr Nebenwirkungen</w:t>
            </w:r>
          </w:p>
        </w:tc>
        <w:tc>
          <w:tcPr/>
          <w:p>
            <w:pPr>
              <w:pStyle w:val="Compact"/>
              <w:jc w:val="left"/>
            </w:pPr>
            <w:r>
              <w:t xml:space="preserve">Semaglutid bis 38,7 % über Angabe</w:t>
            </w:r>
          </w:p>
        </w:tc>
      </w:tr>
      <w:tr>
        <w:tc>
          <w:tcPr/>
          <w:p>
            <w:pPr>
              <w:pStyle w:val="Compact"/>
              <w:jc w:val="left"/>
            </w:pPr>
            <w:r>
              <w:t xml:space="preserve">Zu wenig Wirkstoff</w:t>
            </w:r>
          </w:p>
        </w:tc>
        <w:tc>
          <w:tcPr/>
          <w:p>
            <w:pPr>
              <w:pStyle w:val="Compact"/>
              <w:jc w:val="left"/>
            </w:pPr>
            <w:r>
              <w:t xml:space="preserve">Wirkungslosigkeit</w:t>
            </w:r>
          </w:p>
        </w:tc>
        <w:tc>
          <w:tcPr/>
          <w:p>
            <w:pPr>
              <w:pStyle w:val="Compact"/>
              <w:jc w:val="left"/>
            </w:pPr>
            <w:r>
              <w:t xml:space="preserve">Melanotan II 4,32 statt 10 mg</w:t>
            </w:r>
          </w:p>
        </w:tc>
      </w:tr>
      <w:tr>
        <w:tc>
          <w:tcPr/>
          <w:p>
            <w:pPr>
              <w:pStyle w:val="Compact"/>
              <w:jc w:val="left"/>
            </w:pPr>
            <w:r>
              <w:t xml:space="preserve">Falscher Wirkstoff</w:t>
            </w:r>
          </w:p>
        </w:tc>
        <w:tc>
          <w:tcPr/>
          <w:p>
            <w:pPr>
              <w:pStyle w:val="Compact"/>
              <w:jc w:val="left"/>
            </w:pPr>
            <w:r>
              <w:t xml:space="preserve">unvorhersehbare, teils lebensgefährliche Wirkung</w:t>
            </w:r>
          </w:p>
        </w:tc>
        <w:tc>
          <w:tcPr/>
          <w:p>
            <w:pPr>
              <w:pStyle w:val="Compact"/>
              <w:jc w:val="left"/>
            </w:pPr>
            <w:r>
              <w:t xml:space="preserve">Insulin statt Semaglutid</w:t>
            </w:r>
          </w:p>
        </w:tc>
      </w:tr>
      <w:tr>
        <w:tc>
          <w:tcPr/>
          <w:p>
            <w:pPr>
              <w:pStyle w:val="Compact"/>
              <w:jc w:val="left"/>
            </w:pPr>
            <w:r>
              <w:t xml:space="preserve">Kein Wirkstoff</w:t>
            </w:r>
          </w:p>
        </w:tc>
        <w:tc>
          <w:tcPr/>
          <w:p>
            <w:pPr>
              <w:pStyle w:val="Compact"/>
              <w:jc w:val="left"/>
            </w:pPr>
            <w:r>
              <w:t xml:space="preserve">Betrug, Wirkungslosigkeit</w:t>
            </w:r>
          </w:p>
        </w:tc>
        <w:tc>
          <w:tcPr/>
          <w:p>
            <w:pPr>
              <w:pStyle w:val="Compact"/>
              <w:jc w:val="left"/>
            </w:pPr>
            <w:r>
              <w:t xml:space="preserve">leere „Wachstumshormon“-Fläschchen</w:t>
            </w:r>
          </w:p>
        </w:tc>
      </w:tr>
      <w:tr>
        <w:tc>
          <w:tcPr/>
          <w:p>
            <w:pPr>
              <w:pStyle w:val="Compact"/>
              <w:jc w:val="left"/>
            </w:pPr>
            <w:r>
              <w:t xml:space="preserve">Verunreinigungen</w:t>
            </w:r>
          </w:p>
        </w:tc>
        <w:tc>
          <w:tcPr/>
          <w:p>
            <w:pPr>
              <w:pStyle w:val="Compact"/>
              <w:jc w:val="left"/>
            </w:pPr>
            <w:r>
              <w:t xml:space="preserve">Immunreaktionen, Giftwirkung</w:t>
            </w:r>
          </w:p>
        </w:tc>
        <w:tc>
          <w:tcPr/>
          <w:p>
            <w:pPr>
              <w:pStyle w:val="Compact"/>
              <w:jc w:val="left"/>
            </w:pPr>
            <w:r>
              <w:t xml:space="preserve">Nebenprodukte der Synthese</w:t>
            </w:r>
          </w:p>
        </w:tc>
      </w:tr>
      <w:tr>
        <w:tc>
          <w:tcPr/>
          <w:p>
            <w:pPr>
              <w:pStyle w:val="Compact"/>
              <w:jc w:val="left"/>
            </w:pPr>
            <w:r>
              <w:t xml:space="preserve">Endotoxine</w:t>
            </w:r>
          </w:p>
        </w:tc>
        <w:tc>
          <w:tcPr/>
          <w:p>
            <w:pPr>
              <w:pStyle w:val="Compact"/>
              <w:jc w:val="left"/>
            </w:pPr>
            <w:r>
              <w:t xml:space="preserve">Fieber, Entzündung, Kreislaufreaktionen</w:t>
            </w:r>
          </w:p>
        </w:tc>
        <w:tc>
          <w:tcPr/>
          <w:p>
            <w:pPr>
              <w:pStyle w:val="Compact"/>
              <w:jc w:val="left"/>
            </w:pPr>
            <w:r>
              <w:t xml:space="preserve">in allen Semaglutid-Testkäufen</w:t>
            </w:r>
          </w:p>
        </w:tc>
      </w:tr>
    </w:tbl>
    <w:bookmarkEnd w:id="186"/>
    <w:bookmarkStart w:id="188" w:name="X23058d267f27af8e982c29afd2d195d6e057aab"/>
    <w:p>
      <w:pPr>
        <w:pStyle w:val="Heading3"/>
      </w:pPr>
      <w:r>
        <w:t xml:space="preserve">Reinheit: Was die Prozentzahl bedeutet – und was nicht</w:t>
      </w:r>
    </w:p>
    <w:p>
      <w:pPr>
        <w:pStyle w:val="FirstParagraph"/>
      </w:pPr>
      <w:r>
        <w:t xml:space="preserve">Viele Anbieter werben mit „99 % Reinheit“ und legen Analysezertifikate bei. Dazu einige Hinweise:</w:t>
      </w:r>
    </w:p>
    <w:p>
      <w:pPr>
        <w:numPr>
          <w:ilvl w:val="0"/>
          <w:numId w:val="1026"/>
        </w:numPr>
        <w:pStyle w:val="Compact"/>
      </w:pPr>
      <w:r>
        <w:rPr>
          <w:bCs/>
          <w:b/>
        </w:rPr>
        <w:t xml:space="preserve">Reinheit misst nur bestimmte Verunreinigungen.</w:t>
      </w:r>
      <w:r>
        <w:t xml:space="preserve"> </w:t>
      </w:r>
      <w:r>
        <w:t xml:space="preserve">Eine typische Messung (Hochleistungsflüssigchromatographie, HPLC) zeigt, wie viel Prozent der messbaren Peptid-Signale auf den gewünschten Stoff entfallen. Nicht erfasst werden oft Salze, Wasser, Lösungsmittelreste, Metalle oder Endotoxine.</w:t>
      </w:r>
    </w:p>
    <w:p>
      <w:pPr>
        <w:numPr>
          <w:ilvl w:val="0"/>
          <w:numId w:val="1026"/>
        </w:numPr>
        <w:pStyle w:val="Compact"/>
      </w:pPr>
      <w:r>
        <w:rPr>
          <w:bCs/>
          <w:b/>
        </w:rPr>
        <w:t xml:space="preserve">Reinheit sagt nichts über die Menge.</w:t>
      </w:r>
      <w:r>
        <w:t xml:space="preserve"> </w:t>
      </w:r>
      <w:r>
        <w:t xml:space="preserve">Ein Fläschchen kann einen sehr reinen Stoff enthalten, aber in falscher Menge.</w:t>
      </w:r>
    </w:p>
    <w:p>
      <w:pPr>
        <w:numPr>
          <w:ilvl w:val="0"/>
          <w:numId w:val="1026"/>
        </w:numPr>
        <w:pStyle w:val="Compact"/>
      </w:pPr>
      <w:r>
        <w:rPr>
          <w:bCs/>
          <w:b/>
        </w:rPr>
        <w:t xml:space="preserve">Reinheit sagt nichts über Sterilität.</w:t>
      </w:r>
      <w:r>
        <w:t xml:space="preserve"> </w:t>
      </w:r>
      <w:r>
        <w:t xml:space="preserve">Ein Pulver kann chemisch rein und trotzdem mit Bakterien oder Bakterienbestandteilen verunreinigt sein.</w:t>
      </w:r>
    </w:p>
    <w:p>
      <w:pPr>
        <w:numPr>
          <w:ilvl w:val="0"/>
          <w:numId w:val="1026"/>
        </w:numPr>
        <w:pStyle w:val="Compact"/>
      </w:pPr>
      <w:r>
        <w:rPr>
          <w:bCs/>
          <w:b/>
        </w:rPr>
        <w:t xml:space="preserve">Zertifikate sind nicht überprüfbar.</w:t>
      </w:r>
      <w:r>
        <w:t xml:space="preserve"> </w:t>
      </w:r>
      <w:r>
        <w:t xml:space="preserve">Ob ein beigelegtes Zertifikat tatsächlich zu dem gelieferten Fläschchen gehört, lässt sich als Käuferin oder Käufer nicht feststellen. Die Testkäufe bei Semaglutid zeigten eine Reinheit von 7,7 bis 14,4 % trotz Etikett mit 99 %</w:t>
      </w:r>
      <w:r>
        <w:rPr>
          <w:rStyle w:val="FootnoteReference"/>
        </w:rPr>
        <w:footnoteReference w:id="187"/>
      </w:r>
      <w:r>
        <w:t xml:space="preserve">.</w:t>
      </w:r>
    </w:p>
    <w:p>
      <w:pPr>
        <w:pStyle w:val="FirstParagraph"/>
      </w:pPr>
      <w:r>
        <w:t xml:space="preserve">Hinzu kommen Verunreinigungen, die bei der chemischen Synthese typischerweise entstehen: Peptide mit fehlenden oder doppelten Bausteinen, falsch gefaltete oder chemisch veränderte Varianten, Reste von Schutzgruppen und Reagenzien. Bei zugelassenen Arzneimitteln sind Grenzwerte für solche Verunreinigungen festgelegt und werden regelmäßig kontrolliert.</w:t>
      </w:r>
    </w:p>
    <w:bookmarkEnd w:id="188"/>
    <w:bookmarkStart w:id="190" w:name="endotoxine-unsichtbar-und-gefährlich"/>
    <w:p>
      <w:pPr>
        <w:pStyle w:val="Heading3"/>
      </w:pPr>
      <w:r>
        <w:t xml:space="preserve">Endotoxine: unsichtbar und gefährlich</w:t>
      </w:r>
    </w:p>
    <w:p>
      <w:pPr>
        <w:pStyle w:val="FirstParagraph"/>
      </w:pPr>
      <w:r>
        <w:t xml:space="preserve">Endotoxine sind Bestandteile der Zellwand bestimmter Bakterien. Sie bleiben auch dann bestehen, wenn die Bakterien abgetötet sind, und sind sehr hitzestabil. Gelangen sie ins Blut, können sie Fieber, Schüttelfrost, Blutdruckabfall und in größeren Mengen einen lebensbedrohlichen Schock auslösen. Deshalb gelten für Spritzen und Infusionen strenge Grenzwerte, und Arzneimittel-Hersteller prüfen jede Charge.</w:t>
      </w:r>
    </w:p>
    <w:p>
      <w:pPr>
        <w:pStyle w:val="BodyText"/>
      </w:pPr>
      <w:r>
        <w:t xml:space="preserve">Ein Pulver, das „steril“ oder „keimfrei“ ist, kann trotzdem Endotoxine enthalten – genau das zeigten die Semaglutid-Testkäufe: keine lebenden Keime, aber Endotoxine in allen Proben</w:t>
      </w:r>
      <w:r>
        <w:rPr>
          <w:rStyle w:val="FootnoteReference"/>
        </w:rPr>
        <w:footnoteReference w:id="189"/>
      </w:r>
      <w:r>
        <w:t xml:space="preserve">. Auch das Auflösen mit unsterilem Wasser, die mehrfache Entnahme aus demselben Fläschchen oder die Wiederverwendung von Nadeln können Keime einbringen.</w:t>
      </w:r>
    </w:p>
    <w:bookmarkEnd w:id="190"/>
    <w:bookmarkStart w:id="192" w:name="fehldosierungen"/>
    <w:p>
      <w:pPr>
        <w:pStyle w:val="Heading3"/>
      </w:pPr>
      <w:r>
        <w:t xml:space="preserve">Fehldosierungen</w:t>
      </w:r>
    </w:p>
    <w:p>
      <w:pPr>
        <w:pStyle w:val="FirstParagraph"/>
      </w:pPr>
      <w:r>
        <w:t xml:space="preserve">Selbst wenn ein Produkt genau das enthält, was draufsteht, ist die richtige Dosierung auf dem Graumarkt schwierig. Pulver muss mit einer bestimmten Flüssigkeitsmenge aufgelöst werden; die Dosis ergibt sich dann aus einer Umrechnung. Wer sich verrechnet oder Einheiten verwechselt, kann leicht ein Vielfaches der beabsichtigten Menge spritzen.</w:t>
      </w:r>
    </w:p>
    <w:p>
      <w:pPr>
        <w:pStyle w:val="BodyText"/>
      </w:pPr>
      <w:r>
        <w:t xml:space="preserve">Eine Fallserie aus einem US-Giftinformationszentrum beschreibt drei Fälle mit Semaglutid aus Apotheken und einem Kosmetikstudio. Zwei Personen hatten sich versehentlich die zehnfache Menge gespritzt. Alle hatten über Tage Übelkeit, Erbrechen und Bauchschmerzen. Eine Person hatte ein Fläschchen mit Spritzen ohne jede Beratung erhalten, eine andere verwechselte Milliliter, „Einheiten“ und Milligramm</w:t>
      </w:r>
      <w:r>
        <w:rPr>
          <w:rStyle w:val="FootnoteReference"/>
        </w:rPr>
        <w:footnoteReference w:id="191"/>
      </w:r>
      <w:r>
        <w:t xml:space="preserve">. Die Autorinnen und Autoren betonen, dass Fläschchen anders als Fertigpens keine Sicherheitsmechanismen gegen solche Fehler bieten.</w:t>
      </w:r>
    </w:p>
    <w:bookmarkEnd w:id="192"/>
    <w:bookmarkStart w:id="197" w:name="X8195b13c562b01032a1540b1a55084e719b0c94"/>
    <w:p>
      <w:pPr>
        <w:pStyle w:val="Heading3"/>
      </w:pPr>
      <w:r>
        <w:t xml:space="preserve">Fälschungen von Ozempic und anderen GLP-1-Medikamenten</w:t>
      </w:r>
    </w:p>
    <w:p>
      <w:pPr>
        <w:pStyle w:val="FirstParagraph"/>
      </w:pPr>
      <w:r>
        <w:t xml:space="preserve">Mit der enormen Nachfrage nach Semaglutid tauchten weltweit Fälschungen auf. Die Weltgesundheitsorganisation warnte 2024 vor gefälschtem Ozempic in der globalen Lieferkette</w:t>
      </w:r>
      <w:r>
        <w:rPr>
          <w:rStyle w:val="FootnoteReference"/>
        </w:rPr>
        <w:footnoteReference w:id="193"/>
      </w:r>
      <w:r>
        <w:t xml:space="preserve">.</w:t>
      </w:r>
    </w:p>
    <w:p>
      <w:pPr>
        <w:pStyle w:val="BodyText"/>
      </w:pPr>
      <w:r>
        <w:t xml:space="preserve">Besonders gefährlich sind Fälschungen, die einen anderen Wirkstoff enthalten. In Italien wurde eine 31-jährige Frau im Unterzuckerungs-Koma in die Notaufnahme gebracht, nachdem sie sich vermeintliches Ozempic aus dem Internet gespritzt hatte. Die toxikologische Analyse ergab, dass das Fläschchen Insulin statt Semaglutid enthielt</w:t>
      </w:r>
      <w:r>
        <w:rPr>
          <w:rStyle w:val="FootnoteReference"/>
        </w:rPr>
        <w:footnoteReference w:id="194"/>
      </w:r>
      <w:r>
        <w:t xml:space="preserve">. Aus den Niederlanden wurden zwei ähnliche Fälle berichtet: Zwei Menschen ohne Diabetes und ohne Adipositas hatten sich ohne Rezept beschafftes Semaglutid gespritzt und lagen mit schwerer Unterzuckerung, Kaliummangel und Unterkühlung im Koma. Ursache war eine Vergiftung mit synthetischem Insulin. Um den Blutzucker stabil zu halten, waren bis zu zwei Tage Dauerinfusion mit Traubenzucker nötig</w:t>
      </w:r>
      <w:r>
        <w:rPr>
          <w:rStyle w:val="FootnoteReference"/>
        </w:rPr>
        <w:footnoteReference w:id="195"/>
      </w:r>
      <w:r>
        <w:t xml:space="preserve">.</w:t>
      </w:r>
    </w:p>
    <w:p>
      <w:pPr>
        <w:pStyle w:val="BodyText"/>
      </w:pPr>
      <w:r>
        <w:t xml:space="preserve">Diese Fälle sind deshalb so bedeutsam, weil echtes Semaglutid bei Gesunden allein kaum eine nennenswerte Unterzuckerung verursacht. Eine Unterzuckerung nach einer „Abnehmspritze“ ist deshalb ein Warnsignal für ein gefälschtes Produkt.</w:t>
      </w:r>
    </w:p>
    <w:p>
      <w:pPr>
        <w:pStyle w:val="BodyText"/>
      </w:pPr>
      <w:r>
        <w:t xml:space="preserve">Eine Auswertung der europäischen Nebenwirkungsdatenbank EudraVigilance fand von 2018 bis 2025 insgesamt 234 Meldungen zu möglicherweise gefälschtem Semaglutid. 73,5 % betrafen Frauen, und 89,3 % der gemeldeten Nebenwirkungen waren schwerwiegend. Am häufigsten wurden Erbrechen, Übelkeit und Unterzuckerung gemeldet. Im Vergleich zu echtem Semaglutid wurden Unterzuckerung, Anwendung außerhalb der zugelassenen Indikation, Unwohlsein und Wirkungslosigkeit überproportional häufig gemeldet</w:t>
      </w:r>
      <w:r>
        <w:rPr>
          <w:rStyle w:val="FootnoteReference"/>
        </w:rPr>
        <w:footnoteReference w:id="196"/>
      </w:r>
      <w:r>
        <w:t xml:space="preserve">. Wie bei allen Meldedaten gilt: Sie zeigen Signale, keine Häufigkeiten.</w:t>
      </w:r>
    </w:p>
    <w:bookmarkEnd w:id="197"/>
    <w:bookmarkStart w:id="200" w:name="nicht-zugelassene-glp-1-wirkstoffe"/>
    <w:p>
      <w:pPr>
        <w:pStyle w:val="Heading3"/>
      </w:pPr>
      <w:r>
        <w:t xml:space="preserve">Nicht zugelassene GLP-1-Wirkstoffe</w:t>
      </w:r>
    </w:p>
    <w:p>
      <w:pPr>
        <w:pStyle w:val="FirstParagraph"/>
      </w:pPr>
      <w:r>
        <w:t xml:space="preserve">Inzwischen werden auf dem Graumarkt auch Wirkstoffe angeboten, die noch gar nicht zugelassen sind, etwa der Dreifach-Agonist Retatrutid. Für solche Stoffe gibt es zwar Studien der Hersteller, aber keine geprüften Produkte – was in einem Fläschchen mit der Aufschrift „Retatrutid“ tatsächlich steckt, ist unbekannt. Eine Fachzeitschrift widmete diesem Schwarzmarkt 2026 einen eigenen Bericht</w:t>
      </w:r>
      <w:r>
        <w:rPr>
          <w:rStyle w:val="FootnoteReference"/>
        </w:rPr>
        <w:footnoteReference w:id="198"/>
      </w:r>
      <w:r>
        <w:t xml:space="preserve">.</w:t>
      </w:r>
    </w:p>
    <w:p>
      <w:pPr>
        <w:pStyle w:val="BodyText"/>
      </w:pPr>
      <w:r>
        <w:t xml:space="preserve">Ein Fallbericht beschreibt eine Frau Mitte zwanzig, die mit fünf Tagen anhaltender Übelkeit, wiederholtem Erbrechen und Durchfall ins Krankenhaus kam. Die Beschwerden besserten sich trotz mehrerer Medikamente gegen Übelkeit zunächst nicht. Erst durch wiederholtes Nachfragen kam heraus, dass ihr ein selbst ernannter Lebensberater ohne medizinische Qualifikation vier wöchentliche Spritzen eines Produkts verabreicht hatte, das angeblich Retatrutid enthielt. Sie selbst hatte die Spritzen nicht als Medikament betrachtet</w:t>
      </w:r>
      <w:r>
        <w:rPr>
          <w:rStyle w:val="FootnoteReference"/>
        </w:rPr>
        <w:footnoteReference w:id="199"/>
      </w:r>
      <w:r>
        <w:t xml:space="preserve">. Der Fall zeigt ein weiteres Problem: Wer Peptide nicht als Arzneimittel wahrnimmt, erwähnt sie auch nicht gegenüber Ärztinnen und Ärzten.</w:t>
      </w:r>
    </w:p>
    <w:bookmarkEnd w:id="200"/>
    <w:bookmarkStart w:id="204" w:name="gefahren-jenseits-der-verunreinigung"/>
    <w:p>
      <w:pPr>
        <w:pStyle w:val="Heading3"/>
      </w:pPr>
      <w:r>
        <w:t xml:space="preserve">Gefahren jenseits der Verunreinigung</w:t>
      </w:r>
    </w:p>
    <w:p>
      <w:pPr>
        <w:pStyle w:val="FirstParagraph"/>
      </w:pPr>
      <w:r>
        <w:t xml:space="preserve">Auch ein perfekt reines Graumarkt-Peptid kann gefährlich sein, wenn der Stoff selbst nie ausreichend am Menschen untersucht wurde. Ein Fallbericht beschreibt einen 39-jährigen Mann, der sich Melanotan II aus dem Internet spritzte – nach eigenen Angaben das Sechsfache der Startmenge, die ihm empfohlen worden war. Er entwickelte Herzrasen, Unruhe, Schweißausbrüche und einen massiven Muskelzerfall (Rhabdomyolyse) mit Nierenfunktionsstörung und musste auf der Intensivstation behandelt werden. Die Analyse bestätigte, dass das Produkt tatsächlich Melanotan II enthielt</w:t>
      </w:r>
      <w:r>
        <w:rPr>
          <w:rStyle w:val="FootnoteReference"/>
        </w:rPr>
        <w:footnoteReference w:id="201"/>
      </w:r>
      <w:r>
        <w:t xml:space="preserve">.</w:t>
      </w:r>
    </w:p>
    <w:p>
      <w:pPr>
        <w:pStyle w:val="BodyText"/>
      </w:pPr>
      <w:r>
        <w:t xml:space="preserve">Übersichtsarbeiten nennen als mögliche Risiken unregulierter Peptide unter anderem Verunreinigungen, ungenaue Dosierung, krankhafte Gefäßneubildung, Krebsentstehung, Belastung des Herz-Kreislauf-Systems und überhöhte Hormonsignale</w:t>
      </w:r>
      <w:r>
        <w:rPr>
          <w:rStyle w:val="FootnoteReference"/>
        </w:rPr>
        <w:footnoteReference w:id="202"/>
      </w:r>
      <w:r>
        <w:t xml:space="preserve">. Viele dieser Risiken sind theoretisch abgeleitet, eben weil es kaum Humanstudien gibt. Eine sportmedizinische Übersicht kommt zu dem Schluss, dass viele nicht zugelassene Peptide in Tiermodellen günstige Effekte zeigen, belastbare Sicherheitsdaten am Menschen aber rar sind und ernsthafte Schäden möglich sind</w:t>
      </w:r>
      <w:r>
        <w:rPr>
          <w:rStyle w:val="FootnoteReference"/>
        </w:rPr>
        <w:footnoteReference w:id="203"/>
      </w:r>
      <w:r>
        <w:t xml:space="preserve">.</w:t>
      </w:r>
    </w:p>
    <w:bookmarkEnd w:id="204"/>
    <w:bookmarkStart w:id="207" w:name="compounding-in-den-usa"/>
    <w:p>
      <w:pPr>
        <w:pStyle w:val="Heading3"/>
      </w:pPr>
      <w:r>
        <w:t xml:space="preserve">Compounding in den USA</w:t>
      </w:r>
    </w:p>
    <w:p>
      <w:pPr>
        <w:pStyle w:val="FirstParagraph"/>
      </w:pPr>
      <w:r>
        <w:t xml:space="preserve">Eine Besonderheit des US-amerikanischen Marktes ist das</w:t>
      </w:r>
      <w:r>
        <w:t xml:space="preserve"> </w:t>
      </w:r>
      <w:r>
        <w:rPr>
          <w:bCs/>
          <w:b/>
        </w:rPr>
        <w:t xml:space="preserve">Compounding</w:t>
      </w:r>
      <w:r>
        <w:t xml:space="preserve">: Apotheken dürfen unter bestimmten Bedingungen Arzneimittel selbst zubereiten, etwa wenn ein zugelassenes Präparat nicht lieferbar ist. Während der Lieferengpässe bei Semaglutid und Tirzepatid entstand so ein großer Markt für Nachahmerpräparate, die oft über Telemedizin-Anbieter vertrieben wurden. Diese Präparate sind keine zugelassenen Arzneimittel; Wirksamkeit und Sicherheit wurden für sie nicht in Studien geprüft.</w:t>
      </w:r>
    </w:p>
    <w:p>
      <w:pPr>
        <w:pStyle w:val="BodyText"/>
      </w:pPr>
      <w:r>
        <w:t xml:space="preserve">Eine Auswertung der US-Nebenwirkungsdatenbank FAERS verglich Meldungen zu selbst zubereiteten und zugelassenen GLP-1-Präparaten. Von 81.078 Meldungen betrafen 707 selbst zubereitete Produkte. Bei diesen wurden unter anderem Bauchschmerzen, Gallenblasenentzündungen, Zubereitungsfehler und Verunreinigungen überproportional häufig gemeldet, ebenso Krankenhausaufenthalte; Anwendungs- und Dosierfehler wurden dagegen seltener gemeldet</w:t>
      </w:r>
      <w:r>
        <w:rPr>
          <w:rStyle w:val="FootnoteReference"/>
        </w:rPr>
        <w:footnoteReference w:id="205"/>
      </w:r>
      <w:r>
        <w:t xml:space="preserve">. Die Autorinnen und Autoren betonen, dass solche Daten keinen Ursache-Wirkungs-Zusammenhang belegen.</w:t>
      </w:r>
    </w:p>
    <w:p>
      <w:pPr>
        <w:pStyle w:val="BodyText"/>
      </w:pPr>
      <w:r>
        <w:t xml:space="preserve">Nach dem Ende der Lieferengpässe dürfen Apotheken nach US-Recht nur noch Präparate herstellen, die sich von den zugelassenen unterscheiden – etwa durch eine andere Darreichungsform oder Zusatzstoffe. Eine Untersuchung fand 33 solcher Produkte, darunter Kombinationen mit Vitamin B12, Glycin, Niacinamid, einem Abführmittel oder einem Mittel gegen Übelkeit sowie Tropfen und Schmelztabletten für die Anwendung unter der Zunge. Für Vitamine und das Abführmittel fanden die Autorinnen und Autoren kaum eine Begründung. Für den Zusatz des Mittels gegen Übelkeit und für die neuen Darreichungsformen sehen sie zwar eine nachvollziehbare Idee, aber keine Belege für Wirksamkeit und Sicherheit</w:t>
      </w:r>
      <w:r>
        <w:rPr>
          <w:rStyle w:val="FootnoteReference"/>
        </w:rPr>
        <w:footnoteReference w:id="206"/>
      </w:r>
      <w:r>
        <w:t xml:space="preserve">.</w:t>
      </w:r>
    </w:p>
    <w:p>
      <w:pPr>
        <w:pStyle w:val="BodyText"/>
      </w:pPr>
      <w:r>
        <w:t xml:space="preserve">Compounding ist kein Graumarkt im engeren Sinne: Die Apotheken sind zugelassen und unterliegen Aufsicht. Für Patientinnen und Patienten verschwimmt die Grenze aber, wenn Produkte über Online-Plattformen mit wenig ärztlicher Begleitung vertrieben werden. In Europa gibt es kein vergleichbares System; hier ist die Herstellung in der Apotheke an deutlich engere Voraussetzungen gebunden (mehr dazu im nächsten Kapitel).</w:t>
      </w:r>
    </w:p>
    <w:bookmarkEnd w:id="207"/>
    <w:bookmarkStart w:id="209" w:name="wer-den-graumarkt-nutzt-und-warum"/>
    <w:p>
      <w:pPr>
        <w:pStyle w:val="Heading3"/>
      </w:pPr>
      <w:r>
        <w:t xml:space="preserve">Wer den Graumarkt nutzt – und warum</w:t>
      </w:r>
    </w:p>
    <w:p>
      <w:pPr>
        <w:pStyle w:val="FirstParagraph"/>
      </w:pPr>
      <w:r>
        <w:t xml:space="preserve">Die Gründe für den Griff zum Graumarkt sind vielfältig: hohe Preise und fehlende Kostenübernahme für zugelassene Medikamente, Lieferengpässe, der Wunsch nach Gewichtsverlust ohne medizinische Indikation, Leistungssteigerung im Sport, Hoffnung auf schnellere Heilung von Verletzungen oder auf ein längeres Leben. Eine Übersichtsarbeit beschreibt, wie Online-Werbung, Erfahrungsberichte in sozialen Medien, Selbstinjektion, Kombinationen mehrerer Stoffe und schwache Nebenwirkungsüberwachung zusammenwirken und unklare Produkte normalisieren</w:t>
      </w:r>
      <w:r>
        <w:rPr>
          <w:rStyle w:val="FootnoteReference"/>
        </w:rPr>
        <w:footnoteReference w:id="208"/>
      </w:r>
      <w:r>
        <w:t xml:space="preserve">.</w:t>
      </w:r>
    </w:p>
    <w:p>
      <w:pPr>
        <w:pStyle w:val="BodyText"/>
      </w:pPr>
      <w:r>
        <w:t xml:space="preserve">Diese Motive sind nachvollziehbar. Die Analysen in diesem Kapitel zeigen aber, dass Käuferinnen und Käufer auf dem Graumarkt nicht wissen können, was sie tatsächlich erhalten.</w:t>
      </w:r>
    </w:p>
    <w:bookmarkEnd w:id="209"/>
    <w:bookmarkStart w:id="210" w:name="X98f619b57a6eeda6300301c244d36000282b35a"/>
    <w:p>
      <w:pPr>
        <w:pStyle w:val="Heading3"/>
      </w:pPr>
      <w:r>
        <w:t xml:space="preserve">Wenn du bereits Graumarkt-Peptide verwendet hast</w:t>
      </w:r>
    </w:p>
    <w:p>
      <w:pPr>
        <w:pStyle w:val="FirstParagraph"/>
      </w:pPr>
      <w:r>
        <w:t xml:space="preserve">Dieses Buch gibt keine Anwendungshinweise. Einige allgemeine Punkte sind aber aus Sicherheitsgründen wichtig:</w:t>
      </w:r>
    </w:p>
    <w:p>
      <w:pPr>
        <w:numPr>
          <w:ilvl w:val="0"/>
          <w:numId w:val="1027"/>
        </w:numPr>
        <w:pStyle w:val="Compact"/>
      </w:pPr>
      <w:r>
        <w:t xml:space="preserve">Informiere deine Ärztin oder deinen Arzt über alle Spritzen, Peptide und „Forschungschemikalien“, die du verwendest – auch wenn du sie nicht als Medikament betrachtest.</w:t>
      </w:r>
    </w:p>
    <w:p>
      <w:pPr>
        <w:numPr>
          <w:ilvl w:val="0"/>
          <w:numId w:val="1027"/>
        </w:numPr>
        <w:pStyle w:val="Compact"/>
      </w:pPr>
      <w:r>
        <w:t xml:space="preserve">Unerwartete Beschwerden wie Zittern, Schwitzen, Verwirrtheit oder Bewusstseinsstörungen nach einer Spritze können auf eine Unterzuckerung hindeuten und sind ein Notfall.</w:t>
      </w:r>
    </w:p>
    <w:p>
      <w:pPr>
        <w:numPr>
          <w:ilvl w:val="0"/>
          <w:numId w:val="1027"/>
        </w:numPr>
        <w:pStyle w:val="Compact"/>
      </w:pPr>
      <w:r>
        <w:t xml:space="preserve">Verdächtige Produkte und Nebenwirkungen können den Behörden gemeldet werden: in Deutschland dem Bundesinstitut für Arzneimittel und Medizinprodukte (BfArM), in Österreich dem Bundesamt für Sicherheit im Gesundheitswesen (BASG).</w:t>
      </w:r>
    </w:p>
    <w:bookmarkEnd w:id="210"/>
    <w:bookmarkStart w:id="211" w:name="das-wichtigste-in-kürze-3"/>
    <w:p>
      <w:pPr>
        <w:pStyle w:val="Heading3"/>
      </w:pPr>
      <w:r>
        <w:t xml:space="preserve">Das Wichtigste in Kürze</w:t>
      </w:r>
    </w:p>
    <w:p>
      <w:pPr>
        <w:numPr>
          <w:ilvl w:val="0"/>
          <w:numId w:val="1028"/>
        </w:numPr>
        <w:pStyle w:val="Compact"/>
      </w:pPr>
      <w:r>
        <w:t xml:space="preserve">Der Hinweis „nur für Forschungszwecke“ schützt nicht vor Risiken; er verlagert die Verantwortung auf die Käuferinnen und Käufer.</w:t>
      </w:r>
    </w:p>
    <w:p>
      <w:pPr>
        <w:numPr>
          <w:ilvl w:val="0"/>
          <w:numId w:val="1028"/>
        </w:numPr>
        <w:pStyle w:val="Compact"/>
      </w:pPr>
      <w:r>
        <w:t xml:space="preserve">Laboranalysen fanden bei Graumarkt-Peptiden zu viel, zu wenig, den falschen oder gar keinen Wirkstoff sowie Verunreinigungen und Endotoxine.</w:t>
      </w:r>
    </w:p>
    <w:p>
      <w:pPr>
        <w:numPr>
          <w:ilvl w:val="0"/>
          <w:numId w:val="1028"/>
        </w:numPr>
        <w:pStyle w:val="Compact"/>
      </w:pPr>
      <w:r>
        <w:t xml:space="preserve">Gefälschte Semaglutid-Produkte, die Insulin enthielten, führten zu lebensgefährlichen Unterzuckerungen.</w:t>
      </w:r>
    </w:p>
    <w:p>
      <w:pPr>
        <w:numPr>
          <w:ilvl w:val="0"/>
          <w:numId w:val="1028"/>
        </w:numPr>
        <w:pStyle w:val="Compact"/>
      </w:pPr>
      <w:r>
        <w:t xml:space="preserve">Auch selbst zubereitete Präparate aus US-Apotheken sind nicht wie zugelassene Arzneimittel geprüft.</w:t>
      </w:r>
    </w:p>
    <w:p>
      <w:pPr>
        <w:numPr>
          <w:ilvl w:val="0"/>
          <w:numId w:val="1028"/>
        </w:numPr>
        <w:pStyle w:val="Compact"/>
      </w:pPr>
      <w:r>
        <w:t xml:space="preserve">Selbst ein reines Produkt bleibt riskant, wenn der Wirkstoff nie ausreichend am Menschen untersucht wurde.</w:t>
      </w:r>
    </w:p>
    <w:bookmarkEnd w:id="211"/>
    <w:bookmarkEnd w:id="212"/>
    <w:bookmarkStart w:id="230" w:name="rechtlicher-rahmen"/>
    <w:p>
      <w:pPr>
        <w:pStyle w:val="Heading2"/>
      </w:pPr>
      <w:r>
        <w:t xml:space="preserve">Rechtlicher Rahmen</w:t>
      </w:r>
    </w:p>
    <w:p>
      <w:pPr>
        <w:pStyle w:val="FirstParagraph"/>
      </w:pPr>
      <w:r>
        <w:t xml:space="preserve">Ob ein Peptid ein verschreibungspflichtiges Arzneimittel, ein Nahrungsergänzungsmittel, ein Kosmetikum oder ein verbotenes Dopingmittel ist, hängt nicht allein vom Molekül ab. Entscheidend ist auch, wofür es bestimmt ist, wie es angeboten wird und wie es im Körper wirkt. Dasselbe Kollagenpeptid kann als Lebensmittel im Supermarktregal stehen; ein Peptid mit nachweisbarer hormonartiger Wirkung ist dagegen fast immer ein Arzneimittel – egal, was auf dem Etikett steht. Dieses Kapitel gibt einen Überblick über die Regeln in der Europäischen Union, in Österreich, in Deutschland und in den USA sowie über die Anti-Doping-Bestimmungen.</w:t>
      </w:r>
    </w:p>
    <w:p>
      <w:pPr>
        <w:pStyle w:val="BlockText"/>
      </w:pPr>
      <w:r>
        <w:rPr>
          <w:bCs/>
          <w:b/>
        </w:rPr>
        <w:t xml:space="preserve">Wichtiger Hinweis:</w:t>
      </w:r>
      <w:r>
        <w:t xml:space="preserve"> </w:t>
      </w:r>
      <w:r>
        <w:t xml:space="preserve">Dieses Kapitel gibt den Stand 2026 nach bestem Wissen wieder und stellt keine Rechtsberatung dar. Gesetze, Verordnungen, Behördenpraxis und die Verbotsliste der Welt-Anti-Doping-Agentur ändern sich regelmäßig. Bitte prüfe im Einzelfall die aktuelle Rechtslage und wende dich bei konkreten Fragen an eine Rechtsanwältin, einen Rechtsanwalt oder die zuständige Behörde.</w:t>
      </w:r>
    </w:p>
    <w:bookmarkStart w:id="213" w:name="Xe09fbab8f99f800f86893d0e5a480a2a00a548d"/>
    <w:p>
      <w:pPr>
        <w:pStyle w:val="Heading3"/>
      </w:pPr>
      <w:r>
        <w:t xml:space="preserve">Drei Schubladen: Arzneimittel, Lebensmittel, Kosmetik</w:t>
      </w:r>
    </w:p>
    <w:p>
      <w:pPr>
        <w:pStyle w:val="FirstParagraph"/>
      </w:pPr>
      <w:r>
        <w:t xml:space="preserve">Das europäische Recht unterscheidet im Wesentlichen drei Produktkategorien, in die Peptide fallen können. Jede hat eigene Regeln: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Kategorie</w:t>
            </w:r>
          </w:p>
        </w:tc>
        <w:tc>
          <w:tcPr/>
          <w:p>
            <w:pPr>
              <w:pStyle w:val="Compact"/>
              <w:jc w:val="left"/>
            </w:pPr>
            <w:r>
              <w:t xml:space="preserve">Behördliche Prüfung vor Verkauf</w:t>
            </w:r>
          </w:p>
        </w:tc>
        <w:tc>
          <w:tcPr/>
          <w:p>
            <w:pPr>
              <w:pStyle w:val="Compact"/>
              <w:jc w:val="left"/>
            </w:pPr>
            <w:r>
              <w:t xml:space="preserve">Typische Peptide</w:t>
            </w:r>
          </w:p>
        </w:tc>
      </w:tr>
      <w:tr>
        <w:tc>
          <w:tcPr/>
          <w:p>
            <w:pPr>
              <w:pStyle w:val="Compact"/>
              <w:jc w:val="left"/>
            </w:pPr>
            <w:r>
              <w:t xml:space="preserve">Arzneimittel</w:t>
            </w:r>
          </w:p>
        </w:tc>
        <w:tc>
          <w:tcPr/>
          <w:p>
            <w:pPr>
              <w:pStyle w:val="Compact"/>
              <w:jc w:val="left"/>
            </w:pPr>
            <w:r>
              <w:t xml:space="preserve">Zulassung mit Wirksamkeits- und Sicherheitsnachweis</w:t>
            </w:r>
          </w:p>
        </w:tc>
        <w:tc>
          <w:tcPr/>
          <w:p>
            <w:pPr>
              <w:pStyle w:val="Compact"/>
              <w:jc w:val="left"/>
            </w:pPr>
            <w:r>
              <w:t xml:space="preserve">Insulin, Semaglutid, Oxytocin</w:t>
            </w:r>
          </w:p>
        </w:tc>
      </w:tr>
      <w:tr>
        <w:tc>
          <w:tcPr/>
          <w:p>
            <w:pPr>
              <w:pStyle w:val="Compact"/>
              <w:jc w:val="left"/>
            </w:pPr>
            <w:r>
              <w:t xml:space="preserve">Lebensmittel und Nahrungsergänzung</w:t>
            </w:r>
          </w:p>
        </w:tc>
        <w:tc>
          <w:tcPr/>
          <w:p>
            <w:pPr>
              <w:pStyle w:val="Compact"/>
              <w:jc w:val="left"/>
            </w:pPr>
            <w:r>
              <w:t xml:space="preserve">keine Zulassung, Hersteller verantwortlich</w:t>
            </w:r>
          </w:p>
        </w:tc>
        <w:tc>
          <w:tcPr/>
          <w:p>
            <w:pPr>
              <w:pStyle w:val="Compact"/>
              <w:jc w:val="left"/>
            </w:pPr>
            <w:r>
              <w:t xml:space="preserve">Kollagenpeptide, Milchpeptide</w:t>
            </w:r>
          </w:p>
        </w:tc>
      </w:tr>
      <w:tr>
        <w:tc>
          <w:tcPr/>
          <w:p>
            <w:pPr>
              <w:pStyle w:val="Compact"/>
              <w:jc w:val="left"/>
            </w:pPr>
            <w:r>
              <w:t xml:space="preserve">Kosmetik</w:t>
            </w:r>
          </w:p>
        </w:tc>
        <w:tc>
          <w:tcPr/>
          <w:p>
            <w:pPr>
              <w:pStyle w:val="Compact"/>
              <w:jc w:val="left"/>
            </w:pPr>
            <w:r>
              <w:t xml:space="preserve">keine Zulassung, Sicherheitsbewertung durch Hersteller</w:t>
            </w:r>
          </w:p>
        </w:tc>
        <w:tc>
          <w:tcPr/>
          <w:p>
            <w:pPr>
              <w:pStyle w:val="Compact"/>
              <w:jc w:val="left"/>
            </w:pPr>
            <w:r>
              <w:t xml:space="preserve">Palmitoyl-Pentapeptid-4, Argireline</w:t>
            </w:r>
          </w:p>
        </w:tc>
      </w:tr>
    </w:tbl>
    <w:p>
      <w:pPr>
        <w:pStyle w:val="BodyText"/>
      </w:pPr>
      <w:r>
        <w:t xml:space="preserve">Dazu kommen Stoffe, die in keine dieser Kategorien rechtmäßig passen – etwa nicht zugelassene Wirkstoffe mit pharmakologischer Wirkung, die als „Forschungschemikalien“ verkauft werden. Für sie gibt es keinen legalen Weg in den Handel als Produkt zur Anwendung am Menschen.</w:t>
      </w:r>
    </w:p>
    <w:bookmarkEnd w:id="213"/>
    <w:bookmarkStart w:id="214" w:name="was-ein-arzneimittel-ist"/>
    <w:p>
      <w:pPr>
        <w:pStyle w:val="Heading3"/>
      </w:pPr>
      <w:r>
        <w:t xml:space="preserve">Was ein Arzneimittel ist</w:t>
      </w:r>
    </w:p>
    <w:p>
      <w:pPr>
        <w:pStyle w:val="FirstParagraph"/>
      </w:pPr>
      <w:r>
        <w:t xml:space="preserve">Die Definition des Arzneimittels ist in der EU durch eine Richtlinie (Richtlinie 2001/83/EG) vorgegeben und in den nationalen Arzneimittelgesetzen umgesetzt. Sie hat zwei Seiten:</w:t>
      </w:r>
    </w:p>
    <w:p>
      <w:pPr>
        <w:numPr>
          <w:ilvl w:val="0"/>
          <w:numId w:val="1029"/>
        </w:numPr>
        <w:pStyle w:val="Compact"/>
      </w:pPr>
      <w:r>
        <w:rPr>
          <w:bCs/>
          <w:b/>
        </w:rPr>
        <w:t xml:space="preserve">Präsentationsarzneimittel</w:t>
      </w:r>
      <w:r>
        <w:t xml:space="preserve">: Ein Produkt ist ein Arzneimittel, wenn es als Mittel zur Heilung oder Verhütung von Krankheiten</w:t>
      </w:r>
      <w:r>
        <w:t xml:space="preserve"> </w:t>
      </w:r>
      <w:r>
        <w:rPr>
          <w:bCs/>
          <w:b/>
        </w:rPr>
        <w:t xml:space="preserve">dargestellt</w:t>
      </w:r>
      <w:r>
        <w:t xml:space="preserve"> </w:t>
      </w:r>
      <w:r>
        <w:t xml:space="preserve">wird. Schon die Werbung mit Aussagen wie „beschleunigt die Heilung von Sehnenverletzungen“ kann ein Produkt zum Arzneimittel machen.</w:t>
      </w:r>
    </w:p>
    <w:p>
      <w:pPr>
        <w:numPr>
          <w:ilvl w:val="0"/>
          <w:numId w:val="1029"/>
        </w:numPr>
        <w:pStyle w:val="Compact"/>
      </w:pPr>
      <w:r>
        <w:rPr>
          <w:bCs/>
          <w:b/>
        </w:rPr>
        <w:t xml:space="preserve">Funktionsarzneimittel</w:t>
      </w:r>
      <w:r>
        <w:t xml:space="preserve">: Ein Produkt ist ein Arzneimittel, wenn es die menschlichen Körperfunktionen durch eine</w:t>
      </w:r>
      <w:r>
        <w:t xml:space="preserve"> </w:t>
      </w:r>
      <w:r>
        <w:rPr>
          <w:bCs/>
          <w:b/>
        </w:rPr>
        <w:t xml:space="preserve">pharmakologische, immunologische oder metabolische Wirkung</w:t>
      </w:r>
      <w:r>
        <w:t xml:space="preserve"> </w:t>
      </w:r>
      <w:r>
        <w:t xml:space="preserve">wiederherstellen, korrigieren oder beeinflussen kann – unabhängig davon, wie es beworben wird.</w:t>
      </w:r>
    </w:p>
    <w:p>
      <w:pPr>
        <w:pStyle w:val="FirstParagraph"/>
      </w:pPr>
      <w:r>
        <w:t xml:space="preserve">Fällt ein Produkt sowohl unter die Definition eines Arzneimittels als auch unter die eines anderen Produkts, geht nach dieser Richtlinie im Zweifel das Arzneimittelrecht vor. Für Peptide mit hormonartiger Wirkung – etwa Wachstumshormon-Freisetzer, GLP-1-Analoga oder Melanotan – bedeutet das: Sie sind in aller Regel Arzneimittel, auch wenn sie als Nahrungsergänzung, Kosmetik oder „Forschungschemikalie“ deklariert werden.</w:t>
      </w:r>
    </w:p>
    <w:bookmarkEnd w:id="214"/>
    <w:bookmarkStart w:id="215" w:name="zulassung-in-der-eu"/>
    <w:p>
      <w:pPr>
        <w:pStyle w:val="Heading3"/>
      </w:pPr>
      <w:r>
        <w:t xml:space="preserve">Zulassung in der EU</w:t>
      </w:r>
    </w:p>
    <w:p>
      <w:pPr>
        <w:pStyle w:val="FirstParagraph"/>
      </w:pPr>
      <w:r>
        <w:t xml:space="preserve">Ein Arzneimittel darf in der EU nur in den Verkehr gebracht werden, wenn es zugelassen ist. Für die Zulassung muss der Hersteller Daten zu Qualität, Wirksamkeit und Unbedenklichkeit vorlegen – in der Regel aus den in Kapitel „Studien richtig lesen“ beschriebenen Phase-3-Studien.</w:t>
      </w:r>
    </w:p>
    <w:p>
      <w:pPr>
        <w:pStyle w:val="BodyText"/>
      </w:pPr>
      <w:r>
        <w:t xml:space="preserve">Es gibt zwei Hauptwege:</w:t>
      </w:r>
    </w:p>
    <w:p>
      <w:pPr>
        <w:numPr>
          <w:ilvl w:val="0"/>
          <w:numId w:val="1030"/>
        </w:numPr>
        <w:pStyle w:val="Compact"/>
      </w:pPr>
      <w:r>
        <w:rPr>
          <w:bCs/>
          <w:b/>
        </w:rPr>
        <w:t xml:space="preserve">Zentrales Verfahren</w:t>
      </w:r>
      <w:r>
        <w:t xml:space="preserve"> </w:t>
      </w:r>
      <w:r>
        <w:t xml:space="preserve">über die Europäische Arzneimittel-Agentur (EMA). Die Zulassung gilt dann in allen Mitgliedstaaten. Für biotechnologisch hergestellte Arzneimittel und neue Wirkstoffe gegen bestimmte Erkrankungen – darunter Diabetes – ist dieser Weg verpflichtend. Die meisten modernen Peptid-Arzneimittel sind zentral zugelassen.</w:t>
      </w:r>
    </w:p>
    <w:p>
      <w:pPr>
        <w:numPr>
          <w:ilvl w:val="0"/>
          <w:numId w:val="1030"/>
        </w:numPr>
        <w:pStyle w:val="Compact"/>
      </w:pPr>
      <w:r>
        <w:rPr>
          <w:bCs/>
          <w:b/>
        </w:rPr>
        <w:t xml:space="preserve">Nationale und dezentrale Verfahren</w:t>
      </w:r>
      <w:r>
        <w:t xml:space="preserve"> </w:t>
      </w:r>
      <w:r>
        <w:t xml:space="preserve">über die Behörden der Mitgliedstaaten, in Österreich das Bundesamt für Sicherheit im Gesundheitswesen (BASG), in Deutschland das Bundesinstitut für Arzneimittel und Medizinprodukte (BfArM) beziehungsweise für bestimmte biologische Arzneimittel das Paul-Ehrlich-Institut.</w:t>
      </w:r>
    </w:p>
    <w:p>
      <w:pPr>
        <w:pStyle w:val="FirstParagraph"/>
      </w:pPr>
      <w:r>
        <w:t xml:space="preserve">Zusammen mit der Zulassung wird festgelegt, ob ein Arzneimittel</w:t>
      </w:r>
      <w:r>
        <w:t xml:space="preserve"> </w:t>
      </w:r>
      <w:r>
        <w:rPr>
          <w:bCs/>
          <w:b/>
        </w:rPr>
        <w:t xml:space="preserve">verschreibungspflichtig</w:t>
      </w:r>
      <w:r>
        <w:t xml:space="preserve"> </w:t>
      </w:r>
      <w:r>
        <w:t xml:space="preserve">ist. Fast alle Peptid-Arzneimittel sind es. Die genauen Anwendungsgebiete, Dosierungen, Gegenanzeigen und Nebenwirkungen stehen in der</w:t>
      </w:r>
      <w:r>
        <w:t xml:space="preserve"> </w:t>
      </w:r>
      <w:r>
        <w:rPr>
          <w:bCs/>
          <w:b/>
        </w:rPr>
        <w:t xml:space="preserve">Fachinformation</w:t>
      </w:r>
      <w:r>
        <w:t xml:space="preserve"> </w:t>
      </w:r>
      <w:r>
        <w:t xml:space="preserve">(für Fachleute) und in der</w:t>
      </w:r>
      <w:r>
        <w:t xml:space="preserve"> </w:t>
      </w:r>
      <w:r>
        <w:rPr>
          <w:bCs/>
          <w:b/>
        </w:rPr>
        <w:t xml:space="preserve">Gebrauchsinformation</w:t>
      </w:r>
      <w:r>
        <w:t xml:space="preserve"> </w:t>
      </w:r>
      <w:r>
        <w:t xml:space="preserve">(Beipackzettel). Die Zulassung gilt für bestimmte Anwendungsgebiete. Ärztinnen und Ärzte dürfen ein zugelassenes Arzneimittel unter bestimmten Voraussetzungen auch außerhalb dieser Anwendungsgebiete verordnen („Off-Label-Use“), tragen dann aber eine erhöhte Verantwortung für Aufklärung und Abwägung; die Kosten werden in der Regel nicht von der Krankenversicherung übernommen.</w:t>
      </w:r>
    </w:p>
    <w:p>
      <w:pPr>
        <w:pStyle w:val="BodyText"/>
      </w:pPr>
      <w:r>
        <w:t xml:space="preserve">Einige Peptide, die in diesem Buch vorkommen, sind in anderen Ländern zugelassen, aber nicht in der EU – etwa einige in Russland verwendete Präparate. Eine ausländische Zulassung macht ein Produkt in der EU nicht verkehrsfähig.</w:t>
      </w:r>
    </w:p>
    <w:bookmarkEnd w:id="215"/>
    <w:bookmarkStart w:id="217" w:name="nahrungsergänzungsmittel"/>
    <w:p>
      <w:pPr>
        <w:pStyle w:val="Heading3"/>
      </w:pPr>
      <w:r>
        <w:t xml:space="preserve">Nahrungsergänzungsmittel</w:t>
      </w:r>
    </w:p>
    <w:p>
      <w:pPr>
        <w:pStyle w:val="FirstParagraph"/>
      </w:pPr>
      <w:r>
        <w:t xml:space="preserve">Nahrungsergänzungsmittel sind rechtlich Lebensmittel. Sie sollen die normale Ernährung ergänzen und enthalten Nährstoffe oder sonstige Stoffe mit ernährungsbezogener oder physiologischer Wirkung (Richtlinie 2002/46/EG). Sie benötigen</w:t>
      </w:r>
      <w:r>
        <w:t xml:space="preserve"> </w:t>
      </w:r>
      <w:r>
        <w:rPr>
          <w:bCs/>
          <w:b/>
        </w:rPr>
        <w:t xml:space="preserve">keine Zulassung</w:t>
      </w:r>
      <w:r>
        <w:t xml:space="preserve">. Je nach Land sind sie vor dem ersten Verkauf bei einer Behörde anzuzeigen; in Deutschland etwa beim Bundesamt für Verbraucherschutz und Lebensmittelsicherheit. Für die Sicherheit ist der Hersteller verantwortlich, kontrolliert wird stichprobenartig durch die Lebensmittelüberwachung.</w:t>
      </w:r>
    </w:p>
    <w:p>
      <w:pPr>
        <w:pStyle w:val="BodyText"/>
      </w:pPr>
      <w:r>
        <w:t xml:space="preserve">Wichtige Grenzen:</w:t>
      </w:r>
    </w:p>
    <w:p>
      <w:pPr>
        <w:numPr>
          <w:ilvl w:val="0"/>
          <w:numId w:val="1031"/>
        </w:numPr>
        <w:pStyle w:val="Compact"/>
      </w:pPr>
      <w:r>
        <w:t xml:space="preserve">Ein Stoff, der pharmakologisch wirkt, kann kein Nahrungsergänzungsmittel sein. Wird er dennoch so verkauft, handelt es sich um ein nicht zugelassenes Arzneimittel.</w:t>
      </w:r>
    </w:p>
    <w:p>
      <w:pPr>
        <w:numPr>
          <w:ilvl w:val="0"/>
          <w:numId w:val="1031"/>
        </w:numPr>
        <w:pStyle w:val="Compact"/>
      </w:pPr>
      <w:r>
        <w:rPr>
          <w:bCs/>
          <w:b/>
        </w:rPr>
        <w:t xml:space="preserve">Gesundheitsbezogene Angaben</w:t>
      </w:r>
      <w:r>
        <w:t xml:space="preserve"> </w:t>
      </w:r>
      <w:r>
        <w:t xml:space="preserve">wie „unterstützt die Gelenke“ oder „senkt den Blutdruck“ sind nur erlaubt, wenn sie von der EU nach Prüfung durch die Europäische Behörde für Lebensmittelsicherheit (EFSA) zugelassen und in einer Liste aufgeführt sind (Verordnung (EG) Nr. 1924/2006). Für viele beworbene Wirkungen von Peptid-Lebensmitteln gibt es nach unserem Kenntnisstand keine zugelassene Angabe. Werbung, die dennoch eine solche Wirkung verspricht, ist unzulässig.</w:t>
      </w:r>
    </w:p>
    <w:p>
      <w:pPr>
        <w:numPr>
          <w:ilvl w:val="0"/>
          <w:numId w:val="1031"/>
        </w:numPr>
        <w:pStyle w:val="Compact"/>
      </w:pPr>
      <w:r>
        <w:rPr>
          <w:bCs/>
          <w:b/>
        </w:rPr>
        <w:t xml:space="preserve">Krankheitsbezogene Aussagen</w:t>
      </w:r>
      <w:r>
        <w:t xml:space="preserve"> </w:t>
      </w:r>
      <w:r>
        <w:t xml:space="preserve">(etwa „wirkt gegen Arthrose“) sind für Lebensmittel generell verboten.</w:t>
      </w:r>
    </w:p>
    <w:p>
      <w:pPr>
        <w:pStyle w:val="FirstParagraph"/>
      </w:pPr>
      <w:r>
        <w:t xml:space="preserve">Dass auch Nahrungsergänzungsmittel nicht frei von verbotenen Wirkstoffen sind, zeigt ein Fall aus einem Anti-Doping-Labor: In als frei verkäufliches Nahrungsergänzungsmittel angebotenen Tabletten wurde das Wachstumshormon-freisetzende Peptid GHRP-2 nachgewiesen</w:t>
      </w:r>
      <w:r>
        <w:rPr>
          <w:rStyle w:val="FootnoteReference"/>
        </w:rPr>
        <w:footnoteReference w:id="216"/>
      </w:r>
      <w:r>
        <w:t xml:space="preserve">.</w:t>
      </w:r>
    </w:p>
    <w:bookmarkEnd w:id="217"/>
    <w:bookmarkStart w:id="218" w:name="novel-food"/>
    <w:p>
      <w:pPr>
        <w:pStyle w:val="Heading3"/>
      </w:pPr>
      <w:r>
        <w:t xml:space="preserve">Novel Food</w:t>
      </w:r>
    </w:p>
    <w:p>
      <w:pPr>
        <w:pStyle w:val="FirstParagraph"/>
      </w:pPr>
      <w:r>
        <w:t xml:space="preserve">Eine eigene Hürde für Lebensmittel ist die</w:t>
      </w:r>
      <w:r>
        <w:t xml:space="preserve"> </w:t>
      </w:r>
      <w:r>
        <w:rPr>
          <w:bCs/>
          <w:b/>
        </w:rPr>
        <w:t xml:space="preserve">Novel-Food-Verordnung</w:t>
      </w:r>
      <w:r>
        <w:t xml:space="preserve"> </w:t>
      </w:r>
      <w:r>
        <w:t xml:space="preserve">(Verordnung (EU) 2015/2283). Als „neuartig“ gelten Lebensmittel und Zutaten, die vor dem 15. Mai 1997 in der EU nicht in nennenswertem Umfang für den menschlichen Verzehr verwendet wurden. Sie dürfen erst nach einer Sicherheitsbewertung und einer Zulassung durch die EU verkauft werden.</w:t>
      </w:r>
    </w:p>
    <w:p>
      <w:pPr>
        <w:pStyle w:val="BodyText"/>
      </w:pPr>
      <w:r>
        <w:t xml:space="preserve">Für Peptide bedeutet das: Kollagenhydrolysate aus Gelatine haben eine lange Verzehrsgeschichte und sind kein Novel Food. Ein neu synthetisiertes Peptid ohne Verzehrsgeschichte, das als Lebensmittel verkauft werden soll, wäre dagegen grundsätzlich ein Novel Food und bräuchte eine Zulassung – sofern es nicht ohnehin wegen seiner pharmakologischen Wirkung als Arzneimittel einzustufen ist. Ob ein Stoff als Novel Food gilt, ist im Einzelfall zu prüfen; die EU-Kommission führt dazu einen Katalog.</w:t>
      </w:r>
    </w:p>
    <w:bookmarkEnd w:id="218"/>
    <w:bookmarkStart w:id="219" w:name="kosmetik"/>
    <w:p>
      <w:pPr>
        <w:pStyle w:val="Heading3"/>
      </w:pPr>
      <w:r>
        <w:t xml:space="preserve">Kosmetik</w:t>
      </w:r>
    </w:p>
    <w:p>
      <w:pPr>
        <w:pStyle w:val="FirstParagraph"/>
      </w:pPr>
      <w:r>
        <w:t xml:space="preserve">Kosmetische Mittel sind in der EU durch die Kosmetikverordnung (Verordnung (EG) Nr. 1223/2009) geregelt. Sie sind zur äußerlichen Anwendung auf Haut, Haaren, Nägeln, Lippen, Zähnen oder Schleimhäuten der Mundhöhle bestimmt – zur Reinigung, Pflege, zum Schutz oder zur Veränderung des Aussehens.</w:t>
      </w:r>
    </w:p>
    <w:p>
      <w:pPr>
        <w:numPr>
          <w:ilvl w:val="0"/>
          <w:numId w:val="1032"/>
        </w:numPr>
        <w:pStyle w:val="Compact"/>
      </w:pPr>
      <w:r>
        <w:t xml:space="preserve">Kosmetika brauchen</w:t>
      </w:r>
      <w:r>
        <w:t xml:space="preserve"> </w:t>
      </w:r>
      <w:r>
        <w:rPr>
          <w:bCs/>
          <w:b/>
        </w:rPr>
        <w:t xml:space="preserve">keine Zulassung</w:t>
      </w:r>
      <w:r>
        <w:t xml:space="preserve">. Eine verantwortliche Person in der EU muss aber eine Sicherheitsbewertung vorlegen und das Produkt vor dem Verkauf in einem EU-Portal melden.</w:t>
      </w:r>
    </w:p>
    <w:p>
      <w:pPr>
        <w:numPr>
          <w:ilvl w:val="0"/>
          <w:numId w:val="1032"/>
        </w:numPr>
        <w:pStyle w:val="Compact"/>
      </w:pPr>
      <w:r>
        <w:t xml:space="preserve">Bestimmte Stoffe sind verboten oder nur eingeschränkt erlaubt.</w:t>
      </w:r>
    </w:p>
    <w:p>
      <w:pPr>
        <w:numPr>
          <w:ilvl w:val="0"/>
          <w:numId w:val="1032"/>
        </w:numPr>
        <w:pStyle w:val="Compact"/>
      </w:pPr>
      <w:r>
        <w:t xml:space="preserve">Werbeaussagen müssen belegbar sein und dürfen nicht irreführen. Aussagen über die Behandlung von Krankheiten sind unzulässig.</w:t>
      </w:r>
    </w:p>
    <w:p>
      <w:pPr>
        <w:numPr>
          <w:ilvl w:val="0"/>
          <w:numId w:val="1032"/>
        </w:numPr>
        <w:pStyle w:val="Compact"/>
      </w:pPr>
      <w:r>
        <w:rPr>
          <w:bCs/>
          <w:b/>
        </w:rPr>
        <w:t xml:space="preserve">Was gespritzt wird, ist nie ein Kosmetikum.</w:t>
      </w:r>
      <w:r>
        <w:t xml:space="preserve"> </w:t>
      </w:r>
      <w:r>
        <w:t xml:space="preserve">Injektionen fallen nicht unter die Definition kosmetischer Mittel.</w:t>
      </w:r>
    </w:p>
    <w:p>
      <w:pPr>
        <w:pStyle w:val="FirstParagraph"/>
      </w:pPr>
      <w:r>
        <w:t xml:space="preserve">Kosmetik-Peptide wie Palmitoyl-Pentapeptid-4 oder Acetyl-Hexapeptid-8 sind deshalb legal in Cremes und Seren. Ein Peptid wie Melanotan II, das unter die Haut gespritzt wird und im ganzen Körper wirkt, ist dagegen kein Kosmetikum, auch wenn es als „Bräunungsmittel“ beworben wird.</w:t>
      </w:r>
    </w:p>
    <w:bookmarkEnd w:id="219"/>
    <w:bookmarkStart w:id="220" w:name="österreich"/>
    <w:p>
      <w:pPr>
        <w:pStyle w:val="Heading3"/>
      </w:pPr>
      <w:r>
        <w:t xml:space="preserve">Österreich</w:t>
      </w:r>
    </w:p>
    <w:p>
      <w:pPr>
        <w:pStyle w:val="FirstParagraph"/>
      </w:pPr>
      <w:r>
        <w:t xml:space="preserve">In Österreich regelt das</w:t>
      </w:r>
      <w:r>
        <w:t xml:space="preserve"> </w:t>
      </w:r>
      <w:r>
        <w:rPr>
          <w:bCs/>
          <w:b/>
        </w:rPr>
        <w:t xml:space="preserve">Arzneimittelgesetz (AMG)</w:t>
      </w:r>
      <w:r>
        <w:t xml:space="preserve"> </w:t>
      </w:r>
      <w:r>
        <w:t xml:space="preserve">Zulassung, Herstellung und Abgabe von Arzneimitteln. Zuständig für Zulassung und Überwachung ist das Bundesamt für Sicherheit im Gesundheitswesen (BASG) mit der AGES Medizinmarktaufsicht. Verschreibungspflichtige Arzneimittel werden nur in Apotheken gegen Rezept abgegeben; der Versandhandel aus Apotheken ist auf nicht verschreibungspflichtige Arzneimittel beschränkt.</w:t>
      </w:r>
    </w:p>
    <w:p>
      <w:pPr>
        <w:pStyle w:val="BodyText"/>
      </w:pPr>
      <w:r>
        <w:t xml:space="preserve">Die Einfuhr von Arzneimitteln regelt das</w:t>
      </w:r>
      <w:r>
        <w:t xml:space="preserve"> </w:t>
      </w:r>
      <w:r>
        <w:rPr>
          <w:bCs/>
          <w:b/>
        </w:rPr>
        <w:t xml:space="preserve">Arzneiwareneinfuhrgesetz</w:t>
      </w:r>
      <w:r>
        <w:t xml:space="preserve">. Privatpersonen dürfen Arzneimittel nur unter bestimmten Voraussetzungen und in Mengen für den persönlichen Bedarf einführen; für Bestellungen aus Ländern außerhalb des Europäischen Wirtschaftsraums gelten strengere Regeln. Nicht zugelassene Wirkstoffe von „Forschungschemikalien“-Shops erfüllen diese Voraussetzungen in aller Regel nicht. Der Zoll kann solche Sendungen beschlagnahmen.</w:t>
      </w:r>
    </w:p>
    <w:p>
      <w:pPr>
        <w:pStyle w:val="BodyText"/>
      </w:pPr>
      <w:r>
        <w:t xml:space="preserve">Für den Sport gilt das</w:t>
      </w:r>
      <w:r>
        <w:t xml:space="preserve"> </w:t>
      </w:r>
      <w:r>
        <w:rPr>
          <w:bCs/>
          <w:b/>
        </w:rPr>
        <w:t xml:space="preserve">Anti-Doping-Bundesgesetz 2021</w:t>
      </w:r>
      <w:r>
        <w:t xml:space="preserve">. Es verweist auf die Verbotsliste der Welt-Anti-Doping-Agentur und enthält Verbote und Strafbestimmungen, insbesondere für das Inverkehrbringen und die Weitergabe verbotener Wirkstoffe. Zuständig für Kontrollen ist die Nationale Anti-Doping Agentur Austria (NADA Austria).</w:t>
      </w:r>
    </w:p>
    <w:p>
      <w:pPr>
        <w:pStyle w:val="BodyText"/>
      </w:pPr>
      <w:r>
        <w:t xml:space="preserve">Stand 2026, bitte aktuell prüfen.</w:t>
      </w:r>
    </w:p>
    <w:bookmarkEnd w:id="220"/>
    <w:bookmarkStart w:id="221" w:name="deutschland"/>
    <w:p>
      <w:pPr>
        <w:pStyle w:val="Heading3"/>
      </w:pPr>
      <w:r>
        <w:t xml:space="preserve">Deutschland</w:t>
      </w:r>
    </w:p>
    <w:p>
      <w:pPr>
        <w:pStyle w:val="FirstParagraph"/>
      </w:pPr>
      <w:r>
        <w:t xml:space="preserve">In Deutschland gilt das</w:t>
      </w:r>
      <w:r>
        <w:t xml:space="preserve"> </w:t>
      </w:r>
      <w:r>
        <w:rPr>
          <w:bCs/>
          <w:b/>
        </w:rPr>
        <w:t xml:space="preserve">Arzneimittelgesetz (AMG)</w:t>
      </w:r>
      <w:r>
        <w:t xml:space="preserve">. Zulassungsbehörden sind das BfArM und das Paul-Ehrlich-Institut. Verschreibungspflichtige Arzneimittel dürfen nur gegen Rezept abgegeben werden, auch im Versandhandel durch zugelassene Versandapotheken.</w:t>
      </w:r>
    </w:p>
    <w:p>
      <w:pPr>
        <w:pStyle w:val="BodyText"/>
      </w:pPr>
      <w:r>
        <w:t xml:space="preserve">Für die Einfuhr gilt grundsätzlich ein Verbot, nicht zugelassene Arzneimittel nach Deutschland zu verbringen. Eine Ausnahme besteht für den persönlichen Bedarf, wenn das Arzneimittel im Herkunftsland rechtmäßig in Verkehr ist und aus einem Mitgliedstaat der EU oder des Europäischen Wirtschaftsraums ohne gewerbsmäßige Vermittlung bezogen wird; daneben gibt es eng begrenzte Sonderregeln. Für Graumarkt-Peptide, die nirgendwo als Arzneimittel zugelassen sind, greift diese Ausnahme nach unserem Verständnis nicht.</w:t>
      </w:r>
    </w:p>
    <w:p>
      <w:pPr>
        <w:pStyle w:val="BodyText"/>
      </w:pPr>
      <w:r>
        <w:t xml:space="preserve">Wer Arzneimittel ohne Erlaubnis herstellt, in Verkehr bringt oder an andere abgibt, kann sich nach dem AMG strafbar machen. Das gilt besonders für sogenannte bedenkliche Arzneimittel, bei denen der begründete Verdacht schädlicher Wirkungen besteht.</w:t>
      </w:r>
    </w:p>
    <w:p>
      <w:pPr>
        <w:pStyle w:val="BodyText"/>
      </w:pPr>
      <w:r>
        <w:t xml:space="preserve">Für den Sport gilt zusätzlich das</w:t>
      </w:r>
      <w:r>
        <w:t xml:space="preserve"> </w:t>
      </w:r>
      <w:r>
        <w:rPr>
          <w:bCs/>
          <w:b/>
        </w:rPr>
        <w:t xml:space="preserve">Anti-Doping-Gesetz (AntiDopG)</w:t>
      </w:r>
      <w:r>
        <w:t xml:space="preserve">. Es verbietet unter anderem Herstellung, Handel und Inverkehrbringen von Dopingmitteln sowie deren Anwendung bei anderen. Erwerb und Besitz bestimmter, in einer Anlage zum Gesetz aufgeführter Stoffe – darunter Peptidhormone – sind in nicht geringer Menge zu Dopingzwecken strafbar. Für Spitzensportlerinnen und Spitzensportler ist auch das Selbstdoping strafbar. Zuständig für Kontrollen ist die Nationale Anti Doping Agentur Deutschland (NADA).</w:t>
      </w:r>
    </w:p>
    <w:p>
      <w:pPr>
        <w:pStyle w:val="BodyText"/>
      </w:pPr>
      <w:r>
        <w:t xml:space="preserve">Stand 2026, bitte aktuell prüfen.</w:t>
      </w:r>
    </w:p>
    <w:bookmarkEnd w:id="221"/>
    <w:bookmarkStart w:id="224" w:name="usa"/>
    <w:p>
      <w:pPr>
        <w:pStyle w:val="Heading3"/>
      </w:pPr>
      <w:r>
        <w:t xml:space="preserve">USA</w:t>
      </w:r>
    </w:p>
    <w:p>
      <w:pPr>
        <w:pStyle w:val="FirstParagraph"/>
      </w:pPr>
      <w:r>
        <w:t xml:space="preserve">In den USA ist die</w:t>
      </w:r>
      <w:r>
        <w:t xml:space="preserve"> </w:t>
      </w:r>
      <w:r>
        <w:rPr>
          <w:bCs/>
          <w:b/>
        </w:rPr>
        <w:t xml:space="preserve">Food and Drug Administration (FDA)</w:t>
      </w:r>
      <w:r>
        <w:t xml:space="preserve"> </w:t>
      </w:r>
      <w:r>
        <w:t xml:space="preserve">zuständig. Neue Arzneimittel brauchen eine Zulassung (bei chemisch hergestellten Wirkstoffen über einen „New Drug Application“, bei biologischen Wirkstoffen über einen „Biologics License Application“).</w:t>
      </w:r>
    </w:p>
    <w:p>
      <w:pPr>
        <w:pStyle w:val="BodyText"/>
      </w:pPr>
      <w:r>
        <w:rPr>
          <w:bCs/>
          <w:b/>
        </w:rPr>
        <w:t xml:space="preserve">Nahrungsergänzungsmittel</w:t>
      </w:r>
      <w:r>
        <w:t xml:space="preserve"> </w:t>
      </w:r>
      <w:r>
        <w:t xml:space="preserve">(Dietary Supplements) sind seit einem Gesetz von 1994 weitgehend ohne Vorabprüfung verkehrsfähig. Ein Stoff, der zuerst als Arzneimittel zugelassen oder als Arzneimittel in größerem Umfang klinisch untersucht wurde, darf aber grundsätzlich nicht nachträglich als Nahrungsergänzungsmittel verkauft werden. Aus diesem Grund können viele Peptide in den USA nicht legal als Supplement vermarktet werden.</w:t>
      </w:r>
    </w:p>
    <w:p>
      <w:pPr>
        <w:pStyle w:val="BodyText"/>
      </w:pPr>
      <w:r>
        <w:rPr>
          <w:bCs/>
          <w:b/>
        </w:rPr>
        <w:t xml:space="preserve">Compounding</w:t>
      </w:r>
      <w:r>
        <w:t xml:space="preserve">: US-Apotheken dürfen unter bestimmten Voraussetzungen Arzneimittel selbst zubereiten – einzeln für bestimmte Patientinnen und Patienten oder in größerem Maßstab in besonders überwachten Betrieben. Bei Lieferengpässen zugelassener Arzneimittel dürfen sie auch Kopien herstellen. Nach dem Ende der Engpässe bei Semaglutid und Tirzepatid dürfen sie nach US-Recht nur noch abweichende Präparate herstellen</w:t>
      </w:r>
      <w:r>
        <w:rPr>
          <w:rStyle w:val="FootnoteReference"/>
        </w:rPr>
        <w:footnoteReference w:id="222"/>
      </w:r>
      <w:r>
        <w:t xml:space="preserve">. Welche Wirkstoffe als Ausgangsstoffe für das Compounding verwendet werden dürfen, legt die FDA in Listen fest. Nach unserem Kenntnisstand hat die FDA mehrere beliebte Graumarkt-Peptide, darunter BPC-157, wegen Sicherheitsbedenken als nicht geeignet für das Compounding eingestuft. Diese Listen und die politische Debatte darüber ändern sich; bitte prüfe den aktuellen Stand.</w:t>
      </w:r>
    </w:p>
    <w:p>
      <w:pPr>
        <w:pStyle w:val="BodyText"/>
      </w:pPr>
      <w:r>
        <w:rPr>
          <w:bCs/>
          <w:b/>
        </w:rPr>
        <w:t xml:space="preserve">„Research Use Only“</w:t>
      </w:r>
      <w:r>
        <w:t xml:space="preserve">: Der Verkauf von Peptiden mit dem Hinweis „nur für Forschungszwecke“ an Verbraucherinnen und Verbraucher bewegt sich auch in den USA in einer rechtlichen Grauzone, die von Fachleuten als Umgehung der Verschreibungspflicht beschrieben wird</w:t>
      </w:r>
      <w:r>
        <w:rPr>
          <w:rStyle w:val="FootnoteReference"/>
        </w:rPr>
        <w:footnoteReference w:id="223"/>
      </w:r>
      <w:r>
        <w:t xml:space="preserve">. Die FDA hat gegen einzelne Anbieter Warnschreiben verschickt.</w:t>
      </w:r>
    </w:p>
    <w:p>
      <w:pPr>
        <w:pStyle w:val="BodyText"/>
      </w:pPr>
      <w:r>
        <w:rPr>
          <w:bCs/>
          <w:b/>
        </w:rPr>
        <w:t xml:space="preserve">Einfuhr</w:t>
      </w:r>
      <w:r>
        <w:t xml:space="preserve">: Die FDA duldet unter engen Voraussetzungen die Einfuhr kleiner Mengen von Arzneimitteln für den persönlichen Gebrauch. Ein Rechtsanspruch besteht nicht, und nicht zugelassene Wirkstoffe ohne ärztliche Begleitung fallen in der Regel nicht darunter.</w:t>
      </w:r>
    </w:p>
    <w:p>
      <w:pPr>
        <w:pStyle w:val="BodyText"/>
      </w:pPr>
      <w:r>
        <w:t xml:space="preserve">Stand 2026, bitte aktuell prüfen.</w:t>
      </w:r>
    </w:p>
    <w:bookmarkEnd w:id="224"/>
    <w:bookmarkStart w:id="226" w:name="doping-die-verbotsliste-der-wada"/>
    <w:p>
      <w:pPr>
        <w:pStyle w:val="Heading3"/>
      </w:pPr>
      <w:r>
        <w:t xml:space="preserve">Doping: die Verbotsliste der WADA</w:t>
      </w:r>
    </w:p>
    <w:p>
      <w:pPr>
        <w:pStyle w:val="FirstParagraph"/>
      </w:pPr>
      <w:r>
        <w:t xml:space="preserve">Für Sportlerinnen und Sportler, die Dopingkontrollen unterliegen, ist die</w:t>
      </w:r>
      <w:r>
        <w:t xml:space="preserve"> </w:t>
      </w:r>
      <w:r>
        <w:rPr>
          <w:bCs/>
          <w:b/>
        </w:rPr>
        <w:t xml:space="preserve">Verbotsliste der Welt-Anti-Doping-Agentur (WADA)</w:t>
      </w:r>
      <w:r>
        <w:t xml:space="preserve"> </w:t>
      </w:r>
      <w:r>
        <w:t xml:space="preserve">maßgeblich. Sie wird jährlich überarbeitet und tritt jeweils am 1. Januar in Kraft. Für Peptide sind vor allem zwei Abschnitte wichtig, die im Wettkampf und außerhalb des Wettkampfs gelten:</w:t>
      </w:r>
    </w:p>
    <w:p>
      <w:pPr>
        <w:pStyle w:val="BodyText"/>
      </w:pPr>
      <w:r>
        <w:rPr>
          <w:bCs/>
          <w:b/>
        </w:rPr>
        <w:t xml:space="preserve">S0 – Nicht zugelassene Substanzen.</w:t>
      </w:r>
      <w:r>
        <w:t xml:space="preserve"> </w:t>
      </w:r>
      <w:r>
        <w:t xml:space="preserve">Verboten sind pharmakologisch wirksame Stoffe, die in keinem anderen Abschnitt der Liste genannt sind und von keiner Gesundheitsbehörde für die Anwendung am Menschen zugelassen sind – etwa Wirkstoffe in vorklinischer oder klinischer Entwicklung, eingestellte Entwicklungen, Designerdrogen und nur für Tiere zugelassene Stoffe. Viele Graumarkt-Peptide fallen in diese Gruppe. BPC-157 wird in der Liste nach unserem Kenntnisstand ausdrücklich als Beispiel genannt.</w:t>
      </w:r>
    </w:p>
    <w:p>
      <w:pPr>
        <w:pStyle w:val="BodyText"/>
      </w:pPr>
      <w:r>
        <w:rPr>
          <w:bCs/>
          <w:b/>
        </w:rPr>
        <w:t xml:space="preserve">S2 – Peptidhormone, Wachstumsfaktoren, verwandte Substanzen und Mimetika.</w:t>
      </w:r>
      <w:r>
        <w:t xml:space="preserve"> </w:t>
      </w:r>
      <w:r>
        <w:t xml:space="preserve">Hierzu zählen unter anderem:</w:t>
      </w:r>
    </w:p>
    <w:p>
      <w:pPr>
        <w:numPr>
          <w:ilvl w:val="0"/>
          <w:numId w:val="1033"/>
        </w:numPr>
        <w:pStyle w:val="Compact"/>
      </w:pPr>
      <w:r>
        <w:t xml:space="preserve">Wachstumshormon und seine Fragmente (zum Beispiel AOD-9604),</w:t>
      </w:r>
    </w:p>
    <w:p>
      <w:pPr>
        <w:numPr>
          <w:ilvl w:val="0"/>
          <w:numId w:val="1033"/>
        </w:numPr>
        <w:pStyle w:val="Compact"/>
      </w:pPr>
      <w:r>
        <w:t xml:space="preserve">Wachstumshormon-Releasing-Hormon und seine Analoga (zum Beispiel CJC-1295, Sermorelin, Tesamorelin),</w:t>
      </w:r>
    </w:p>
    <w:p>
      <w:pPr>
        <w:numPr>
          <w:ilvl w:val="0"/>
          <w:numId w:val="1033"/>
        </w:numPr>
        <w:pStyle w:val="Compact"/>
      </w:pPr>
      <w:r>
        <w:t xml:space="preserve">Wachstumshormon-Sekretagoga und Wachstumshormon-freisetzende Peptide (zum Beispiel Ipamorelin, GHRP-2, GHRP-6, Hexarelin, Macimorelin und nach unserem Kenntnisstand auch das nicht peptidische Ibutamoren),</w:t>
      </w:r>
    </w:p>
    <w:p>
      <w:pPr>
        <w:numPr>
          <w:ilvl w:val="0"/>
          <w:numId w:val="1033"/>
        </w:numPr>
        <w:pStyle w:val="Compact"/>
      </w:pPr>
      <w:r>
        <w:t xml:space="preserve">Wachstumsfaktoren wie IGF-1 und seine Analoga sowie Thymosin Beta-4 und seine Abkömmlinge (zum Beispiel TB-500),</w:t>
      </w:r>
    </w:p>
    <w:p>
      <w:pPr>
        <w:numPr>
          <w:ilvl w:val="0"/>
          <w:numId w:val="1033"/>
        </w:numPr>
        <w:pStyle w:val="Compact"/>
      </w:pPr>
      <w:r>
        <w:t xml:space="preserve">bei Männern Hormone und Freisetzungsfaktoren der Sexualhormon-Achse (zum Beispiel Gonadorelin und Kisspeptin).</w:t>
      </w:r>
    </w:p>
    <w:p>
      <w:pPr>
        <w:pStyle w:val="FirstParagraph"/>
      </w:pPr>
      <w:r>
        <w:t xml:space="preserve">Zusätzlich sind im Abschnitt S4 unter anderem Insuline als Stoffwechsel-Modulatoren verboten. GLP-1-Medikamente wie Semaglutid oder Tirzepatid sind nach unserem Kenntnisstand derzeit nicht auf der Verbotsliste. Die Liste nennt Beispiele, ist aber nicht abschließend: Auch nicht genannte Stoffe mit ähnlicher chemischer Struktur oder ähnlicher biologischer Wirkung können verboten sein.</w:t>
      </w:r>
    </w:p>
    <w:p>
      <w:pPr>
        <w:pStyle w:val="BodyText"/>
      </w:pPr>
      <w:r>
        <w:t xml:space="preserve">Im Anti-Doping-Recht gilt die</w:t>
      </w:r>
      <w:r>
        <w:t xml:space="preserve"> </w:t>
      </w:r>
      <w:r>
        <w:rPr>
          <w:bCs/>
          <w:b/>
        </w:rPr>
        <w:t xml:space="preserve">verschuldensunabhängige Verantwortlichkeit</w:t>
      </w:r>
      <w:r>
        <w:t xml:space="preserve">: Wird ein verbotener Stoff in einer Probe gefunden, ist das ein Verstoß – unabhängig davon, ob er absichtlich eingenommen wurde oder etwa aus einem verunreinigten Nahrungsergänzungsmittel stammt. Wer ein zugelassenes, verbotenes Arzneimittel aus medizinischen Gründen braucht, kann eine</w:t>
      </w:r>
      <w:r>
        <w:t xml:space="preserve"> </w:t>
      </w:r>
      <w:r>
        <w:rPr>
          <w:bCs/>
          <w:b/>
        </w:rPr>
        <w:t xml:space="preserve">Medizinische Ausnahmegenehmigung</w:t>
      </w:r>
      <w:r>
        <w:t xml:space="preserve"> </w:t>
      </w:r>
      <w:r>
        <w:t xml:space="preserve">(Therapeutic Use Exemption, TUE) beantragen. Für nicht zugelassene Stoffe aus Abschnitt S0 ist das praktisch ausgeschlossen.</w:t>
      </w:r>
    </w:p>
    <w:p>
      <w:pPr>
        <w:pStyle w:val="BodyText"/>
      </w:pPr>
      <w:r>
        <w:t xml:space="preserve">Die Dopingkontroll-Labore entwickeln laufend Nachweisverfahren für neue Peptide, oft auf der Grundlage beschlagnahmter Produkte</w:t>
      </w:r>
      <w:r>
        <w:rPr>
          <w:rStyle w:val="FootnoteReference"/>
        </w:rPr>
        <w:footnoteReference w:id="225"/>
      </w:r>
      <w:r>
        <w:t xml:space="preserve">. Dass ein Stoff gestern nicht nachweisbar war, heißt nicht, dass er es morgen nicht ist – und eingefrorene Proben können Jahre später erneut untersucht werden.</w:t>
      </w:r>
    </w:p>
    <w:p>
      <w:pPr>
        <w:pStyle w:val="BodyText"/>
      </w:pPr>
      <w:r>
        <w:t xml:space="preserve">Stand 2026, bitte die aktuelle Verbotsliste der WADA prüfen.</w:t>
      </w:r>
    </w:p>
    <w:bookmarkEnd w:id="226"/>
    <w:bookmarkStart w:id="227" w:name="haftung-wer-trägt-das-risiko"/>
    <w:p>
      <w:pPr>
        <w:pStyle w:val="Heading3"/>
      </w:pPr>
      <w:r>
        <w:t xml:space="preserve">Haftung: Wer trägt das Risiko?</w:t>
      </w:r>
    </w:p>
    <w:p>
      <w:pPr>
        <w:pStyle w:val="FirstParagraph"/>
      </w:pPr>
      <w:r>
        <w:t xml:space="preserve">Bei</w:t>
      </w:r>
      <w:r>
        <w:t xml:space="preserve"> </w:t>
      </w:r>
      <w:r>
        <w:rPr>
          <w:bCs/>
          <w:b/>
        </w:rPr>
        <w:t xml:space="preserve">zugelassenen Arzneimitteln</w:t>
      </w:r>
      <w:r>
        <w:t xml:space="preserve"> </w:t>
      </w:r>
      <w:r>
        <w:t xml:space="preserve">sind Hersteller, Apotheken und verordnende Ärztinnen und Ärzte in ein System von Verantwortung und Haftung eingebunden. In Deutschland sieht das Arzneimittelgesetz eine besondere Haftung des Herstellers für Schäden durch zugelassene Arzneimittel vor, die nicht von einem Verschulden abhängt; in Österreich greifen das allgemeine Schadenersatzrecht und das Produkthaftungsgesetz. Nebenwirkungen werden gemeldet, ausgewertet und können zu Warnhinweisen oder Marktrücknahmen führen.</w:t>
      </w:r>
    </w:p>
    <w:p>
      <w:pPr>
        <w:pStyle w:val="BodyText"/>
      </w:pPr>
      <w:r>
        <w:t xml:space="preserve">Bei</w:t>
      </w:r>
      <w:r>
        <w:t xml:space="preserve"> </w:t>
      </w:r>
      <w:r>
        <w:rPr>
          <w:bCs/>
          <w:b/>
        </w:rPr>
        <w:t xml:space="preserve">Graumarkt-Produkten</w:t>
      </w:r>
      <w:r>
        <w:t xml:space="preserve"> </w:t>
      </w:r>
      <w:r>
        <w:t xml:space="preserve">fehlt dieses System weitgehend:</w:t>
      </w:r>
    </w:p>
    <w:p>
      <w:pPr>
        <w:numPr>
          <w:ilvl w:val="0"/>
          <w:numId w:val="1034"/>
        </w:numPr>
        <w:pStyle w:val="Compact"/>
      </w:pPr>
      <w:r>
        <w:t xml:space="preserve">Die Anbieter sitzen oft im Ausland, wechseln häufig ihre Namen und Websites und sind praktisch nicht greifbar.</w:t>
      </w:r>
    </w:p>
    <w:p>
      <w:pPr>
        <w:numPr>
          <w:ilvl w:val="0"/>
          <w:numId w:val="1034"/>
        </w:numPr>
        <w:pStyle w:val="Compact"/>
      </w:pPr>
      <w:r>
        <w:t xml:space="preserve">Mit dem Hinweis „nicht zur Anwendung am Menschen“ versuchen sie, jede Verantwortung von sich zu weisen.</w:t>
      </w:r>
    </w:p>
    <w:p>
      <w:pPr>
        <w:numPr>
          <w:ilvl w:val="0"/>
          <w:numId w:val="1034"/>
        </w:numPr>
        <w:pStyle w:val="Compact"/>
      </w:pPr>
      <w:r>
        <w:t xml:space="preserve">Wer ein solches Produkt selbst anwendet, trägt das gesundheitliche und finanzielle Risiko weitgehend allein.</w:t>
      </w:r>
    </w:p>
    <w:p>
      <w:pPr>
        <w:numPr>
          <w:ilvl w:val="0"/>
          <w:numId w:val="1034"/>
        </w:numPr>
        <w:pStyle w:val="Compact"/>
      </w:pPr>
      <w:r>
        <w:t xml:space="preserve">Wer ein solches Produkt an andere weitergibt oder bei anderen anwendet – etwa in einem Fitnessstudio, Kosmetik- oder Wellnessbetrieb –, kann sich strafbar machen und haftet unter Umständen für Schäden.</w:t>
      </w:r>
    </w:p>
    <w:p>
      <w:pPr>
        <w:pStyle w:val="FirstParagraph"/>
      </w:pPr>
      <w:r>
        <w:t xml:space="preserve">Auch bei der</w:t>
      </w:r>
      <w:r>
        <w:t xml:space="preserve"> </w:t>
      </w:r>
      <w:r>
        <w:rPr>
          <w:bCs/>
          <w:b/>
        </w:rPr>
        <w:t xml:space="preserve">Anwendung durch Ärztinnen und Ärzte</w:t>
      </w:r>
      <w:r>
        <w:t xml:space="preserve"> </w:t>
      </w:r>
      <w:r>
        <w:t xml:space="preserve">gelten strenge Maßstäbe. Wer nicht zugelassene Wirkstoffe verabreicht, muss umfassend über die unsichere Datenlage aufklären und haftet bei Behandlungsfehlern. Berufsrechtliche Folgen sind möglich.</w:t>
      </w:r>
    </w:p>
    <w:bookmarkEnd w:id="227"/>
    <w:bookmarkStart w:id="228" w:name="die-rechtslage-auf-einen-blick"/>
    <w:p>
      <w:pPr>
        <w:pStyle w:val="Heading3"/>
      </w:pPr>
      <w:r>
        <w:t xml:space="preserve">Die Rechtslage auf einen Blick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Einordnung (vereinfacht)</w:t>
            </w:r>
          </w:p>
        </w:tc>
      </w:tr>
      <w:tr>
        <w:tc>
          <w:tcPr/>
          <w:p>
            <w:pPr>
              <w:pStyle w:val="Compact"/>
              <w:jc w:val="left"/>
            </w:pPr>
            <w:r>
              <w:t xml:space="preserve">Zugelassenes Peptid auf Rezept aus der Apotheke</w:t>
            </w:r>
          </w:p>
        </w:tc>
        <w:tc>
          <w:tcPr/>
          <w:p>
            <w:pPr>
              <w:pStyle w:val="Compact"/>
              <w:jc w:val="left"/>
            </w:pPr>
            <w:r>
              <w:t xml:space="preserve">legal, ärztlich begleitet</w:t>
            </w:r>
          </w:p>
        </w:tc>
      </w:tr>
      <w:tr>
        <w:tc>
          <w:tcPr/>
          <w:p>
            <w:pPr>
              <w:pStyle w:val="Compact"/>
              <w:jc w:val="left"/>
            </w:pPr>
            <w:r>
              <w:t xml:space="preserve">Zugelassenes Peptid ohne Rezept aus dem Internet</w:t>
            </w:r>
          </w:p>
        </w:tc>
        <w:tc>
          <w:tcPr/>
          <w:p>
            <w:pPr>
              <w:pStyle w:val="Compact"/>
              <w:jc w:val="left"/>
            </w:pPr>
            <w:r>
              <w:t xml:space="preserve">in der Regel illegal, Fälschungsrisiko</w:t>
            </w:r>
          </w:p>
        </w:tc>
      </w:tr>
      <w:tr>
        <w:tc>
          <w:tcPr/>
          <w:p>
            <w:pPr>
              <w:pStyle w:val="Compact"/>
              <w:jc w:val="left"/>
            </w:pPr>
            <w:r>
              <w:t xml:space="preserve">Nicht zugelassenes Peptid als „Forschungschemikalie“</w:t>
            </w:r>
          </w:p>
        </w:tc>
        <w:tc>
          <w:tcPr/>
          <w:p>
            <w:pPr>
              <w:pStyle w:val="Compact"/>
              <w:jc w:val="left"/>
            </w:pPr>
            <w:r>
              <w:t xml:space="preserve">in der Regel nicht verkehrsfähiges Arzneimittel</w:t>
            </w:r>
          </w:p>
        </w:tc>
      </w:tr>
      <w:tr>
        <w:tc>
          <w:tcPr/>
          <w:p>
            <w:pPr>
              <w:pStyle w:val="Compact"/>
              <w:jc w:val="left"/>
            </w:pPr>
            <w:r>
              <w:t xml:space="preserve">Kollagenpeptide als Lebensmittel</w:t>
            </w:r>
          </w:p>
        </w:tc>
        <w:tc>
          <w:tcPr/>
          <w:p>
            <w:pPr>
              <w:pStyle w:val="Compact"/>
              <w:jc w:val="left"/>
            </w:pPr>
            <w:r>
              <w:t xml:space="preserve">legal, Werbeaussagen eingeschränkt</w:t>
            </w:r>
          </w:p>
        </w:tc>
      </w:tr>
      <w:tr>
        <w:tc>
          <w:tcPr/>
          <w:p>
            <w:pPr>
              <w:pStyle w:val="Compact"/>
              <w:jc w:val="left"/>
            </w:pPr>
            <w:r>
              <w:t xml:space="preserve">Peptid-Creme als Kosmetikum</w:t>
            </w:r>
          </w:p>
        </w:tc>
        <w:tc>
          <w:tcPr/>
          <w:p>
            <w:pPr>
              <w:pStyle w:val="Compact"/>
              <w:jc w:val="left"/>
            </w:pPr>
            <w:r>
              <w:t xml:space="preserve">legal, sofern sicher und nicht als Heilmittel beworben</w:t>
            </w:r>
          </w:p>
        </w:tc>
      </w:tr>
      <w:tr>
        <w:tc>
          <w:tcPr/>
          <w:p>
            <w:pPr>
              <w:pStyle w:val="Compact"/>
              <w:jc w:val="left"/>
            </w:pPr>
            <w:r>
              <w:t xml:space="preserve">Verbotenes Peptid im kontrollierten Sport</w:t>
            </w:r>
          </w:p>
        </w:tc>
        <w:tc>
          <w:tcPr/>
          <w:p>
            <w:pPr>
              <w:pStyle w:val="Compact"/>
              <w:jc w:val="left"/>
            </w:pPr>
            <w:r>
              <w:t xml:space="preserve">Dopingverstoß, teils strafbar</w:t>
            </w:r>
          </w:p>
        </w:tc>
      </w:tr>
    </w:tbl>
    <w:bookmarkEnd w:id="228"/>
    <w:bookmarkStart w:id="229" w:name="das-wichtigste-in-kürze-4"/>
    <w:p>
      <w:pPr>
        <w:pStyle w:val="Heading3"/>
      </w:pPr>
      <w:r>
        <w:t xml:space="preserve">Das Wichtigste in Kürze</w:t>
      </w:r>
    </w:p>
    <w:p>
      <w:pPr>
        <w:numPr>
          <w:ilvl w:val="0"/>
          <w:numId w:val="1035"/>
        </w:numPr>
        <w:pStyle w:val="Compact"/>
      </w:pPr>
      <w:r>
        <w:t xml:space="preserve">Ob ein Peptid Arzneimittel, Lebensmittel oder Kosmetikum ist, hängt von Wirkung, Zweckbestimmung und Aufmachung ab. Bei pharmakologischer Wirkung geht das Arzneimittelrecht vor.</w:t>
      </w:r>
    </w:p>
    <w:p>
      <w:pPr>
        <w:numPr>
          <w:ilvl w:val="0"/>
          <w:numId w:val="1035"/>
        </w:numPr>
        <w:pStyle w:val="Compact"/>
      </w:pPr>
      <w:r>
        <w:t xml:space="preserve">Arzneimittel brauchen eine Zulassung. Die meisten Peptid-Arzneimittel sind verschreibungspflichtig.</w:t>
      </w:r>
    </w:p>
    <w:p>
      <w:pPr>
        <w:numPr>
          <w:ilvl w:val="0"/>
          <w:numId w:val="1035"/>
        </w:numPr>
        <w:pStyle w:val="Compact"/>
      </w:pPr>
      <w:r>
        <w:t xml:space="preserve">Der Aufdruck „nur für Forschungszwecke“ macht den Verkauf an Privatpersonen nicht legal und schützt diese nicht.</w:t>
      </w:r>
    </w:p>
    <w:p>
      <w:pPr>
        <w:numPr>
          <w:ilvl w:val="0"/>
          <w:numId w:val="1035"/>
        </w:numPr>
        <w:pStyle w:val="Compact"/>
      </w:pPr>
      <w:r>
        <w:t xml:space="preserve">Viele Graumarkt-Peptide sind im Sport verboten, oft über die Abschnitte S0 und S2 der WADA-Liste.</w:t>
      </w:r>
    </w:p>
    <w:p>
      <w:pPr>
        <w:numPr>
          <w:ilvl w:val="0"/>
          <w:numId w:val="1035"/>
        </w:numPr>
        <w:pStyle w:val="Compact"/>
      </w:pPr>
      <w:r>
        <w:t xml:space="preserve">Bei Graumarkt-Produkten tragen Anwenderinnen und Anwender das Risiko weitgehend allein.</w:t>
      </w:r>
    </w:p>
    <w:p>
      <w:pPr>
        <w:pStyle w:val="FirstParagraph"/>
      </w:pPr>
      <w:r>
        <w:t xml:space="preserve">Alle Angaben in diesem Kapitel: Stand 2026, keine Rechtsberatung, bitte aktuell prüfen.</w:t>
      </w:r>
    </w:p>
    <w:bookmarkEnd w:id="229"/>
    <w:bookmarkEnd w:id="230"/>
    <w:bookmarkEnd w:id="231"/>
    <w:bookmarkStart w:id="892" w:name="teil-ii-a-stoffwechsel-und-gewicht"/>
    <w:p>
      <w:pPr>
        <w:pStyle w:val="Heading1"/>
      </w:pPr>
      <w:r>
        <w:t xml:space="preserve">Teil II · A – Stoffwechsel und Gewicht</w:t>
      </w:r>
    </w:p>
    <w:p>
      <w:pPr>
        <w:pStyle w:val="FirstParagraph"/>
      </w:pPr>
      <w:r>
        <w:t xml:space="preserve">Keine Gruppe von Peptiden hat die Medizin der letzten Jahre so verändert wie die Wirkstoffe dieses Abschnitts. Sie sind ursprünglich für Typ-2-Diabetes entwickelt worden, wurden dann zu den wirksamsten Abnehmmedikamenten, die es je gab, und werden inzwischen bei Herzschwäche, Schlafapnoe, Fettleber und Nierenerkrankungen untersucht. Gleichzeitig ist kaum ein Bereich so stark vom Graumarkt betroffen: Wirkstoffe, die noch in Studien stecken, werden im Internet als „Research Peptides“ verkauft.</w:t>
      </w:r>
    </w:p>
    <w:bookmarkStart w:id="232" w:name="Xc085878cc04128084abaff6a0e5d4046f2b1b43"/>
    <w:p>
      <w:pPr>
        <w:pStyle w:val="Heading3"/>
      </w:pPr>
      <w:r>
        <w:t xml:space="preserve">Was diese Wirkstoffe verbindet: Hormone aus Darm und Bauchspeicheldrüse</w:t>
      </w:r>
    </w:p>
    <w:p>
      <w:pPr>
        <w:pStyle w:val="FirstParagraph"/>
      </w:pPr>
      <w:r>
        <w:t xml:space="preserve">Fast alle Wirkstoffe dieser Gruppe ahmen Hormone nach, die der Körper rund um eine Mahlzeit ausschüttet. Vier davon solltest du kennen:</w:t>
      </w:r>
    </w:p>
    <w:p>
      <w:pPr>
        <w:numPr>
          <w:ilvl w:val="0"/>
          <w:numId w:val="1036"/>
        </w:numPr>
        <w:pStyle w:val="Compact"/>
      </w:pPr>
      <w:r>
        <w:rPr>
          <w:bCs/>
          <w:b/>
        </w:rPr>
        <w:t xml:space="preserve">GLP-1 (Glucagon-like Peptide-1)</w:t>
      </w:r>
      <w:r>
        <w:t xml:space="preserve"> </w:t>
      </w:r>
      <w:r>
        <w:t xml:space="preserve">wird von Zellen im Dünn- und Dickdarm freigesetzt, sobald Nahrung ankommt. Es verstärkt die Insulinausschüttung – aber nur, wenn der Blutzucker erhöht ist –, bremst die Magenentleerung und meldet dem Gehirn Sättigung. Körpereigenes GLP-1 wird innerhalb weniger Minuten abgebaut; die Medikamente sind so verändert, dass sie einen Tag bis eine Woche wirken.</w:t>
      </w:r>
    </w:p>
    <w:p>
      <w:pPr>
        <w:numPr>
          <w:ilvl w:val="0"/>
          <w:numId w:val="1036"/>
        </w:numPr>
        <w:pStyle w:val="Compact"/>
      </w:pPr>
      <w:r>
        <w:rPr>
          <w:bCs/>
          <w:b/>
        </w:rPr>
        <w:t xml:space="preserve">GIP (Glukose-abhängiges insulinotropes Polypeptid)</w:t>
      </w:r>
      <w:r>
        <w:t xml:space="preserve"> </w:t>
      </w:r>
      <w:r>
        <w:t xml:space="preserve">stammt aus dem oberen Dünndarm und verstärkt ebenfalls die Insulinausschüttung. Seine Rolle für Appetit und Körpergewicht ist widersprüchlich: Tirzepatid aktiviert den GIP-Rezeptor, Maridebart Cafraglutid blockiert ihn – und beide führen zu Gewichtsverlust.</w:t>
      </w:r>
    </w:p>
    <w:p>
      <w:pPr>
        <w:numPr>
          <w:ilvl w:val="0"/>
          <w:numId w:val="1036"/>
        </w:numPr>
        <w:pStyle w:val="Compact"/>
      </w:pPr>
      <w:r>
        <w:rPr>
          <w:bCs/>
          <w:b/>
        </w:rPr>
        <w:t xml:space="preserve">Glukagon</w:t>
      </w:r>
      <w:r>
        <w:t xml:space="preserve"> </w:t>
      </w:r>
      <w:r>
        <w:t xml:space="preserve">ist das Gegenspielerhormon des Insulins aus der Bauchspeicheldrüse. Es hebt den Blutzucker, steigert aber auch den Energieverbrauch und den Fettabbau in der Leber. Neuere Wirkstoffe nutzen gezielt diese zweite Seite.</w:t>
      </w:r>
    </w:p>
    <w:p>
      <w:pPr>
        <w:numPr>
          <w:ilvl w:val="0"/>
          <w:numId w:val="1036"/>
        </w:numPr>
        <w:pStyle w:val="Compact"/>
      </w:pPr>
      <w:r>
        <w:rPr>
          <w:bCs/>
          <w:b/>
        </w:rPr>
        <w:t xml:space="preserve">Amylin</w:t>
      </w:r>
      <w:r>
        <w:t xml:space="preserve"> </w:t>
      </w:r>
      <w:r>
        <w:t xml:space="preserve">wird zusammen mit Insulin aus den Betazellen der Bauchspeicheldrüse ausgeschüttet. Es wirkt im Hirnstamm sättigend und verlangsamt die Magenentleerung.</w:t>
      </w:r>
    </w:p>
    <w:p>
      <w:pPr>
        <w:pStyle w:val="FirstParagraph"/>
      </w:pPr>
      <w:r>
        <w:t xml:space="preserve">GLP-1 und GIP nennt man</w:t>
      </w:r>
      <w:r>
        <w:t xml:space="preserve"> </w:t>
      </w:r>
      <w:r>
        <w:rPr>
          <w:bCs/>
          <w:b/>
        </w:rPr>
        <w:t xml:space="preserve">Inkretine</w:t>
      </w:r>
      <w:r>
        <w:t xml:space="preserve"> </w:t>
      </w:r>
      <w:r>
        <w:t xml:space="preserve">(abgeleitet aus dem Englischen „INtestinal seCRETion of INsulin“, also vom Darm ausgelöste Insulinausschüttung): Sie erklären, warum Zucker, der gegessen wird, mehr Insulin freisetzt als dieselbe Menge Zucker direkt in die Vene. Die Entwicklung lässt sich als Stufenfolge lesen: erst reine GLP-1-Agonisten, dann Kombinationen mit GIP, Glukagon oder Amylin in einem Molekül, schließlich Tabletten, die gar keine Peptide mehr sind.</w:t>
      </w:r>
    </w:p>
    <w:p>
      <w:pPr>
        <w:pStyle w:val="BodyText"/>
      </w:pPr>
      <w:r>
        <w:t xml:space="preserve">Zwei Wirkstoffe dieser Gruppe passen nicht in dieses Schema:</w:t>
      </w:r>
      <w:r>
        <w:t xml:space="preserve"> </w:t>
      </w:r>
      <w:r>
        <w:rPr>
          <w:bCs/>
          <w:b/>
        </w:rPr>
        <w:t xml:space="preserve">Setmelanotid</w:t>
      </w:r>
      <w:r>
        <w:t xml:space="preserve"> </w:t>
      </w:r>
      <w:r>
        <w:t xml:space="preserve">greift tiefer im Gehirn an, am Melanocortin-4-Rezeptor, und ist nur für seltene genetische Formen der Adipositas gedacht.</w:t>
      </w:r>
      <w:r>
        <w:t xml:space="preserve"> </w:t>
      </w:r>
      <w:r>
        <w:rPr>
          <w:bCs/>
          <w:b/>
        </w:rPr>
        <w:t xml:space="preserve">AOD-9604</w:t>
      </w:r>
      <w:r>
        <w:t xml:space="preserve"> </w:t>
      </w:r>
      <w:r>
        <w:t xml:space="preserve">ist ein Bruchstück des Wachstumshormons, das als „Fatburner“ vermarktet wird, ohne dass veröffentlichte Humanstudien vorliegen.</w:t>
      </w:r>
    </w:p>
    <w:bookmarkEnd w:id="232"/>
    <w:bookmarkStart w:id="233" w:name="überblick"/>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erster GLP-1-Agonist, aus Echsengift</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tägliche Spritze, Generika</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wöchentlich, Antikörper-Fusion</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Spritze und Tablette, Herzschutz belegt</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GIP plus GLP-1, Maßstab 2026</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 GLP-1 und Glukagon</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Glukagon plus GLP-1, Fokus Leber</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nur China</w:t>
            </w:r>
          </w:p>
        </w:tc>
        <w:tc>
          <w:tcPr/>
          <w:p>
            <w:pPr>
              <w:pStyle w:val="Compact"/>
              <w:jc w:val="left"/>
            </w:pPr>
            <w:r>
              <w:t xml:space="preserve">Glukagon plus GLP-1</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mit Semaglutid kombiniert</w:t>
            </w:r>
          </w:p>
        </w:tc>
      </w:tr>
      <w:tr>
        <w:tc>
          <w:tcPr/>
          <w:p>
            <w:pPr>
              <w:pStyle w:val="Compact"/>
              <w:jc w:val="left"/>
            </w:pPr>
            <w:r>
              <w:t xml:space="preserve">Amycretin (Zenagamtid)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und GLP-1 in einem Molekül</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GIP-Blocker, monatliche Gabe</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nur USA</w:t>
            </w:r>
          </w:p>
        </w:tc>
        <w:tc>
          <w:tcPr/>
          <w:p>
            <w:pPr>
              <w:pStyle w:val="Compact"/>
              <w:jc w:val="left"/>
            </w:pPr>
            <w:r>
              <w:t xml:space="preserve">erstes Amylin-Medikament</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seltene genetische Adipositas</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w:t>
            </w:r>
          </w:p>
        </w:tc>
        <w:tc>
          <w:tcPr/>
          <w:p>
            <w:pPr>
              <w:pStyle w:val="Compact"/>
              <w:jc w:val="left"/>
            </w:pPr>
            <w:r>
              <w:t xml:space="preserve">Wachstumshormon-Fragment, Graumarkt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offen</w:t>
            </w:r>
          </w:p>
        </w:tc>
        <w:tc>
          <w:tcPr/>
          <w:p>
            <w:pPr>
              <w:pStyle w:val="Compact"/>
              <w:jc w:val="left"/>
            </w:pPr>
            <w:r>
              <w:t xml:space="preserve">kein Peptid, Tablette (Vergleich)</w:t>
            </w:r>
          </w:p>
        </w:tc>
      </w:tr>
    </w:tbl>
    <w:p>
      <w:pPr>
        <w:pStyle w:val="BodyText"/>
      </w:pPr>
      <w:r>
        <w:t xml:space="preserve">Die Evidenzstufen sind in Teil I erklärt. Zulassungsangaben beziehen sich auf den Stand Oktober 2026 und auf mindestens ein Anwendungsgebiet; Einzelheiten stehen im jeweiligen Kapitel. Bitte prüfe den aktuellen Stand, denn gerade in dieser Gruppe ändern sich Zulassungen schnell.</w:t>
      </w:r>
    </w:p>
    <w:bookmarkEnd w:id="233"/>
    <w:bookmarkStart w:id="234" w:name="lesehinweis"/>
    <w:p>
      <w:pPr>
        <w:pStyle w:val="Heading3"/>
      </w:pPr>
      <w:r>
        <w:t xml:space="preserve">Lesehinweis</w:t>
      </w:r>
    </w:p>
    <w:p>
      <w:pPr>
        <w:pStyle w:val="FirstParagraph"/>
      </w:pPr>
      <w:r>
        <w:t xml:space="preserve">Die Kapitel folgen grob der historischen Entwicklung: von den etablierten GLP-1-Agonisten (Exenatid bis Semaglutid) über die Kombinationswirkstoffe (Tirzepatid bis Maridebart Cafraglutid) zu den Sonderfällen (Pramlintid, Setmelanotid, AOD-9604) und schließlich zu Orforglipron, das als Nicht-Peptid zum Vergleich aufgenommen ist.</w:t>
      </w:r>
    </w:p>
    <w:p>
      <w:pPr>
        <w:pStyle w:val="BodyText"/>
      </w:pPr>
      <w:r>
        <w:t xml:space="preserve">Wer sich einen schnellen Überblick verschaffen will, beginnt mit Semaglutid und Tirzepatid – an ihnen werden alle anderen gemessen. Die direkten Vergleiche von Gewichtsverlust, Blutzuckersenkung, Herz-Kreislauf-Ergebnissen und Nebenwirkungen über alle Wirkstoffe hinweg findest du in Teil III. Klassenrisiken wie Gallenblasen- und Bauchspeicheldrüsenprobleme, Muskelverlust und Fragen zur Schilddrüse behandelt Teil IV ausführlich.</w:t>
      </w:r>
    </w:p>
    <w:p>
      <w:pPr>
        <w:pStyle w:val="BodyText"/>
      </w:pPr>
      <w:r>
        <w:t xml:space="preserve">Zwei Grundsätze gelten für die ganze Gruppe: Erstens beschreiben die Kapitel Studienergebnisse, keine Behandlungsanleitungen – für zugelassene Medikamente sind Fachinformation und ärztliche Begleitung maßgeblich. Zweitens kehrt bei fast allen Wirkstoffen ein Großteil des verlorenen Gewichts zurück, wenn die Behandlung endet. Diese Medikamente wirken, solange sie genommen werden; sie sind keine Kur.</w:t>
      </w:r>
    </w:p>
    <w:bookmarkEnd w:id="234"/>
    <w:bookmarkStart w:id="289" w:name="exenatid"/>
    <w:p>
      <w:pPr>
        <w:pStyle w:val="Heading2"/>
      </w:pPr>
      <w:r>
        <w:t xml:space="preserve">Exenatid</w:t>
      </w:r>
    </w:p>
    <w:bookmarkStart w:id="236" w:name="steckbrief"/>
    <w:p>
      <w:pPr>
        <w:pStyle w:val="Heading3"/>
      </w:pPr>
      <w:r>
        <w:t xml:space="preserve">Steckbrief</w:t>
      </w:r>
    </w:p>
    <w:p>
      <w:pPr>
        <w:numPr>
          <w:ilvl w:val="0"/>
          <w:numId w:val="1037"/>
        </w:numPr>
        <w:pStyle w:val="Compact"/>
      </w:pPr>
      <w:r>
        <w:rPr>
          <w:bCs/>
          <w:b/>
        </w:rPr>
        <w:t xml:space="preserve">Art/Struktur:</w:t>
      </w:r>
      <w:r>
        <w:t xml:space="preserve"> </w:t>
      </w:r>
      <w:r>
        <w:t xml:space="preserve">Peptid aus 39 Aminosäuren, synthetisch hergestellte Form von Exendin-4. Etwa die Hälfte der Sequenz stimmt mit dem menschlichen Darmhormon GLP-1 überein.</w:t>
      </w:r>
    </w:p>
    <w:p>
      <w:pPr>
        <w:numPr>
          <w:ilvl w:val="0"/>
          <w:numId w:val="1037"/>
        </w:numPr>
        <w:pStyle w:val="Compact"/>
      </w:pPr>
      <w:r>
        <w:rPr>
          <w:bCs/>
          <w:b/>
        </w:rPr>
        <w:t xml:space="preserve">Herkunft:</w:t>
      </w:r>
      <w:r>
        <w:t xml:space="preserve"> </w:t>
      </w:r>
      <w:r>
        <w:t xml:space="preserve">Exendin-4 wurde 1992 aus dem Gift der Gila-Krustenechse (</w:t>
      </w:r>
      <w:r>
        <w:rPr>
          <w:iCs/>
          <w:i/>
        </w:rPr>
        <w:t xml:space="preserve">Heloderma suspectum</w:t>
      </w:r>
      <w:r>
        <w:t xml:space="preserve">) isoliert</w:t>
      </w:r>
      <w:r>
        <w:rPr>
          <w:rStyle w:val="FootnoteReference"/>
        </w:rPr>
        <w:footnoteReference w:id="235"/>
      </w:r>
      <w:r>
        <w:t xml:space="preserve">.</w:t>
      </w:r>
    </w:p>
    <w:p>
      <w:pPr>
        <w:numPr>
          <w:ilvl w:val="0"/>
          <w:numId w:val="1037"/>
        </w:numPr>
        <w:pStyle w:val="Compact"/>
      </w:pPr>
      <w:r>
        <w:rPr>
          <w:bCs/>
          <w:b/>
        </w:rPr>
        <w:t xml:space="preserve">Wirkprinzip:</w:t>
      </w:r>
      <w:r>
        <w:t xml:space="preserve"> </w:t>
      </w:r>
      <w:r>
        <w:t xml:space="preserve">GLP-1-Rezeptor-Agonist. Exenatid ahmt das Sättigungs- und Inkretinhormon GLP-1 nach, wird aber deutlich langsamer abgebaut.</w:t>
      </w:r>
    </w:p>
    <w:p>
      <w:pPr>
        <w:numPr>
          <w:ilvl w:val="0"/>
          <w:numId w:val="1037"/>
        </w:numPr>
        <w:pStyle w:val="Compact"/>
      </w:pPr>
      <w:r>
        <w:rPr>
          <w:bCs/>
          <w:b/>
        </w:rPr>
        <w:t xml:space="preserve">Darreichungsformen:</w:t>
      </w:r>
      <w:r>
        <w:t xml:space="preserve"> </w:t>
      </w:r>
      <w:r>
        <w:t xml:space="preserve">zweimal täglich (Byetta) und einmal wöchentlich als Depot mit Mikrokügelchen (Bydureon, später als Fertigpen bzw. Autoinjektor). In Studien zusätzlich: Pumpenimplantat (ITCA 650) und pegylierte Varianten (PB-119, NLY01).</w:t>
      </w:r>
    </w:p>
    <w:p>
      <w:pPr>
        <w:numPr>
          <w:ilvl w:val="0"/>
          <w:numId w:val="1037"/>
        </w:numPr>
        <w:pStyle w:val="Compact"/>
      </w:pPr>
      <w:r>
        <w:rPr>
          <w:bCs/>
          <w:b/>
        </w:rPr>
        <w:t xml:space="preserve">Zulassung EU:</w:t>
      </w:r>
      <w:r>
        <w:t xml:space="preserve"> </w:t>
      </w:r>
      <w:r>
        <w:t xml:space="preserve">ja, zur Behandlung des Typ-2-Diabetes (Byetta, Bydureon). Keine Zulassung zur Gewichtsreduktion.</w:t>
      </w:r>
    </w:p>
    <w:p>
      <w:pPr>
        <w:numPr>
          <w:ilvl w:val="0"/>
          <w:numId w:val="1037"/>
        </w:numPr>
        <w:pStyle w:val="Compact"/>
      </w:pPr>
      <w:r>
        <w:rPr>
          <w:bCs/>
          <w:b/>
        </w:rPr>
        <w:t xml:space="preserve">Zulassung USA:</w:t>
      </w:r>
      <w:r>
        <w:t xml:space="preserve"> </w:t>
      </w:r>
      <w:r>
        <w:t xml:space="preserve">ja, Typ-2-Diabetes (Byetta 2005 als erster GLP-1-Rezeptor-Agonist überhaupt, Bydureon/Bydureon BCise), die Wochenform auch für Jugendliche ab 10 Jahren. Inzwischen gibt es dort auch Nachahmerpräparate der Zweimal-täglich-Form. Verfügbarkeit einzelner Präparate schwankt – bitte aktuell prüfen.</w:t>
      </w:r>
    </w:p>
    <w:p>
      <w:pPr>
        <w:numPr>
          <w:ilvl w:val="0"/>
          <w:numId w:val="1037"/>
        </w:numPr>
        <w:pStyle w:val="Compact"/>
      </w:pPr>
      <w:r>
        <w:rPr>
          <w:bCs/>
          <w:b/>
        </w:rPr>
        <w:t xml:space="preserve">WADA:</w:t>
      </w:r>
      <w:r>
        <w:t xml:space="preserve"> </w:t>
      </w:r>
      <w:r>
        <w:t xml:space="preserve">nicht gelistet.</w:t>
      </w:r>
    </w:p>
    <w:p>
      <w:pPr>
        <w:numPr>
          <w:ilvl w:val="0"/>
          <w:numId w:val="1037"/>
        </w:numPr>
        <w:pStyle w:val="Compact"/>
      </w:pPr>
      <w:r>
        <w:rPr>
          <w:bCs/>
          <w:b/>
        </w:rPr>
        <w:t xml:space="preserve">Evidenzstufe:</w:t>
      </w:r>
      <w:r>
        <w:t xml:space="preserve"> </w:t>
      </w:r>
      <w:r>
        <w:rPr>
          <w:bCs/>
          <w:b/>
        </w:rPr>
        <w:t xml:space="preserve">A</w:t>
      </w:r>
      <w:r>
        <w:t xml:space="preserve"> </w:t>
      </w:r>
      <w:r>
        <w:t xml:space="preserve">– zahlreiche große randomisierte Studien, eine große kardiovaskuläre Endpunktstudie, Zulassung seit 2005.</w:t>
      </w:r>
    </w:p>
    <w:bookmarkEnd w:id="236"/>
    <w:bookmarkStart w:id="237" w:name="wie-es-wirken-soll"/>
    <w:p>
      <w:pPr>
        <w:pStyle w:val="Heading3"/>
      </w:pPr>
      <w:r>
        <w:t xml:space="preserve">Wie es wirken soll</w:t>
      </w:r>
    </w:p>
    <w:p>
      <w:pPr>
        <w:pStyle w:val="FirstParagraph"/>
      </w:pPr>
      <w:r>
        <w:t xml:space="preserve">Nach einer Mahlzeit schüttet der Darm das Hormon GLP-1 (Glucagon-like Peptide-1) aus. Es signalisiert der Bauchspeicheldrüse, mehr Insulin freizusetzen – aber nur, solange der Blutzucker erhöht ist. Gleichzeitig bremst es das Hormon Glukagon, das den Blutzucker anhebt, verlangsamt die Magenentleerung und wirkt im Gehirn auf Zentren, die Hunger und Sättigung steuern. Weil die Insulinfreisetzung zuckerabhängig ist, verursachen GLP-1-Rezeptor-Agonisten allein selten Unterzuckerungen.</w:t>
      </w:r>
    </w:p>
    <w:p>
      <w:pPr>
        <w:pStyle w:val="BodyText"/>
      </w:pPr>
      <w:r>
        <w:t xml:space="preserve">Das körpereigene GLP-1 hat jedoch einen entscheidenden Nachteil: Das Enzym DPP-4 zerlegt es innerhalb von etwa zwei Minuten. Als Medikament ist es daher unbrauchbar. Exendin-4 aus dem Echsengift bindet ebenfalls an den GLP-1-Rezeptor, ist aber gegen DPP-4 weitgehend unempfindlich. Diese zufällige Entdeckung machte Exenatid zum ersten Vertreter einer Wirkstoffklasse, die zwei Jahrzehnte später mit Semaglutid und Tirzepatid die Medizin verändern sollte.</w:t>
      </w:r>
    </w:p>
    <w:p>
      <w:pPr>
        <w:pStyle w:val="BodyText"/>
      </w:pPr>
      <w:r>
        <w:t xml:space="preserve">Die ursprüngliche Form wirkt nur einige Stunden und muss deshalb zweimal täglich vor den Hauptmahlzeiten gespritzt werden. Sie senkt vor allem den Blutzuckeranstieg nach dem Essen, unter anderem weil sie die Magenentleerung deutlich verlangsamt. Die Wochenform verpackt denselben Wirkstoff in abbaubare Kunststoff-Mikrokügelchen (PLGA), aus denen er langsam freigesetzt wird. Dadurch bleibt der Spiegel konstanter; der Effekt auf den Nüchternzucker wird stärker, der auf die Magenentleerung schwächt sich mit der Zeit etwas ab.</w:t>
      </w:r>
    </w:p>
    <w:p>
      <w:pPr>
        <w:pStyle w:val="BodyText"/>
      </w:pPr>
      <w:r>
        <w:t xml:space="preserve">Ein wichtiger Unterschied zu den späteren Wirkstoffen: Exenatid ist dem menschlichen GLP-1 nur zu etwa der Hälfte ähnlich. Das Immunsystem erkennt es daher häufiger als fremd und bildet Antikörper. Bei den meisten Behandelten bleibt das ohne Folgen; bei einem kleinen Teil mit hohen Antikörperspiegeln kann die Wirkung nachlassen.</w:t>
      </w:r>
    </w:p>
    <w:bookmarkEnd w:id="237"/>
    <w:bookmarkStart w:id="265" w:name="studien-am-menschen"/>
    <w:p>
      <w:pPr>
        <w:pStyle w:val="Heading3"/>
      </w:pPr>
      <w:r>
        <w:t xml:space="preserve">Studien am Menschen</w:t>
      </w:r>
    </w:p>
    <w:p>
      <w:pPr>
        <w:pStyle w:val="FirstParagraph"/>
      </w:pPr>
      <w:r>
        <w:t xml:space="preserve">Die Studienlage zu Exenatid ist umfangreich. Die für dieses Buch ausgewertete PubMed-Abfrage (Suchbegriff „exenatide“ in Titel oder Abstract, Abfragedatum Oktober 2026) ergab 437 Humanstudien; auf ClinicalTrials.gov sind 379 Registereinträge mit Exenatid verzeichnet. Viele davon sind kleine Mechanismus- oder Kombinationsstudien. Für die Bewertung tragen vor allem drei Gruppen: die Zulassungsprogramme AMIGO (Zweimal-täglich-Form) und DURATION (Wochenform), die kardiovaskuläre Endpunktstudie EXSCEL und eine Reihe von Studien jenseits des Diabetes, insbesondere zur Parkinson-Krankheit.</w:t>
      </w:r>
    </w:p>
    <w:bookmarkStart w:id="239" w:name="die-amigo-studien-der-start-der-klasse"/>
    <w:p>
      <w:pPr>
        <w:pStyle w:val="Heading4"/>
      </w:pPr>
      <w:r>
        <w:t xml:space="preserve">Die AMIGO-Studien: der Start der Klasse</w:t>
      </w:r>
    </w:p>
    <w:p>
      <w:pPr>
        <w:pStyle w:val="FirstParagraph"/>
      </w:pPr>
      <w:r>
        <w:t xml:space="preserve">Drei placebokontrollierte Studien über je 30 Wochen bildeten die Grundlage der ersten Zulassung. Sie prüften Exenatid zweimal täglich (5 oder 10 Mikrogramm pro Gabe) als Zusatz zu bestehenden Tabletten.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(10-µg-Arm vs. Placebo)</w:t>
            </w:r>
          </w:p>
        </w:tc>
      </w:tr>
      <w:tr>
        <w:tc>
          <w:tcPr/>
          <w:p>
            <w:pPr>
              <w:pStyle w:val="Compact"/>
              <w:jc w:val="left"/>
            </w:pPr>
            <w:r>
              <w:t xml:space="preserve">Buse 2004, PMID 15504997</w:t>
            </w:r>
          </w:p>
        </w:tc>
        <w:tc>
          <w:tcPr/>
          <w:p>
            <w:pPr>
              <w:pStyle w:val="Compact"/>
              <w:jc w:val="left"/>
            </w:pPr>
            <w:r>
              <w:t xml:space="preserve">Typ-2-Diabetes unter Sulfonylharnstoff, RCT gegen Placebo</w:t>
            </w:r>
          </w:p>
        </w:tc>
        <w:tc>
          <w:tcPr/>
          <w:p>
            <w:pPr>
              <w:pStyle w:val="Compact"/>
              <w:jc w:val="left"/>
            </w:pPr>
            <w:r>
              <w:t xml:space="preserve">30 Wochen</w:t>
            </w:r>
          </w:p>
        </w:tc>
        <w:tc>
          <w:tcPr/>
          <w:p>
            <w:pPr>
              <w:pStyle w:val="Compact"/>
              <w:jc w:val="left"/>
            </w:pPr>
            <w:r>
              <w:t xml:space="preserve">HbA1c −0,86 vs. +0,12 Prozentpunkte; Gewicht −1,6 kg</w:t>
            </w:r>
          </w:p>
        </w:tc>
      </w:tr>
      <w:tr>
        <w:tc>
          <w:tcPr/>
          <w:p>
            <w:pPr>
              <w:pStyle w:val="Compact"/>
              <w:jc w:val="left"/>
            </w:pPr>
            <w:r>
              <w:t xml:space="preserve">DeFronzo 2005, PMID 15855572</w:t>
            </w:r>
          </w:p>
        </w:tc>
        <w:tc>
          <w:tcPr/>
          <w:p>
            <w:pPr>
              <w:pStyle w:val="Compact"/>
              <w:jc w:val="left"/>
            </w:pPr>
            <w:r>
              <w:t xml:space="preserve">Typ-2-Diabetes unter Metformin, RCT gegen Placebo</w:t>
            </w:r>
          </w:p>
        </w:tc>
        <w:tc>
          <w:tcPr/>
          <w:p>
            <w:pPr>
              <w:pStyle w:val="Compact"/>
              <w:jc w:val="left"/>
            </w:pPr>
            <w:r>
              <w:t xml:space="preserve">30 Wochen</w:t>
            </w:r>
          </w:p>
        </w:tc>
        <w:tc>
          <w:tcPr/>
          <w:p>
            <w:pPr>
              <w:pStyle w:val="Compact"/>
              <w:jc w:val="left"/>
            </w:pPr>
            <w:r>
              <w:t xml:space="preserve">HbA1c −0,78 vs. +0,08; Gewicht −2,8 kg; 46 % vs. 13 % erreichten HbA1c ≤ 7 %</w:t>
            </w:r>
          </w:p>
        </w:tc>
      </w:tr>
      <w:tr>
        <w:tc>
          <w:tcPr/>
          <w:p>
            <w:pPr>
              <w:pStyle w:val="Compact"/>
              <w:jc w:val="left"/>
            </w:pPr>
            <w:r>
              <w:t xml:space="preserve">Kendall 2005, PMID 15855571</w:t>
            </w:r>
          </w:p>
        </w:tc>
        <w:tc>
          <w:tcPr/>
          <w:p>
            <w:pPr>
              <w:pStyle w:val="Compact"/>
              <w:jc w:val="left"/>
            </w:pPr>
            <w:r>
              <w:t xml:space="preserve">Typ-2-Diabetes unter Metformin plus Sulfonylharnstoff, RCT</w:t>
            </w:r>
          </w:p>
        </w:tc>
        <w:tc>
          <w:tcPr/>
          <w:p>
            <w:pPr>
              <w:pStyle w:val="Compact"/>
              <w:jc w:val="left"/>
            </w:pPr>
            <w:r>
              <w:t xml:space="preserve">30 Wochen</w:t>
            </w:r>
          </w:p>
        </w:tc>
        <w:tc>
          <w:tcPr/>
          <w:p>
            <w:pPr>
              <w:pStyle w:val="Compact"/>
              <w:jc w:val="left"/>
            </w:pPr>
            <w:r>
              <w:t xml:space="preserve">HbA1c −0,8 vs. +0,2; leichte Unterzuckerungen 28 % vs. 13 %</w:t>
            </w:r>
          </w:p>
        </w:tc>
      </w:tr>
      <w:tr>
        <w:tc>
          <w:tcPr/>
          <w:p>
            <w:pPr>
              <w:pStyle w:val="Compact"/>
              <w:jc w:val="left"/>
            </w:pPr>
            <w:r>
              <w:t xml:space="preserve">Heine 2005, PMID 16230722</w:t>
            </w:r>
          </w:p>
        </w:tc>
        <w:tc>
          <w:tcPr/>
          <w:p>
            <w:pPr>
              <w:pStyle w:val="Compact"/>
              <w:jc w:val="left"/>
            </w:pPr>
            <w:r>
              <w:t xml:space="preserve">551 Personen, offener Vergleich mit Insulin glargin</w:t>
            </w:r>
          </w:p>
        </w:tc>
        <w:tc>
          <w:tcPr/>
          <w:p>
            <w:pPr>
              <w:pStyle w:val="Compact"/>
              <w:jc w:val="left"/>
            </w:pPr>
            <w:r>
              <w:t xml:space="preserve">26 Wochen</w:t>
            </w:r>
          </w:p>
        </w:tc>
        <w:tc>
          <w:tcPr/>
          <w:p>
            <w:pPr>
              <w:pStyle w:val="Compact"/>
              <w:jc w:val="left"/>
            </w:pPr>
            <w:r>
              <w:t xml:space="preserve">HbA1c jeweils −1,11; Gewicht −2,3 kg vs. +1,8 kg</w:t>
            </w:r>
          </w:p>
        </w:tc>
      </w:tr>
    </w:tbl>
    <w:p>
      <w:pPr>
        <w:pStyle w:val="BodyText"/>
      </w:pPr>
      <w:r>
        <w:t xml:space="preserve">Der HbA1c-Wert (Langzeitzucker) beschreibt den Anteil des „verzuckerten“ roten Blutfarbstoffs und spiegelt den Blutzucker der letzten zwei bis drei Monate wider. Eine Senkung um 0,8 bis 1 Prozentpunkt galt damals als klinisch bedeutsam. Neu war, dass das Gewicht nicht anstieg, wie bei Insulin oder Sulfonylharnstoffen üblich, sondern sank. Die Studie von Kendall zeigt aber auch: In Kombination mit einem Sulfonylharnstoff, der unabhängig vom Blutzucker Insulin freisetzt, nahmen leichte Unterzuckerungen zu.</w:t>
      </w:r>
    </w:p>
    <w:p>
      <w:pPr>
        <w:pStyle w:val="BodyText"/>
      </w:pPr>
      <w:r>
        <w:t xml:space="preserve">Im direkten Vergleich mit Insulin glargin</w:t>
      </w:r>
      <w:r>
        <w:rPr>
          <w:rStyle w:val="FootnoteReference"/>
        </w:rPr>
        <w:footnoteReference w:id="238"/>
      </w:r>
      <w:r>
        <w:t xml:space="preserve"> </w:t>
      </w:r>
      <w:r>
        <w:t xml:space="preserve">senkten beide Behandlungen den HbA1c gleich stark. Die Gewichtsdifferenz betrug 4,1 kg zugunsten von Exenatid, nächtliche Unterzuckerungen waren seltener (0,9 vs. 2,4 Ereignisse pro Patientenjahr). Der Preis: Übelkeit trat bei 57,1 % gegenüber 8,6 % auf, Erbrechen bei 17,4 % gegenüber 3,7 %. 19,4 % der Exenatid-Gruppe brachen die Studie ab, gegenüber 9,7 % unter Insulin.</w:t>
      </w:r>
    </w:p>
    <w:bookmarkEnd w:id="239"/>
    <w:bookmarkStart w:id="243" w:name="das-duration-programm-einmal-pro-woche"/>
    <w:p>
      <w:pPr>
        <w:pStyle w:val="Heading4"/>
      </w:pPr>
      <w:r>
        <w:t xml:space="preserve">Das DURATION-Programm: einmal pro Woche</w:t>
      </w:r>
    </w:p>
    <w:p>
      <w:pPr>
        <w:pStyle w:val="FirstParagraph"/>
      </w:pPr>
      <w:r>
        <w:t xml:space="preserve">Die Wochenform wurde in einer Serie von Studien mit dem Namen DURATION geprüft – gegen die Zweimal-täglich-Form, gegen Tabletten, gegen Insulin und gegen Liraglutid.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DURATION-1 (Drucker 2008), PMID 18782641</w:t>
            </w:r>
          </w:p>
        </w:tc>
        <w:tc>
          <w:tcPr/>
          <w:p>
            <w:pPr>
              <w:pStyle w:val="Compact"/>
              <w:jc w:val="left"/>
            </w:pPr>
            <w:r>
              <w:t xml:space="preserve">295 Personen, offen: Exenatid wöchentlich vs. zweimal täglich</w:t>
            </w:r>
          </w:p>
        </w:tc>
        <w:tc>
          <w:tcPr/>
          <w:p>
            <w:pPr>
              <w:pStyle w:val="Compact"/>
              <w:jc w:val="left"/>
            </w:pPr>
            <w:r>
              <w:t xml:space="preserve">30 Wochen</w:t>
            </w:r>
          </w:p>
        </w:tc>
        <w:tc>
          <w:tcPr/>
          <w:p>
            <w:pPr>
              <w:pStyle w:val="Compact"/>
              <w:jc w:val="left"/>
            </w:pPr>
            <w:r>
              <w:t xml:space="preserve">HbA1c −1,9 vs. −1,5; Zielwert ≤ 7 % bei 77 % vs. 61 %</w:t>
            </w:r>
          </w:p>
        </w:tc>
      </w:tr>
      <w:tr>
        <w:tc>
          <w:tcPr/>
          <w:p>
            <w:pPr>
              <w:pStyle w:val="Compact"/>
              <w:jc w:val="left"/>
            </w:pPr>
            <w:r>
              <w:t xml:space="preserve">DURATION-1, 5-Jahres-Daten (Wysham 2015), PMID 25744115</w:t>
            </w:r>
          </w:p>
        </w:tc>
        <w:tc>
          <w:tcPr/>
          <w:p>
            <w:pPr>
              <w:pStyle w:val="Compact"/>
              <w:jc w:val="left"/>
            </w:pPr>
            <w:r>
              <w:t xml:space="preserve">258 Personen in der Verlängerung, 153 blieben 5 Jahre</w:t>
            </w:r>
          </w:p>
        </w:tc>
        <w:tc>
          <w:tcPr/>
          <w:p>
            <w:pPr>
              <w:pStyle w:val="Compact"/>
              <w:jc w:val="left"/>
            </w:pPr>
            <w:r>
              <w:t xml:space="preserve">5 Jahre</w:t>
            </w:r>
          </w:p>
        </w:tc>
        <w:tc>
          <w:tcPr/>
          <w:p>
            <w:pPr>
              <w:pStyle w:val="Compact"/>
              <w:jc w:val="left"/>
            </w:pPr>
            <w:r>
              <w:t xml:space="preserve">HbA1c weiterhin −1,6; Gewicht −3,0 kg</w:t>
            </w:r>
          </w:p>
        </w:tc>
      </w:tr>
      <w:tr>
        <w:tc>
          <w:tcPr/>
          <w:p>
            <w:pPr>
              <w:pStyle w:val="Compact"/>
              <w:jc w:val="left"/>
            </w:pPr>
            <w:r>
              <w:t xml:space="preserve">DURATION-2 (Bergenstal 2010), PMID 20580422</w:t>
            </w:r>
          </w:p>
        </w:tc>
        <w:tc>
          <w:tcPr/>
          <w:p>
            <w:pPr>
              <w:pStyle w:val="Compact"/>
              <w:jc w:val="left"/>
            </w:pPr>
            <w:r>
              <w:t xml:space="preserve">514 Personen unter Metformin, vs. Sitagliptin oder Pioglitazon</w:t>
            </w:r>
          </w:p>
        </w:tc>
        <w:tc>
          <w:tcPr/>
          <w:p>
            <w:pPr>
              <w:pStyle w:val="Compact"/>
              <w:jc w:val="left"/>
            </w:pPr>
            <w:r>
              <w:t xml:space="preserve">26 Wochen</w:t>
            </w:r>
          </w:p>
        </w:tc>
        <w:tc>
          <w:tcPr/>
          <w:p>
            <w:pPr>
              <w:pStyle w:val="Compact"/>
              <w:jc w:val="left"/>
            </w:pPr>
            <w:r>
              <w:t xml:space="preserve">HbA1c −1,5 vs. −0,9 bzw. −1,2; Gewicht −2,3 kg</w:t>
            </w:r>
          </w:p>
        </w:tc>
      </w:tr>
      <w:tr>
        <w:tc>
          <w:tcPr/>
          <w:p>
            <w:pPr>
              <w:pStyle w:val="Compact"/>
              <w:jc w:val="left"/>
            </w:pPr>
            <w:r>
              <w:t xml:space="preserve">DURATION-3 (Diamant 2010), PMID 20609969</w:t>
            </w:r>
          </w:p>
        </w:tc>
        <w:tc>
          <w:tcPr/>
          <w:p>
            <w:pPr>
              <w:pStyle w:val="Compact"/>
              <w:jc w:val="left"/>
            </w:pPr>
            <w:r>
              <w:t xml:space="preserve">456 Personen, offen vs. Insulin glargin</w:t>
            </w:r>
          </w:p>
        </w:tc>
        <w:tc>
          <w:tcPr/>
          <w:p>
            <w:pPr>
              <w:pStyle w:val="Compact"/>
              <w:jc w:val="left"/>
            </w:pPr>
            <w:r>
              <w:t xml:space="preserve">26 Wochen</w:t>
            </w:r>
          </w:p>
        </w:tc>
        <w:tc>
          <w:tcPr/>
          <w:p>
            <w:pPr>
              <w:pStyle w:val="Compact"/>
              <w:jc w:val="left"/>
            </w:pPr>
            <w:r>
              <w:t xml:space="preserve">HbA1c −1,5 vs. −1,3; Abbruch wegen Nebenwirkungen 5 % vs. 1 %</w:t>
            </w:r>
          </w:p>
        </w:tc>
      </w:tr>
      <w:tr>
        <w:tc>
          <w:tcPr/>
          <w:p>
            <w:pPr>
              <w:pStyle w:val="Compact"/>
              <w:jc w:val="left"/>
            </w:pPr>
            <w:r>
              <w:t xml:space="preserve">DURATION-6 (Buse 2013), PMID 23141817</w:t>
            </w:r>
          </w:p>
        </w:tc>
        <w:tc>
          <w:tcPr/>
          <w:p>
            <w:pPr>
              <w:pStyle w:val="Compact"/>
              <w:jc w:val="left"/>
            </w:pPr>
            <w:r>
              <w:t xml:space="preserve">911 Personen, offen vs. Liraglutid täglich</w:t>
            </w:r>
          </w:p>
        </w:tc>
        <w:tc>
          <w:tcPr/>
          <w:p>
            <w:pPr>
              <w:pStyle w:val="Compact"/>
              <w:jc w:val="left"/>
            </w:pPr>
            <w:r>
              <w:t xml:space="preserve">26 Wochen</w:t>
            </w:r>
          </w:p>
        </w:tc>
        <w:tc>
          <w:tcPr/>
          <w:p>
            <w:pPr>
              <w:pStyle w:val="Compact"/>
              <w:jc w:val="left"/>
            </w:pPr>
            <w:r>
              <w:t xml:space="preserve">HbA1c −1,28 vs. −1,48; Nicht-Unterlegenheit verfehlt</w:t>
            </w:r>
          </w:p>
        </w:tc>
      </w:tr>
    </w:tbl>
    <w:p>
      <w:pPr>
        <w:pStyle w:val="BodyText"/>
      </w:pPr>
      <w:r>
        <w:t xml:space="preserve">Die Wochenform senkte den Langzeitzucker in DURATION-1 stärker als die tägliche Form, bei vergleichbarem Gewichtsverlust und ohne mehr Unterzuckerungen. Bemerkenswert ist die Fünf-Jahres-Auswertung</w:t>
      </w:r>
      <w:r>
        <w:rPr>
          <w:rStyle w:val="FootnoteReference"/>
        </w:rPr>
        <w:footnoteReference w:id="240"/>
      </w:r>
      <w:r>
        <w:t xml:space="preserve">: Von den 258 Personen der Verlängerungsphase blieben 153 (59,3 %) fünf Jahre in Behandlung. Bei ihnen lag der HbA1c weiterhin 1,6 Prozentpunkte unter dem Ausgangswert, 43,9 % erreichten einen Wert unter 7 %. Solche Verlängerungen haben allerdings eine eingebaute Verzerrung: Wer schlecht ansprach oder Nebenwirkungen hatte, ist oft nicht mehr dabei.</w:t>
      </w:r>
    </w:p>
    <w:p>
      <w:pPr>
        <w:pStyle w:val="BodyText"/>
      </w:pPr>
      <w:r>
        <w:t xml:space="preserve">In DURATION-2</w:t>
      </w:r>
      <w:r>
        <w:rPr>
          <w:rStyle w:val="FootnoteReference"/>
        </w:rPr>
        <w:footnoteReference w:id="241"/>
      </w:r>
      <w:r>
        <w:t xml:space="preserve"> </w:t>
      </w:r>
      <w:r>
        <w:t xml:space="preserve">war die Wochenform zwei damals gängigen Tabletten überlegen: Der Unterschied zu Sitagliptin betrug 0,6 Prozentpunkte, zu Pioglitazon 0,3 Prozentpunkte. Beim Gewicht lag der Unterschied zu Pioglitazon, das eher zu Gewichtszunahme führt, bei 5,1 kg. In DURATION-3</w:t>
      </w:r>
      <w:r>
        <w:rPr>
          <w:rStyle w:val="FootnoteReference"/>
        </w:rPr>
        <w:footnoteReference w:id="242"/>
      </w:r>
      <w:r>
        <w:t xml:space="preserve"> </w:t>
      </w:r>
      <w:r>
        <w:t xml:space="preserve">war Exenatid wöchentlich dem Basalinsulin glargin leicht überlegen (Differenz −0,16 Prozentpunkte), allerdings brachen mehr Personen die Behandlung wegen Nebenwirkungen ab.</w:t>
      </w:r>
    </w:p>
    <w:bookmarkEnd w:id="243"/>
    <w:bookmarkStart w:id="246" w:name="X9b2fced5712e22a9888387956129f2679001248"/>
    <w:p>
      <w:pPr>
        <w:pStyle w:val="Heading4"/>
      </w:pPr>
      <w:r>
        <w:t xml:space="preserve">Direktvergleiche innerhalb der GLP-1-Klasse</w:t>
      </w:r>
    </w:p>
    <w:p>
      <w:pPr>
        <w:pStyle w:val="FirstParagraph"/>
      </w:pPr>
      <w:r>
        <w:t xml:space="preserve">Für die Einordnung von Exenatid sind die Kopf-an-Kopf-Studien mit späteren Wirkstoffen besonders aufschlussreich. Sie zeigen, dass Exenatid zwar wirksam ist, aber von den Nachfolgern übertroffen wird.</w:t>
      </w:r>
    </w:p>
    <w:p>
      <w:pPr>
        <w:pStyle w:val="BodyText"/>
      </w:pPr>
      <w:r>
        <w:t xml:space="preserve">In</w:t>
      </w:r>
      <w:r>
        <w:t xml:space="preserve"> </w:t>
      </w:r>
      <w:r>
        <w:rPr>
          <w:bCs/>
          <w:b/>
        </w:rPr>
        <w:t xml:space="preserve">DURATION-6</w:t>
      </w:r>
      <w:r>
        <w:rPr>
          <w:rStyle w:val="FootnoteReference"/>
        </w:rPr>
        <w:footnoteReference w:id="244"/>
      </w:r>
      <w:r>
        <w:t xml:space="preserve"> </w:t>
      </w:r>
      <w:r>
        <w:t xml:space="preserve">trat die Wochenform gegen Liraglutid einmal täglich an. Liraglutid senkte den HbA1c um 1,48 Prozentpunkte, Exenatid um 1,28. Der Unterschied von 0,21 Prozentpunkten verfehlte die vorab festgelegte Grenze für „nicht schlechter“. Dafür war Exenatid besser verträglich: Übelkeit trat bei 9 % gegenüber 21 % auf, Durchfall bei 6 % gegenüber 13 %, Erbrechen bei 4 % gegenüber 11 %.</w:t>
      </w:r>
    </w:p>
    <w:p>
      <w:pPr>
        <w:pStyle w:val="BodyText"/>
      </w:pPr>
      <w:r>
        <w:t xml:space="preserve">In</w:t>
      </w:r>
      <w:r>
        <w:t xml:space="preserve"> </w:t>
      </w:r>
      <w:r>
        <w:rPr>
          <w:bCs/>
          <w:b/>
        </w:rPr>
        <w:t xml:space="preserve">SUSTAIN 3</w:t>
      </w:r>
      <w:r>
        <w:rPr>
          <w:rStyle w:val="FootnoteReference"/>
        </w:rPr>
        <w:footnoteReference w:id="245"/>
      </w:r>
      <w:r>
        <w:t xml:space="preserve"> </w:t>
      </w:r>
      <w:r>
        <w:t xml:space="preserve">verlor Exenatid wöchentlich über 56 Wochen deutlich gegen Semaglutid wöchentlich. Der HbA1c sank um 0,9 gegenüber 1,5 Prozentpunkten, das Gewicht um 1,9 gegenüber 5,6 kg. Einen HbA1c unter 7 % erreichten 40 % gegenüber 67 %. Magen-Darm-Beschwerden waren unter Exenatid etwas seltener (33,3 % vs. 41,8 %), Reaktionen an der Einstichstelle dagegen viel häufiger (22,0 % vs.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Vergleich</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(Exenatid wöchentlich vs. Vergleich)</w:t>
            </w:r>
          </w:p>
        </w:tc>
      </w:tr>
      <w:tr>
        <w:tc>
          <w:tcPr/>
          <w:p>
            <w:pPr>
              <w:pStyle w:val="Compact"/>
              <w:jc w:val="left"/>
            </w:pPr>
            <w:r>
              <w:t xml:space="preserve">DURATION-6 (Buse 2013), PMID 23141817</w:t>
            </w:r>
          </w:p>
        </w:tc>
        <w:tc>
          <w:tcPr/>
          <w:p>
            <w:pPr>
              <w:pStyle w:val="Compact"/>
              <w:jc w:val="left"/>
            </w:pPr>
            <w:r>
              <w:t xml:space="preserve">911 Personen, offen vs. Liraglutid</w:t>
            </w:r>
          </w:p>
        </w:tc>
        <w:tc>
          <w:tcPr/>
          <w:p>
            <w:pPr>
              <w:pStyle w:val="Compact"/>
              <w:jc w:val="left"/>
            </w:pPr>
            <w:r>
              <w:t xml:space="preserve">26 Wochen</w:t>
            </w:r>
          </w:p>
        </w:tc>
        <w:tc>
          <w:tcPr/>
          <w:p>
            <w:pPr>
              <w:pStyle w:val="Compact"/>
              <w:jc w:val="left"/>
            </w:pPr>
            <w:r>
              <w:t xml:space="preserve">HbA1c −1,28 vs. −1,48; Übelkeit 9 % vs. 21 %</w:t>
            </w:r>
          </w:p>
        </w:tc>
      </w:tr>
      <w:tr>
        <w:tc>
          <w:tcPr/>
          <w:p>
            <w:pPr>
              <w:pStyle w:val="Compact"/>
              <w:jc w:val="left"/>
            </w:pPr>
            <w:r>
              <w:t xml:space="preserve">SUSTAIN 3 (Ahmann 2018), PMID 29246950</w:t>
            </w:r>
          </w:p>
        </w:tc>
        <w:tc>
          <w:tcPr/>
          <w:p>
            <w:pPr>
              <w:pStyle w:val="Compact"/>
              <w:jc w:val="left"/>
            </w:pPr>
            <w:r>
              <w:t xml:space="preserve">offen vs. Semaglutid wöchentlich</w:t>
            </w:r>
          </w:p>
        </w:tc>
        <w:tc>
          <w:tcPr/>
          <w:p>
            <w:pPr>
              <w:pStyle w:val="Compact"/>
              <w:jc w:val="left"/>
            </w:pPr>
            <w:r>
              <w:t xml:space="preserve">56 Wochen</w:t>
            </w:r>
          </w:p>
        </w:tc>
        <w:tc>
          <w:tcPr/>
          <w:p>
            <w:pPr>
              <w:pStyle w:val="Compact"/>
              <w:jc w:val="left"/>
            </w:pPr>
            <w:r>
              <w:t xml:space="preserve">HbA1c −0,9 vs. −1,5; Gewicht −1,9 vs. −5,6 kg</w:t>
            </w:r>
          </w:p>
        </w:tc>
      </w:tr>
    </w:tbl>
    <w:p>
      <w:pPr>
        <w:pStyle w:val="BodyText"/>
      </w:pPr>
      <w:r>
        <w:t xml:space="preserve">Der Vergleich mit Dulaglutid und Liraglutid zweimal täglich (die AWARD-1- und LEAD-6-Studien) wird in den jeweiligen Kapiteln besprochen.</w:t>
      </w:r>
    </w:p>
    <w:p>
      <w:pPr>
        <w:pStyle w:val="BodyText"/>
      </w:pPr>
      <w:r>
        <w:t xml:space="preserve">Zusammengefasst ordnet sich Exenatid innerhalb der Klasse im unteren Mittelfeld ein: stärker als die DPP-4-Hemmer (Gliptine), schwächer als Liraglutid, Dulaglutid und vor allem Semaglutid.</w:t>
      </w:r>
    </w:p>
    <w:bookmarkEnd w:id="246"/>
    <w:bookmarkStart w:id="250" w:name="exscel-die-herz-kreislauf-studie"/>
    <w:p>
      <w:pPr>
        <w:pStyle w:val="Heading4"/>
      </w:pPr>
      <w:r>
        <w:t xml:space="preserve">EXSCEL: die Herz-Kreislauf-Studie</w:t>
      </w:r>
    </w:p>
    <w:p>
      <w:pPr>
        <w:pStyle w:val="FirstParagraph"/>
      </w:pPr>
      <w:r>
        <w:t xml:space="preserve">Seit 2008 verlangt die US-Arzneimittelbehörde FDA von neuen Diabetesmedikamenten den Nachweis, dass sie das Herz-Kreislauf-Risiko nicht erhöhen. Für Exenatid wöchentlich wurde dafür EXSCEL durchgeführt – eine der größten Studien dieser Art.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EXSCEL (Holman 2017), PMID 28910237</w:t>
            </w:r>
          </w:p>
        </w:tc>
        <w:tc>
          <w:tcPr/>
          <w:p>
            <w:pPr>
              <w:pStyle w:val="Compact"/>
              <w:jc w:val="left"/>
            </w:pPr>
            <w:r>
              <w:t xml:space="preserve">14.752 Personen mit Typ-2-Diabetes, 73,1 % mit Herz-Kreislauf-Vorerkrankung, RCT gegen Placebo</w:t>
            </w:r>
          </w:p>
        </w:tc>
        <w:tc>
          <w:tcPr/>
          <w:p>
            <w:pPr>
              <w:pStyle w:val="Compact"/>
              <w:jc w:val="left"/>
            </w:pPr>
            <w:r>
              <w:t xml:space="preserve">median 3,2 Jahre</w:t>
            </w:r>
          </w:p>
        </w:tc>
        <w:tc>
          <w:tcPr/>
          <w:p>
            <w:pPr>
              <w:pStyle w:val="Compact"/>
              <w:jc w:val="left"/>
            </w:pPr>
            <w:r>
              <w:t xml:space="preserve">Schwere Herz-Kreislauf-Ereignisse 11,4 % vs. 12,2 %; HR 0,91 (0,83–1,00), Überlegenheit knapp verfehlt (p = 0,06)</w:t>
            </w:r>
          </w:p>
        </w:tc>
      </w:tr>
      <w:tr>
        <w:tc>
          <w:tcPr/>
          <w:p>
            <w:pPr>
              <w:pStyle w:val="Compact"/>
              <w:jc w:val="left"/>
            </w:pPr>
            <w:r>
              <w:t xml:space="preserve">FREEDOM-CVO (Ruff 2022), PMID 34873344</w:t>
            </w:r>
          </w:p>
        </w:tc>
        <w:tc>
          <w:tcPr/>
          <w:p>
            <w:pPr>
              <w:pStyle w:val="Compact"/>
              <w:jc w:val="left"/>
            </w:pPr>
            <w:r>
              <w:t xml:space="preserve">4.156 Personen, Exenatid-Pumpenimplantat ITCA 650 vs. Placebo</w:t>
            </w:r>
          </w:p>
        </w:tc>
        <w:tc>
          <w:tcPr/>
          <w:p>
            <w:pPr>
              <w:pStyle w:val="Compact"/>
              <w:jc w:val="left"/>
            </w:pPr>
            <w:r>
              <w:t xml:space="preserve">median 16 Monate</w:t>
            </w:r>
          </w:p>
        </w:tc>
        <w:tc>
          <w:tcPr/>
          <w:p>
            <w:pPr>
              <w:pStyle w:val="Compact"/>
              <w:jc w:val="left"/>
            </w:pPr>
            <w:r>
              <w:t xml:space="preserve">Ereignisse 4,6 % vs. 3,8 %; HR 1,21 (0,90–1,63), Sicherheitskriterium erfüllt</w:t>
            </w:r>
          </w:p>
        </w:tc>
      </w:tr>
    </w:tbl>
    <w:p>
      <w:pPr>
        <w:pStyle w:val="BodyText"/>
      </w:pPr>
      <w:r>
        <w:t xml:space="preserve">Der kombinierte Hauptendpunkt von EXSCEL</w:t>
      </w:r>
      <w:r>
        <w:rPr>
          <w:rStyle w:val="FootnoteReference"/>
        </w:rPr>
        <w:footnoteReference w:id="247"/>
      </w:r>
      <w:r>
        <w:t xml:space="preserve"> </w:t>
      </w:r>
      <w:r>
        <w:t xml:space="preserve">– Tod durch Herz-Kreislauf-Ursache, nicht tödlicher Herzinfarkt oder Schlaganfall – trat unter Exenatid bei 839 von 7.356 Personen (11,4 %) auf, unter Placebo bei 905 von 7.396 (12,2 %). Das entspricht einem Hazard Ratio (relatives Risiko über die Zeit) von 0,91. Exenatid war damit sicher, aber nicht nachweislich schützend. Akute Bauchspeicheldrüsenentzündung, Bauchspeicheldrüsenkrebs und medulläres Schilddrüsenkarzinom traten nicht häufiger auf als unter Placebo.</w:t>
      </w:r>
    </w:p>
    <w:p>
      <w:pPr>
        <w:pStyle w:val="BodyText"/>
      </w:pPr>
      <w:r>
        <w:t xml:space="preserve">Warum Exenatid in EXSCEL schwächer abschnitt als Liraglutid in LEADER oder Dulaglutid in REWIND, ist nicht abschließend geklärt. Diskutiert werden eine schwächere Wirkung des Moleküls selbst, die hohe Abbruchrate in der Studie und ein pragmatisches Design mit wenig Kontrolle. In einer gemeinsamen Meta-Analyse der sieben großen GLP-1-Endpunktstudien mit zusammen 56.004 Teilnehmenden</w:t>
      </w:r>
      <w:r>
        <w:rPr>
          <w:rStyle w:val="FootnoteReference"/>
        </w:rPr>
        <w:footnoteReference w:id="248"/>
      </w:r>
      <w:r>
        <w:t xml:space="preserve"> </w:t>
      </w:r>
      <w:r>
        <w:t xml:space="preserve">senkte die Klasse schwere Herz-Kreislauf-Ereignisse um 12 % (HR 0,88) – ohne bedeutsame Unterschiede zwischen den Untergruppen. EXSCEL passt also in das Gesamtbild, liegt aber am schwächeren Rand.</w:t>
      </w:r>
    </w:p>
    <w:p>
      <w:pPr>
        <w:pStyle w:val="BodyText"/>
      </w:pPr>
      <w:r>
        <w:t xml:space="preserve">Das Pumpenimplantat ITCA 650, ein streichholzgroßes Gerät, das Exenatid über Monate gleichmäßig abgeben sollte, erfüllte in FREEDOM-CVO</w:t>
      </w:r>
      <w:r>
        <w:rPr>
          <w:rStyle w:val="FootnoteReference"/>
        </w:rPr>
        <w:footnoteReference w:id="249"/>
      </w:r>
      <w:r>
        <w:t xml:space="preserve"> </w:t>
      </w:r>
      <w:r>
        <w:t xml:space="preserve">nur die großzügige Sicherheitsgrenze aus dem Jahr 2008. Der Punktschätzer lag ungünstig über 1, Nebenwirkungen waren häufiger als unter Placebo (72 % vs. 63,9 %). Eine Zulassung erhielt das System nicht.</w:t>
      </w:r>
    </w:p>
    <w:bookmarkEnd w:id="250"/>
    <w:bookmarkStart w:id="254" w:name="Xa335a74282a0d2703f27a8e074f7f6ca17610f2"/>
    <w:p>
      <w:pPr>
        <w:pStyle w:val="Heading4"/>
      </w:pPr>
      <w:r>
        <w:t xml:space="preserve">Gewicht ohne Diabetes und bei Jugendlichen</w:t>
      </w:r>
    </w:p>
    <w:p>
      <w:pPr>
        <w:pStyle w:val="FirstParagraph"/>
      </w:pPr>
      <w:r>
        <w:t xml:space="preserve">Exenatid ist nicht zur Gewichtsreduktion zugelassen, wurde aber in kleineren Studien dafür untersucht. Bei 152 Erwachsenen mit Adipositas ohne Diabetes nahmen die Teilnehmenden unter Exenatid zweimal täglich plus Lebensstilprogramm in 24 Wochen 5,1 kg ab, unter Placebo 1,6 kg</w:t>
      </w:r>
      <w:r>
        <w:rPr>
          <w:rStyle w:val="FootnoteReference"/>
        </w:rPr>
        <w:footnoteReference w:id="251"/>
      </w:r>
      <w:r>
        <w:t xml:space="preserve">. Eine Meta-Analyse von sechs kleinen Studien mit 362 Teilnehmenden fand einen mittleren Mehrverlust von 4,47 kg gegenüber Kontrollen</w:t>
      </w:r>
      <w:r>
        <w:rPr>
          <w:rStyle w:val="FootnoteReference"/>
        </w:rPr>
        <w:footnoteReference w:id="252"/>
      </w:r>
      <w:r>
        <w:t xml:space="preserve">. Das ist ein Bruchteil dessen, was später mit Semaglutid oder Tirzepatid erreicht wurde.</w:t>
      </w:r>
    </w:p>
    <w:p>
      <w:pPr>
        <w:pStyle w:val="BodyText"/>
      </w:pPr>
      <w:r>
        <w:t xml:space="preserve">Bei Jugendlichen mit Typ-2-Diabetes senkte die Wochenform in einer Studie mit 83 Teilnehmenden den HbA1c nach 24 Wochen um 0,85 Prozentpunkte stärker als Placebo</w:t>
      </w:r>
      <w:r>
        <w:rPr>
          <w:rStyle w:val="FootnoteReference"/>
        </w:rPr>
        <w:footnoteReference w:id="253"/>
      </w:r>
      <w:r>
        <w:t xml:space="preserve">. Ein Gewichtsunterschied von −1,22 kg war statistisch nicht gesichert. Diese Studie bildete die Grundlage für die Ausweitung der Zulassung auf Jugendliche.</w:t>
      </w:r>
    </w:p>
    <w:bookmarkEnd w:id="254"/>
    <w:bookmarkStart w:id="259" w:name="X7541d4f7287ffd1709441d792c3a5c8b3f6d3b2"/>
    <w:p>
      <w:pPr>
        <w:pStyle w:val="Heading4"/>
      </w:pPr>
      <w:r>
        <w:t xml:space="preserve">Parkinson: Hoffnung, Ernüchterung und eine Expression of Concern</w:t>
      </w:r>
    </w:p>
    <w:p>
      <w:pPr>
        <w:pStyle w:val="FirstParagraph"/>
      </w:pPr>
      <w:r>
        <w:t xml:space="preserve">Kein anderes Einsatzgebiet hat Exenatid so viel Aufmerksamkeit jenseits des Diabetes eingebracht wie die Parkinson-Krankheit. Ausgangspunkt waren Tier- und Zellversuche, in denen GLP-1-Rezeptor-Agonisten Nervenzellen schützten.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Exenatide-PD (Athauda 2017), PMID 28781108</w:t>
            </w:r>
          </w:p>
        </w:tc>
        <w:tc>
          <w:tcPr/>
          <w:p>
            <w:pPr>
              <w:pStyle w:val="Compact"/>
              <w:jc w:val="left"/>
            </w:pPr>
            <w:r>
              <w:t xml:space="preserve">62 Personen mit mittelschwerem Parkinson, RCT gegen Placebo</w:t>
            </w:r>
          </w:p>
        </w:tc>
        <w:tc>
          <w:tcPr/>
          <w:p>
            <w:pPr>
              <w:pStyle w:val="Compact"/>
              <w:jc w:val="left"/>
            </w:pPr>
            <w:r>
              <w:t xml:space="preserve">48 Wochen + 12 Wochen Auswaschphase</w:t>
            </w:r>
          </w:p>
        </w:tc>
        <w:tc>
          <w:tcPr/>
          <w:p>
            <w:pPr>
              <w:pStyle w:val="Compact"/>
              <w:jc w:val="left"/>
            </w:pPr>
            <w:r>
              <w:t xml:space="preserve">Motorik-Score −3,5 Punkte besser als Placebo (p = 0,0318)</w:t>
            </w:r>
          </w:p>
        </w:tc>
      </w:tr>
      <w:tr>
        <w:tc>
          <w:tcPr/>
          <w:p>
            <w:pPr>
              <w:pStyle w:val="Compact"/>
              <w:jc w:val="left"/>
            </w:pPr>
            <w:r>
              <w:t xml:space="preserve">Exenatide-PD3 (Vijiaratnam 2025), PMID 39919773</w:t>
            </w:r>
          </w:p>
        </w:tc>
        <w:tc>
          <w:tcPr/>
          <w:p>
            <w:pPr>
              <w:pStyle w:val="Compact"/>
              <w:jc w:val="left"/>
            </w:pPr>
            <w:r>
              <w:t xml:space="preserve">194 Personen, RCT gegen Placebo, sechs Zentren</w:t>
            </w:r>
          </w:p>
        </w:tc>
        <w:tc>
          <w:tcPr/>
          <w:p>
            <w:pPr>
              <w:pStyle w:val="Compact"/>
              <w:jc w:val="left"/>
            </w:pPr>
            <w:r>
              <w:t xml:space="preserve">96 Wochen</w:t>
            </w:r>
          </w:p>
        </w:tc>
        <w:tc>
          <w:tcPr/>
          <w:p>
            <w:pPr>
              <w:pStyle w:val="Compact"/>
              <w:jc w:val="left"/>
            </w:pPr>
            <w:r>
              <w:t xml:space="preserve">Kein Unterschied: +5,7 vs. +4,5 Punkte Verschlechterung (p = 0,47)</w:t>
            </w:r>
          </w:p>
        </w:tc>
      </w:tr>
      <w:tr>
        <w:tc>
          <w:tcPr/>
          <w:p>
            <w:pPr>
              <w:pStyle w:val="Compact"/>
              <w:jc w:val="left"/>
            </w:pPr>
            <w:r>
              <w:t xml:space="preserve">NLY01 (McGarry 2024), PMID 38101901</w:t>
            </w:r>
          </w:p>
        </w:tc>
        <w:tc>
          <w:tcPr/>
          <w:p>
            <w:pPr>
              <w:pStyle w:val="Compact"/>
              <w:jc w:val="left"/>
            </w:pPr>
            <w:r>
              <w:t xml:space="preserve">255 Personen mit frühem unbehandeltem Parkinson, pegyliertes Exenatid vs. Placebo</w:t>
            </w:r>
          </w:p>
        </w:tc>
        <w:tc>
          <w:tcPr/>
          <w:p>
            <w:pPr>
              <w:pStyle w:val="Compact"/>
              <w:jc w:val="left"/>
            </w:pPr>
            <w:r>
              <w:t xml:space="preserve">36 Wochen</w:t>
            </w:r>
          </w:p>
        </w:tc>
        <w:tc>
          <w:tcPr/>
          <w:p>
            <w:pPr>
              <w:pStyle w:val="Compact"/>
              <w:jc w:val="left"/>
            </w:pPr>
            <w:r>
              <w:t xml:space="preserve">Kein Unterschied in beiden Dosisgruppen</w:t>
            </w:r>
          </w:p>
        </w:tc>
      </w:tr>
    </w:tbl>
    <w:p>
      <w:pPr>
        <w:pStyle w:val="BodyText"/>
      </w:pPr>
      <w:r>
        <w:t xml:space="preserve">Die kleine Studie von Athauda 2017</w:t>
      </w:r>
      <w:r>
        <w:rPr>
          <w:rStyle w:val="FootnoteReference"/>
        </w:rPr>
        <w:footnoteReference w:id="255"/>
      </w:r>
      <w:r>
        <w:t xml:space="preserve"> </w:t>
      </w:r>
      <w:r>
        <w:t xml:space="preserve">fand nach 60 Wochen einen Unterschied von 3,5 Punkten auf der motorischen Bewertungsskala MDS-UPDRS Teil III, der auch nach dem Absetzen anhielt. Das wurde vielfach als möglicher erster Hinweis auf eine krankheitsverlangsamende Wirkung gedeutet. Die Autorinnen und Autoren blieben vorsichtig: Ob Exenatid den Krankheitsverlauf beeinflusst oder nur lang anhaltende Symptomeffekte hat, sei unklar.</w:t>
      </w:r>
    </w:p>
    <w:p>
      <w:pPr>
        <w:pStyle w:val="BodyText"/>
      </w:pPr>
      <w:r>
        <w:t xml:space="preserve">Die größere Phase-3-Studie Exenatide-PD3</w:t>
      </w:r>
      <w:r>
        <w:rPr>
          <w:rStyle w:val="FootnoteReference"/>
        </w:rPr>
        <w:footnoteReference w:id="256"/>
      </w:r>
      <w:r>
        <w:t xml:space="preserve"> </w:t>
      </w:r>
      <w:r>
        <w:t xml:space="preserve">konnte das nicht bestätigen. Nach 96 Wochen hatte sich der Motorik-Score in beiden Gruppen ähnlich verschlechtert. Die Forschenden schlossen, dass es keinen Beleg für Exenatid als krankheitsmodifizierende Behandlung gebe. Zu dieser Publikation veröffentlichte die Fachzeitschrift 2026 eine sogenannte Expression of Concern (Expression of Concern, The Lancet 2026, PMID 42330995) – einen redaktionellen Hinweis, dass Fragen zu einer Veröffentlichung geprüft werden. Der PubMed-Eintrag enthält keine Zusammenfassung der Gründe; die Bewertung der Studie sollte daher bis zur Klärung mit Vorbehalt erfolgen. Auch eine pegylierte, länger wirksame Exenatid-Variante (NLY01) zeigte bei frühem Parkinson keinen Nutzen</w:t>
      </w:r>
      <w:r>
        <w:rPr>
          <w:rStyle w:val="FootnoteReference"/>
        </w:rPr>
        <w:footnoteReference w:id="257"/>
      </w:r>
      <w:r>
        <w:t xml:space="preserve">.</w:t>
      </w:r>
    </w:p>
    <w:p>
      <w:pPr>
        <w:pStyle w:val="BodyText"/>
      </w:pPr>
      <w:r>
        <w:t xml:space="preserve">Bei der Multisystematrophie, einer seltenen verwandten Erkrankung, fand eine offene Studie mit 50 Teilnehmenden einen Vorteil im Hauptendpunkt, aber keinen Unterschied in objektiven Messgrößen wie Biomarkern oder Bildgebung</w:t>
      </w:r>
      <w:r>
        <w:rPr>
          <w:rStyle w:val="FootnoteReference"/>
        </w:rPr>
        <w:footnoteReference w:id="258"/>
      </w:r>
      <w:r>
        <w:t xml:space="preserve">. Die Autorinnen und Autoren halten selbst einen Placebo- oder Beobachtereffekt für möglich.</w:t>
      </w:r>
    </w:p>
    <w:bookmarkEnd w:id="259"/>
    <w:bookmarkStart w:id="264" w:name="weitere-einsatzgebiete-in-studien"/>
    <w:p>
      <w:pPr>
        <w:pStyle w:val="Heading4"/>
      </w:pPr>
      <w:r>
        <w:t xml:space="preserve">Weitere Einsatzgebiete in Studien</w:t>
      </w:r>
    </w:p>
    <w:p>
      <w:pPr>
        <w:numPr>
          <w:ilvl w:val="0"/>
          <w:numId w:val="1038"/>
        </w:numPr>
        <w:pStyle w:val="Compact"/>
      </w:pPr>
      <w:r>
        <w:rPr>
          <w:bCs/>
          <w:b/>
        </w:rPr>
        <w:t xml:space="preserve">Alzheimer und leichte kognitive Störung:</w:t>
      </w:r>
      <w:r>
        <w:t xml:space="preserve"> </w:t>
      </w:r>
      <w:r>
        <w:t xml:space="preserve">Eine vorzeitig beendete Pilotstudie fand keine Unterschiede bei Gedächtnis- oder Bildgebungsmaßen</w:t>
      </w:r>
      <w:r>
        <w:rPr>
          <w:rStyle w:val="FootnoteReference"/>
        </w:rPr>
        <w:footnoteReference w:id="260"/>
      </w:r>
      <w:r>
        <w:t xml:space="preserve">. Eine Studie über 32 Wochen bei leichter kognitiver Störung zeigte ebenfalls keinen Nutzen</w:t>
      </w:r>
      <w:r>
        <w:rPr>
          <w:rStyle w:val="FootnoteReference"/>
        </w:rPr>
        <w:footnoteReference w:id="261"/>
      </w:r>
      <w:r>
        <w:t xml:space="preserve">.</w:t>
      </w:r>
    </w:p>
    <w:p>
      <w:pPr>
        <w:numPr>
          <w:ilvl w:val="0"/>
          <w:numId w:val="1038"/>
        </w:numPr>
        <w:pStyle w:val="Compact"/>
      </w:pPr>
      <w:r>
        <w:rPr>
          <w:bCs/>
          <w:b/>
        </w:rPr>
        <w:t xml:space="preserve">Alkoholabhängigkeit:</w:t>
      </w:r>
      <w:r>
        <w:t xml:space="preserve"> </w:t>
      </w:r>
      <w:r>
        <w:t xml:space="preserve">In einer Studie mit 127 Teilnehmenden verringerte Exenatid wöchentlich die Zahl der Tage mit starkem Trinken nicht signifikant. In einer nachträglichen Untergruppenanalyse bei Menschen mit Adipositas war ein Effekt zu sehen; im Hirn-MRT war die Reaktion auf Alkoholreize abgeschwächt</w:t>
      </w:r>
      <w:r>
        <w:rPr>
          <w:rStyle w:val="FootnoteReference"/>
        </w:rPr>
        <w:footnoteReference w:id="262"/>
      </w:r>
      <w:r>
        <w:t xml:space="preserve">. Solche Untergruppenbefunde sind Hypothesen, keine Belege.</w:t>
      </w:r>
    </w:p>
    <w:p>
      <w:pPr>
        <w:numPr>
          <w:ilvl w:val="0"/>
          <w:numId w:val="1038"/>
        </w:numPr>
        <w:pStyle w:val="Compact"/>
      </w:pPr>
      <w:r>
        <w:rPr>
          <w:bCs/>
          <w:b/>
        </w:rPr>
        <w:t xml:space="preserve">Idiopathische intrakranielle Hypertension</w:t>
      </w:r>
      <w:r>
        <w:t xml:space="preserve"> </w:t>
      </w:r>
      <w:r>
        <w:t xml:space="preserve">(erhöhter Hirndruck ohne erkennbare Ursache, meist bei jungen Frauen mit Übergewicht): Bei 16 Frauen senkte Exenatid den gemessenen Hirndruck nach 24 Stunden um durchschnittlich 6,4 cm Wassersäule gegenüber Placebo</w:t>
      </w:r>
      <w:r>
        <w:rPr>
          <w:rStyle w:val="FootnoteReference"/>
        </w:rPr>
        <w:footnoteReference w:id="263"/>
      </w:r>
      <w:r>
        <w:t xml:space="preserve">. Die Studie ist sehr klein; eine größere Studie steht aus.</w:t>
      </w:r>
    </w:p>
    <w:bookmarkEnd w:id="264"/>
    <w:bookmarkEnd w:id="265"/>
    <w:bookmarkStart w:id="269" w:name="tier--und-laborstudien"/>
    <w:p>
      <w:pPr>
        <w:pStyle w:val="Heading3"/>
      </w:pPr>
      <w:r>
        <w:t xml:space="preserve">Tier- und Laborstudien</w:t>
      </w:r>
    </w:p>
    <w:p>
      <w:pPr>
        <w:pStyle w:val="FirstParagraph"/>
      </w:pPr>
      <w:r>
        <w:t xml:space="preserve">Exendin-4 wurde ursprünglich gar nicht als Diabetesmittel gesucht. In der Erstbeschreibung von 1992 untersuchten die Forschenden seine Wirkung auf Zellen aus der Bauchspeicheldrüse von Meerschweinchen</w:t>
      </w:r>
      <w:r>
        <w:rPr>
          <w:rStyle w:val="FootnoteReference"/>
        </w:rPr>
        <w:footnoteReference w:id="266"/>
      </w:r>
      <w:r>
        <w:t xml:space="preserve">. Erst später zeigte sich, dass es am GLP-1-Rezeptor ansetzt.</w:t>
      </w:r>
    </w:p>
    <w:p>
      <w:pPr>
        <w:pStyle w:val="BodyText"/>
      </w:pPr>
      <w:r>
        <w:t xml:space="preserve">In der Folge entstand eine große Zahl von Tierstudien. Bei Ratten, denen ein Teil der Bauchspeicheldrüse entfernt worden war, förderte Exendin-4 die Neubildung und Teilung von insulinproduzierenden Betazellen und milderte die Entwicklung eines Diabetes</w:t>
      </w:r>
      <w:r>
        <w:rPr>
          <w:rStyle w:val="FootnoteReference"/>
        </w:rPr>
        <w:footnoteReference w:id="267"/>
      </w:r>
      <w:r>
        <w:t xml:space="preserve">. Ob sich eine solche Betazell-Regeneration auch beim Menschen in nennenswertem Ausmaß erreichen lässt, ist bis heute nicht belegt.</w:t>
      </w:r>
    </w:p>
    <w:p>
      <w:pPr>
        <w:pStyle w:val="BodyText"/>
      </w:pPr>
      <w:r>
        <w:t xml:space="preserve">Dazu kamen Versuche an Nagetieren zu Nervenschutz (Parkinson, Alzheimer, Schlaganfall), Alkohol- und Suchtverhalten sowie Hirndruck. Diese Tierdaten waren der Anlass für die oben beschriebenen Humanstudien – deren Ergebnisse bisher deutlich bescheidener ausfallen. Das ist ein lehrreiches Beispiel dafür, wie schwer sich Ergebnisse von Ratten und Mäusen auf den Menschen übertragen lassen.</w:t>
      </w:r>
    </w:p>
    <w:p>
      <w:pPr>
        <w:pStyle w:val="BodyText"/>
      </w:pPr>
      <w:r>
        <w:t xml:space="preserve">Zur Schilddrüse: Bei Ratten und Mäusen lösen GLP-1-Rezeptor-Agonisten eine Vermehrung der C-Zellen der Schilddrüse aus, bei Primaten und Menschen sind diese Zellen dagegen kaum mit dem Rezeptor ausgestattet</w:t>
      </w:r>
      <w:r>
        <w:rPr>
          <w:rStyle w:val="FootnoteReference"/>
        </w:rPr>
        <w:footnoteReference w:id="268"/>
      </w:r>
      <w:r>
        <w:t xml:space="preserve">. Mehr dazu im Kapitel Liraglutid und in Teil IV.</w:t>
      </w:r>
    </w:p>
    <w:bookmarkEnd w:id="269"/>
    <w:bookmarkStart w:id="279" w:name="risiken-und-nebenwirkungen"/>
    <w:p>
      <w:pPr>
        <w:pStyle w:val="Heading3"/>
      </w:pPr>
      <w:r>
        <w:t xml:space="preserve">Risiken und Nebenwirkungen</w:t>
      </w:r>
    </w:p>
    <w:p>
      <w:pPr>
        <w:pStyle w:val="FirstParagraph"/>
      </w:pPr>
      <w:r>
        <w:rPr>
          <w:bCs/>
          <w:b/>
        </w:rPr>
        <w:t xml:space="preserve">Belegt aus randomisierten Studien:</w:t>
      </w:r>
    </w:p>
    <w:p>
      <w:pPr>
        <w:numPr>
          <w:ilvl w:val="0"/>
          <w:numId w:val="1039"/>
        </w:numPr>
        <w:pStyle w:val="Compact"/>
      </w:pPr>
      <w:r>
        <w:rPr>
          <w:bCs/>
          <w:b/>
        </w:rPr>
        <w:t xml:space="preserve">Magen-Darm-Beschwerden</w:t>
      </w:r>
      <w:r>
        <w:t xml:space="preserve"> </w:t>
      </w:r>
      <w:r>
        <w:t xml:space="preserve">sind die häufigste Nebenwirkung. Bei der Zweimal-täglich-Form trat Übelkeit im Vergleich mit Insulin glargin bei 57,1 % der Behandelten auf, Erbrechen bei 17,4 %</w:t>
      </w:r>
      <w:r>
        <w:rPr>
          <w:rStyle w:val="FootnoteReference"/>
        </w:rPr>
        <w:footnoteReference w:id="270"/>
      </w:r>
      <w:r>
        <w:t xml:space="preserve">. Die Wochenform verursacht weniger Übelkeit; in DURATION-6 waren es 9 %</w:t>
      </w:r>
      <w:r>
        <w:rPr>
          <w:rStyle w:val="FootnoteReference"/>
        </w:rPr>
        <w:footnoteReference w:id="271"/>
      </w:r>
      <w:r>
        <w:t xml:space="preserve">. Die Beschwerden nehmen mit der Zeit meist ab.</w:t>
      </w:r>
    </w:p>
    <w:p>
      <w:pPr>
        <w:numPr>
          <w:ilvl w:val="0"/>
          <w:numId w:val="1039"/>
        </w:numPr>
        <w:pStyle w:val="Compact"/>
      </w:pPr>
      <w:r>
        <w:rPr>
          <w:bCs/>
          <w:b/>
        </w:rPr>
        <w:t xml:space="preserve">Unterzuckerung</w:t>
      </w:r>
      <w:r>
        <w:t xml:space="preserve"> </w:t>
      </w:r>
      <w:r>
        <w:t xml:space="preserve">ist allein selten, wird aber in Kombination mit Sulfonylharnstoffen oder Insulin häufiger</w:t>
      </w:r>
      <w:r>
        <w:rPr>
          <w:rStyle w:val="FootnoteReference"/>
        </w:rPr>
        <w:footnoteReference w:id="272"/>
      </w:r>
      <w:r>
        <w:t xml:space="preserve">.</w:t>
      </w:r>
    </w:p>
    <w:p>
      <w:pPr>
        <w:numPr>
          <w:ilvl w:val="0"/>
          <w:numId w:val="1039"/>
        </w:numPr>
        <w:pStyle w:val="Compact"/>
      </w:pPr>
      <w:r>
        <w:rPr>
          <w:bCs/>
          <w:b/>
        </w:rPr>
        <w:t xml:space="preserve">Reaktionen an der Einstichstelle:</w:t>
      </w:r>
      <w:r>
        <w:t xml:space="preserve"> </w:t>
      </w:r>
      <w:r>
        <w:t xml:space="preserve">Bei der Wochenform bilden sich häufig tastbare Knötchen unter der Haut, weil die Mikrokügelchen dort langsam abgebaut werden. In der Fünf-Jahres-Auswertung von DURATION-1 wurden solche Reaktionen mit der Zeit seltener</w:t>
      </w:r>
      <w:r>
        <w:rPr>
          <w:rStyle w:val="FootnoteReference"/>
        </w:rPr>
        <w:footnoteReference w:id="273"/>
      </w:r>
      <w:r>
        <w:t xml:space="preserve">.</w:t>
      </w:r>
    </w:p>
    <w:p>
      <w:pPr>
        <w:numPr>
          <w:ilvl w:val="0"/>
          <w:numId w:val="1039"/>
        </w:numPr>
        <w:pStyle w:val="Compact"/>
      </w:pPr>
      <w:r>
        <w:rPr>
          <w:bCs/>
          <w:b/>
        </w:rPr>
        <w:t xml:space="preserve">Antikörperbildung:</w:t>
      </w:r>
      <w:r>
        <w:t xml:space="preserve"> </w:t>
      </w:r>
      <w:r>
        <w:t xml:space="preserve">Wegen der Herkunft aus Echsengift bildet ein Teil der Behandelten Antikörper. Dies ist ausführlicher in Teil IV beschrieben.</w:t>
      </w:r>
    </w:p>
    <w:p>
      <w:pPr>
        <w:pStyle w:val="FirstParagraph"/>
      </w:pPr>
      <w:r>
        <w:rPr>
          <w:bCs/>
          <w:b/>
        </w:rPr>
        <w:t xml:space="preserve">Untersucht, aber nicht bestätigt oder unsicher:</w:t>
      </w:r>
    </w:p>
    <w:p>
      <w:pPr>
        <w:numPr>
          <w:ilvl w:val="0"/>
          <w:numId w:val="1040"/>
        </w:numPr>
        <w:pStyle w:val="Compact"/>
      </w:pPr>
      <w:r>
        <w:rPr>
          <w:bCs/>
          <w:b/>
        </w:rPr>
        <w:t xml:space="preserve">Akute Bauchspeicheldrüsenentzündung (Pankreatitis):</w:t>
      </w:r>
      <w:r>
        <w:t xml:space="preserve"> </w:t>
      </w:r>
      <w:r>
        <w:t xml:space="preserve">Kurz nach der Markteinführung gab es Spontanmeldungen, die zu Warnhinweisen führten. In einer gepoolten Auswertung von zwei Versicherungsdatenbanken mit 49.956 Personen unter Exenatid zweimal täglich war das Risiko ohne Korrektur nicht erhöht (relatives Risiko 1,0), nach Korrektur für Fehlklassifikation leicht erhöht (1,3; Konfidenzintervall 1,0–1,7)</w:t>
      </w:r>
      <w:r>
        <w:rPr>
          <w:rStyle w:val="FootnoteReference"/>
        </w:rPr>
        <w:footnoteReference w:id="274"/>
      </w:r>
      <w:r>
        <w:t xml:space="preserve">. In EXSCEL trat Pankreatitis nicht häufiger auf als unter Placebo</w:t>
      </w:r>
      <w:r>
        <w:rPr>
          <w:rStyle w:val="FootnoteReference"/>
        </w:rPr>
        <w:footnoteReference w:id="275"/>
      </w:r>
      <w:r>
        <w:t xml:space="preserve">. Eine Pankreatitis bleibt als seltene Nebenwirkung in der Fachinformation aufgeführt.</w:t>
      </w:r>
    </w:p>
    <w:p>
      <w:pPr>
        <w:numPr>
          <w:ilvl w:val="0"/>
          <w:numId w:val="1040"/>
        </w:numPr>
        <w:pStyle w:val="Compact"/>
      </w:pPr>
      <w:r>
        <w:rPr>
          <w:bCs/>
          <w:b/>
        </w:rPr>
        <w:t xml:space="preserve">Krebs der Bauchspeicheldrüse und Schilddrüse:</w:t>
      </w:r>
      <w:r>
        <w:t xml:space="preserve"> </w:t>
      </w:r>
      <w:r>
        <w:t xml:space="preserve">In einer US-Kohortenstudie mit 33.629 Personen unter Exenatid war das Risiko für Bauchspeicheldrüsenkrebs nicht erhöht (HR 0,76); für Schilddrüsenkrebs lag der Schätzwert bei 1,46, mit einem Konfidenzintervall von 0,98 bis 2,19, also statistisch nicht gesichert</w:t>
      </w:r>
      <w:r>
        <w:rPr>
          <w:rStyle w:val="FootnoteReference"/>
        </w:rPr>
        <w:footnoteReference w:id="276"/>
      </w:r>
      <w:r>
        <w:t xml:space="preserve">. Eine Meta-Analyse von 50 randomisierten Studien zur ganzen GLP-1-Klasse fand insgesamt kein erhöhtes Krebsrisiko, aber ein Signal für Schilddrüsenkrebs (Odds Ratio 1,55), das weiter untersucht werden muss</w:t>
      </w:r>
      <w:r>
        <w:rPr>
          <w:rStyle w:val="FootnoteReference"/>
        </w:rPr>
        <w:footnoteReference w:id="277"/>
      </w:r>
      <w:r>
        <w:t xml:space="preserve">. Eine europäische Sicherheitsstudie zum Bauchspeicheldrüsenkrebs unter Exenatid läuft</w:t>
      </w:r>
      <w:r>
        <w:rPr>
          <w:rStyle w:val="FootnoteReference"/>
        </w:rPr>
        <w:footnoteReference w:id="278"/>
      </w:r>
      <w:r>
        <w:t xml:space="preserve">.</w:t>
      </w:r>
    </w:p>
    <w:p>
      <w:pPr>
        <w:numPr>
          <w:ilvl w:val="0"/>
          <w:numId w:val="1040"/>
        </w:numPr>
        <w:pStyle w:val="Compact"/>
      </w:pPr>
      <w:r>
        <w:rPr>
          <w:bCs/>
          <w:b/>
        </w:rPr>
        <w:t xml:space="preserve">Herz-Kreislauf-Risiko:</w:t>
      </w:r>
      <w:r>
        <w:t xml:space="preserve"> </w:t>
      </w:r>
      <w:r>
        <w:t xml:space="preserve">In EXSCEL nicht erhöht.</w:t>
      </w:r>
    </w:p>
    <w:p>
      <w:pPr>
        <w:pStyle w:val="FirstParagraph"/>
      </w:pPr>
      <w:r>
        <w:rPr>
          <w:bCs/>
          <w:b/>
        </w:rPr>
        <w:t xml:space="preserve">Hinweise für die Praxis:</w:t>
      </w:r>
      <w:r>
        <w:t xml:space="preserve"> </w:t>
      </w:r>
      <w:r>
        <w:t xml:space="preserve">Exenatid wird über die Nieren ausgeschieden; bei stark eingeschränkter Nierenfunktion wird es nicht empfohlen. Wie alle GLP-1-Rezeptor-Agonisten verlangsamt es die Magenentleerung und kann so die Aufnahme anderer Medikamente beeinflussen. Für Anwendung, Gegenanzeigen und Wechselwirkungen ist die aktuelle Fachinformation maßgeblich; die Behandlung gehört in ärztliche Hände.</w:t>
      </w:r>
    </w:p>
    <w:bookmarkEnd w:id="279"/>
    <w:bookmarkStart w:id="280" w:name="rechtslage"/>
    <w:p>
      <w:pPr>
        <w:pStyle w:val="Heading3"/>
      </w:pPr>
      <w:r>
        <w:t xml:space="preserve">Rechtslage</w:t>
      </w:r>
    </w:p>
    <w:p>
      <w:pPr>
        <w:numPr>
          <w:ilvl w:val="0"/>
          <w:numId w:val="1041"/>
        </w:numPr>
        <w:pStyle w:val="Compact"/>
      </w:pPr>
      <w:r>
        <w:rPr>
          <w:bCs/>
          <w:b/>
        </w:rPr>
        <w:t xml:space="preserve">EU:</w:t>
      </w:r>
      <w:r>
        <w:t xml:space="preserve"> </w:t>
      </w:r>
      <w:r>
        <w:t xml:space="preserve">Exenatid ist als verschreibungspflichtiges Arzneimittel zur Behandlung des Typ-2-Diabetes zentral zugelassen (Byetta seit 2006, Bydureon seit 2011). Es ist nicht zur Gewichtsreduktion zugelassen.</w:t>
      </w:r>
    </w:p>
    <w:p>
      <w:pPr>
        <w:numPr>
          <w:ilvl w:val="0"/>
          <w:numId w:val="1041"/>
        </w:numPr>
        <w:pStyle w:val="Compact"/>
      </w:pPr>
      <w:r>
        <w:rPr>
          <w:bCs/>
          <w:b/>
        </w:rPr>
        <w:t xml:space="preserve">Deutschland und Österreich:</w:t>
      </w:r>
      <w:r>
        <w:t xml:space="preserve"> </w:t>
      </w:r>
      <w:r>
        <w:t xml:space="preserve">verschreibungspflichtig. Die Verordnung zur reinen Gewichtsabnahme wäre ein Off-Label-Gebrauch und wird von den Krankenkassen in der Regel nicht übernommen. Einzelne Darreichungsformen sind nicht in allen Ländern dauerhaft im Handel – bitte aktuell prüfen.</w:t>
      </w:r>
    </w:p>
    <w:p>
      <w:pPr>
        <w:numPr>
          <w:ilvl w:val="0"/>
          <w:numId w:val="1041"/>
        </w:numPr>
        <w:pStyle w:val="Compact"/>
      </w:pPr>
      <w:r>
        <w:rPr>
          <w:bCs/>
          <w:b/>
        </w:rPr>
        <w:t xml:space="preserve">USA:</w:t>
      </w:r>
      <w:r>
        <w:t xml:space="preserve"> </w:t>
      </w:r>
      <w:r>
        <w:t xml:space="preserve">zugelassen für Typ-2-Diabetes; die Wochenform auch für Jugendliche ab 10 Jahren. Für die Zweimal-täglich-Form sind Generika zugelassen.</w:t>
      </w:r>
    </w:p>
    <w:p>
      <w:pPr>
        <w:numPr>
          <w:ilvl w:val="0"/>
          <w:numId w:val="1041"/>
        </w:numPr>
        <w:pStyle w:val="Compact"/>
      </w:pPr>
      <w:r>
        <w:rPr>
          <w:bCs/>
          <w:b/>
        </w:rPr>
        <w:t xml:space="preserve">Sport (WADA):</w:t>
      </w:r>
      <w:r>
        <w:t xml:space="preserve"> </w:t>
      </w:r>
      <w:r>
        <w:t xml:space="preserve">GLP-1-Rezeptor-Agonisten stehen nicht auf der Verbotsliste (Stand 2026, bitte aktuell prüfen).</w:t>
      </w:r>
    </w:p>
    <w:p>
      <w:pPr>
        <w:numPr>
          <w:ilvl w:val="0"/>
          <w:numId w:val="1041"/>
        </w:numPr>
        <w:pStyle w:val="Compact"/>
      </w:pPr>
      <w:r>
        <w:rPr>
          <w:bCs/>
          <w:b/>
        </w:rPr>
        <w:t xml:space="preserve">Graumarkt:</w:t>
      </w:r>
      <w:r>
        <w:t xml:space="preserve"> </w:t>
      </w:r>
      <w:r>
        <w:t xml:space="preserve">Exenatid spielt im Graumarkt neben Semaglutid und Tirzepatid kaum eine Rolle. Allgemeine Risiken nicht zugelassener Bezugswege beschreibt Teil I.</w:t>
      </w:r>
    </w:p>
    <w:bookmarkEnd w:id="280"/>
    <w:bookmarkStart w:id="287" w:name="laufende-studien-und-ausblick"/>
    <w:p>
      <w:pPr>
        <w:pStyle w:val="Heading3"/>
      </w:pPr>
      <w:r>
        <w:t xml:space="preserve">Laufende Studien und Ausblick</w:t>
      </w:r>
    </w:p>
    <w:p>
      <w:pPr>
        <w:pStyle w:val="FirstParagraph"/>
      </w:pPr>
      <w:r>
        <w:rPr>
          <w:bCs/>
          <w:b/>
        </w:rPr>
        <w:t xml:space="preserve">Gesichert (registrierte Studien):</w:t>
      </w:r>
      <w:r>
        <w:t xml:space="preserve"> </w:t>
      </w:r>
      <w:r>
        <w:t xml:space="preserve">Exenatid ist als Diabetesmittel weitgehend „ausgeforscht“; neue Zulassungsstudien in dieser Indikation gibt es kaum noch. Aktuelle Registereinträge betreffen vor allem:</w:t>
      </w:r>
    </w:p>
    <w:p>
      <w:pPr>
        <w:numPr>
          <w:ilvl w:val="0"/>
          <w:numId w:val="1042"/>
        </w:numPr>
        <w:pStyle w:val="Compact"/>
      </w:pPr>
      <w:r>
        <w:t xml:space="preserve">Abwandlungen des Moleküls: In China werden pegylierte Varianten entwickelt. Für PB-119 senkte eine Phase-2-Studie mit 251 Teilnehmenden den HbA1c nach 12 Wochen um bis zu 1,18 Prozentpunkte stärker als Placebo</w:t>
      </w:r>
      <w:r>
        <w:rPr>
          <w:rStyle w:val="FootnoteReference"/>
        </w:rPr>
        <w:footnoteReference w:id="281"/>
      </w:r>
      <w:r>
        <w:t xml:space="preserve">. Ein weiterer Kandidat, JY09 – Exendin-4 gekoppelt an einen Antikörperbaustein (Fc-Fusionsprotein), das in den Studien alle zwei Wochen gespritzt wird –, wird in Phase-3-Studien gegen Placebo und gegen Dulaglutid geprüft</w:t>
      </w:r>
      <w:r>
        <w:rPr>
          <w:rStyle w:val="FootnoteReference"/>
        </w:rPr>
        <w:footnoteReference w:id="282"/>
      </w:r>
      <w:r>
        <w:t xml:space="preserve">.</w:t>
      </w:r>
    </w:p>
    <w:p>
      <w:pPr>
        <w:numPr>
          <w:ilvl w:val="0"/>
          <w:numId w:val="1042"/>
        </w:numPr>
        <w:pStyle w:val="Compact"/>
      </w:pPr>
      <w:r>
        <w:t xml:space="preserve">Neurologie: Die pegylierte Variante NLY01 wird bei Multipler Sklerose in einer Phase-2-Studie mit 120 Teilnehmenden untersucht</w:t>
      </w:r>
      <w:r>
        <w:rPr>
          <w:rStyle w:val="FootnoteReference"/>
        </w:rPr>
        <w:footnoteReference w:id="283"/>
      </w:r>
      <w:r>
        <w:t xml:space="preserve">.</w:t>
      </w:r>
    </w:p>
    <w:p>
      <w:pPr>
        <w:numPr>
          <w:ilvl w:val="0"/>
          <w:numId w:val="1042"/>
        </w:numPr>
        <w:pStyle w:val="Compact"/>
      </w:pPr>
      <w:r>
        <w:t xml:space="preserve">Sicherheit: Neben der europäischen Studie zum Bauchspeicheldrüsenkrebs</w:t>
      </w:r>
      <w:r>
        <w:rPr>
          <w:rStyle w:val="FootnoteReference"/>
        </w:rPr>
        <w:footnoteReference w:id="284"/>
      </w:r>
      <w:r>
        <w:t xml:space="preserve"> </w:t>
      </w:r>
      <w:r>
        <w:t xml:space="preserve">läuft ein Langzeit-Überwachungsprogramm für medulläre Schilddrüsenkarzinome unter GLP-1-Rezeptor-Agonisten</w:t>
      </w:r>
      <w:r>
        <w:rPr>
          <w:rStyle w:val="FootnoteReference"/>
        </w:rPr>
        <w:footnoteReference w:id="285"/>
      </w:r>
      <w:r>
        <w:t xml:space="preserve">.</w:t>
      </w:r>
    </w:p>
    <w:p>
      <w:pPr>
        <w:numPr>
          <w:ilvl w:val="0"/>
          <w:numId w:val="1042"/>
        </w:numPr>
        <w:pStyle w:val="Compact"/>
      </w:pPr>
      <w:r>
        <w:t xml:space="preserve">Diagnostik: Radioaktiv markiertes Exendin-4 wird als Spürsubstanz in der PET-Bildgebung von Insulinomen (seltenen insulinbildenden Tumoren) eingesetzt</w:t>
      </w:r>
      <w:r>
        <w:rPr>
          <w:rStyle w:val="FootnoteReference"/>
        </w:rPr>
        <w:footnoteReference w:id="286"/>
      </w:r>
      <w:r>
        <w:t xml:space="preserve">.</w:t>
      </w:r>
    </w:p>
    <w:p>
      <w:pPr>
        <w:pStyle w:val="FirstParagraph"/>
      </w:pPr>
      <w:r>
        <w:rPr>
          <w:bCs/>
          <w:b/>
        </w:rPr>
        <w:t xml:space="preserve">Einschätzung:</w:t>
      </w:r>
      <w:r>
        <w:t xml:space="preserve"> </w:t>
      </w:r>
      <w:r>
        <w:t xml:space="preserve">Exenatid wird in der Diabetesbehandlung weiter an Bedeutung verlieren, weil stärkere und bequemer anzuwendende Nachfolger verfügbar sind. Seine bleibende Rolle ist die eines Pioniers und eines Werkzeugs für die Forschung. Ob die Parkinson-Hypothese noch einmal auflebt, hängt von besser hirngängigen Wirkstoffen und der Klärung um Exenatide-PD3 ab.</w:t>
      </w:r>
    </w:p>
    <w:bookmarkEnd w:id="287"/>
    <w:bookmarkStart w:id="288" w:name="fazit"/>
    <w:p>
      <w:pPr>
        <w:pStyle w:val="Heading3"/>
      </w:pPr>
      <w:r>
        <w:t xml:space="preserve">Fazit</w:t>
      </w:r>
    </w:p>
    <w:p>
      <w:pPr>
        <w:pStyle w:val="FirstParagraph"/>
      </w:pPr>
      <w:r>
        <w:t xml:space="preserve">Exenatid war 2005 der erste GLP-1-Rezeptor-Agonist auf dem Markt und gehört zu den am besten untersuchten Peptidarzneimitteln überhaupt. In großen Studien senkte es den Langzeitzucker um etwa 1 bis 1,5 Prozentpunkte und das Gewicht um einige Kilogramm, in EXSCEL mit 14.752 Teilnehmenden ohne erhöhtes Herz-Kreislauf-Risiko, aber auch ohne nachgewiesenen Schutz. Im direkten Vergleich unterliegt es Liraglutid und Semaglutid. Die anfangs vielversprechenden Daten zur Parkinson-Krankheit bestätigten sich in der größeren Phase-3-Studie nicht. Für Menschen mit Typ-2-Diabetes bleibt Exenatid eine geprüfte, aber nicht mehr erste Wahl – die Entscheidung gehört in ärztliche Hände.</w:t>
      </w:r>
    </w:p>
    <w:bookmarkEnd w:id="288"/>
    <w:bookmarkEnd w:id="289"/>
    <w:bookmarkStart w:id="342" w:name="liraglutid"/>
    <w:p>
      <w:pPr>
        <w:pStyle w:val="Heading2"/>
      </w:pPr>
      <w:r>
        <w:t xml:space="preserve">Liraglutid</w:t>
      </w:r>
    </w:p>
    <w:bookmarkStart w:id="291" w:name="steckbrief-1"/>
    <w:p>
      <w:pPr>
        <w:pStyle w:val="Heading3"/>
      </w:pPr>
      <w:r>
        <w:t xml:space="preserve">Steckbrief</w:t>
      </w:r>
    </w:p>
    <w:p>
      <w:pPr>
        <w:numPr>
          <w:ilvl w:val="0"/>
          <w:numId w:val="1043"/>
        </w:numPr>
        <w:pStyle w:val="Compact"/>
      </w:pPr>
      <w:r>
        <w:rPr>
          <w:bCs/>
          <w:b/>
        </w:rPr>
        <w:t xml:space="preserve">Art/Struktur:</w:t>
      </w:r>
      <w:r>
        <w:t xml:space="preserve"> </w:t>
      </w:r>
      <w:r>
        <w:t xml:space="preserve">Abgewandeltes menschliches GLP-1 aus 31 Aminosäuren. Es stimmt zu 97 % mit dem körpereigenen Hormon überein; an einer Stelle ist eine Aminosäure ausgetauscht, an einer anderen hängt über einen kurzen Verbindungsbaustein eine Fettsäure mit 16 Kohlenstoffatomen.</w:t>
      </w:r>
    </w:p>
    <w:p>
      <w:pPr>
        <w:numPr>
          <w:ilvl w:val="0"/>
          <w:numId w:val="1043"/>
        </w:numPr>
        <w:pStyle w:val="Compact"/>
      </w:pPr>
      <w:r>
        <w:rPr>
          <w:bCs/>
          <w:b/>
        </w:rPr>
        <w:t xml:space="preserve">Herkunft:</w:t>
      </w:r>
      <w:r>
        <w:t xml:space="preserve"> </w:t>
      </w:r>
      <w:r>
        <w:t xml:space="preserve">entwickelt von Novo Nordisk</w:t>
      </w:r>
      <w:r>
        <w:rPr>
          <w:rStyle w:val="FootnoteReference"/>
        </w:rPr>
        <w:footnoteReference w:id="290"/>
      </w:r>
      <w:r>
        <w:t xml:space="preserve">, gentechnisch in Hefe hergestellt.</w:t>
      </w:r>
    </w:p>
    <w:p>
      <w:pPr>
        <w:numPr>
          <w:ilvl w:val="0"/>
          <w:numId w:val="1043"/>
        </w:numPr>
        <w:pStyle w:val="Compact"/>
      </w:pPr>
      <w:r>
        <w:rPr>
          <w:bCs/>
          <w:b/>
        </w:rPr>
        <w:t xml:space="preserve">Wirkprinzip:</w:t>
      </w:r>
      <w:r>
        <w:t xml:space="preserve"> </w:t>
      </w:r>
      <w:r>
        <w:t xml:space="preserve">GLP-1-Rezeptor-Agonist. Die Fettsäure lässt das Molekül an das Bluteiweiß Albumin binden; dadurch reicht eine Spritze pro Tag.</w:t>
      </w:r>
    </w:p>
    <w:p>
      <w:pPr>
        <w:numPr>
          <w:ilvl w:val="0"/>
          <w:numId w:val="1043"/>
        </w:numPr>
        <w:pStyle w:val="Compact"/>
      </w:pPr>
      <w:r>
        <w:rPr>
          <w:bCs/>
          <w:b/>
        </w:rPr>
        <w:t xml:space="preserve">Präparate:</w:t>
      </w:r>
      <w:r>
        <w:t xml:space="preserve"> </w:t>
      </w:r>
      <w:r>
        <w:t xml:space="preserve">Victoza (Typ-2-Diabetes, bis 1,8 mg täglich), Saxenda (Gewichtsmanagement, bis 3,0 mg täglich), Xultophy (fixe Kombination mit Insulin degludec). Seit 2024 gibt es Nachahmerpräparate.</w:t>
      </w:r>
    </w:p>
    <w:p>
      <w:pPr>
        <w:numPr>
          <w:ilvl w:val="0"/>
          <w:numId w:val="1043"/>
        </w:numPr>
        <w:pStyle w:val="Compact"/>
      </w:pPr>
      <w:r>
        <w:rPr>
          <w:bCs/>
          <w:b/>
        </w:rPr>
        <w:t xml:space="preserve">Zulassung EU:</w:t>
      </w:r>
      <w:r>
        <w:t xml:space="preserve"> </w:t>
      </w:r>
      <w:r>
        <w:t xml:space="preserve">ja – Typ-2-Diabetes (seit 2009) und Gewichtsmanagement (seit 2015), jeweils auch für Jugendliche.</w:t>
      </w:r>
    </w:p>
    <w:p>
      <w:pPr>
        <w:numPr>
          <w:ilvl w:val="0"/>
          <w:numId w:val="1043"/>
        </w:numPr>
        <w:pStyle w:val="Compact"/>
      </w:pPr>
      <w:r>
        <w:rPr>
          <w:bCs/>
          <w:b/>
        </w:rPr>
        <w:t xml:space="preserve">Zulassung USA:</w:t>
      </w:r>
      <w:r>
        <w:t xml:space="preserve"> </w:t>
      </w:r>
      <w:r>
        <w:t xml:space="preserve">ja – Typ-2-Diabetes (seit 2010, ab 10 Jahren), Senkung des Herz-Kreislauf-Risikos bei Typ-2-Diabetes und Gewichtsmanagement (seit 2014, ab 12 Jahren). Generika für beide Anwendungsgebiete sind zugelassen.</w:t>
      </w:r>
    </w:p>
    <w:p>
      <w:pPr>
        <w:numPr>
          <w:ilvl w:val="0"/>
          <w:numId w:val="1043"/>
        </w:numPr>
        <w:pStyle w:val="Compact"/>
      </w:pPr>
      <w:r>
        <w:rPr>
          <w:bCs/>
          <w:b/>
        </w:rPr>
        <w:t xml:space="preserve">WADA:</w:t>
      </w:r>
      <w:r>
        <w:t xml:space="preserve"> </w:t>
      </w:r>
      <w:r>
        <w:t xml:space="preserve">nicht gelistet.</w:t>
      </w:r>
    </w:p>
    <w:p>
      <w:pPr>
        <w:numPr>
          <w:ilvl w:val="0"/>
          <w:numId w:val="1043"/>
        </w:numPr>
        <w:pStyle w:val="Compact"/>
      </w:pPr>
      <w:r>
        <w:rPr>
          <w:bCs/>
          <w:b/>
        </w:rPr>
        <w:t xml:space="preserve">Evidenzstufe:</w:t>
      </w:r>
      <w:r>
        <w:t xml:space="preserve"> </w:t>
      </w:r>
      <w:r>
        <w:rPr>
          <w:bCs/>
          <w:b/>
        </w:rPr>
        <w:t xml:space="preserve">A</w:t>
      </w:r>
      <w:r>
        <w:t xml:space="preserve"> </w:t>
      </w:r>
      <w:r>
        <w:t xml:space="preserve">– zwei große Zulassungsprogramme (LEAD, SCALE), eine große Endpunktstudie (LEADER), Studien bei Kindern und Jugendlichen.</w:t>
      </w:r>
    </w:p>
    <w:bookmarkEnd w:id="291"/>
    <w:bookmarkStart w:id="294" w:name="wie-es-wirken-soll-1"/>
    <w:p>
      <w:pPr>
        <w:pStyle w:val="Heading3"/>
      </w:pPr>
      <w:r>
        <w:t xml:space="preserve">Wie es wirken soll</w:t>
      </w:r>
    </w:p>
    <w:p>
      <w:pPr>
        <w:pStyle w:val="FirstParagraph"/>
      </w:pPr>
      <w:r>
        <w:t xml:space="preserve">Liraglutid wirkt wie das körpereigene Darmhormon GLP-1: Es verstärkt die zuckerabhängige Insulinausschüttung, hemmt das blutzuckersteigernde Glukagon, verlangsamt die Magenentleerung und dämpft im Gehirn den Appetit. Der grundlegende Mechanismus der Klasse ist im Kapitel Exenatid beschrieben.</w:t>
      </w:r>
    </w:p>
    <w:p>
      <w:pPr>
        <w:pStyle w:val="BodyText"/>
      </w:pPr>
      <w:r>
        <w:t xml:space="preserve">Der Unterschied liegt in der Bauweise. Während Exenatid aus dem Gift einer Echse stammt und dem menschlichen Hormon nur zur Hälfte gleicht, ist Liraglutid fast identisch mit dem körpereigenen GLP-1. Der Trick, der es haltbar macht, ist die angehängte Fettsäure. Sie sorgt dafür, dass sich das Molekül im Blut an Albumin anlagert, sich zu kleinen Verbänden zusammenlagert und so vor dem Abbau durch das Enzym DPP-4 und vor der Ausscheidung über die Nieren geschützt ist. Die Halbwertszeit steigt dadurch von wenigen Minuten auf rund einen halben Tag.</w:t>
      </w:r>
    </w:p>
    <w:p>
      <w:pPr>
        <w:pStyle w:val="BodyText"/>
      </w:pPr>
      <w:r>
        <w:t xml:space="preserve">Für die Gewichtsabnahme sind vor allem Wirkungen im Gehirn verantwortlich. Bei Mäusen und Ratten gelangt markiertes Liraglutid in bestimmte Regionen des Hypothalamus, des Steuerzentrums für Hunger und Sättigung, und aktiviert dort Nervenzellen, die das Sättigungsgefühl fördern</w:t>
      </w:r>
      <w:r>
        <w:rPr>
          <w:rStyle w:val="FootnoteReference"/>
        </w:rPr>
        <w:footnoteReference w:id="292"/>
      </w:r>
      <w:r>
        <w:t xml:space="preserve">. Beim Menschen äußert sich das in geringerer Nahrungsaufnahme; ein nennenswerter Anstieg des Energieverbrauchs ist nicht belegt.</w:t>
      </w:r>
    </w:p>
    <w:p>
      <w:pPr>
        <w:pStyle w:val="BodyText"/>
      </w:pPr>
      <w:r>
        <w:t xml:space="preserve">Aus Liraglutid ging später Semaglutid hervor: gleiche Grundidee, aber mit einer stärkeren Albuminbindung, die eine Spritze pro Woche ermöglicht</w:t>
      </w:r>
      <w:r>
        <w:rPr>
          <w:rStyle w:val="FootnoteReference"/>
        </w:rPr>
        <w:footnoteReference w:id="293"/>
      </w:r>
      <w:r>
        <w:t xml:space="preserve">.</w:t>
      </w:r>
    </w:p>
    <w:bookmarkEnd w:id="294"/>
    <w:bookmarkStart w:id="320" w:name="studien-am-menschen-1"/>
    <w:p>
      <w:pPr>
        <w:pStyle w:val="Heading3"/>
      </w:pPr>
      <w:r>
        <w:t xml:space="preserve">Studien am Menschen</w:t>
      </w:r>
    </w:p>
    <w:p>
      <w:pPr>
        <w:pStyle w:val="FirstParagraph"/>
      </w:pPr>
      <w:r>
        <w:t xml:space="preserve">Liraglutid gehört zu den am besten untersuchten Peptidarzneimitteln. Die für dieses Buch ausgewertete PubMed-Abfrage (Suchbegriff „liraglutide“ in Titel oder Abstract, Abfragedatum Oktober 2026) ergab 613 Humanstudien – mehr als für jedes andere Peptid in diesem Buch. ClinicalTrials.gov verzeichnet 517 Registereinträge. Im Folgenden stehen die Zulassungs- und Endpunktstudien im Mittelpunkt; daneben gibt es Hunderte kleinerer Studien zu Leber, Herz, Gehirn, Fruchtbarkeit und Essstörungen.</w:t>
      </w:r>
    </w:p>
    <w:bookmarkStart w:id="297" w:name="typ-2-diabetes-das-lead-programm"/>
    <w:p>
      <w:pPr>
        <w:pStyle w:val="Heading4"/>
      </w:pPr>
      <w:r>
        <w:t xml:space="preserve">Typ-2-Diabetes: das LEAD-Programm</w:t>
      </w:r>
    </w:p>
    <w:p>
      <w:pPr>
        <w:pStyle w:val="FirstParagraph"/>
      </w:pPr>
      <w:r>
        <w:t xml:space="preserve">Für die Diabeteszulassung wurde Liraglutid in sechs Studien unter dem Namen LEAD (Liraglutide Effect and Action in Diabetes) geprüft, jeweils mit 1,2 oder 1,8 mg pro Tag. Zwei sind besonders aufschlussreich, weil sie gegen damals etablierte Therapien antraten. Dazu kommt der Vergleich mit dem DPP-4-Hemmer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LEAD-3 Mono (Garber 2009), PMID 18819705</w:t>
            </w:r>
          </w:p>
        </w:tc>
        <w:tc>
          <w:tcPr/>
          <w:p>
            <w:pPr>
              <w:pStyle w:val="Compact"/>
              <w:jc w:val="left"/>
            </w:pPr>
            <w:r>
              <w:t xml:space="preserve">746 Personen mit frühem Typ-2-Diabetes, doppelblind vs. Glimepirid</w:t>
            </w:r>
          </w:p>
        </w:tc>
        <w:tc>
          <w:tcPr/>
          <w:p>
            <w:pPr>
              <w:pStyle w:val="Compact"/>
              <w:jc w:val="left"/>
            </w:pPr>
            <w:r>
              <w:t xml:space="preserve">52 Wochen</w:t>
            </w:r>
          </w:p>
        </w:tc>
        <w:tc>
          <w:tcPr/>
          <w:p>
            <w:pPr>
              <w:pStyle w:val="Compact"/>
              <w:jc w:val="left"/>
            </w:pPr>
            <w:r>
              <w:t xml:space="preserve">HbA1c −1,14 (1,8 mg) vs. −0,51 Prozentpunkte</w:t>
            </w:r>
          </w:p>
        </w:tc>
      </w:tr>
      <w:tr>
        <w:tc>
          <w:tcPr/>
          <w:p>
            <w:pPr>
              <w:pStyle w:val="Compact"/>
              <w:jc w:val="left"/>
            </w:pPr>
            <w:r>
              <w:t xml:space="preserve">LEAD-6 (Buse 2009), PMID 19515413</w:t>
            </w:r>
          </w:p>
        </w:tc>
        <w:tc>
          <w:tcPr/>
          <w:p>
            <w:pPr>
              <w:pStyle w:val="Compact"/>
              <w:jc w:val="left"/>
            </w:pPr>
            <w:r>
              <w:t xml:space="preserve">offen vs. Exenatid zweimal täglich</w:t>
            </w:r>
          </w:p>
        </w:tc>
        <w:tc>
          <w:tcPr/>
          <w:p>
            <w:pPr>
              <w:pStyle w:val="Compact"/>
              <w:jc w:val="left"/>
            </w:pPr>
            <w:r>
              <w:t xml:space="preserve">26 Wochen</w:t>
            </w:r>
          </w:p>
        </w:tc>
        <w:tc>
          <w:tcPr/>
          <w:p>
            <w:pPr>
              <w:pStyle w:val="Compact"/>
              <w:jc w:val="left"/>
            </w:pPr>
            <w:r>
              <w:t xml:space="preserve">HbA1c −1,12 vs. −0,79; Gewicht −3,24 vs. −2,87 kg</w:t>
            </w:r>
          </w:p>
        </w:tc>
      </w:tr>
      <w:tr>
        <w:tc>
          <w:tcPr/>
          <w:p>
            <w:pPr>
              <w:pStyle w:val="Compact"/>
              <w:jc w:val="left"/>
            </w:pPr>
            <w:r>
              <w:t xml:space="preserve">Pratley 2010, PMID 20417856</w:t>
            </w:r>
          </w:p>
        </w:tc>
        <w:tc>
          <w:tcPr/>
          <w:p>
            <w:pPr>
              <w:pStyle w:val="Compact"/>
              <w:jc w:val="left"/>
            </w:pPr>
            <w:r>
              <w:t xml:space="preserve">658 Personen unter Metformin, offen vs. Sitagliptin</w:t>
            </w:r>
          </w:p>
        </w:tc>
        <w:tc>
          <w:tcPr/>
          <w:p>
            <w:pPr>
              <w:pStyle w:val="Compact"/>
              <w:jc w:val="left"/>
            </w:pPr>
            <w:r>
              <w:t xml:space="preserve">26 Wochen</w:t>
            </w:r>
          </w:p>
        </w:tc>
        <w:tc>
          <w:tcPr/>
          <w:p>
            <w:pPr>
              <w:pStyle w:val="Compact"/>
              <w:jc w:val="left"/>
            </w:pPr>
            <w:r>
              <w:t xml:space="preserve">HbA1c −1,50 (1,8 mg) vs. −0,90; Übelkeit 27 % vs. 5 %</w:t>
            </w:r>
          </w:p>
        </w:tc>
      </w:tr>
    </w:tbl>
    <w:p>
      <w:pPr>
        <w:pStyle w:val="BodyText"/>
      </w:pPr>
      <w:r>
        <w:t xml:space="preserve">Der Langzeitzuckerwert HbA1c sank unter Liraglutid in diesen Studien um 1,1 bis 1,5 Prozentpunkte. In LEAD-3</w:t>
      </w:r>
      <w:r>
        <w:rPr>
          <w:rStyle w:val="FootnoteReference"/>
        </w:rPr>
        <w:footnoteReference w:id="295"/>
      </w:r>
      <w:r>
        <w:t xml:space="preserve"> </w:t>
      </w:r>
      <w:r>
        <w:t xml:space="preserve">war Liraglutid als erstes Diabetesmittel dem Sulfonylharnstoff Glimepirid überlegen, der den Blutzucker unabhängig von Mahlzeiten senkt und häufiger zu Unterzuckerungen führt. Gegen Sitagliptin</w:t>
      </w:r>
      <w:r>
        <w:rPr>
          <w:rStyle w:val="FootnoteReference"/>
        </w:rPr>
        <w:footnoteReference w:id="296"/>
      </w:r>
      <w:r>
        <w:t xml:space="preserve"> </w:t>
      </w:r>
      <w:r>
        <w:t xml:space="preserve">betrug der Vorteil 0,6 Prozentpunkte, allerdings mit deutlich mehr Übelkeit.</w:t>
      </w:r>
    </w:p>
    <w:bookmarkEnd w:id="297"/>
    <w:bookmarkStart w:id="302" w:name="Xfb5911034c80acee3e1ebb53d6a45b3b8f7c1c9"/>
    <w:p>
      <w:pPr>
        <w:pStyle w:val="Heading4"/>
      </w:pPr>
      <w:r>
        <w:t xml:space="preserve">Direktvergleiche innerhalb der GLP-1-Klasse</w:t>
      </w:r>
    </w:p>
    <w:p>
      <w:pPr>
        <w:pStyle w:val="FirstParagraph"/>
      </w:pPr>
      <w:r>
        <w:t xml:space="preserve">Liraglutid ist der am häufigsten verwendete Vergleichspartner der Klasse. Die Ergebnisse ergeben eine klare Rangfolge: Liraglutid ist stärker als Exenatid, etwa gleich stark wie Dulaglutid und schwächer als Semaglutid.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(Liraglutid vs. Vergleich)</w:t>
            </w:r>
          </w:p>
        </w:tc>
      </w:tr>
      <w:tr>
        <w:tc>
          <w:tcPr/>
          <w:p>
            <w:pPr>
              <w:pStyle w:val="Compact"/>
              <w:jc w:val="left"/>
            </w:pPr>
            <w:r>
              <w:t xml:space="preserve">LEAD-6 (Buse 2009), PMID 19515413</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−1,12 vs. −0,79; Zielwert &lt; 7 % bei 54 % vs. 43 %</w:t>
            </w:r>
          </w:p>
        </w:tc>
      </w:tr>
      <w:tr>
        <w:tc>
          <w:tcPr/>
          <w:p>
            <w:pPr>
              <w:pStyle w:val="Compact"/>
              <w:jc w:val="left"/>
            </w:pPr>
            <w:r>
              <w:t xml:space="preserve">DURATION-6 (Buse 2013), PMID 23141817</w:t>
            </w:r>
          </w:p>
        </w:tc>
        <w:tc>
          <w:tcPr/>
          <w:p>
            <w:pPr>
              <w:pStyle w:val="Compact"/>
              <w:jc w:val="left"/>
            </w:pPr>
            <w:r>
              <w:t xml:space="preserve">911 Personen, vs. Exenatid wöchentlich</w:t>
            </w:r>
          </w:p>
        </w:tc>
        <w:tc>
          <w:tcPr/>
          <w:p>
            <w:pPr>
              <w:pStyle w:val="Compact"/>
              <w:jc w:val="left"/>
            </w:pPr>
            <w:r>
              <w:t xml:space="preserve">26 Wochen</w:t>
            </w:r>
          </w:p>
        </w:tc>
        <w:tc>
          <w:tcPr/>
          <w:p>
            <w:pPr>
              <w:pStyle w:val="Compact"/>
              <w:jc w:val="left"/>
            </w:pPr>
            <w:r>
              <w:t xml:space="preserve">HbA1c −1,48 vs. −1,28; Übelkeit 21 % vs. 9 %</w:t>
            </w:r>
          </w:p>
        </w:tc>
      </w:tr>
      <w:tr>
        <w:tc>
          <w:tcPr/>
          <w:p>
            <w:pPr>
              <w:pStyle w:val="Compact"/>
              <w:jc w:val="left"/>
            </w:pPr>
            <w:r>
              <w:t xml:space="preserve">AWARD-6 (Dungan 2014), PMID 25018121</w:t>
            </w:r>
          </w:p>
        </w:tc>
        <w:tc>
          <w:tcPr/>
          <w:p>
            <w:pPr>
              <w:pStyle w:val="Compact"/>
              <w:jc w:val="left"/>
            </w:pPr>
            <w:r>
              <w:t xml:space="preserve">599 Personen, vs. Dulaglutid wöchentlich</w:t>
            </w:r>
          </w:p>
        </w:tc>
        <w:tc>
          <w:tcPr/>
          <w:p>
            <w:pPr>
              <w:pStyle w:val="Compact"/>
              <w:jc w:val="left"/>
            </w:pPr>
            <w:r>
              <w:t xml:space="preserve">26 Wochen</w:t>
            </w:r>
          </w:p>
        </w:tc>
        <w:tc>
          <w:tcPr/>
          <w:p>
            <w:pPr>
              <w:pStyle w:val="Compact"/>
              <w:jc w:val="left"/>
            </w:pPr>
            <w:r>
              <w:t xml:space="preserve">HbA1c −1,36 vs. −1,42; gleichwertig</w:t>
            </w:r>
          </w:p>
        </w:tc>
      </w:tr>
      <w:tr>
        <w:tc>
          <w:tcPr/>
          <w:p>
            <w:pPr>
              <w:pStyle w:val="Compact"/>
              <w:jc w:val="left"/>
            </w:pPr>
            <w:r>
              <w:t xml:space="preserve">PIONEER 4 (Pratley 2019), PMID 31186120</w:t>
            </w:r>
          </w:p>
        </w:tc>
        <w:tc>
          <w:tcPr/>
          <w:p>
            <w:pPr>
              <w:pStyle w:val="Compact"/>
              <w:jc w:val="left"/>
            </w:pPr>
            <w:r>
              <w:t xml:space="preserve">711 Personen, vs. Semaglutid-Tablette und Placebo</w:t>
            </w:r>
          </w:p>
        </w:tc>
        <w:tc>
          <w:tcPr/>
          <w:p>
            <w:pPr>
              <w:pStyle w:val="Compact"/>
              <w:jc w:val="left"/>
            </w:pPr>
            <w:r>
              <w:t xml:space="preserve">52 Wochen</w:t>
            </w:r>
          </w:p>
        </w:tc>
        <w:tc>
          <w:tcPr/>
          <w:p>
            <w:pPr>
              <w:pStyle w:val="Compact"/>
              <w:jc w:val="left"/>
            </w:pPr>
            <w:r>
              <w:t xml:space="preserve">HbA1c −1,1 vs. −1,2 nach 26 Wochen; Gewicht −3,1 vs. −4,4 kg</w:t>
            </w:r>
          </w:p>
        </w:tc>
      </w:tr>
      <w:tr>
        <w:tc>
          <w:tcPr/>
          <w:p>
            <w:pPr>
              <w:pStyle w:val="Compact"/>
              <w:jc w:val="left"/>
            </w:pPr>
            <w:r>
              <w:t xml:space="preserve">SUSTAIN 10 (Capehorn 2020), PMID 31539622</w:t>
            </w:r>
          </w:p>
        </w:tc>
        <w:tc>
          <w:tcPr/>
          <w:p>
            <w:pPr>
              <w:pStyle w:val="Compact"/>
              <w:jc w:val="left"/>
            </w:pPr>
            <w:r>
              <w:t xml:space="preserve">Liraglutid 1,2 mg vs. Semaglutid 1,0 mg wöchentlich</w:t>
            </w:r>
          </w:p>
        </w:tc>
        <w:tc>
          <w:tcPr/>
          <w:p>
            <w:pPr>
              <w:pStyle w:val="Compact"/>
              <w:jc w:val="left"/>
            </w:pPr>
            <w:r>
              <w:t xml:space="preserve">30 Wochen</w:t>
            </w:r>
          </w:p>
        </w:tc>
        <w:tc>
          <w:tcPr/>
          <w:p>
            <w:pPr>
              <w:pStyle w:val="Compact"/>
              <w:jc w:val="left"/>
            </w:pPr>
            <w:r>
              <w:t xml:space="preserve">HbA1c −1,0 vs. −1,7; Gewicht −1,9 vs. −5,8 kg</w:t>
            </w:r>
          </w:p>
        </w:tc>
      </w:tr>
      <w:tr>
        <w:tc>
          <w:tcPr/>
          <w:p>
            <w:pPr>
              <w:pStyle w:val="Compact"/>
              <w:jc w:val="left"/>
            </w:pPr>
            <w:r>
              <w:t xml:space="preserve">STEP 8 (Rubino 2022), PMID 35015037</w:t>
            </w:r>
          </w:p>
        </w:tc>
        <w:tc>
          <w:tcPr/>
          <w:p>
            <w:pPr>
              <w:pStyle w:val="Compact"/>
              <w:jc w:val="left"/>
            </w:pPr>
            <w:r>
              <w:t xml:space="preserve">338 Personen mit Adipositas ohne Diabetes, Liraglutid 3,0 mg vs. Semaglutid 2,4 mg</w:t>
            </w:r>
          </w:p>
        </w:tc>
        <w:tc>
          <w:tcPr/>
          <w:p>
            <w:pPr>
              <w:pStyle w:val="Compact"/>
              <w:jc w:val="left"/>
            </w:pPr>
            <w:r>
              <w:t xml:space="preserve">68 Wochen</w:t>
            </w:r>
          </w:p>
        </w:tc>
        <w:tc>
          <w:tcPr/>
          <w:p>
            <w:pPr>
              <w:pStyle w:val="Compact"/>
              <w:jc w:val="left"/>
            </w:pPr>
            <w:r>
              <w:t xml:space="preserve">Gewicht −6,4 % vs. −15,8 %</w:t>
            </w:r>
          </w:p>
        </w:tc>
      </w:tr>
    </w:tbl>
    <w:p>
      <w:pPr>
        <w:pStyle w:val="BodyText"/>
      </w:pPr>
      <w:r>
        <w:t xml:space="preserve">In LEAD-6</w:t>
      </w:r>
      <w:r>
        <w:rPr>
          <w:rStyle w:val="FootnoteReference"/>
        </w:rPr>
        <w:footnoteReference w:id="298"/>
      </w:r>
      <w:r>
        <w:t xml:space="preserve"> </w:t>
      </w:r>
      <w:r>
        <w:t xml:space="preserve">senkte Liraglutid den Nüchternzucker deutlich stärker als Exenatid zweimal täglich, den Zuckeranstieg nach Frühstück und Abendessen dagegen weniger – ein Hinweis darauf, dass kurz wirksame Formen stärker über die Magenentleerung wirken. Übelkeit hielt unter Liraglutid kürzer an, leichte Unterzuckerungen waren seltener (25,5 % vs. 33,6 % der Teilnehmenden).</w:t>
      </w:r>
    </w:p>
    <w:p>
      <w:pPr>
        <w:pStyle w:val="BodyText"/>
      </w:pPr>
      <w:r>
        <w:t xml:space="preserve">Gegen Dulaglutid war Liraglutid in AWARD-6</w:t>
      </w:r>
      <w:r>
        <w:rPr>
          <w:rStyle w:val="FootnoteReference"/>
        </w:rPr>
        <w:footnoteReference w:id="299"/>
      </w:r>
      <w:r>
        <w:t xml:space="preserve"> </w:t>
      </w:r>
      <w:r>
        <w:t xml:space="preserve">gleichwertig, bei ähnlicher Verträglichkeit; Übelkeit trat bei 18 % gegenüber 20 % auf.</w:t>
      </w:r>
    </w:p>
    <w:p>
      <w:pPr>
        <w:pStyle w:val="BodyText"/>
      </w:pPr>
      <w:r>
        <w:t xml:space="preserve">Gegen Semaglutid verlor Liraglutid in allen Vergleichen. Am deutlichsten war das in STEP 8</w:t>
      </w:r>
      <w:r>
        <w:rPr>
          <w:rStyle w:val="FootnoteReference"/>
        </w:rPr>
        <w:footnoteReference w:id="300"/>
      </w:r>
      <w:r>
        <w:t xml:space="preserve"> </w:t>
      </w:r>
      <w:r>
        <w:t xml:space="preserve">beim Gewicht: Mit der jeweils für Adipositas zugelassenen Dosis nahmen Teilnehmende unter Semaglutid im Mittel 15,8 % ab, unter Liraglutid 6,4 % (Placebo: 1,9 %). Eine Abnahme von mindestens 15 % erreichten 55,6 % gegenüber 12,0 %. Die Behandlung vorzeitig beendet hatten 27,6 % unter Liraglutid und 13,5 % unter Semaglutid. Bei der Semaglutid-Tablette fiel der Unterschied in PIONEER 4</w:t>
      </w:r>
      <w:r>
        <w:rPr>
          <w:rStyle w:val="FootnoteReference"/>
        </w:rPr>
        <w:footnoteReference w:id="301"/>
      </w:r>
      <w:r>
        <w:t xml:space="preserve"> </w:t>
      </w:r>
      <w:r>
        <w:t xml:space="preserve">kleiner aus: Beim HbA1c war die Tablette nach dem Hauptauswertungsverfahren nicht schlechter, beim Gewicht um 1,2 kg überlegen. Einzelheiten zu diesen Studien stehen im Kapitel Semaglutid.</w:t>
      </w:r>
    </w:p>
    <w:bookmarkEnd w:id="302"/>
    <w:bookmarkStart w:id="306" w:name="leader-herz-kreislauf-und-nieren"/>
    <w:p>
      <w:pPr>
        <w:pStyle w:val="Heading4"/>
      </w:pPr>
      <w:r>
        <w:t xml:space="preserve">LEADER: Herz, Kreislauf und Nieren</w:t>
      </w:r>
    </w:p>
    <w:p>
      <w:pPr>
        <w:pStyle w:val="FirstParagraph"/>
      </w:pPr>
      <w:r>
        <w:t xml:space="preserve">LEADER war die erste große Studie, die für einen GLP-1-Rezeptor-Agonisten einen Schutz vor Herz-Kreislauf-Ereignissen zeigte. Sie hat die Rolle der gesamten Klasse in den Diabetes-Leitlinien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(Marso 2016), PMID 27295427</w:t>
            </w:r>
          </w:p>
        </w:tc>
        <w:tc>
          <w:tcPr/>
          <w:p>
            <w:pPr>
              <w:pStyle w:val="Compact"/>
              <w:jc w:val="left"/>
            </w:pPr>
            <w:r>
              <w:t xml:space="preserve">9.340 Personen mit Typ-2-Diabetes und hohem Herz-Kreislauf-Risiko, RCT gegen Placebo</w:t>
            </w:r>
          </w:p>
        </w:tc>
        <w:tc>
          <w:tcPr/>
          <w:p>
            <w:pPr>
              <w:pStyle w:val="Compact"/>
              <w:jc w:val="left"/>
            </w:pPr>
            <w:r>
              <w:t xml:space="preserve">median 3,8 Jahre</w:t>
            </w:r>
          </w:p>
        </w:tc>
        <w:tc>
          <w:tcPr/>
          <w:p>
            <w:pPr>
              <w:pStyle w:val="Compact"/>
              <w:jc w:val="left"/>
            </w:pPr>
            <w:r>
              <w:t xml:space="preserve">Schwere Herz-Kreislauf-Ereignisse 13,0 % vs. 14,9 %; HR 0,87 (0,78–0,97)</w:t>
            </w:r>
          </w:p>
        </w:tc>
      </w:tr>
      <w:tr>
        <w:tc>
          <w:tcPr/>
          <w:p>
            <w:pPr>
              <w:pStyle w:val="Compact"/>
              <w:jc w:val="left"/>
            </w:pPr>
            <w:r>
              <w:t xml:space="preserve">LEADER, Nierenauswertung (Mann 2017), PMID 28854085</w:t>
            </w:r>
          </w:p>
        </w:tc>
        <w:tc>
          <w:tcPr/>
          <w:p>
            <w:pPr>
              <w:pStyle w:val="Compact"/>
              <w:jc w:val="left"/>
            </w:pPr>
            <w:r>
              <w:t xml:space="preserve">dieselben 9.340 Personen, vorab geplante Auswertung</w:t>
            </w:r>
          </w:p>
        </w:tc>
        <w:tc>
          <w:tcPr/>
          <w:p>
            <w:pPr>
              <w:pStyle w:val="Compact"/>
              <w:jc w:val="left"/>
            </w:pPr>
            <w:r>
              <w:t xml:space="preserve">median 3,84 Jahre</w:t>
            </w:r>
          </w:p>
        </w:tc>
        <w:tc>
          <w:tcPr/>
          <w:p>
            <w:pPr>
              <w:pStyle w:val="Compact"/>
              <w:jc w:val="left"/>
            </w:pPr>
            <w:r>
              <w:t xml:space="preserve">Nierenendpunkt 268 vs. 337 Fälle; HR 0,78, vor allem weniger neue Makroalbuminurie</w:t>
            </w:r>
          </w:p>
        </w:tc>
      </w:tr>
    </w:tbl>
    <w:p>
      <w:pPr>
        <w:pStyle w:val="BodyText"/>
      </w:pPr>
      <w:r>
        <w:t xml:space="preserve">Der Hauptendpunkt – Tod durch Herz-Kreislauf-Ursache, nicht tödlicher Herzinfarkt oder Schlaganfall – trat unter Liraglutid bei 608 von 4.668 Personen (13,0 %) auf, unter Placebo bei 694 von 4.672 (14,9 %)</w:t>
      </w:r>
      <w:r>
        <w:rPr>
          <w:rStyle w:val="FootnoteReference"/>
        </w:rPr>
        <w:footnoteReference w:id="303"/>
      </w:r>
      <w:r>
        <w:t xml:space="preserve">. Das entspricht einer relativen Risikosenkung um 13 %. Getragen wurde der Effekt vor allem von weniger Herz-Kreislauf-Todesfällen (4,7 % vs. 6,0 %; HR 0,78). Auch die Gesamtsterblichkeit war niedriger (8,2 % vs. 9,6 %; HR 0,85). Die einzelnen Komponenten Herzinfarkt, Schlaganfall und Krankenhausaufnahme wegen Herzschwäche waren für sich genommen nicht signifikant reduziert.</w:t>
      </w:r>
    </w:p>
    <w:p>
      <w:pPr>
        <w:pStyle w:val="BodyText"/>
      </w:pPr>
      <w:r>
        <w:t xml:space="preserve">In absoluten Zahlen bedeutet das: Über knapp vier Jahre hatten etwa zwei von hundert Behandelten weniger ein schweres Herz-Kreislauf-Ereignis. Für eine Hochrisikogruppe ist das ein relevanter Effekt.</w:t>
      </w:r>
    </w:p>
    <w:p>
      <w:pPr>
        <w:pStyle w:val="BodyText"/>
      </w:pPr>
      <w:r>
        <w:t xml:space="preserve">Die Nierenauswertung</w:t>
      </w:r>
      <w:r>
        <w:rPr>
          <w:rStyle w:val="FootnoteReference"/>
        </w:rPr>
        <w:footnoteReference w:id="304"/>
      </w:r>
      <w:r>
        <w:t xml:space="preserve"> </w:t>
      </w:r>
      <w:r>
        <w:t xml:space="preserve">zeigte weniger Fälle einer neu auftretenden starken Eiweißausscheidung im Urin (Makroalbuminurie). Harte Nierenendpunkte wie Dialysepflicht waren selten und unterschieden sich nicht deutlich. Akutes Nierenversagen trat ähnlich häufig auf wie unter Placebo.</w:t>
      </w:r>
    </w:p>
    <w:p>
      <w:pPr>
        <w:pStyle w:val="BodyText"/>
      </w:pPr>
      <w:r>
        <w:t xml:space="preserve">Nicht jede Herzgruppe profitiert. In der FIGHT-Studie mit 300 Personen, die kurz zuvor wegen einer schweren Herzschwäche mit stark eingeschränkter Pumpfunktion im Krankenhaus gewesen waren, verbesserte Liraglutid den Verlauf nicht</w:t>
      </w:r>
      <w:r>
        <w:rPr>
          <w:rStyle w:val="FootnoteReference"/>
        </w:rPr>
        <w:footnoteReference w:id="305"/>
      </w:r>
      <w:r>
        <w:t xml:space="preserve">. Es gab sogar etwas mehr erneute Krankenhausaufnahmen wegen Herzschwäche (41 % vs. 34 %), ohne dass der Unterschied statistisch gesichert war. Die Autorinnen und Autoren sahen keine Grundlage für den Einsatz in dieser Situation.</w:t>
      </w:r>
    </w:p>
    <w:bookmarkEnd w:id="306"/>
    <w:bookmarkStart w:id="311" w:name="adipositas-das-scale-programm"/>
    <w:p>
      <w:pPr>
        <w:pStyle w:val="Heading4"/>
      </w:pPr>
      <w:r>
        <w:t xml:space="preserve">Adipositas: das SCALE-Programm</w:t>
      </w:r>
    </w:p>
    <w:p>
      <w:pPr>
        <w:pStyle w:val="FirstParagraph"/>
      </w:pPr>
      <w:r>
        <w:t xml:space="preserve">Mit 3,0 mg pro Tag – fast doppelt so viel wie die höchste Diabetesdosis – wurde Liraglutid 2014/2015 als erstes GLP-1-Medikament zur Gewichtsreduktion zugelassen. Grundlage war das Studienprogramm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SCALE Obesity and Prediabetes (Pi-Sunyer 2015), PMID 26132939</w:t>
            </w:r>
          </w:p>
        </w:tc>
        <w:tc>
          <w:tcPr/>
          <w:p>
            <w:pPr>
              <w:pStyle w:val="Compact"/>
              <w:jc w:val="left"/>
            </w:pPr>
            <w:r>
              <w:t xml:space="preserve">3.731 Erwachsene mit Adipositas ohne Diabetes, RCT gegen Placebo</w:t>
            </w:r>
          </w:p>
        </w:tc>
        <w:tc>
          <w:tcPr/>
          <w:p>
            <w:pPr>
              <w:pStyle w:val="Compact"/>
              <w:jc w:val="left"/>
            </w:pPr>
            <w:r>
              <w:t xml:space="preserve">56 Wochen</w:t>
            </w:r>
          </w:p>
        </w:tc>
        <w:tc>
          <w:tcPr/>
          <w:p>
            <w:pPr>
              <w:pStyle w:val="Compact"/>
              <w:jc w:val="left"/>
            </w:pPr>
            <w:r>
              <w:t xml:space="preserve">−8,4 kg vs. −2,8 kg; ≥ 5 % Abnahme bei 63,2 % vs. 27,1 %</w:t>
            </w:r>
          </w:p>
        </w:tc>
      </w:tr>
      <w:tr>
        <w:tc>
          <w:tcPr/>
          <w:p>
            <w:pPr>
              <w:pStyle w:val="Compact"/>
              <w:jc w:val="left"/>
            </w:pPr>
            <w:r>
              <w:t xml:space="preserve">SCALE, 3-Jahres-Teil (le Roux 2017), PMID 28237263</w:t>
            </w:r>
          </w:p>
        </w:tc>
        <w:tc>
          <w:tcPr/>
          <w:p>
            <w:pPr>
              <w:pStyle w:val="Compact"/>
              <w:jc w:val="left"/>
            </w:pPr>
            <w:r>
              <w:t xml:space="preserve">2.254 Personen mit Prädiabetes</w:t>
            </w:r>
          </w:p>
        </w:tc>
        <w:tc>
          <w:tcPr/>
          <w:p>
            <w:pPr>
              <w:pStyle w:val="Compact"/>
              <w:jc w:val="left"/>
            </w:pPr>
            <w:r>
              <w:t xml:space="preserve">160 Wochen</w:t>
            </w:r>
          </w:p>
        </w:tc>
        <w:tc>
          <w:tcPr/>
          <w:p>
            <w:pPr>
              <w:pStyle w:val="Compact"/>
              <w:jc w:val="left"/>
            </w:pPr>
            <w:r>
              <w:t xml:space="preserve">Diabetes neu bei 2 % vs. 6 %; Gewicht −6,1 % vs. −1,9 %</w:t>
            </w:r>
          </w:p>
        </w:tc>
      </w:tr>
      <w:tr>
        <w:tc>
          <w:tcPr/>
          <w:p>
            <w:pPr>
              <w:pStyle w:val="Compact"/>
              <w:jc w:val="left"/>
            </w:pPr>
            <w:r>
              <w:t xml:space="preserve">SCALE Diabetes (Davies 2015), PMID 26284720</w:t>
            </w:r>
          </w:p>
        </w:tc>
        <w:tc>
          <w:tcPr/>
          <w:p>
            <w:pPr>
              <w:pStyle w:val="Compact"/>
              <w:jc w:val="left"/>
            </w:pPr>
            <w:r>
              <w:t xml:space="preserve">846 Personen mit Typ-2-Diabetes und Übergewicht</w:t>
            </w:r>
          </w:p>
        </w:tc>
        <w:tc>
          <w:tcPr/>
          <w:p>
            <w:pPr>
              <w:pStyle w:val="Compact"/>
              <w:jc w:val="left"/>
            </w:pPr>
            <w:r>
              <w:t xml:space="preserve">56 Wochen</w:t>
            </w:r>
          </w:p>
        </w:tc>
        <w:tc>
          <w:tcPr/>
          <w:p>
            <w:pPr>
              <w:pStyle w:val="Compact"/>
              <w:jc w:val="left"/>
            </w:pPr>
            <w:r>
              <w:t xml:space="preserve">−6,0 % (3,0 mg) vs. −2,0 %</w:t>
            </w:r>
          </w:p>
        </w:tc>
      </w:tr>
      <w:tr>
        <w:tc>
          <w:tcPr/>
          <w:p>
            <w:pPr>
              <w:pStyle w:val="Compact"/>
              <w:jc w:val="left"/>
            </w:pPr>
            <w:r>
              <w:t xml:space="preserve">SCALE Maintenance (Wadden 2013), PMID 23812094</w:t>
            </w:r>
          </w:p>
        </w:tc>
        <w:tc>
          <w:tcPr/>
          <w:p>
            <w:pPr>
              <w:pStyle w:val="Compact"/>
              <w:jc w:val="left"/>
            </w:pPr>
            <w:r>
              <w:t xml:space="preserve">422 Personen nach Diät mit ≥ 5 % Abnahme</w:t>
            </w:r>
          </w:p>
        </w:tc>
        <w:tc>
          <w:tcPr/>
          <w:p>
            <w:pPr>
              <w:pStyle w:val="Compact"/>
              <w:jc w:val="left"/>
            </w:pPr>
            <w:r>
              <w:t xml:space="preserve">56 Wochen</w:t>
            </w:r>
          </w:p>
        </w:tc>
        <w:tc>
          <w:tcPr/>
          <w:p>
            <w:pPr>
              <w:pStyle w:val="Compact"/>
              <w:jc w:val="left"/>
            </w:pPr>
            <w:r>
              <w:t xml:space="preserve">zusätzlich −6,2 % vs. −0,2 %</w:t>
            </w:r>
          </w:p>
        </w:tc>
      </w:tr>
      <w:tr>
        <w:tc>
          <w:tcPr/>
          <w:p>
            <w:pPr>
              <w:pStyle w:val="Compact"/>
              <w:jc w:val="left"/>
            </w:pPr>
            <w:r>
              <w:t xml:space="preserve">SCALE Sleep Apnea (Blackman 2016), PMID 27005405</w:t>
            </w:r>
          </w:p>
        </w:tc>
        <w:tc>
          <w:tcPr/>
          <w:p>
            <w:pPr>
              <w:pStyle w:val="Compact"/>
              <w:jc w:val="left"/>
            </w:pPr>
            <w:r>
              <w:t xml:space="preserve">Erwachsene mit Adipositas und mittel- bis schwergradiger Schlafapnoe</w:t>
            </w:r>
          </w:p>
        </w:tc>
        <w:tc>
          <w:tcPr/>
          <w:p>
            <w:pPr>
              <w:pStyle w:val="Compact"/>
              <w:jc w:val="left"/>
            </w:pPr>
            <w:r>
              <w:t xml:space="preserve">32 Wochen</w:t>
            </w:r>
          </w:p>
        </w:tc>
        <w:tc>
          <w:tcPr/>
          <w:p>
            <w:pPr>
              <w:pStyle w:val="Compact"/>
              <w:jc w:val="left"/>
            </w:pPr>
            <w:r>
              <w:t xml:space="preserve">Atemaussetzer −12,2 vs. −6,1 pro Stunde; Gewicht −5,7 % vs. −1,6 %</w:t>
            </w:r>
          </w:p>
        </w:tc>
      </w:tr>
    </w:tbl>
    <w:p>
      <w:pPr>
        <w:pStyle w:val="BodyText"/>
      </w:pPr>
      <w:r>
        <w:t xml:space="preserve">In der größten Studie</w:t>
      </w:r>
      <w:r>
        <w:rPr>
          <w:rStyle w:val="FootnoteReference"/>
        </w:rPr>
        <w:footnoteReference w:id="307"/>
      </w:r>
      <w:r>
        <w:t xml:space="preserve"> </w:t>
      </w:r>
      <w:r>
        <w:t xml:space="preserve">verloren die Teilnehmenden unter Liraglutid im Mittel 8,4 kg, unter Placebo 2,8 kg – jeweils mit Ernährungs- und Bewegungsberatung. Ein Drittel (33,1 %) nahm mehr als 10 % des Körpergewichts ab, gegenüber 10,6 % unter Placebo. Schwerwiegende unerwünschte Ereignisse traten bei 6,2 % gegenüber 5,0 % auf.</w:t>
      </w:r>
    </w:p>
    <w:p>
      <w:pPr>
        <w:pStyle w:val="BodyText"/>
      </w:pPr>
      <w:r>
        <w:t xml:space="preserve">Die Teilnehmenden mit Prädiabetes (Vorstufe des Diabetes) wurden drei Jahre lang weiterbehandelt</w:t>
      </w:r>
      <w:r>
        <w:rPr>
          <w:rStyle w:val="FootnoteReference"/>
        </w:rPr>
        <w:footnoteReference w:id="308"/>
      </w:r>
      <w:r>
        <w:t xml:space="preserve">. Unter Liraglutid entwickelten 2 % einen Typ-2-Diabetes, unter Placebo 6 %. Die Studie hat jedoch eine wichtige Schwäche: Nur die Hälfte der Teilnehmenden (50 %) blieb bis zum Ende dabei, und wer ausschied, wurde nicht weiter beobachtet. Die Ergebnisse sind daher mit Vorsicht zu lesen.</w:t>
      </w:r>
    </w:p>
    <w:p>
      <w:pPr>
        <w:pStyle w:val="BodyText"/>
      </w:pPr>
      <w:r>
        <w:t xml:space="preserve">Bei Menschen mit Typ-2-Diabetes fiel der Gewichtsverlust geringer aus</w:t>
      </w:r>
      <w:r>
        <w:rPr>
          <w:rStyle w:val="FootnoteReference"/>
        </w:rPr>
        <w:footnoteReference w:id="309"/>
      </w:r>
      <w:r>
        <w:t xml:space="preserve"> </w:t>
      </w:r>
      <w:r>
        <w:t xml:space="preserve">– ein Muster, das sich bei allen GLP-1-Medikamenten wiederholt. In SCALE Maintenance</w:t>
      </w:r>
      <w:r>
        <w:rPr>
          <w:rStyle w:val="FootnoteReference"/>
        </w:rPr>
        <w:footnoteReference w:id="310"/>
      </w:r>
      <w:r>
        <w:t xml:space="preserve"> </w:t>
      </w:r>
      <w:r>
        <w:t xml:space="preserve">half Liraglutid, nach einer Diätphase das Gewicht zu halten: 81,4 % hielten den zuvor erreichten Gewichtsverlust, gegenüber 48,9 % unter Placebo.</w:t>
      </w:r>
    </w:p>
    <w:p>
      <w:pPr>
        <w:pStyle w:val="BodyText"/>
      </w:pPr>
      <w:r>
        <w:t xml:space="preserve">Im Rückblick wirkt der Gewichtseffekt von Liraglutid bescheiden, seit Semaglutid und Tirzepatid im Mittel 15 bis über 20 % erreichen. Für seine Zeit war er ein Durchbruch: Kein zuvor zugelassenes Mittel hatte in Studien dieser Größe ähnliche Werte gezeigt.</w:t>
      </w:r>
    </w:p>
    <w:bookmarkEnd w:id="311"/>
    <w:bookmarkStart w:id="315" w:name="kinder-und-jugendliche"/>
    <w:p>
      <w:pPr>
        <w:pStyle w:val="Heading4"/>
      </w:pPr>
      <w:r>
        <w:t xml:space="preserve">Kinder und Jugendliche</w:t>
      </w:r>
    </w:p>
    <w:p>
      <w:pPr>
        <w:pStyle w:val="FirstParagraph"/>
      </w:pPr>
      <w:r>
        <w:t xml:space="preserve">Liraglutid ist einer der wenigen Wirkstoffe dieser Klasse, die gezielt bei Kindern und Jugendlichen untersucht wurden.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ELLIPSE (Tamborlane 2019), PMID 31034184</w:t>
            </w:r>
          </w:p>
        </w:tc>
        <w:tc>
          <w:tcPr/>
          <w:p>
            <w:pPr>
              <w:pStyle w:val="Compact"/>
              <w:jc w:val="left"/>
            </w:pPr>
            <w:r>
              <w:t xml:space="preserve">134 Kinder und Jugendliche (10 bis unter 17 Jahre) mit Typ-2-Diabetes, RCT gegen Placebo</w:t>
            </w:r>
          </w:p>
        </w:tc>
        <w:tc>
          <w:tcPr/>
          <w:p>
            <w:pPr>
              <w:pStyle w:val="Compact"/>
              <w:jc w:val="left"/>
            </w:pPr>
            <w:r>
              <w:t xml:space="preserve">52 Wochen</w:t>
            </w:r>
          </w:p>
        </w:tc>
        <w:tc>
          <w:tcPr/>
          <w:p>
            <w:pPr>
              <w:pStyle w:val="Compact"/>
              <w:jc w:val="left"/>
            </w:pPr>
            <w:r>
              <w:t xml:space="preserve">HbA1c −1,06 Prozentpunkte gegenüber Placebo nach 26 Wochen, −1,30 nach 52 Wochen</w:t>
            </w:r>
          </w:p>
        </w:tc>
      </w:tr>
      <w:tr>
        <w:tc>
          <w:tcPr/>
          <w:p>
            <w:pPr>
              <w:pStyle w:val="Compact"/>
              <w:jc w:val="left"/>
            </w:pPr>
            <w:r>
              <w:t xml:space="preserve">SCALE Teens (Kelly 2020), PMID 32233338</w:t>
            </w:r>
          </w:p>
        </w:tc>
        <w:tc>
          <w:tcPr/>
          <w:p>
            <w:pPr>
              <w:pStyle w:val="Compact"/>
              <w:jc w:val="left"/>
            </w:pPr>
            <w:r>
              <w:t xml:space="preserve">251 Jugendliche (12 bis unter 18 Jahre) mit Adipositas, RCT gegen Placebo</w:t>
            </w:r>
          </w:p>
        </w:tc>
        <w:tc>
          <w:tcPr/>
          <w:p>
            <w:pPr>
              <w:pStyle w:val="Compact"/>
              <w:jc w:val="left"/>
            </w:pPr>
            <w:r>
              <w:t xml:space="preserve">56 Wochen</w:t>
            </w:r>
          </w:p>
        </w:tc>
        <w:tc>
          <w:tcPr/>
          <w:p>
            <w:pPr>
              <w:pStyle w:val="Compact"/>
              <w:jc w:val="left"/>
            </w:pPr>
            <w:r>
              <w:t xml:space="preserve">BMI-Abnahme ≥ 5 % bei 43,3 % vs. 18,7 %; Gewicht −4,50 kg gegenüber Placebo</w:t>
            </w:r>
          </w:p>
        </w:tc>
      </w:tr>
      <w:tr>
        <w:tc>
          <w:tcPr/>
          <w:p>
            <w:pPr>
              <w:pStyle w:val="Compact"/>
              <w:jc w:val="left"/>
            </w:pPr>
            <w:r>
              <w:t xml:space="preserve">SCALE Kids (Fox 2025), PMID 39258838</w:t>
            </w:r>
          </w:p>
        </w:tc>
        <w:tc>
          <w:tcPr/>
          <w:p>
            <w:pPr>
              <w:pStyle w:val="Compact"/>
              <w:jc w:val="left"/>
            </w:pPr>
            <w:r>
              <w:t xml:space="preserve">82 Kinder (6 bis unter 12 Jahre) mit Adipositas, RCT gegen Placebo</w:t>
            </w:r>
          </w:p>
        </w:tc>
        <w:tc>
          <w:tcPr/>
          <w:p>
            <w:pPr>
              <w:pStyle w:val="Compact"/>
              <w:jc w:val="left"/>
            </w:pPr>
            <w:r>
              <w:t xml:space="preserve">56 Wochen</w:t>
            </w:r>
          </w:p>
        </w:tc>
        <w:tc>
          <w:tcPr/>
          <w:p>
            <w:pPr>
              <w:pStyle w:val="Compact"/>
              <w:jc w:val="left"/>
            </w:pPr>
            <w:r>
              <w:t xml:space="preserve">BMI −5,8 % vs. +1,6 %</w:t>
            </w:r>
          </w:p>
        </w:tc>
      </w:tr>
    </w:tbl>
    <w:p>
      <w:pPr>
        <w:pStyle w:val="BodyText"/>
      </w:pPr>
      <w:r>
        <w:t xml:space="preserve">In SCALE Teens</w:t>
      </w:r>
      <w:r>
        <w:rPr>
          <w:rStyle w:val="FootnoteReference"/>
        </w:rPr>
        <w:footnoteReference w:id="312"/>
      </w:r>
      <w:r>
        <w:t xml:space="preserve"> </w:t>
      </w:r>
      <w:r>
        <w:t xml:space="preserve">zeigte sich nach dem Absetzen ein Wiederanstieg des BMI, der stärker war als unter Placebo. Magen-Darm-Beschwerden betrafen 64,8 % gegenüber 36,5 %; 10,4 % brachen die Behandlung wegen Nebenwirkungen ab. In der Liraglutid-Gruppe gab es einen Suizid, den die Prüfärzte als wahrscheinlich nicht mit der Behandlung zusammenhängend einstuften.</w:t>
      </w:r>
    </w:p>
    <w:p>
      <w:pPr>
        <w:pStyle w:val="BodyText"/>
      </w:pPr>
      <w:r>
        <w:t xml:space="preserve">In SCALE Kids</w:t>
      </w:r>
      <w:r>
        <w:rPr>
          <w:rStyle w:val="FootnoteReference"/>
        </w:rPr>
        <w:footnoteReference w:id="313"/>
      </w:r>
      <w:r>
        <w:t xml:space="preserve"> </w:t>
      </w:r>
      <w:r>
        <w:t xml:space="preserve">nahm das Körpergewicht der wachsenden Kinder unter Liraglutid im Mittel um 1,6 % zu, unter Placebo um 10,0 %. Magen-Darm-Beschwerden traten bei 80 % gegenüber 54 % auf, schwerwiegende unerwünschte Ereignisse bei 12 % gegenüber 8 %. Bei Kindern stellt sich besonders die Frage, wie lange eine solche Behandlung dauern soll und welche Langzeitwirkungen auf Wachstum und Knochen bestehen. Dazu läuft unter anderem eine Studie zum Knochenstoffwechsel bei 12- bis 21-Jährigen unter GLP-1-Therapie</w:t>
      </w:r>
      <w:r>
        <w:rPr>
          <w:rStyle w:val="FootnoteReference"/>
        </w:rPr>
        <w:footnoteReference w:id="314"/>
      </w:r>
      <w:r>
        <w:t xml:space="preserve">.</w:t>
      </w:r>
    </w:p>
    <w:bookmarkEnd w:id="315"/>
    <w:bookmarkStart w:id="319" w:name="weitere-einsatzgebiete-in-studien-1"/>
    <w:p>
      <w:pPr>
        <w:pStyle w:val="Heading4"/>
      </w:pPr>
      <w:r>
        <w:t xml:space="preserve">Weitere Einsatzgebiete in Studien</w:t>
      </w:r>
    </w:p>
    <w:p>
      <w:pPr>
        <w:numPr>
          <w:ilvl w:val="0"/>
          <w:numId w:val="1044"/>
        </w:numPr>
        <w:pStyle w:val="Compact"/>
      </w:pPr>
      <w:r>
        <w:rPr>
          <w:bCs/>
          <w:b/>
        </w:rPr>
        <w:t xml:space="preserve">Fettleberentzündung (NASH/MASH):</w:t>
      </w:r>
      <w:r>
        <w:t xml:space="preserve"> </w:t>
      </w:r>
      <w:r>
        <w:t xml:space="preserve">In der kleinen Phase-2-Studie LEAN mit 52 Teilnehmenden bildete sich die Entzündung in der Leberbiopsie bei 39 % unter Liraglutid und bei 9 % unter Placebo zurück; eine Zunahme der Vernarbung (Fibrose) war seltener (9 % vs. 36 %)</w:t>
      </w:r>
      <w:r>
        <w:rPr>
          <w:rStyle w:val="FootnoteReference"/>
        </w:rPr>
        <w:footnoteReference w:id="316"/>
      </w:r>
      <w:r>
        <w:t xml:space="preserve">. Größere Studien wurden später mit Semaglutid durchgeführt.</w:t>
      </w:r>
    </w:p>
    <w:p>
      <w:pPr>
        <w:numPr>
          <w:ilvl w:val="0"/>
          <w:numId w:val="1044"/>
        </w:numPr>
        <w:pStyle w:val="Compact"/>
      </w:pPr>
      <w:r>
        <w:rPr>
          <w:bCs/>
          <w:b/>
        </w:rPr>
        <w:t xml:space="preserve">Alzheimer-Krankheit:</w:t>
      </w:r>
      <w:r>
        <w:t xml:space="preserve"> </w:t>
      </w:r>
      <w:r>
        <w:t xml:space="preserve">In der Phase-2b-Studie ELAD mit 204 Personen ohne Diabetes veränderte sich der Hauptendpunkt, der Zuckerstoffwechsel im Gehirn, nicht</w:t>
      </w:r>
      <w:r>
        <w:rPr>
          <w:rStyle w:val="FootnoteReference"/>
        </w:rPr>
        <w:footnoteReference w:id="317"/>
      </w:r>
      <w:r>
        <w:t xml:space="preserve">. In einem Nebenendpunkt zu exekutiven Funktionen schnitt Liraglutid besser ab, bei Alltagsfähigkeiten und Demenzschwere nicht. Nebenendpunkte ohne Korrektur für Mehrfachtests sind nur Hinweise.</w:t>
      </w:r>
    </w:p>
    <w:p>
      <w:pPr>
        <w:numPr>
          <w:ilvl w:val="0"/>
          <w:numId w:val="1044"/>
        </w:numPr>
        <w:pStyle w:val="Compact"/>
      </w:pPr>
      <w:r>
        <w:rPr>
          <w:bCs/>
          <w:b/>
        </w:rPr>
        <w:t xml:space="preserve">Alkohol und andere Süchte:</w:t>
      </w:r>
      <w:r>
        <w:t xml:space="preserve"> </w:t>
      </w:r>
      <w:r>
        <w:t xml:space="preserve">In einer schwedischen Registerstudie mit 227.866 Menschen mit Alkoholabhängigkeit war die Einnahme von Liraglutid mit einem um 28 % geringeren Risiko für alkoholbedingte Krankenhausaufnahmen verbunden</w:t>
      </w:r>
      <w:r>
        <w:rPr>
          <w:rStyle w:val="FootnoteReference"/>
        </w:rPr>
        <w:footnoteReference w:id="318"/>
      </w:r>
      <w:r>
        <w:t xml:space="preserve">. Beobachtungsdaten dieser Art zeigen Zusammenhänge, keine Ursache-Wirkungs-Beziehung.</w:t>
      </w:r>
    </w:p>
    <w:bookmarkEnd w:id="319"/>
    <w:bookmarkEnd w:id="320"/>
    <w:bookmarkStart w:id="323" w:name="tier--und-laborstudien-1"/>
    <w:p>
      <w:pPr>
        <w:pStyle w:val="Heading3"/>
      </w:pPr>
      <w:r>
        <w:t xml:space="preserve">Tier- und Laborstudien</w:t>
      </w:r>
    </w:p>
    <w:p>
      <w:pPr>
        <w:pStyle w:val="FirstParagraph"/>
      </w:pPr>
      <w:r>
        <w:t xml:space="preserve">Ein großer Teil des heutigen Verständnisses der GLP-1-Wirkung im Gehirn stammt aus Tierversuchen mit Liraglutid. Bei Ratten und Mäusen wurde gezeigt, dass das Molekül trotz seiner Größe bestimmte Hirnregionen ohne dichte Blut-Hirn-Schranke erreicht und dort appetitzügelnde Nervenzellen anregt</w:t>
      </w:r>
      <w:r>
        <w:rPr>
          <w:rStyle w:val="FootnoteReference"/>
        </w:rPr>
        <w:footnoteReference w:id="321"/>
      </w:r>
      <w:r>
        <w:t xml:space="preserve">.</w:t>
      </w:r>
    </w:p>
    <w:p>
      <w:pPr>
        <w:pStyle w:val="BodyText"/>
      </w:pPr>
      <w:r>
        <w:t xml:space="preserve">Besonders folgenreich waren die Befunde zur Schilddrüse. In Langzeitversuchen mit Ratten und Mäusen führte Liraglutid zu einer Vermehrung der C-Zellen (die das Hormon Calcitonin bilden) und zu C-Zell-Tumoren. Die Untersuchung des Mechanismus ergab, dass Nagetier-C-Zellen reichlich GLP-1-Rezeptoren tragen, die von Menschen und Affen dagegen kaum</w:t>
      </w:r>
      <w:r>
        <w:rPr>
          <w:rStyle w:val="FootnoteReference"/>
        </w:rPr>
        <w:footnoteReference w:id="322"/>
      </w:r>
      <w:r>
        <w:t xml:space="preserve">. Bei Javaneraffen führten 20 Monate Liraglutid in einer Exposition, die mehr als 60-mal höher lag als beim Menschen, nicht zu einer C-Zell-Vermehrung. Dennoch steht seitdem für die gesamte Klasse ein Warnhinweis zum medullären Schilddrüsenkarzinom in der Fachinformation, insbesondere in den USA.</w:t>
      </w:r>
    </w:p>
    <w:p>
      <w:pPr>
        <w:pStyle w:val="BodyText"/>
      </w:pPr>
      <w:r>
        <w:t xml:space="preserve">Weitere Tierstudien befassten sich mit Herzschutz, Nervenschutz (Alzheimer- und Parkinson-Modelle), Leberverfettung und Nierenschäden. Die Übertragbarkeit auf den Menschen ist wie bei Exenatid begrenzt: Die Alzheimer-Studie ELAD zum Beispiel verfehlte ihren Hauptendpunkt, obwohl die Tierdaten positiv waren.</w:t>
      </w:r>
    </w:p>
    <w:bookmarkEnd w:id="323"/>
    <w:bookmarkStart w:id="333" w:name="risiken-und-nebenwirkungen-1"/>
    <w:p>
      <w:pPr>
        <w:pStyle w:val="Heading3"/>
      </w:pPr>
      <w:r>
        <w:t xml:space="preserve">Risiken und Nebenwirkungen</w:t>
      </w:r>
    </w:p>
    <w:p>
      <w:pPr>
        <w:pStyle w:val="FirstParagraph"/>
      </w:pPr>
      <w:r>
        <w:rPr>
          <w:bCs/>
          <w:b/>
        </w:rPr>
        <w:t xml:space="preserve">Belegt aus randomisierten Studien:</w:t>
      </w:r>
    </w:p>
    <w:p>
      <w:pPr>
        <w:numPr>
          <w:ilvl w:val="0"/>
          <w:numId w:val="1045"/>
        </w:numPr>
        <w:pStyle w:val="Compact"/>
      </w:pPr>
      <w:r>
        <w:rPr>
          <w:bCs/>
          <w:b/>
        </w:rPr>
        <w:t xml:space="preserve">Magen-Darm-Beschwerden:</w:t>
      </w:r>
      <w:r>
        <w:t xml:space="preserve"> </w:t>
      </w:r>
      <w:r>
        <w:t xml:space="preserve">Übelkeit, Durchfall, Erbrechen und Verstopfung sind die häufigsten Nebenwirkungen und meist der Grund für Therapieabbrüche</w:t>
      </w:r>
      <w:r>
        <w:rPr>
          <w:rStyle w:val="FootnoteReference"/>
        </w:rPr>
        <w:footnoteReference w:id="324"/>
      </w:r>
      <w:r>
        <w:t xml:space="preserve">. Sie treten vor allem zu Beginn und nach Dosissteigerungen auf. Bei der höheren Adipositas-Dosis sind sie häufiger als bei der Diabetesdosis</w:t>
      </w:r>
      <w:r>
        <w:rPr>
          <w:rStyle w:val="FootnoteReference"/>
        </w:rPr>
        <w:footnoteReference w:id="325"/>
      </w:r>
      <w:r>
        <w:t xml:space="preserve">.</w:t>
      </w:r>
    </w:p>
    <w:p>
      <w:pPr>
        <w:numPr>
          <w:ilvl w:val="0"/>
          <w:numId w:val="1045"/>
        </w:numPr>
        <w:pStyle w:val="Compact"/>
      </w:pPr>
      <w:r>
        <w:rPr>
          <w:bCs/>
          <w:b/>
        </w:rPr>
        <w:t xml:space="preserve">Gallenblase:</w:t>
      </w:r>
      <w:r>
        <w:t xml:space="preserve"> </w:t>
      </w:r>
      <w:r>
        <w:t xml:space="preserve">Eine Meta-Analyse von 76 randomisierten Studien mit 103.371 Teilnehmenden fand für die GLP-1-Klasse ein um 37 % erhöhtes relatives Risiko für Gallenblasen- und Gallenwegserkrankungen wie Gallensteine und Gallenblasenentzündung</w:t>
      </w:r>
      <w:r>
        <w:rPr>
          <w:rStyle w:val="FootnoteReference"/>
        </w:rPr>
        <w:footnoteReference w:id="326"/>
      </w:r>
      <w:r>
        <w:t xml:space="preserve">. Das Risiko war bei höheren Dosen, längerer Anwendung und in Studien zur Gewichtsabnahme größer (relatives Risiko 2,29). Ein Teil davon dürfte mit der schnellen Gewichtsabnahme selbst zusammenhängen.</w:t>
      </w:r>
    </w:p>
    <w:p>
      <w:pPr>
        <w:numPr>
          <w:ilvl w:val="0"/>
          <w:numId w:val="1045"/>
        </w:numPr>
        <w:pStyle w:val="Compact"/>
      </w:pPr>
      <w:r>
        <w:rPr>
          <w:bCs/>
          <w:b/>
        </w:rPr>
        <w:t xml:space="preserve">Unterzuckerung:</w:t>
      </w:r>
      <w:r>
        <w:t xml:space="preserve"> </w:t>
      </w:r>
      <w:r>
        <w:t xml:space="preserve">allein selten, in Kombination mit Sulfonylharnstoffen oder Insulin häufiger.</w:t>
      </w:r>
    </w:p>
    <w:p>
      <w:pPr>
        <w:numPr>
          <w:ilvl w:val="0"/>
          <w:numId w:val="1045"/>
        </w:numPr>
        <w:pStyle w:val="Compact"/>
      </w:pPr>
      <w:r>
        <w:rPr>
          <w:bCs/>
          <w:b/>
        </w:rPr>
        <w:t xml:space="preserve">Herzfrequenz:</w:t>
      </w:r>
      <w:r>
        <w:t xml:space="preserve"> </w:t>
      </w:r>
      <w:r>
        <w:t xml:space="preserve">Liraglutid erhöht den Ruhepuls leicht um einige Schläge pro Minute; die klinische Bedeutung gilt angesichts der LEADER-Ergebnisse als gering.</w:t>
      </w:r>
    </w:p>
    <w:p>
      <w:pPr>
        <w:pStyle w:val="FirstParagraph"/>
      </w:pPr>
      <w:r>
        <w:rPr>
          <w:bCs/>
          <w:b/>
        </w:rPr>
        <w:t xml:space="preserve">Untersucht, aber unsicher oder nicht bestätigt:</w:t>
      </w:r>
    </w:p>
    <w:p>
      <w:pPr>
        <w:numPr>
          <w:ilvl w:val="0"/>
          <w:numId w:val="1046"/>
        </w:numPr>
        <w:pStyle w:val="Compact"/>
      </w:pPr>
      <w:r>
        <w:rPr>
          <w:bCs/>
          <w:b/>
        </w:rPr>
        <w:t xml:space="preserve">Bauchspeicheldrüsenentzündung:</w:t>
      </w:r>
      <w:r>
        <w:t xml:space="preserve"> </w:t>
      </w:r>
      <w:r>
        <w:t xml:space="preserve">In LEADER trat sie unter Liraglutid nicht häufiger auf als unter Placebo</w:t>
      </w:r>
      <w:r>
        <w:rPr>
          <w:rStyle w:val="FootnoteReference"/>
        </w:rPr>
        <w:footnoteReference w:id="327"/>
      </w:r>
      <w:r>
        <w:t xml:space="preserve">. Eine ältere Meta-Analyse fand ebenfalls kein erhöhtes Risiko</w:t>
      </w:r>
      <w:r>
        <w:rPr>
          <w:rStyle w:val="FootnoteReference"/>
        </w:rPr>
        <w:footnoteReference w:id="328"/>
      </w:r>
      <w:r>
        <w:t xml:space="preserve">. Die Fachinformation führt sie dennoch als seltene Nebenwirkung; bei starken anhaltenden Bauchschmerzen ist ärztliche Abklärung nötig.</w:t>
      </w:r>
    </w:p>
    <w:p>
      <w:pPr>
        <w:numPr>
          <w:ilvl w:val="0"/>
          <w:numId w:val="1046"/>
        </w:numPr>
        <w:pStyle w:val="Compact"/>
      </w:pPr>
      <w:r>
        <w:rPr>
          <w:bCs/>
          <w:b/>
        </w:rPr>
        <w:t xml:space="preserve">Schilddrüsenkrebs:</w:t>
      </w:r>
      <w:r>
        <w:t xml:space="preserve"> </w:t>
      </w:r>
      <w:r>
        <w:t xml:space="preserve">Die Tierbefunde sind oben beschrieben. Beim Menschen sind die Daten widersprüchlich. Eine französische Fall-Kontroll-Studie mit 2.562 Fällen fand nach ein bis drei Jahren GLP-1-Therapie ein erhöhtes Risiko für Schilddrüsenkrebs insgesamt (HR 1,58) und für das seltene medulläre Karzinom (HR 1,78)</w:t>
      </w:r>
      <w:r>
        <w:rPr>
          <w:rStyle w:val="FootnoteReference"/>
        </w:rPr>
        <w:footnoteReference w:id="329"/>
      </w:r>
      <w:r>
        <w:t xml:space="preserve">. Eine Meta-Analyse von 50 randomisierten Studien zeigte ebenfalls ein Signal (Odds Ratio 1,55)</w:t>
      </w:r>
      <w:r>
        <w:rPr>
          <w:rStyle w:val="FootnoteReference"/>
        </w:rPr>
        <w:footnoteReference w:id="330"/>
      </w:r>
      <w:r>
        <w:t xml:space="preserve">. Diskutiert wird, ob ein Teil davon auf häufigere Untersuchungen bei Behandelten zurückgeht. Menschen mit medullärem Schilddrüsenkarzinom in der eigenen oder familiären Vorgeschichte sollen GLP-1-Rezeptor-Agonisten laut Fachinformation nicht anwenden.</w:t>
      </w:r>
    </w:p>
    <w:p>
      <w:pPr>
        <w:numPr>
          <w:ilvl w:val="0"/>
          <w:numId w:val="1046"/>
        </w:numPr>
        <w:pStyle w:val="Compact"/>
      </w:pPr>
      <w:r>
        <w:rPr>
          <w:bCs/>
          <w:b/>
        </w:rPr>
        <w:t xml:space="preserve">Psychische Nebenwirkungen und Suizidgedanken:</w:t>
      </w:r>
      <w:r>
        <w:t xml:space="preserve"> </w:t>
      </w:r>
      <w:r>
        <w:t xml:space="preserve">Nach Einzelmeldungen prüften die europäische und die US-Behörde 2023/2024 einen möglichen Zusammenhang und fanden keinen Beleg für einen ursächlichen Zusammenhang. In einer skandinavischen Kohortenstudie mit 124.517 Personen unter GLP-1-Rezeptor-Agonisten war das Suizidrisiko gegenüber SGLT2-Hemmern nicht erhöht (HR 1,25; Konfidenzintervall 0,83–1,88)</w:t>
      </w:r>
      <w:r>
        <w:rPr>
          <w:rStyle w:val="FootnoteReference"/>
        </w:rPr>
        <w:footnoteReference w:id="331"/>
      </w:r>
      <w:r>
        <w:t xml:space="preserve">. Eine Meta-Analyse aus dem Jahr 2026 fand in randomisierten Studien ebenfalls keinen Zusammenhang</w:t>
      </w:r>
      <w:r>
        <w:rPr>
          <w:rStyle w:val="FootnoteReference"/>
        </w:rPr>
        <w:footnoteReference w:id="332"/>
      </w:r>
      <w:r>
        <w:t xml:space="preserve">. Die Beobachtung bleibt Gegenstand weiterer Überwachung.</w:t>
      </w:r>
    </w:p>
    <w:p>
      <w:pPr>
        <w:pStyle w:val="FirstParagraph"/>
      </w:pPr>
      <w:r>
        <w:rPr>
          <w:bCs/>
          <w:b/>
        </w:rPr>
        <w:t xml:space="preserve">Hinweise für die Praxis:</w:t>
      </w:r>
      <w:r>
        <w:t xml:space="preserve"> </w:t>
      </w:r>
      <w:r>
        <w:t xml:space="preserve">Liraglutid ist in der Schwangerschaft nicht angezeigt. Wie alle GLP-1-Rezeptor-Agonisten verlangsamt es die Magenentleerung, was bei Narkosen und bei der Aufnahme anderer Medikamente eine Rolle spielen kann. Die Fachinformation und die ärztliche Begleitung sind maßgeblich, auch für die schrittweise Dosissteigerung.</w:t>
      </w:r>
    </w:p>
    <w:bookmarkEnd w:id="333"/>
    <w:bookmarkStart w:id="334" w:name="rechtslage-1"/>
    <w:p>
      <w:pPr>
        <w:pStyle w:val="Heading3"/>
      </w:pPr>
      <w:r>
        <w:t xml:space="preserve">Rechtslage</w:t>
      </w:r>
    </w:p>
    <w:p>
      <w:pPr>
        <w:numPr>
          <w:ilvl w:val="0"/>
          <w:numId w:val="1047"/>
        </w:numPr>
        <w:pStyle w:val="Compact"/>
      </w:pPr>
      <w:r>
        <w:rPr>
          <w:bCs/>
          <w:b/>
        </w:rPr>
        <w:t xml:space="preserve">EU:</w:t>
      </w:r>
      <w:r>
        <w:t xml:space="preserve"> </w:t>
      </w:r>
      <w:r>
        <w:t xml:space="preserve">Victoza ist seit 2009 zur Behandlung des Typ-2-Diabetes zugelassen, Saxenda seit 2015 zum Gewichtsmanagement bei Erwachsenen und Jugendlichen. Beide sind verschreibungspflichtig.</w:t>
      </w:r>
    </w:p>
    <w:p>
      <w:pPr>
        <w:numPr>
          <w:ilvl w:val="0"/>
          <w:numId w:val="1047"/>
        </w:numPr>
        <w:pStyle w:val="Compact"/>
      </w:pPr>
      <w:r>
        <w:rPr>
          <w:bCs/>
          <w:b/>
        </w:rPr>
        <w:t xml:space="preserve">Deutschland:</w:t>
      </w:r>
      <w:r>
        <w:t xml:space="preserve"> </w:t>
      </w:r>
      <w:r>
        <w:t xml:space="preserve">Bei Diabetes erstatten die gesetzlichen Krankenkassen Liraglutid. Mittel zur Gewichtsreduktion sind dagegen nach § 34 SGB V grundsätzlich von der Erstattung ausgeschlossen; Saxenda müssen Versicherte in der Regel selbst bezahlen.</w:t>
      </w:r>
    </w:p>
    <w:p>
      <w:pPr>
        <w:numPr>
          <w:ilvl w:val="0"/>
          <w:numId w:val="1047"/>
        </w:numPr>
        <w:pStyle w:val="Compact"/>
      </w:pPr>
      <w:r>
        <w:rPr>
          <w:bCs/>
          <w:b/>
        </w:rPr>
        <w:t xml:space="preserve">Österreich:</w:t>
      </w:r>
      <w:r>
        <w:t xml:space="preserve"> </w:t>
      </w:r>
      <w:r>
        <w:t xml:space="preserve">verschreibungspflichtig; die Kostenübernahme für das Gewichtsmanagement ist eingeschränkt und an Bedingungen geknüpft (bitte aktuell prüfen).</w:t>
      </w:r>
    </w:p>
    <w:p>
      <w:pPr>
        <w:numPr>
          <w:ilvl w:val="0"/>
          <w:numId w:val="1047"/>
        </w:numPr>
        <w:pStyle w:val="Compact"/>
      </w:pPr>
      <w:r>
        <w:rPr>
          <w:bCs/>
          <w:b/>
        </w:rPr>
        <w:t xml:space="preserve">USA:</w:t>
      </w:r>
      <w:r>
        <w:t xml:space="preserve"> </w:t>
      </w:r>
      <w:r>
        <w:t xml:space="preserve">Victoza und Saxenda zugelassen, Victoza zusätzlich zur Senkung des Herz-Kreislauf-Risikos. Seit 2024 sind Generika der Diabetesform, seit 2025 auch der Adipositasform auf dem Markt.</w:t>
      </w:r>
    </w:p>
    <w:p>
      <w:pPr>
        <w:numPr>
          <w:ilvl w:val="0"/>
          <w:numId w:val="1047"/>
        </w:numPr>
        <w:pStyle w:val="Compact"/>
      </w:pPr>
      <w:r>
        <w:rPr>
          <w:bCs/>
          <w:b/>
        </w:rPr>
        <w:t xml:space="preserve">Generika in Europa:</w:t>
      </w:r>
      <w:r>
        <w:t xml:space="preserve"> </w:t>
      </w:r>
      <w:r>
        <w:t xml:space="preserve">Da Liraglutid ein synthetisch bzw. gentechnisch herstellbares Peptid mit abgelaufenem Patentschutz ist, kommen auch in Europa Nachahmerpräparate auf den Markt. Der Stand unterscheidet sich je nach Land; bitte aktuell prüfen.</w:t>
      </w:r>
    </w:p>
    <w:p>
      <w:pPr>
        <w:numPr>
          <w:ilvl w:val="0"/>
          <w:numId w:val="1047"/>
        </w:numPr>
        <w:pStyle w:val="Compact"/>
      </w:pPr>
      <w:r>
        <w:rPr>
          <w:bCs/>
          <w:b/>
        </w:rPr>
        <w:t xml:space="preserve">Sport (WADA):</w:t>
      </w:r>
      <w:r>
        <w:t xml:space="preserve"> </w:t>
      </w:r>
      <w:r>
        <w:t xml:space="preserve">nicht gelistet (Stand 2026, bitte aktuell prüfen).</w:t>
      </w:r>
    </w:p>
    <w:p>
      <w:pPr>
        <w:pStyle w:val="FirstParagraph"/>
      </w:pPr>
      <w:r>
        <w:t xml:space="preserve">Die Generika machen Liraglutid zu einem Sonderfall der Klasse: Es ist der erste GLP-1-Wirkstoff mit bewiesenem Herz-Kreislauf-Nutzen, der deutlich günstiger werden kann. Das hat besonders in Ländern mit begrenzten Gesundheitsbudgets Bedeutung, auch wenn die tägliche Spritze und der geringere Effekt im Vergleich zu Semaglutid Nachteile bleiben. Mehr zu Patentabläufen und Preisen in Teil V.</w:t>
      </w:r>
    </w:p>
    <w:bookmarkEnd w:id="334"/>
    <w:bookmarkStart w:id="340" w:name="laufende-studien-und-ausblick-1"/>
    <w:p>
      <w:pPr>
        <w:pStyle w:val="Heading3"/>
      </w:pPr>
      <w:r>
        <w:t xml:space="preserve">Laufende Studien und Ausblick</w:t>
      </w:r>
    </w:p>
    <w:p>
      <w:pPr>
        <w:pStyle w:val="FirstParagraph"/>
      </w:pPr>
      <w:r>
        <w:rPr>
          <w:bCs/>
          <w:b/>
        </w:rPr>
        <w:t xml:space="preserve">Gesichert (registrierte Studien):</w:t>
      </w:r>
      <w:r>
        <w:t xml:space="preserve"> </w:t>
      </w:r>
      <w:r>
        <w:t xml:space="preserve">Neue Zulassungsstudien von Novo Nordisk gibt es kaum noch; die Forschung wird überwiegend von Kliniken und Universitäten getragen. Beispiele:</w:t>
      </w:r>
    </w:p>
    <w:p>
      <w:pPr>
        <w:numPr>
          <w:ilvl w:val="0"/>
          <w:numId w:val="1048"/>
        </w:numPr>
        <w:pStyle w:val="Compact"/>
      </w:pPr>
      <w:r>
        <w:t xml:space="preserve">Eine Studie mit 890 Frauen mit Adipositas, unerfülltem Kinderwunsch und polyzystischem Ovarialsyndrom (PCOS) prüft Liraglutid vor einer Kinderwunschbehandlung</w:t>
      </w:r>
      <w:r>
        <w:rPr>
          <w:rStyle w:val="FootnoteReference"/>
        </w:rPr>
        <w:footnoteReference w:id="335"/>
      </w:r>
      <w:r>
        <w:t xml:space="preserve">.</w:t>
      </w:r>
    </w:p>
    <w:p>
      <w:pPr>
        <w:numPr>
          <w:ilvl w:val="0"/>
          <w:numId w:val="1048"/>
        </w:numPr>
        <w:pStyle w:val="Compact"/>
      </w:pPr>
      <w:r>
        <w:t xml:space="preserve">Eine Phase-3-Studie mit 260 älteren Menschen mit Diabetes untersucht, ob Liraglutid ein Delir nach Herzoperationen verhindern kann</w:t>
      </w:r>
      <w:r>
        <w:rPr>
          <w:rStyle w:val="FootnoteReference"/>
        </w:rPr>
        <w:footnoteReference w:id="336"/>
      </w:r>
      <w:r>
        <w:t xml:space="preserve">.</w:t>
      </w:r>
    </w:p>
    <w:p>
      <w:pPr>
        <w:numPr>
          <w:ilvl w:val="0"/>
          <w:numId w:val="1048"/>
        </w:numPr>
        <w:pStyle w:val="Compact"/>
      </w:pPr>
      <w:r>
        <w:t xml:space="preserve">Bei einer erblichen Diabetesform (MODY) wird Liraglutid in einer Phase-2-Studie untersucht</w:t>
      </w:r>
      <w:r>
        <w:rPr>
          <w:rStyle w:val="FootnoteReference"/>
        </w:rPr>
        <w:footnoteReference w:id="337"/>
      </w:r>
      <w:r>
        <w:t xml:space="preserve">.</w:t>
      </w:r>
    </w:p>
    <w:p>
      <w:pPr>
        <w:numPr>
          <w:ilvl w:val="0"/>
          <w:numId w:val="1048"/>
        </w:numPr>
        <w:pStyle w:val="Compact"/>
      </w:pPr>
      <w:r>
        <w:t xml:space="preserve">Eine große pragmatische Studie mit 6.000 Teilnehmenden vergleicht Behandlungsstrategien zur Vorbeugung von Herz- und Nierenerkrankungen bei Typ-2-Diabetes</w:t>
      </w:r>
      <w:r>
        <w:rPr>
          <w:rStyle w:val="FootnoteReference"/>
        </w:rPr>
        <w:footnoteReference w:id="338"/>
      </w:r>
      <w:r>
        <w:t xml:space="preserve">.</w:t>
      </w:r>
    </w:p>
    <w:p>
      <w:pPr>
        <w:numPr>
          <w:ilvl w:val="0"/>
          <w:numId w:val="1048"/>
        </w:numPr>
        <w:pStyle w:val="Compact"/>
      </w:pPr>
      <w:r>
        <w:t xml:space="preserve">Die Langzeitbeobachtung der SCALE-Kids-Teilnehmenden läuft weiter</w:t>
      </w:r>
      <w:r>
        <w:rPr>
          <w:rStyle w:val="FootnoteReference"/>
        </w:rPr>
        <w:footnoteReference w:id="339"/>
      </w:r>
      <w:r>
        <w:t xml:space="preserve">.</w:t>
      </w:r>
    </w:p>
    <w:p>
      <w:pPr>
        <w:pStyle w:val="FirstParagraph"/>
      </w:pPr>
      <w:r>
        <w:rPr>
          <w:bCs/>
          <w:b/>
        </w:rPr>
        <w:t xml:space="preserve">Einschätzung:</w:t>
      </w:r>
      <w:r>
        <w:t xml:space="preserve"> </w:t>
      </w:r>
      <w:r>
        <w:t xml:space="preserve">Liraglutid wird in reichen Ländern zunehmend von wöchentlichen Wirkstoffen wie Semaglutid und Tirzepatid verdrängt. Durch die Generika dürfte es aber eine zweite Karriere als preisgünstige Alternative erleben – vor allem dort, wo die neueren Mittel nicht bezahlbar oder nicht lieferbar sind. Wissenschaftlich bleibt es ein wichtiger Vergleichsstandard.</w:t>
      </w:r>
    </w:p>
    <w:bookmarkEnd w:id="340"/>
    <w:bookmarkStart w:id="341" w:name="fazit-1"/>
    <w:p>
      <w:pPr>
        <w:pStyle w:val="Heading3"/>
      </w:pPr>
      <w:r>
        <w:t xml:space="preserve">Fazit</w:t>
      </w:r>
    </w:p>
    <w:p>
      <w:pPr>
        <w:pStyle w:val="FirstParagraph"/>
      </w:pPr>
      <w:r>
        <w:t xml:space="preserve">Liraglutid war der erste fast menschengleiche GLP-1-Wirkstoff und der erste, für den eine große Studie einen Schutz vor Herz-Kreislauf-Ereignissen zeigte (LEADER, 9.340 Teilnehmende, relative Risikosenkung 13 %). Als Saxenda war es das erste GLP-1-Medikament zur Gewichtsreduktion; im Mittel verloren Teilnehmende ohne Diabetes etwa 8 kg in einem Jahr. Im direkten Vergleich ist es Exenatid überlegen, Dulaglutid ebenbürtig und Semaglutid deutlich unterlegen. Häufigste Nebenwirkungen sind Magen-Darm-Beschwerden, dazu ein erhöhtes Gallenblasenrisiko; die Frage nach Schilddrüsenkrebs ist nicht abschließend geklärt. Mit dem Ablauf des Patentschutzes wird es zur ersten preisgünstigen Option der Klasse – die Behandlung gehört dennoch in ärztliche Hände.</w:t>
      </w:r>
    </w:p>
    <w:bookmarkEnd w:id="341"/>
    <w:bookmarkEnd w:id="342"/>
    <w:bookmarkStart w:id="402" w:name="dulaglutid"/>
    <w:p>
      <w:pPr>
        <w:pStyle w:val="Heading2"/>
      </w:pPr>
      <w:r>
        <w:t xml:space="preserve">Dulaglutid</w:t>
      </w:r>
    </w:p>
    <w:bookmarkStart w:id="344" w:name="steckbrief-2"/>
    <w:p>
      <w:pPr>
        <w:pStyle w:val="Heading3"/>
      </w:pPr>
      <w:r>
        <w:t xml:space="preserve">Steckbrief</w:t>
      </w:r>
    </w:p>
    <w:p>
      <w:pPr>
        <w:numPr>
          <w:ilvl w:val="0"/>
          <w:numId w:val="1049"/>
        </w:numPr>
        <w:pStyle w:val="Compact"/>
      </w:pPr>
      <w:r>
        <w:rPr>
          <w:bCs/>
          <w:b/>
        </w:rPr>
        <w:t xml:space="preserve">Art/Struktur:</w:t>
      </w:r>
      <w:r>
        <w:t xml:space="preserve"> </w:t>
      </w:r>
      <w:r>
        <w:t xml:space="preserve">Fusionsprotein. Zwei leicht abgewandelte GLP-1-Ketten sind über ein kurzes Verbindungsstück an das konstante Stück (Fc-Teil) eines menschlichen Antikörpers vom Typ IgG4 gekoppelt. Dulaglutid ist damit um ein Vielfaches größer als Liraglutid – streng genommen eher ein Protein als ein kleines Peptid.</w:t>
      </w:r>
    </w:p>
    <w:p>
      <w:pPr>
        <w:numPr>
          <w:ilvl w:val="0"/>
          <w:numId w:val="1049"/>
        </w:numPr>
        <w:pStyle w:val="Compact"/>
      </w:pPr>
      <w:r>
        <w:rPr>
          <w:bCs/>
          <w:b/>
        </w:rPr>
        <w:t xml:space="preserve">Herkunft:</w:t>
      </w:r>
      <w:r>
        <w:t xml:space="preserve"> </w:t>
      </w:r>
      <w:r>
        <w:t xml:space="preserve">entwickelt von Eli Lilly, gentechnisch in Säugetierzellen hergestellt</w:t>
      </w:r>
      <w:r>
        <w:rPr>
          <w:rStyle w:val="FootnoteReference"/>
        </w:rPr>
        <w:footnoteReference w:id="343"/>
      </w:r>
      <w:r>
        <w:t xml:space="preserve">.</w:t>
      </w:r>
    </w:p>
    <w:p>
      <w:pPr>
        <w:numPr>
          <w:ilvl w:val="0"/>
          <w:numId w:val="1049"/>
        </w:numPr>
        <w:pStyle w:val="Compact"/>
      </w:pPr>
      <w:r>
        <w:rPr>
          <w:bCs/>
          <w:b/>
        </w:rPr>
        <w:t xml:space="preserve">Wirkprinzip:</w:t>
      </w:r>
      <w:r>
        <w:t xml:space="preserve"> </w:t>
      </w:r>
      <w:r>
        <w:t xml:space="preserve">GLP-1-Rezeptor-Agonist. Der Antikörperteil schützt vor Abbau und Ausscheidung über die Nieren; eine Spritze pro Woche reicht.</w:t>
      </w:r>
    </w:p>
    <w:p>
      <w:pPr>
        <w:numPr>
          <w:ilvl w:val="0"/>
          <w:numId w:val="1049"/>
        </w:numPr>
        <w:pStyle w:val="Compact"/>
      </w:pPr>
      <w:r>
        <w:rPr>
          <w:bCs/>
          <w:b/>
        </w:rPr>
        <w:t xml:space="preserve">Präparat:</w:t>
      </w:r>
      <w:r>
        <w:t xml:space="preserve"> </w:t>
      </w:r>
      <w:r>
        <w:t xml:space="preserve">Trulicity (Fertigpen, wöchentlich; zugelassene Stärken bis 4,5 mg).</w:t>
      </w:r>
    </w:p>
    <w:p>
      <w:pPr>
        <w:numPr>
          <w:ilvl w:val="0"/>
          <w:numId w:val="1049"/>
        </w:numPr>
        <w:pStyle w:val="Compact"/>
      </w:pPr>
      <w:r>
        <w:rPr>
          <w:bCs/>
          <w:b/>
        </w:rPr>
        <w:t xml:space="preserve">Zulassung EU:</w:t>
      </w:r>
      <w:r>
        <w:t xml:space="preserve"> </w:t>
      </w:r>
      <w:r>
        <w:t xml:space="preserve">ja, Typ-2-Diabetes bei Erwachsenen und Jugendlichen ab 10 Jahren. Keine Zulassung zur Gewichtsreduktion.</w:t>
      </w:r>
    </w:p>
    <w:p>
      <w:pPr>
        <w:numPr>
          <w:ilvl w:val="0"/>
          <w:numId w:val="1049"/>
        </w:numPr>
        <w:pStyle w:val="Compact"/>
      </w:pPr>
      <w:r>
        <w:rPr>
          <w:bCs/>
          <w:b/>
        </w:rPr>
        <w:t xml:space="preserve">Zulassung USA:</w:t>
      </w:r>
      <w:r>
        <w:t xml:space="preserve"> </w:t>
      </w:r>
      <w:r>
        <w:t xml:space="preserve">ja, Typ-2-Diabetes ab 10 Jahren und zur Senkung des Herz-Kreislauf-Risikos bei Erwachsenen mit Typ-2-Diabetes.</w:t>
      </w:r>
    </w:p>
    <w:p>
      <w:pPr>
        <w:numPr>
          <w:ilvl w:val="0"/>
          <w:numId w:val="1049"/>
        </w:numPr>
        <w:pStyle w:val="Compact"/>
      </w:pPr>
      <w:r>
        <w:rPr>
          <w:bCs/>
          <w:b/>
        </w:rPr>
        <w:t xml:space="preserve">WADA:</w:t>
      </w:r>
      <w:r>
        <w:t xml:space="preserve"> </w:t>
      </w:r>
      <w:r>
        <w:t xml:space="preserve">nicht gelistet.</w:t>
      </w:r>
    </w:p>
    <w:p>
      <w:pPr>
        <w:numPr>
          <w:ilvl w:val="0"/>
          <w:numId w:val="1049"/>
        </w:numPr>
        <w:pStyle w:val="Compact"/>
      </w:pPr>
      <w:r>
        <w:rPr>
          <w:bCs/>
          <w:b/>
        </w:rPr>
        <w:t xml:space="preserve">Evidenzstufe:</w:t>
      </w:r>
      <w:r>
        <w:t xml:space="preserve"> </w:t>
      </w:r>
      <w:r>
        <w:rPr>
          <w:bCs/>
          <w:b/>
        </w:rPr>
        <w:t xml:space="preserve">A</w:t>
      </w:r>
      <w:r>
        <w:t xml:space="preserve"> </w:t>
      </w:r>
      <w:r>
        <w:t xml:space="preserve">– Studienprogramm AWARD mit über zehn randomisierten Phase-3-Studien, Endpunktstudie REWIND, Studie bei Jugendlichen.</w:t>
      </w:r>
    </w:p>
    <w:bookmarkEnd w:id="344"/>
    <w:bookmarkStart w:id="347" w:name="wie-es-wirken-soll-2"/>
    <w:p>
      <w:pPr>
        <w:pStyle w:val="Heading3"/>
      </w:pPr>
      <w:r>
        <w:t xml:space="preserve">Wie es wirken soll</w:t>
      </w:r>
    </w:p>
    <w:p>
      <w:pPr>
        <w:pStyle w:val="FirstParagraph"/>
      </w:pPr>
      <w:r>
        <w:t xml:space="preserve">Dulaglutid wirkt am GLP-1-Rezeptor wie Exenatid, Liraglutid und Semaglutid: Es verstärkt die zuckerabhängige Insulinausschüttung, bremst das Hormon Glukagon, verlangsamt die Magenentleerung und dämpft den Appetit. Der Grundmechanismus ist im Kapitel Exenatid erklärt.</w:t>
      </w:r>
    </w:p>
    <w:p>
      <w:pPr>
        <w:pStyle w:val="BodyText"/>
      </w:pPr>
      <w:r>
        <w:t xml:space="preserve">Der Unterschied liegt in der Verpackung. Liraglutid und Semaglutid werden über eine angehängte Fettsäure an Bluteiweiß gebunden. Lilly ging einen anderen Weg und koppelte das Hormon an den Fc-Teil eines Antikörpers. Dieser Baustein ist aus der Biotechnologie bekannt: Er macht Moleküle so groß, dass die Nieren sie nicht mehr herausfiltern, und nutzt einen körpereigenen Recyclingweg, über den Antikörper vor dem Abbau geschützt werden. Bei Ratten und Javaneraffen lag die Halbwertszeit des Wirkstoffs bei 1,5 bis 2 Tagen, beim Menschen ist sie länger und erlaubt die wöchentliche Gabe</w:t>
      </w:r>
      <w:r>
        <w:rPr>
          <w:rStyle w:val="FootnoteReference"/>
        </w:rPr>
        <w:footnoteReference w:id="345"/>
      </w:r>
      <w:r>
        <w:t xml:space="preserve">.</w:t>
      </w:r>
    </w:p>
    <w:p>
      <w:pPr>
        <w:pStyle w:val="BodyText"/>
      </w:pPr>
      <w:r>
        <w:t xml:space="preserve">In den GLP-1-Ketten selbst wurden einzelne Aminosäuren ausgetauscht – teils, um den Abbau durch das Enzym DPP-4 zu verhindern, teils, um die Bildung von Antikörpern gegen den Wirkstoff zu verringern. Tatsächlich bildeten in neun Studien nur 1,6 % der mit Dulaglutid Behandelten Antikörper gegen das Medikament</w:t>
      </w:r>
      <w:r>
        <w:rPr>
          <w:rStyle w:val="FootnoteReference"/>
        </w:rPr>
        <w:footnoteReference w:id="346"/>
      </w:r>
      <w:r>
        <w:t xml:space="preserve"> </w:t>
      </w:r>
      <w:r>
        <w:t xml:space="preserve">– deutlich weniger als bei Exenatid.</w:t>
      </w:r>
    </w:p>
    <w:p>
      <w:pPr>
        <w:pStyle w:val="BodyText"/>
      </w:pPr>
      <w:r>
        <w:t xml:space="preserve">Ein Nachteil der Größe: Das Molekül gelangt vermutlich schlechter in jene Hirnregionen, die den Appetit steuern. Das könnte erklären, warum Dulaglutid bei vergleichbarer Blutzuckersenkung weniger Gewichtsverlust bewirkt als Semaglutid. Diese Erklärung ist plausibel, aber nicht bewiesen.</w:t>
      </w:r>
    </w:p>
    <w:bookmarkEnd w:id="347"/>
    <w:bookmarkStart w:id="379" w:name="studien-am-menschen-2"/>
    <w:p>
      <w:pPr>
        <w:pStyle w:val="Heading3"/>
      </w:pPr>
      <w:r>
        <w:t xml:space="preserve">Studien am Menschen</w:t>
      </w:r>
    </w:p>
    <w:p>
      <w:pPr>
        <w:pStyle w:val="FirstParagraph"/>
      </w:pPr>
      <w:r>
        <w:t xml:space="preserve">Die für dieses Buch ausgewertete PubMed-Abfrage (Suchbegriff „dulaglutide“ in Titel oder Abstract, Abfragedatum Oktober 2026) ergab 158 Humanstudien, ClinicalTrials.gov verzeichnet 143 Registereinträge. Die Zahl ist kleiner als bei Liraglutid oder Semaglutid, aber die Studien sind besonders systematisch angelegt: Das AWARD-Programm (Assessment of Weekly AdministRation of LY2189265 in Diabetes) prüfte Dulaglutid gegen fast jede gängige Diabetestherapie. Auffällig ist außerdem, wie oft Dulaglutid selbst als Vergleichsmedikament für neuere Wirkstoffe dient – von Semaglutid über Tirzepatid bis zu chinesischen Neuentwicklungen.</w:t>
      </w:r>
    </w:p>
    <w:bookmarkStart w:id="352" w:name="das-award-programm"/>
    <w:p>
      <w:pPr>
        <w:pStyle w:val="Heading4"/>
      </w:pPr>
      <w:r>
        <w:t xml:space="preserve">Das AWARD-Programm</w:t>
      </w:r>
    </w:p>
    <w:p>
      <w:pPr>
        <w:pStyle w:val="FirstParagraph"/>
      </w:pPr>
      <w:r>
        <w:t xml:space="preserve">In den meisten AWARD-Studien wurden die Dosen 0,75 und 1,5 mg pro Woche geprüft. Die Tabelle zeigt jeweils das Ergebnis der höheren Dosis.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(Dulaglutid 1,5 mg vs. Vergleich)</w:t>
            </w:r>
          </w:p>
        </w:tc>
      </w:tr>
      <w:tr>
        <w:tc>
          <w:tcPr/>
          <w:p>
            <w:pPr>
              <w:pStyle w:val="Compact"/>
              <w:jc w:val="left"/>
            </w:pPr>
            <w:r>
              <w:t xml:space="preserve">AWARD-1 (Wysham 2014), PMID 24879836</w:t>
            </w:r>
          </w:p>
        </w:tc>
        <w:tc>
          <w:tcPr/>
          <w:p>
            <w:pPr>
              <w:pStyle w:val="Compact"/>
              <w:jc w:val="left"/>
            </w:pPr>
            <w:r>
              <w:t xml:space="preserve">Typ-2-Diabetes unter Metformin und Pioglitazon; vs. Exenatid zweimal täglich und Placebo</w:t>
            </w:r>
          </w:p>
        </w:tc>
        <w:tc>
          <w:tcPr/>
          <w:p>
            <w:pPr>
              <w:pStyle w:val="Compact"/>
              <w:jc w:val="left"/>
            </w:pPr>
            <w:r>
              <w:t xml:space="preserve">52 Wochen (Hauptendpunkt 26)</w:t>
            </w:r>
          </w:p>
        </w:tc>
        <w:tc>
          <w:tcPr/>
          <w:p>
            <w:pPr>
              <w:pStyle w:val="Compact"/>
              <w:jc w:val="left"/>
            </w:pPr>
            <w:r>
              <w:t xml:space="preserve">HbA1c −1,51 vs. −0,99 (Exenatid) vs. −0,46 (Placebo)</w:t>
            </w:r>
          </w:p>
        </w:tc>
      </w:tr>
      <w:tr>
        <w:tc>
          <w:tcPr/>
          <w:p>
            <w:pPr>
              <w:pStyle w:val="Compact"/>
              <w:jc w:val="left"/>
            </w:pPr>
            <w:r>
              <w:t xml:space="preserve">AWARD-2 (Giorgino 2015), PMID 26089386</w:t>
            </w:r>
          </w:p>
        </w:tc>
        <w:tc>
          <w:tcPr/>
          <w:p>
            <w:pPr>
              <w:pStyle w:val="Compact"/>
              <w:jc w:val="left"/>
            </w:pPr>
            <w:r>
              <w:t xml:space="preserve">810 Personen unter Metformin und Glimepirid; offen vs. Insulin glargin</w:t>
            </w:r>
          </w:p>
        </w:tc>
        <w:tc>
          <w:tcPr/>
          <w:p>
            <w:pPr>
              <w:pStyle w:val="Compact"/>
              <w:jc w:val="left"/>
            </w:pPr>
            <w:r>
              <w:t xml:space="preserve">78 Wochen</w:t>
            </w:r>
          </w:p>
        </w:tc>
        <w:tc>
          <w:tcPr/>
          <w:p>
            <w:pPr>
              <w:pStyle w:val="Compact"/>
              <w:jc w:val="left"/>
            </w:pPr>
            <w:r>
              <w:t xml:space="preserve">HbA1c −1,08 vs. −0,63; Gewicht sank vs. stieg</w:t>
            </w:r>
          </w:p>
        </w:tc>
      </w:tr>
      <w:tr>
        <w:tc>
          <w:tcPr/>
          <w:p>
            <w:pPr>
              <w:pStyle w:val="Compact"/>
              <w:jc w:val="left"/>
            </w:pPr>
            <w:r>
              <w:t xml:space="preserve">AWARD-3 (Umpierrez 2014), PMID 24842985</w:t>
            </w:r>
          </w:p>
        </w:tc>
        <w:tc>
          <w:tcPr/>
          <w:p>
            <w:pPr>
              <w:pStyle w:val="Compact"/>
              <w:jc w:val="left"/>
            </w:pPr>
            <w:r>
              <w:t xml:space="preserve">früher Typ-2-Diabetes, Monotherapie; doppelblind vs. Metformin</w:t>
            </w:r>
          </w:p>
        </w:tc>
        <w:tc>
          <w:tcPr/>
          <w:p>
            <w:pPr>
              <w:pStyle w:val="Compact"/>
              <w:jc w:val="left"/>
            </w:pPr>
            <w:r>
              <w:t xml:space="preserve">52 Wochen (Hauptendpunkt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Personen mit Mahlzeiteninsulin; offen vs. Insulin glargin</w:t>
            </w:r>
          </w:p>
        </w:tc>
        <w:tc>
          <w:tcPr/>
          <w:p>
            <w:pPr>
              <w:pStyle w:val="Compact"/>
              <w:jc w:val="left"/>
            </w:pPr>
            <w:r>
              <w:t xml:space="preserve">52 Wochen (Hauptendpunkt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Personen unter Metformin; vs. Sitagliptin</w:t>
            </w:r>
          </w:p>
        </w:tc>
        <w:tc>
          <w:tcPr/>
          <w:p>
            <w:pPr>
              <w:pStyle w:val="Compact"/>
              <w:jc w:val="left"/>
            </w:pPr>
            <w:r>
              <w:t xml:space="preserve">52 Wochen</w:t>
            </w:r>
          </w:p>
        </w:tc>
        <w:tc>
          <w:tcPr/>
          <w:p>
            <w:pPr>
              <w:pStyle w:val="Compact"/>
              <w:jc w:val="left"/>
            </w:pPr>
            <w:r>
              <w:t xml:space="preserve">HbA1c −1,10 vs. −0,39; Gewicht −3,03 vs. −1,53 kg</w:t>
            </w:r>
          </w:p>
        </w:tc>
      </w:tr>
      <w:tr>
        <w:tc>
          <w:tcPr/>
          <w:p>
            <w:pPr>
              <w:pStyle w:val="Compact"/>
              <w:jc w:val="left"/>
            </w:pPr>
            <w:r>
              <w:t xml:space="preserve">AWARD-6 (Dungan 2014), PMID 25018121</w:t>
            </w:r>
          </w:p>
        </w:tc>
        <w:tc>
          <w:tcPr/>
          <w:p>
            <w:pPr>
              <w:pStyle w:val="Compact"/>
              <w:jc w:val="left"/>
            </w:pPr>
            <w:r>
              <w:t xml:space="preserve">599 Personen unter Metformin; offen vs. Liraglutid</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AWARD-7 (Tuttle 2018), PMID 29910024</w:t>
            </w:r>
          </w:p>
        </w:tc>
        <w:tc>
          <w:tcPr/>
          <w:p>
            <w:pPr>
              <w:pStyle w:val="Compact"/>
              <w:jc w:val="left"/>
            </w:pPr>
            <w:r>
              <w:t xml:space="preserve">577 Personen mit mittel- bis schwergradiger chronischer Nierenerkrankung; vs. Insulin glargin</w:t>
            </w:r>
          </w:p>
        </w:tc>
        <w:tc>
          <w:tcPr/>
          <w:p>
            <w:pPr>
              <w:pStyle w:val="Compact"/>
              <w:jc w:val="left"/>
            </w:pPr>
            <w:r>
              <w:t xml:space="preserve">52 Wochen</w:t>
            </w:r>
          </w:p>
        </w:tc>
        <w:tc>
          <w:tcPr/>
          <w:p>
            <w:pPr>
              <w:pStyle w:val="Compact"/>
              <w:jc w:val="left"/>
            </w:pPr>
            <w:r>
              <w:t xml:space="preserve">HbA1c −1,2 vs. −1,1; Nierenfunktion nach 52 Wochen besser erhalten</w:t>
            </w:r>
          </w:p>
        </w:tc>
      </w:tr>
      <w:tr>
        <w:tc>
          <w:tcPr/>
          <w:p>
            <w:pPr>
              <w:pStyle w:val="Compact"/>
              <w:jc w:val="left"/>
            </w:pPr>
            <w:r>
              <w:t xml:space="preserve">AWARD-8 (Dungan 2016), PMID 26799540</w:t>
            </w:r>
          </w:p>
        </w:tc>
        <w:tc>
          <w:tcPr/>
          <w:p>
            <w:pPr>
              <w:pStyle w:val="Compact"/>
              <w:jc w:val="left"/>
            </w:pPr>
            <w:r>
              <w:t xml:space="preserve">Typ-2-Diabetes unter Glimepirid; vs. Placebo</w:t>
            </w:r>
          </w:p>
        </w:tc>
        <w:tc>
          <w:tcPr/>
          <w:p>
            <w:pPr>
              <w:pStyle w:val="Compact"/>
              <w:jc w:val="left"/>
            </w:pPr>
            <w:r>
              <w:t xml:space="preserve">24 Wochen</w:t>
            </w:r>
          </w:p>
        </w:tc>
        <w:tc>
          <w:tcPr/>
          <w:p>
            <w:pPr>
              <w:pStyle w:val="Compact"/>
              <w:jc w:val="left"/>
            </w:pPr>
            <w:r>
              <w:t xml:space="preserve">HbA1c-Unterschied −1,3 Prozentpunkte; mehr Unterzuckerungen</w:t>
            </w:r>
          </w:p>
        </w:tc>
      </w:tr>
      <w:tr>
        <w:tc>
          <w:tcPr/>
          <w:p>
            <w:pPr>
              <w:pStyle w:val="Compact"/>
              <w:jc w:val="left"/>
            </w:pPr>
            <w:r>
              <w:t xml:space="preserve">AWARD-10 (Ludvik 2018), PMID 29483060</w:t>
            </w:r>
          </w:p>
        </w:tc>
        <w:tc>
          <w:tcPr/>
          <w:p>
            <w:pPr>
              <w:pStyle w:val="Compact"/>
              <w:jc w:val="left"/>
            </w:pPr>
            <w:r>
              <w:t xml:space="preserve">424 Personen unter SGLT2-Hemmer; vs. Placebo</w:t>
            </w:r>
          </w:p>
        </w:tc>
        <w:tc>
          <w:tcPr/>
          <w:p>
            <w:pPr>
              <w:pStyle w:val="Compact"/>
              <w:jc w:val="left"/>
            </w:pPr>
            <w:r>
              <w:t xml:space="preserve">24 Wochen</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Personen unter Metformin; 4,5 und 3,0 mg vs. 1,5 mg</w:t>
            </w:r>
          </w:p>
        </w:tc>
        <w:tc>
          <w:tcPr/>
          <w:p>
            <w:pPr>
              <w:pStyle w:val="Compact"/>
              <w:jc w:val="left"/>
            </w:pPr>
            <w:r>
              <w:t xml:space="preserve">36 Wochen</w:t>
            </w:r>
          </w:p>
        </w:tc>
        <w:tc>
          <w:tcPr/>
          <w:p>
            <w:pPr>
              <w:pStyle w:val="Compact"/>
              <w:jc w:val="left"/>
            </w:pPr>
            <w:r>
              <w:t xml:space="preserve">HbA1c −1,77 (4,5 mg) vs. −1,54; Gewicht −4,6 vs. −3,0 kg</w:t>
            </w:r>
          </w:p>
        </w:tc>
      </w:tr>
    </w:tbl>
    <w:p>
      <w:pPr>
        <w:pStyle w:val="BodyText"/>
      </w:pPr>
      <w:r>
        <w:t xml:space="preserve">Einige Ergebnisse verdienen Erläuterung:</w:t>
      </w:r>
    </w:p>
    <w:p>
      <w:pPr>
        <w:pStyle w:val="BodyText"/>
      </w:pPr>
      <w:r>
        <w:rPr>
          <w:bCs/>
          <w:b/>
        </w:rPr>
        <w:t xml:space="preserve">Gegen Insulin</w:t>
      </w:r>
      <w:r>
        <w:t xml:space="preserve"> </w:t>
      </w:r>
      <w:r>
        <w:t xml:space="preserve">(AWARD-2 und AWARD-4) senkte Dulaglutid den Langzeitzucker etwas stärker, mit weniger Unterzuckerungen und ohne Gewichtszunahme</w:t>
      </w:r>
      <w:r>
        <w:rPr>
          <w:rStyle w:val="FootnoteReference"/>
        </w:rPr>
        <w:footnoteReference w:id="348"/>
      </w:r>
      <w:r>
        <w:t xml:space="preserve">. In AWARD-2 wurde die Insulindosis allerdings nicht konsequent gesteigert; die mittlere Enddosis betrug 29 Einheiten. Ein entschlossener aufdosiertes Insulin hätte möglicherweise besser abgeschnitten. Übelkeit trat unter Dulaglutid 1,5 mg bei 15,4 % auf, unter Insulin bei 1,5 %.</w:t>
      </w:r>
    </w:p>
    <w:p>
      <w:pPr>
        <w:pStyle w:val="BodyText"/>
      </w:pPr>
      <w:r>
        <w:rPr>
          <w:bCs/>
          <w:b/>
        </w:rPr>
        <w:t xml:space="preserve">Bei Nierenerkrankung</w:t>
      </w:r>
      <w:r>
        <w:t xml:space="preserve"> </w:t>
      </w:r>
      <w:r>
        <w:t xml:space="preserve">(AWARD-7) ist das Ergebnis besonders interessant: Der Blutzucker sank gleich stark wie unter Insulin, die geschätzte Nierenfunktion (eGFR) war nach 52 Wochen aber unter Dulaglutid höher – 34,0 gegenüber 31,3 ml/min pro 1,73 m²</w:t>
      </w:r>
      <w:r>
        <w:rPr>
          <w:rStyle w:val="FootnoteReference"/>
        </w:rPr>
        <w:footnoteReference w:id="349"/>
      </w:r>
      <w:r>
        <w:t xml:space="preserve">. Die Eiweißausscheidung im Urin unterschied sich nicht signifikant. Das ist ein Hinweis, aber kein Beweis für einen Nierenschutz.</w:t>
      </w:r>
    </w:p>
    <w:p>
      <w:pPr>
        <w:pStyle w:val="BodyText"/>
      </w:pPr>
      <w:r>
        <w:rPr>
          <w:bCs/>
          <w:b/>
        </w:rPr>
        <w:t xml:space="preserve">Mit einem Sulfonylharnstoff</w:t>
      </w:r>
      <w:r>
        <w:t xml:space="preserve"> </w:t>
      </w:r>
      <w:r>
        <w:t xml:space="preserve">(AWARD-8) zeigt sich die Kehrseite: Dulaglutid senkte den HbA1c um 1,3 Prozentpunkte stärker als Placebo, und 55,3 % gegenüber 18,9 % erreichten einen Wert unter 7 %. Unterzuckerungen waren aber deutlich häufiger (2,37 gegenüber 0,07 Ereignissen pro Person und Jahr), weil der Sulfonylharnstoff unabhängig vom Blutzucker Insulin freisetzt</w:t>
      </w:r>
      <w:r>
        <w:rPr>
          <w:rStyle w:val="FootnoteReference"/>
        </w:rPr>
        <w:footnoteReference w:id="350"/>
      </w:r>
      <w:r>
        <w:t xml:space="preserve">. Schwere Unterzuckerungen traten nicht auf.</w:t>
      </w:r>
    </w:p>
    <w:p>
      <w:pPr>
        <w:pStyle w:val="BodyText"/>
      </w:pPr>
      <w:r>
        <w:rPr>
          <w:bCs/>
          <w:b/>
        </w:rPr>
        <w:t xml:space="preserve">Höhere Dosen</w:t>
      </w:r>
      <w:r>
        <w:t xml:space="preserve"> </w:t>
      </w:r>
      <w:r>
        <w:t xml:space="preserve">(AWARD-11): Um mit Semaglutid mitzuhalten, prüfte Lilly 3,0 und 4,5 mg. Die höchste Dosis senkte den HbA1c um weitere 0,24 Prozentpunkte und das Gewicht um weitere 1,6 kg gegenüber 1,5 mg</w:t>
      </w:r>
      <w:r>
        <w:rPr>
          <w:rStyle w:val="FootnoteReference"/>
        </w:rPr>
        <w:footnoteReference w:id="351"/>
      </w:r>
      <w:r>
        <w:t xml:space="preserve">. Übelkeit nahm leicht zu (16,4 % vs. 13,4 %), Erbrechen ebenfalls (9,3 % vs. 5,6 %). Der Zugewinn ist messbar, aber begrenzt.</w:t>
      </w:r>
    </w:p>
    <w:bookmarkEnd w:id="352"/>
    <w:bookmarkStart w:id="356" w:name="X85d4aadf75a3e2d2aa9b2cb6e2bb670c9afb27e"/>
    <w:p>
      <w:pPr>
        <w:pStyle w:val="Heading4"/>
      </w:pPr>
      <w:r>
        <w:t xml:space="preserve">Direktvergleiche innerhalb der GLP-1-Klasse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(Dulaglutid vs. Vergleich)</w:t>
            </w:r>
          </w:p>
        </w:tc>
      </w:tr>
      <w:tr>
        <w:tc>
          <w:tcPr/>
          <w:p>
            <w:pPr>
              <w:pStyle w:val="Compact"/>
              <w:jc w:val="left"/>
            </w:pPr>
            <w:r>
              <w:t xml:space="preserve">AWARD-1 (Wysham 2014), PMID 24879836</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−1,51 vs. −0,99; weniger Unterzuckerungen</w:t>
            </w:r>
          </w:p>
        </w:tc>
      </w:tr>
      <w:tr>
        <w:tc>
          <w:tcPr/>
          <w:p>
            <w:pPr>
              <w:pStyle w:val="Compact"/>
              <w:jc w:val="left"/>
            </w:pPr>
            <w:r>
              <w:t xml:space="preserve">AWARD-6 (Dungan 2014), PMID 25018121</w:t>
            </w:r>
          </w:p>
        </w:tc>
        <w:tc>
          <w:tcPr/>
          <w:p>
            <w:pPr>
              <w:pStyle w:val="Compact"/>
              <w:jc w:val="left"/>
            </w:pPr>
            <w:r>
              <w:t xml:space="preserve">599 Personen, vs. Liraglutid 1,8 mg täglich</w:t>
            </w:r>
          </w:p>
        </w:tc>
        <w:tc>
          <w:tcPr/>
          <w:p>
            <w:pPr>
              <w:pStyle w:val="Compact"/>
              <w:jc w:val="left"/>
            </w:pPr>
            <w:r>
              <w:t xml:space="preserve">26 Wochen</w:t>
            </w:r>
          </w:p>
        </w:tc>
        <w:tc>
          <w:tcPr/>
          <w:p>
            <w:pPr>
              <w:pStyle w:val="Compact"/>
              <w:jc w:val="left"/>
            </w:pPr>
            <w:r>
              <w:t xml:space="preserve">HbA1c −1,42 vs. −1,36; Übelkeit 20 % vs. 18 %</w:t>
            </w:r>
          </w:p>
        </w:tc>
      </w:tr>
      <w:tr>
        <w:tc>
          <w:tcPr/>
          <w:p>
            <w:pPr>
              <w:pStyle w:val="Compact"/>
              <w:jc w:val="left"/>
            </w:pPr>
            <w:r>
              <w:t xml:space="preserve">SUSTAIN 7 (Pratley 2018), PMID 29397376</w:t>
            </w:r>
          </w:p>
        </w:tc>
        <w:tc>
          <w:tcPr/>
          <w:p>
            <w:pPr>
              <w:pStyle w:val="Compact"/>
              <w:jc w:val="left"/>
            </w:pPr>
            <w:r>
              <w:t xml:space="preserve">1.201 Personen, Dulaglutid 0,75/1,5 mg vs. Semaglutid 0,5/1,0 mg</w:t>
            </w:r>
          </w:p>
        </w:tc>
        <w:tc>
          <w:tcPr/>
          <w:p>
            <w:pPr>
              <w:pStyle w:val="Compact"/>
              <w:jc w:val="left"/>
            </w:pPr>
            <w:r>
              <w:t xml:space="preserve">40 Wochen</w:t>
            </w:r>
          </w:p>
        </w:tc>
        <w:tc>
          <w:tcPr/>
          <w:p>
            <w:pPr>
              <w:pStyle w:val="Compact"/>
              <w:jc w:val="left"/>
            </w:pPr>
            <w:r>
              <w:t xml:space="preserve">HbA1c −1,4 vs. −1,8 (hohe Dosen); Gewicht −3,0 vs. −6,5 kg</w:t>
            </w:r>
          </w:p>
        </w:tc>
      </w:tr>
    </w:tbl>
    <w:p>
      <w:pPr>
        <w:pStyle w:val="BodyText"/>
      </w:pPr>
      <w:r>
        <w:t xml:space="preserve">Die Rangfolge ist eindeutig. Dulaglutid war Exenatid zweimal täglich klar überlegen</w:t>
      </w:r>
      <w:r>
        <w:rPr>
          <w:rStyle w:val="FootnoteReference"/>
        </w:rPr>
        <w:footnoteReference w:id="353"/>
      </w:r>
      <w:r>
        <w:t xml:space="preserve"> </w:t>
      </w:r>
      <w:r>
        <w:t xml:space="preserve">und Liraglutid ebenbürtig</w:t>
      </w:r>
      <w:r>
        <w:rPr>
          <w:rStyle w:val="FootnoteReference"/>
        </w:rPr>
        <w:footnoteReference w:id="354"/>
      </w:r>
      <w:r>
        <w:t xml:space="preserve">. In AWARD-6 war es damit der erste wöchentliche GLP-1-Rezeptor-Agonist, der im direkten Vergleich mit dem damaligen Standard Liraglutid mithielt – bei deutlich weniger Spritzen.</w:t>
      </w:r>
    </w:p>
    <w:p>
      <w:pPr>
        <w:pStyle w:val="BodyText"/>
      </w:pPr>
      <w:r>
        <w:t xml:space="preserve">Gegen Semaglutid verlor Dulaglutid in SUSTAIN 7</w:t>
      </w:r>
      <w:r>
        <w:rPr>
          <w:rStyle w:val="FootnoteReference"/>
        </w:rPr>
        <w:footnoteReference w:id="355"/>
      </w:r>
      <w:r>
        <w:t xml:space="preserve"> </w:t>
      </w:r>
      <w:r>
        <w:t xml:space="preserve">auf beiden Dosisstufen. Bei den hohen Dosen sank der HbA1c um 1,4 gegenüber 1,8 Prozentpunkten, das Gewicht um 3,0 gegenüber 6,5 kg. Magen-Darm-Beschwerden waren ähnlich häufig (48 % unter Dulaglutid 1,5 mg, 44 % unter Semaglutid 1,0 mg). Kritisch angemerkt wurde später, dass Dulaglutid in SUSTAIN 7 nur bis 1,5 mg dosiert wurde; die höheren Dosen aus AWARD-11 waren damals noch nicht verfügbar. Auch mit 4,5 mg dürfte der Gewichtsunterschied aber bestehen bleiben.</w:t>
      </w:r>
    </w:p>
    <w:bookmarkEnd w:id="356"/>
    <w:bookmarkStart w:id="361" w:name="rewind-die-herz-kreislauf-studie"/>
    <w:p>
      <w:pPr>
        <w:pStyle w:val="Heading4"/>
      </w:pPr>
      <w:r>
        <w:t xml:space="preserve">REWIND: die Herz-Kreislauf-Studie</w:t>
      </w:r>
    </w:p>
    <w:p>
      <w:pPr>
        <w:pStyle w:val="FirstParagraph"/>
      </w:pPr>
      <w:r>
        <w:t xml:space="preserve">REWIND unterschied sich von anderen GLP-1-Endpunktstudien: Sie lief länger, schloss ältere Menschen mit vergleichsweise gut eingestelltem Blutzucker ein (medianer HbA1c 7,2 %) und nahm auch viele Personen ohne bisherige Herz-Kreislauf-Erkrankung auf, die lediglich Risikofaktoren hatten. Damit ähnelt die Studienpopulation dem Alltag in Hausarztpraxen stärker als in anderen Endpunktstudien.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REWIND (Gerstein 2019), PMID 31189511</w:t>
            </w:r>
          </w:p>
        </w:tc>
        <w:tc>
          <w:tcPr/>
          <w:p>
            <w:pPr>
              <w:pStyle w:val="Compact"/>
              <w:jc w:val="left"/>
            </w:pPr>
            <w:r>
              <w:t xml:space="preserve">9.901 Personen mit Typ-2-Diabetes, mittleres Alter 66,2 Jahre, 46,3 % Frauen; RCT gegen Placebo</w:t>
            </w:r>
          </w:p>
        </w:tc>
        <w:tc>
          <w:tcPr/>
          <w:p>
            <w:pPr>
              <w:pStyle w:val="Compact"/>
              <w:jc w:val="left"/>
            </w:pPr>
            <w:r>
              <w:t xml:space="preserve">median 5,4 Jahre</w:t>
            </w:r>
          </w:p>
        </w:tc>
        <w:tc>
          <w:tcPr/>
          <w:p>
            <w:pPr>
              <w:pStyle w:val="Compact"/>
              <w:jc w:val="left"/>
            </w:pPr>
            <w:r>
              <w:t xml:space="preserve">Schwere Herz-Kreislauf-Ereignisse 12,0 % vs. 13,4 %; HR 0,88 (0,79–0,99)</w:t>
            </w:r>
          </w:p>
        </w:tc>
      </w:tr>
      <w:tr>
        <w:tc>
          <w:tcPr/>
          <w:p>
            <w:pPr>
              <w:pStyle w:val="Compact"/>
              <w:jc w:val="left"/>
            </w:pPr>
            <w:r>
              <w:t xml:space="preserve">REWIND, Nieren (Gerstein 2019), PMID 31189509</w:t>
            </w:r>
          </w:p>
        </w:tc>
        <w:tc>
          <w:tcPr/>
          <w:p>
            <w:pPr>
              <w:pStyle w:val="Compact"/>
              <w:jc w:val="left"/>
            </w:pPr>
            <w:r>
              <w:t xml:space="preserve">dieselbe Studie, explorative Auswertung</w:t>
            </w:r>
          </w:p>
        </w:tc>
        <w:tc>
          <w:tcPr/>
          <w:p>
            <w:pPr>
              <w:pStyle w:val="Compact"/>
              <w:jc w:val="left"/>
            </w:pPr>
            <w:r>
              <w:t xml:space="preserve">median 5,4 Jahre</w:t>
            </w:r>
          </w:p>
        </w:tc>
        <w:tc>
          <w:tcPr/>
          <w:p>
            <w:pPr>
              <w:pStyle w:val="Compact"/>
              <w:jc w:val="left"/>
            </w:pPr>
            <w:r>
              <w:t xml:space="preserve">Nierenendpunkt 17,1 % vs. 19,6 %; HR 0,85, vor allem weniger neue Makroalbuminurie</w:t>
            </w:r>
          </w:p>
        </w:tc>
      </w:tr>
      <w:tr>
        <w:tc>
          <w:tcPr/>
          <w:p>
            <w:pPr>
              <w:pStyle w:val="Compact"/>
              <w:jc w:val="left"/>
            </w:pPr>
            <w:r>
              <w:t xml:space="preserve">REWIND, Kognition (Cukierman-Yaffe 2020), PMID 32562683</w:t>
            </w:r>
          </w:p>
        </w:tc>
        <w:tc>
          <w:tcPr/>
          <w:p>
            <w:pPr>
              <w:pStyle w:val="Compact"/>
              <w:jc w:val="left"/>
            </w:pPr>
            <w:r>
              <w:t xml:space="preserve">8.828 Personen mit Gedächtnistests</w:t>
            </w:r>
          </w:p>
        </w:tc>
        <w:tc>
          <w:tcPr/>
          <w:p>
            <w:pPr>
              <w:pStyle w:val="Compact"/>
              <w:jc w:val="left"/>
            </w:pPr>
            <w:r>
              <w:t xml:space="preserve">median 5,4 Jahre</w:t>
            </w:r>
          </w:p>
        </w:tc>
        <w:tc>
          <w:tcPr/>
          <w:p>
            <w:pPr>
              <w:pStyle w:val="Compact"/>
              <w:jc w:val="left"/>
            </w:pPr>
            <w:r>
              <w:t xml:space="preserve">HR 0,93 (nicht signifikant); nach nachträglicher Anpassung HR 0,86</w:t>
            </w:r>
          </w:p>
        </w:tc>
      </w:tr>
    </w:tbl>
    <w:p>
      <w:pPr>
        <w:pStyle w:val="BodyText"/>
      </w:pPr>
      <w:r>
        <w:t xml:space="preserve">Der Hauptendpunkt – Tod durch Herz-Kreislauf-Ursache, nicht tödlicher Herzinfarkt oder Schlaganfall – trat unter Dulaglutid bei 594 von 4.949 Personen (12,0 %) auf, unter Placebo bei 663 von 4.952 (13,4 %)</w:t>
      </w:r>
      <w:r>
        <w:rPr>
          <w:rStyle w:val="FootnoteReference"/>
        </w:rPr>
        <w:footnoteReference w:id="357"/>
      </w:r>
      <w:r>
        <w:t xml:space="preserve">. Das entspricht einer relativen Senkung um 12 %. Die Gesamtsterblichkeit unterschied sich nicht signifikant (10,8 % vs. 12,0 %; HR 0,90). Magen-Darm-Nebenwirkungen meldeten 47,4 % gegenüber 34,1 %.</w:t>
      </w:r>
    </w:p>
    <w:p>
      <w:pPr>
        <w:pStyle w:val="BodyText"/>
      </w:pPr>
      <w:r>
        <w:t xml:space="preserve">In der Nierenauswertung</w:t>
      </w:r>
      <w:r>
        <w:rPr>
          <w:rStyle w:val="FootnoteReference"/>
        </w:rPr>
        <w:footnoteReference w:id="358"/>
      </w:r>
      <w:r>
        <w:t xml:space="preserve"> </w:t>
      </w:r>
      <w:r>
        <w:t xml:space="preserve">war der Effekt vor allem auf eine neu auftretende Makroalbuminurie zurückzuführen (HR 0,77). Für einen anhaltenden Rückgang der Nierenfunktion um mindestens 30 % lag der Schätzwert bei 0,89, für Dialyse oder Nierentransplantation bei 0,75 – beides statistisch nicht gesichert.</w:t>
      </w:r>
    </w:p>
    <w:p>
      <w:pPr>
        <w:pStyle w:val="BodyText"/>
      </w:pPr>
      <w:r>
        <w:t xml:space="preserve">Die Auswertung zur geistigen Leistungsfähigkeit</w:t>
      </w:r>
      <w:r>
        <w:rPr>
          <w:rStyle w:val="FootnoteReference"/>
        </w:rPr>
        <w:footnoteReference w:id="359"/>
      </w:r>
      <w:r>
        <w:t xml:space="preserve"> </w:t>
      </w:r>
      <w:r>
        <w:t xml:space="preserve">wird gelegentlich als Beleg für einen Demenzschutz zitiert. Das geht zu weit: Der vorab festgelegte Vergleich war nicht signifikant. Erst nach einer nachträglichen statistischen Anpassung ergab sich ein um 14 % geringeres relatives Risiko für eine deutliche Verschlechterung der geistigen Leistungsfähigkeit (Hazard Ratio 0,86). Die Autorinnen und Autoren sprechen selbst von einer explorativen Analyse, die weitere Studien rechtfertigt.</w:t>
      </w:r>
    </w:p>
    <w:p>
      <w:pPr>
        <w:pStyle w:val="BodyText"/>
      </w:pPr>
      <w:r>
        <w:t xml:space="preserve">In einer Meta-Analyse aller großen GLP-1-Endpunktstudien fügte sich REWIND gut in das Gesamtbild ein, wonach die Klasse schwere Herz-Kreislauf-Ereignisse um etwa 12 % senkt</w:t>
      </w:r>
      <w:r>
        <w:rPr>
          <w:rStyle w:val="FootnoteReference"/>
        </w:rPr>
        <w:footnoteReference w:id="360"/>
      </w:r>
      <w:r>
        <w:t xml:space="preserve">.</w:t>
      </w:r>
    </w:p>
    <w:bookmarkEnd w:id="361"/>
    <w:bookmarkStart w:id="366" w:name="was-erklärt-den-nutzen-und-was-nicht"/>
    <w:p>
      <w:pPr>
        <w:pStyle w:val="Heading4"/>
      </w:pPr>
      <w:r>
        <w:t xml:space="preserve">Was erklärt den Nutzen – und was nicht?</w:t>
      </w:r>
    </w:p>
    <w:p>
      <w:pPr>
        <w:pStyle w:val="FirstParagraph"/>
      </w:pPr>
      <w:r>
        <w:t xml:space="preserve">Mehrere nachträgliche Auswertungen von REWIND haben versucht, den Herz-Kreislauf-Effekt genauer zu verstehen. In einer Teilauswertung mit 9.543 Personen ohne Vorhofflimmern zu Studienbeginn hatten 31 % bereits eine Herz-Kreislauf-Erkrankung, die übrigen „nur“ Risikofaktoren</w:t>
      </w:r>
      <w:r>
        <w:rPr>
          <w:rStyle w:val="FootnoteReference"/>
        </w:rPr>
        <w:footnoteReference w:id="362"/>
      </w:r>
      <w:r>
        <w:t xml:space="preserve">. Das unterstreicht, dass REWIND weit stärker als andere Endpunktstudien Menschen in der Vorbeugung untersuchte.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Auswertung</w:t>
            </w:r>
          </w:p>
        </w:tc>
        <w:tc>
          <w:tcPr/>
          <w:p>
            <w:pPr>
              <w:pStyle w:val="Compact"/>
              <w:jc w:val="left"/>
            </w:pPr>
            <w:r>
              <w:t xml:space="preserve">Frage</w:t>
            </w:r>
          </w:p>
        </w:tc>
        <w:tc>
          <w:tcPr/>
          <w:p>
            <w:pPr>
              <w:pStyle w:val="Compact"/>
              <w:jc w:val="left"/>
            </w:pPr>
            <w:r>
              <w:t xml:space="preserve">Ergebnis</w:t>
            </w:r>
          </w:p>
        </w:tc>
      </w:tr>
      <w:tr>
        <w:tc>
          <w:tcPr/>
          <w:p>
            <w:pPr>
              <w:pStyle w:val="Compact"/>
              <w:jc w:val="left"/>
            </w:pPr>
            <w:r>
              <w:t xml:space="preserve">Konig 2021, PMID 34563178</w:t>
            </w:r>
          </w:p>
        </w:tc>
        <w:tc>
          <w:tcPr/>
          <w:p>
            <w:pPr>
              <w:pStyle w:val="Compact"/>
              <w:jc w:val="left"/>
            </w:pPr>
            <w:r>
              <w:t xml:space="preserve">Welche Veränderungen erklären den Nutzen?</w:t>
            </w:r>
          </w:p>
        </w:tc>
        <w:tc>
          <w:tcPr/>
          <w:p>
            <w:pPr>
              <w:pStyle w:val="Compact"/>
              <w:jc w:val="left"/>
            </w:pPr>
            <w:r>
              <w:t xml:space="preserve">Teilweise die Senkung von HbA1c und Eiweißausscheidung im Urin, nicht Gewicht, Blutdruck oder LDL-Cholesterin</w:t>
            </w:r>
          </w:p>
        </w:tc>
      </w:tr>
      <w:tr>
        <w:tc>
          <w:tcPr/>
          <w:p>
            <w:pPr>
              <w:pStyle w:val="Compact"/>
              <w:jc w:val="left"/>
            </w:pPr>
            <w:r>
              <w:t xml:space="preserve">Branch 2022, PMID 36073143</w:t>
            </w:r>
          </w:p>
        </w:tc>
        <w:tc>
          <w:tcPr/>
          <w:p>
            <w:pPr>
              <w:pStyle w:val="Compact"/>
              <w:jc w:val="left"/>
            </w:pPr>
            <w:r>
              <w:t xml:space="preserve">Herzschwäche-Ereignisse</w:t>
            </w:r>
          </w:p>
        </w:tc>
        <w:tc>
          <w:tcPr/>
          <w:p>
            <w:pPr>
              <w:pStyle w:val="Compact"/>
              <w:jc w:val="left"/>
            </w:pPr>
            <w:r>
              <w:t xml:space="preserve">4,3 % vs. 4,6 %; HR 0,93, kein signifikanter Unterschied</w:t>
            </w:r>
          </w:p>
        </w:tc>
      </w:tr>
      <w:tr>
        <w:tc>
          <w:tcPr/>
          <w:p>
            <w:pPr>
              <w:pStyle w:val="Compact"/>
              <w:jc w:val="left"/>
            </w:pPr>
            <w:r>
              <w:t xml:space="preserve">Raubenheimer 2022, PMID 34984808</w:t>
            </w:r>
          </w:p>
        </w:tc>
        <w:tc>
          <w:tcPr/>
          <w:p>
            <w:pPr>
              <w:pStyle w:val="Compact"/>
              <w:jc w:val="left"/>
            </w:pPr>
            <w:r>
              <w:t xml:space="preserve">Neues Vorhofflimmern oder -flattern</w:t>
            </w:r>
          </w:p>
        </w:tc>
        <w:tc>
          <w:tcPr/>
          <w:p>
            <w:pPr>
              <w:pStyle w:val="Compact"/>
              <w:jc w:val="left"/>
            </w:pPr>
            <w:r>
              <w:t xml:space="preserve">5,6 % vs. 5,3 %; kein Unterschied</w:t>
            </w:r>
          </w:p>
        </w:tc>
      </w:tr>
    </w:tbl>
    <w:p>
      <w:pPr>
        <w:pStyle w:val="BodyText"/>
      </w:pPr>
      <w:r>
        <w:t xml:space="preserve">Nach der Analyse von Konig 2021</w:t>
      </w:r>
      <w:r>
        <w:rPr>
          <w:rStyle w:val="FootnoteReference"/>
        </w:rPr>
        <w:footnoteReference w:id="363"/>
      </w:r>
      <w:r>
        <w:t xml:space="preserve"> </w:t>
      </w:r>
      <w:r>
        <w:t xml:space="preserve">ließ sich ein Teil des Effekts statistisch durch die bessere Blutzuckereinstellung und die geringere Eiweißausscheidung im Urin erklären; ein weiterer Teil blieb unerklärt. Die Gewichtsabnahme spielte in dieser Auswertung keine messbare Rolle. Das passt zu der verbreiteten Annahme, dass GLP-1-Rezeptor-Agonisten auch direkte Wirkungen auf Gefäße und Entzündungsprozesse haben – belegt ist das beim Menschen aber nicht.</w:t>
      </w:r>
    </w:p>
    <w:p>
      <w:pPr>
        <w:pStyle w:val="BodyText"/>
      </w:pPr>
      <w:r>
        <w:t xml:space="preserve">Keinen Schutz zeigte Dulaglutid vor Herzschwäche-Ereignissen</w:t>
      </w:r>
      <w:r>
        <w:rPr>
          <w:rStyle w:val="FootnoteReference"/>
        </w:rPr>
        <w:footnoteReference w:id="364"/>
      </w:r>
      <w:r>
        <w:t xml:space="preserve"> </w:t>
      </w:r>
      <w:r>
        <w:t xml:space="preserve">und vor neu auftretendem Vorhofflimmern</w:t>
      </w:r>
      <w:r>
        <w:rPr>
          <w:rStyle w:val="FootnoteReference"/>
        </w:rPr>
        <w:footnoteReference w:id="365"/>
      </w:r>
      <w:r>
        <w:t xml:space="preserve">. Auch bei den 853 Teilnehmenden, die schon zu Studienbeginn eine Herzschwäche hatten, ergab sich kein abweichendes Bild. Für die Herzschwäche mit erhaltener Pumpfunktion bei Adipositas gibt es inzwischen Daten zu Semaglutid und Tirzepatid; für Dulaglutid fehlen sie.</w:t>
      </w:r>
    </w:p>
    <w:bookmarkEnd w:id="366"/>
    <w:bookmarkStart w:id="369" w:name="X68a64685aaabd9c12a968288f83ed6c5680201b"/>
    <w:p>
      <w:pPr>
        <w:pStyle w:val="Heading4"/>
      </w:pPr>
      <w:r>
        <w:t xml:space="preserve">Dulaglutid als Vergleichsstandard für neue Wirkstoffe</w:t>
      </w:r>
    </w:p>
    <w:p>
      <w:pPr>
        <w:pStyle w:val="FirstParagraph"/>
      </w:pPr>
      <w:r>
        <w:t xml:space="preserve">Weil Dulaglutid weltweit breit eingesetzt, gut verträglich und mit nachgewiesenem Herz-Kreislauf-Nutzen ausgestattet ist, wählen Hersteller es häufig als aktiven Vergleich. Die Ergebnisse dieser Studien gehören inhaltlich in die Kapitel der jeweiligen neuen Wirkstoffe; hier nur der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SURPASS-CVOT (Nicholls 2025), PMID 41406444</w:t>
            </w:r>
          </w:p>
        </w:tc>
        <w:tc>
          <w:tcPr/>
          <w:p>
            <w:pPr>
              <w:pStyle w:val="Compact"/>
              <w:jc w:val="left"/>
            </w:pPr>
            <w:r>
              <w:t xml:space="preserve">13.165 Personen mit Typ-2-Diabetes und Gefäßerkrankung; Tirzepatid vs. Dulaglutid</w:t>
            </w:r>
          </w:p>
        </w:tc>
        <w:tc>
          <w:tcPr/>
          <w:p>
            <w:pPr>
              <w:pStyle w:val="Compact"/>
              <w:jc w:val="left"/>
            </w:pPr>
            <w:r>
              <w:t xml:space="preserve">mehrere Jahre</w:t>
            </w:r>
          </w:p>
        </w:tc>
        <w:tc>
          <w:tcPr/>
          <w:p>
            <w:pPr>
              <w:pStyle w:val="Compact"/>
              <w:jc w:val="left"/>
            </w:pPr>
            <w:r>
              <w:t xml:space="preserve">Schwere Herz-Kreislauf-Ereignisse 12,2 % vs. 13,1 %; HR 0,92, nicht unterlegen, Überlegenheit nicht gezeigt</w:t>
            </w:r>
          </w:p>
        </w:tc>
      </w:tr>
      <w:tr>
        <w:tc>
          <w:tcPr/>
          <w:p>
            <w:pPr>
              <w:pStyle w:val="Compact"/>
              <w:jc w:val="left"/>
            </w:pPr>
            <w:r>
              <w:t xml:space="preserve">SURPASS J-mono (Inagaki 2022), PMID 35914543</w:t>
            </w:r>
          </w:p>
        </w:tc>
        <w:tc>
          <w:tcPr/>
          <w:p>
            <w:pPr>
              <w:pStyle w:val="Compact"/>
              <w:jc w:val="left"/>
            </w:pPr>
            <w:r>
              <w:t xml:space="preserve">636 Personen in Japan; Tirzepatid vs. Dulaglutid 0,75 mg</w:t>
            </w:r>
          </w:p>
        </w:tc>
        <w:tc>
          <w:tcPr/>
          <w:p>
            <w:pPr>
              <w:pStyle w:val="Compact"/>
              <w:jc w:val="left"/>
            </w:pPr>
            <w:r>
              <w:t xml:space="preserve">52 Wochen</w:t>
            </w:r>
          </w:p>
        </w:tc>
        <w:tc>
          <w:tcPr/>
          <w:p>
            <w:pPr>
              <w:pStyle w:val="Compact"/>
              <w:jc w:val="left"/>
            </w:pPr>
            <w:r>
              <w:t xml:space="preserve">HbA1c −2,4 bis −2,8 vs. −1,3</w:t>
            </w:r>
          </w:p>
        </w:tc>
      </w:tr>
      <w:tr>
        <w:tc>
          <w:tcPr/>
          <w:p>
            <w:pPr>
              <w:pStyle w:val="Compact"/>
              <w:jc w:val="left"/>
            </w:pPr>
            <w:r>
              <w:t xml:space="preserve">Guo 2026, PMID 41407860</w:t>
            </w:r>
          </w:p>
        </w:tc>
        <w:tc>
          <w:tcPr/>
          <w:p>
            <w:pPr>
              <w:pStyle w:val="Compact"/>
              <w:jc w:val="left"/>
            </w:pPr>
            <w:r>
              <w:t xml:space="preserve">731 Personen in China; Mazdutid vs. Dulaglutid 1,5 mg</w:t>
            </w:r>
          </w:p>
        </w:tc>
        <w:tc>
          <w:tcPr/>
          <w:p>
            <w:pPr>
              <w:pStyle w:val="Compact"/>
              <w:jc w:val="left"/>
            </w:pPr>
            <w:r>
              <w:t xml:space="preserve">28 Wochen</w:t>
            </w:r>
          </w:p>
        </w:tc>
        <w:tc>
          <w:tcPr/>
          <w:p>
            <w:pPr>
              <w:pStyle w:val="Compact"/>
              <w:jc w:val="left"/>
            </w:pPr>
            <w:r>
              <w:t xml:space="preserve">HbA1c-Unterschied −0,24 bzw. −0,30 Prozentpunkte zugunsten Mazdutid</w:t>
            </w:r>
          </w:p>
        </w:tc>
      </w:tr>
      <w:tr>
        <w:tc>
          <w:tcPr/>
          <w:p>
            <w:pPr>
              <w:pStyle w:val="Compact"/>
              <w:jc w:val="left"/>
            </w:pPr>
            <w:r>
              <w:t xml:space="preserve">EECOH-2 (He 2025), PMID 40854315</w:t>
            </w:r>
          </w:p>
        </w:tc>
        <w:tc>
          <w:tcPr/>
          <w:p>
            <w:pPr>
              <w:pStyle w:val="Compact"/>
              <w:jc w:val="left"/>
            </w:pPr>
            <w:r>
              <w:t xml:space="preserve">621 Personen in China; Ecnoglutid vs. Dulaglutid 1,5 mg</w:t>
            </w:r>
          </w:p>
        </w:tc>
        <w:tc>
          <w:tcPr/>
          <w:p>
            <w:pPr>
              <w:pStyle w:val="Compact"/>
              <w:jc w:val="left"/>
            </w:pPr>
            <w:r>
              <w:t xml:space="preserve">52 Wochen (Hauptendpunkt 32)</w:t>
            </w:r>
          </w:p>
        </w:tc>
        <w:tc>
          <w:tcPr/>
          <w:p>
            <w:pPr>
              <w:pStyle w:val="Compact"/>
              <w:jc w:val="left"/>
            </w:pPr>
            <w:r>
              <w:t xml:space="preserve">HbA1c −1,89 bis −1,91 vs. −1,65</w:t>
            </w:r>
          </w:p>
        </w:tc>
      </w:tr>
    </w:tbl>
    <w:p>
      <w:pPr>
        <w:pStyle w:val="BodyText"/>
      </w:pPr>
      <w:r>
        <w:t xml:space="preserve">Besonders aufschlussreich ist SURPASS-CVOT</w:t>
      </w:r>
      <w:r>
        <w:rPr>
          <w:rStyle w:val="FootnoteReference"/>
        </w:rPr>
        <w:footnoteReference w:id="367"/>
      </w:r>
      <w:r>
        <w:t xml:space="preserve">, die erste große Endpunktstudie, in der zwei Inkretin-Medikamente direkt gegeneinander antraten. Tirzepatid war nicht schlechter, aber auch nicht nachweislich besser als Dulaglutid. Da Dulaglutid selbst in REWIND das Risiko gesenkt hatte, ist ein „Unentschieden“ gegen Dulaglutid ein starkes Ergebnis für beide Wirkstoffe. Eine nachträgliche Auswertung mit einem breiteren Herz-Nieren-Endpunkt fand einen Vorteil für Tirzepatid (23,7 % vs. 27,4 %; HR 0,84)</w:t>
      </w:r>
      <w:r>
        <w:rPr>
          <w:rStyle w:val="FootnoteReference"/>
        </w:rPr>
        <w:footnoteReference w:id="368"/>
      </w:r>
      <w:r>
        <w:t xml:space="preserve">. Nachträgliche Auswertungen sind jedoch weniger belastbar als der vorab festgelegte Hauptendpunkt.</w:t>
      </w:r>
    </w:p>
    <w:bookmarkEnd w:id="369"/>
    <w:bookmarkStart w:id="372" w:name="handhabung-der-fertigpen"/>
    <w:p>
      <w:pPr>
        <w:pStyle w:val="Heading4"/>
      </w:pPr>
      <w:r>
        <w:t xml:space="preserve">Handhabung: der Fertigpen</w:t>
      </w:r>
    </w:p>
    <w:p>
      <w:pPr>
        <w:pStyle w:val="FirstParagraph"/>
      </w:pPr>
      <w:r>
        <w:t xml:space="preserve">Ein praktischer Punkt, der in Studien selten gewürdigt wird, ist die Anwendung. Dulaglutid wird in einem Einmal-Fertigpen geliefert, bei dem keine Nadel aufgesetzt und keine Dosis eingestellt werden muss. In einer Studie mit 211 Menschen mit Typ-2-Diabetes, die sich noch nie selbst gespritzt hatten, gelang die Injektion am Ende in 99,1 % der Fälle; die Angst vor dem Spritzen nahm ab</w:t>
      </w:r>
      <w:r>
        <w:rPr>
          <w:rStyle w:val="FootnoteReference"/>
        </w:rPr>
        <w:footnoteReference w:id="370"/>
      </w:r>
      <w:r>
        <w:t xml:space="preserve">. In einer vom Hersteller finanzierten Vergleichsstudie mit 310 Teilnehmenden bevorzugten 84,2 % den Dulaglutid-Pen gegenüber dem damaligen Semaglutid-Pen</w:t>
      </w:r>
      <w:r>
        <w:rPr>
          <w:rStyle w:val="FootnoteReference"/>
        </w:rPr>
        <w:footnoteReference w:id="371"/>
      </w:r>
      <w:r>
        <w:t xml:space="preserve">. Solche Präferenzstudien sagen nichts über die Wirksamkeit aus, können aber erklären, warum Dulaglutid gerade bei älteren Menschen verbreitet ist.</w:t>
      </w:r>
    </w:p>
    <w:bookmarkEnd w:id="372"/>
    <w:bookmarkStart w:id="374" w:name="kinder-und-jugendliche-1"/>
    <w:p>
      <w:pPr>
        <w:pStyle w:val="Heading4"/>
      </w:pPr>
      <w:r>
        <w:t xml:space="preserve">Kinder und Jugendliche</w:t>
      </w:r>
    </w:p>
    <w:p>
      <w:pPr>
        <w:pStyle w:val="FirstParagraph"/>
      </w:pPr>
      <w:r>
        <w:t xml:space="preserve">In AWARD-PEDS mit 154 Jugendlichen mit Typ-2-Diabetes stieg der HbA1c unter Placebo nach 26 Wochen um 0,6 Prozentpunkte und sank unter Dulaglutid um 0,6 (0,75 mg) bzw. 0,9 Prozentpunkte (1,5 mg)</w:t>
      </w:r>
      <w:r>
        <w:rPr>
          <w:rStyle w:val="FootnoteReference"/>
        </w:rPr>
        <w:footnoteReference w:id="373"/>
      </w:r>
      <w:r>
        <w:t xml:space="preserve">. Einen HbA1c unter 7 % erreichten 51 % gegenüber 14 %. Auf den Body-Mass-Index hatte Dulaglutid in dieser Altersgruppe keinen Einfluss. Diese Studie war die Grundlage für die Zulassung ab 10 Jahren.</w:t>
      </w:r>
    </w:p>
    <w:bookmarkEnd w:id="374"/>
    <w:bookmarkStart w:id="378" w:name="weitere-einsatzgebiete-in-studien-2"/>
    <w:p>
      <w:pPr>
        <w:pStyle w:val="Heading4"/>
      </w:pPr>
      <w:r>
        <w:t xml:space="preserve">Weitere Einsatzgebiete in Studien</w:t>
      </w:r>
    </w:p>
    <w:p>
      <w:pPr>
        <w:numPr>
          <w:ilvl w:val="0"/>
          <w:numId w:val="1050"/>
        </w:numPr>
        <w:pStyle w:val="Compact"/>
      </w:pPr>
      <w:r>
        <w:rPr>
          <w:bCs/>
          <w:b/>
        </w:rPr>
        <w:t xml:space="preserve">Rauchstopp:</w:t>
      </w:r>
      <w:r>
        <w:t xml:space="preserve"> </w:t>
      </w:r>
      <w:r>
        <w:t xml:space="preserve">In einer Studie mit 255 Personen verbesserte Dulaglutid die Abstinenzrate nicht; nach 52 Wochen waren in beiden Gruppen 32 % rauchfrei</w:t>
      </w:r>
      <w:r>
        <w:rPr>
          <w:rStyle w:val="FootnoteReference"/>
        </w:rPr>
        <w:footnoteReference w:id="375"/>
      </w:r>
      <w:r>
        <w:t xml:space="preserve">. Die übliche Gewichtszunahme nach dem Rauchstopp wurde in den ersten 12 Wochen verhindert, nach einem Jahr war der Unterschied verschwunden.</w:t>
      </w:r>
    </w:p>
    <w:p>
      <w:pPr>
        <w:numPr>
          <w:ilvl w:val="0"/>
          <w:numId w:val="1050"/>
        </w:numPr>
        <w:pStyle w:val="Compact"/>
      </w:pPr>
      <w:r>
        <w:rPr>
          <w:bCs/>
          <w:b/>
        </w:rPr>
        <w:t xml:space="preserve">Alkohol:</w:t>
      </w:r>
      <w:r>
        <w:t xml:space="preserve"> </w:t>
      </w:r>
      <w:r>
        <w:t xml:space="preserve">In einer vorab geplanten Zusatzauswertung derselben Studie tranken Teilnehmende unter Dulaglutid nach 12 Wochen 29 % weniger Alkohol als unter Placebo</w:t>
      </w:r>
      <w:r>
        <w:rPr>
          <w:rStyle w:val="FootnoteReference"/>
        </w:rPr>
        <w:footnoteReference w:id="376"/>
      </w:r>
      <w:r>
        <w:t xml:space="preserve">. Die Studie war nicht für diese Frage ausgelegt.</w:t>
      </w:r>
    </w:p>
    <w:p>
      <w:pPr>
        <w:numPr>
          <w:ilvl w:val="0"/>
          <w:numId w:val="1050"/>
        </w:numPr>
        <w:pStyle w:val="Compact"/>
      </w:pPr>
      <w:r>
        <w:rPr>
          <w:bCs/>
          <w:b/>
        </w:rPr>
        <w:t xml:space="preserve">Primäre Polydipsie</w:t>
      </w:r>
      <w:r>
        <w:t xml:space="preserve"> </w:t>
      </w:r>
      <w:r>
        <w:t xml:space="preserve">(krankhaft gesteigertes Trinken): In einer Crossover-Studie mit 34 Personen verringerte Dulaglutid die Trinkmenge während eines achtstündigen Tests um 490 ml, entsprechend 17 %</w:t>
      </w:r>
      <w:r>
        <w:rPr>
          <w:rStyle w:val="FootnoteReference"/>
        </w:rPr>
        <w:footnoteReference w:id="377"/>
      </w:r>
      <w:r>
        <w:t xml:space="preserve">. Ein Hinweis darauf, dass GLP-1 auch das Durstempfinden beeinflusst.</w:t>
      </w:r>
    </w:p>
    <w:bookmarkEnd w:id="378"/>
    <w:bookmarkEnd w:id="379"/>
    <w:bookmarkStart w:id="382" w:name="tier--und-laborstudien-2"/>
    <w:p>
      <w:pPr>
        <w:pStyle w:val="Heading3"/>
      </w:pPr>
      <w:r>
        <w:t xml:space="preserve">Tier- und Laborstudien</w:t>
      </w:r>
    </w:p>
    <w:p>
      <w:pPr>
        <w:pStyle w:val="FirstParagraph"/>
      </w:pPr>
      <w:r>
        <w:t xml:space="preserve">Die präklinische Charakterisierung von Dulaglutid (damals LY2189265) erfolgte an Zellen, Ratten, Mäusen und Javaneraffen</w:t>
      </w:r>
      <w:r>
        <w:rPr>
          <w:rStyle w:val="FootnoteReference"/>
        </w:rPr>
        <w:footnoteReference w:id="380"/>
      </w:r>
      <w:r>
        <w:t xml:space="preserve">. In Laborversuchen behielt das Fusionsprotein die volle Wirkung am GLP-1-Rezeptor. Bei diabetischen Mäusen verbesserte eine einzige Gabe die Zuckertoleranz; zweimal wöchentliche Gaben über vier Wochen senkten das Gewicht und verzögerten den Anstieg des Blutzuckers. Bei Affen hielt die Wirkung auf die Insulinausschüttung nach einer Dosis bis zu einer Woche an.</w:t>
      </w:r>
    </w:p>
    <w:p>
      <w:pPr>
        <w:pStyle w:val="BodyText"/>
      </w:pPr>
      <w:r>
        <w:t xml:space="preserve">Wie bei allen GLP-1-Rezeptor-Agonisten traten in Langzeitstudien an Nagetieren Veränderungen der C-Zellen der Schilddrüse auf; der Mechanismus und seine eingeschränkte Übertragbarkeit auf den Menschen sind im Kapitel Liraglutid beschrieben</w:t>
      </w:r>
      <w:r>
        <w:rPr>
          <w:rStyle w:val="FootnoteReference"/>
        </w:rPr>
        <w:footnoteReference w:id="381"/>
      </w:r>
      <w:r>
        <w:t xml:space="preserve">.</w:t>
      </w:r>
    </w:p>
    <w:bookmarkEnd w:id="382"/>
    <w:bookmarkStart w:id="392" w:name="risiken-und-nebenwirkungen-2"/>
    <w:p>
      <w:pPr>
        <w:pStyle w:val="Heading3"/>
      </w:pPr>
      <w:r>
        <w:t xml:space="preserve">Risiken und Nebenwirkungen</w:t>
      </w:r>
    </w:p>
    <w:p>
      <w:pPr>
        <w:pStyle w:val="FirstParagraph"/>
      </w:pPr>
      <w:r>
        <w:rPr>
          <w:bCs/>
          <w:b/>
        </w:rPr>
        <w:t xml:space="preserve">Belegt aus randomisierten Studien:</w:t>
      </w:r>
    </w:p>
    <w:p>
      <w:pPr>
        <w:numPr>
          <w:ilvl w:val="0"/>
          <w:numId w:val="1051"/>
        </w:numPr>
        <w:pStyle w:val="Compact"/>
      </w:pPr>
      <w:r>
        <w:rPr>
          <w:bCs/>
          <w:b/>
        </w:rPr>
        <w:t xml:space="preserve">Magen-Darm-Beschwerden:</w:t>
      </w:r>
      <w:r>
        <w:t xml:space="preserve"> </w:t>
      </w:r>
      <w:r>
        <w:t xml:space="preserve">Übelkeit, Durchfall und Erbrechen sind die häufigsten Nebenwirkungen. In REWIND meldeten 47,4 % der Behandelten Magen-Darm-Beschwerden gegenüber 34,1 % unter Placebo</w:t>
      </w:r>
      <w:r>
        <w:rPr>
          <w:rStyle w:val="FootnoteReference"/>
        </w:rPr>
        <w:footnoteReference w:id="383"/>
      </w:r>
      <w:r>
        <w:t xml:space="preserve">. Mit höheren Dosen nehmen sie zu</w:t>
      </w:r>
      <w:r>
        <w:rPr>
          <w:rStyle w:val="FootnoteReference"/>
        </w:rPr>
        <w:footnoteReference w:id="384"/>
      </w:r>
      <w:r>
        <w:t xml:space="preserve">.</w:t>
      </w:r>
    </w:p>
    <w:p>
      <w:pPr>
        <w:numPr>
          <w:ilvl w:val="0"/>
          <w:numId w:val="1051"/>
        </w:numPr>
        <w:pStyle w:val="Compact"/>
      </w:pPr>
      <w:r>
        <w:rPr>
          <w:bCs/>
          <w:b/>
        </w:rPr>
        <w:t xml:space="preserve">Unterzuckerung:</w:t>
      </w:r>
      <w:r>
        <w:t xml:space="preserve"> </w:t>
      </w:r>
      <w:r>
        <w:t xml:space="preserve">allein selten; in Kombination mit Insulin oder Sulfonylharnstoffen häufiger, aber seltener als unter Insulin allein</w:t>
      </w:r>
      <w:r>
        <w:rPr>
          <w:rStyle w:val="FootnoteReference"/>
        </w:rPr>
        <w:footnoteReference w:id="385"/>
      </w:r>
      <w:r>
        <w:t xml:space="preserve">.</w:t>
      </w:r>
    </w:p>
    <w:p>
      <w:pPr>
        <w:numPr>
          <w:ilvl w:val="0"/>
          <w:numId w:val="1051"/>
        </w:numPr>
        <w:pStyle w:val="Compact"/>
      </w:pPr>
      <w:r>
        <w:rPr>
          <w:bCs/>
          <w:b/>
        </w:rPr>
        <w:t xml:space="preserve">Bauchspeicheldrüsenenzyme:</w:t>
      </w:r>
      <w:r>
        <w:t xml:space="preserve"> </w:t>
      </w:r>
      <w:r>
        <w:t xml:space="preserve">In AWARD-2 stiegen die Enzyme der Bauchspeicheldrüse unter Dulaglutid an</w:t>
      </w:r>
      <w:r>
        <w:rPr>
          <w:rStyle w:val="FootnoteReference"/>
        </w:rPr>
        <w:footnoteReference w:id="386"/>
      </w:r>
      <w:r>
        <w:t xml:space="preserve">. Die klinische Bedeutung solcher Anstiege ohne Beschwerden ist unklar.</w:t>
      </w:r>
    </w:p>
    <w:p>
      <w:pPr>
        <w:numPr>
          <w:ilvl w:val="0"/>
          <w:numId w:val="1051"/>
        </w:numPr>
        <w:pStyle w:val="Compact"/>
      </w:pPr>
      <w:r>
        <w:rPr>
          <w:bCs/>
          <w:b/>
        </w:rPr>
        <w:t xml:space="preserve">Antikörper:</w:t>
      </w:r>
      <w:r>
        <w:t xml:space="preserve"> </w:t>
      </w:r>
      <w:r>
        <w:t xml:space="preserve">selten (1,6 % der Behandelten), ohne Häufung von Überempfindlichkeitsreaktionen</w:t>
      </w:r>
      <w:r>
        <w:rPr>
          <w:rStyle w:val="FootnoteReference"/>
        </w:rPr>
        <w:footnoteReference w:id="387"/>
      </w:r>
      <w:r>
        <w:t xml:space="preserve">.</w:t>
      </w:r>
    </w:p>
    <w:p>
      <w:pPr>
        <w:numPr>
          <w:ilvl w:val="0"/>
          <w:numId w:val="1051"/>
        </w:numPr>
        <w:pStyle w:val="Compact"/>
      </w:pPr>
      <w:r>
        <w:rPr>
          <w:bCs/>
          <w:b/>
        </w:rPr>
        <w:t xml:space="preserve">Gallenblase:</w:t>
      </w:r>
      <w:r>
        <w:t xml:space="preserve"> </w:t>
      </w:r>
      <w:r>
        <w:t xml:space="preserve">Für die gesamte Klasse ist ein erhöhtes Risiko für Gallensteine und Gallenblasenentzündung belegt</w:t>
      </w:r>
      <w:r>
        <w:rPr>
          <w:rStyle w:val="FootnoteReference"/>
        </w:rPr>
        <w:footnoteReference w:id="388"/>
      </w:r>
      <w:r>
        <w:t xml:space="preserve">; Details im Kapitel Liraglutid.</w:t>
      </w:r>
    </w:p>
    <w:p>
      <w:pPr>
        <w:pStyle w:val="FirstParagraph"/>
      </w:pPr>
      <w:r>
        <w:rPr>
          <w:bCs/>
          <w:b/>
        </w:rPr>
        <w:t xml:space="preserve">Untersucht, aber unsicher:</w:t>
      </w:r>
    </w:p>
    <w:p>
      <w:pPr>
        <w:numPr>
          <w:ilvl w:val="0"/>
          <w:numId w:val="1052"/>
        </w:numPr>
        <w:pStyle w:val="Compact"/>
      </w:pPr>
      <w:r>
        <w:rPr>
          <w:bCs/>
          <w:b/>
        </w:rPr>
        <w:t xml:space="preserve">Bauchspeicheldrüsenentzündung und -krebs:</w:t>
      </w:r>
      <w:r>
        <w:t xml:space="preserve"> </w:t>
      </w:r>
      <w:r>
        <w:t xml:space="preserve">In der Meta-Analyse der Endpunktstudien kein erhöhtes Risiko für die Klasse</w:t>
      </w:r>
      <w:r>
        <w:rPr>
          <w:rStyle w:val="FootnoteReference"/>
        </w:rPr>
        <w:footnoteReference w:id="389"/>
      </w:r>
      <w:r>
        <w:t xml:space="preserve">. Eine Pankreatitis steht dennoch als seltene Nebenwirkung in der Fachinformation.</w:t>
      </w:r>
    </w:p>
    <w:p>
      <w:pPr>
        <w:numPr>
          <w:ilvl w:val="0"/>
          <w:numId w:val="1052"/>
        </w:numPr>
        <w:pStyle w:val="Compact"/>
      </w:pPr>
      <w:r>
        <w:rPr>
          <w:bCs/>
          <w:b/>
        </w:rPr>
        <w:t xml:space="preserve">Schilddrüsenkrebs:</w:t>
      </w:r>
      <w:r>
        <w:t xml:space="preserve"> </w:t>
      </w:r>
      <w:r>
        <w:t xml:space="preserve">Signal in Beobachtungsstudien und Meta-Analysen für die gesamte Klasse</w:t>
      </w:r>
      <w:r>
        <w:rPr>
          <w:rStyle w:val="FootnoteReference"/>
        </w:rPr>
        <w:footnoteReference w:id="390"/>
      </w:r>
      <w:r>
        <w:t xml:space="preserve">, nicht spezifisch für Dulaglutid; siehe Kapitel Liraglutid und Teil IV.</w:t>
      </w:r>
    </w:p>
    <w:p>
      <w:pPr>
        <w:pStyle w:val="FirstParagraph"/>
      </w:pPr>
      <w:r>
        <w:rPr>
          <w:bCs/>
          <w:b/>
        </w:rPr>
        <w:t xml:space="preserve">Hinweise für die Praxis:</w:t>
      </w:r>
      <w:r>
        <w:t xml:space="preserve"> </w:t>
      </w:r>
      <w:r>
        <w:t xml:space="preserve">Dulaglutid verlangsamt die Magenentleerung, was bei Narkosen und Magenspiegelungen eine Rolle spielt; dazu läuft eine große Studie zur Frage, ob GLP-1-Rezeptor-Agonisten vor einer Magenspiegelung pausiert werden sollten</w:t>
      </w:r>
      <w:r>
        <w:rPr>
          <w:rStyle w:val="FootnoteReference"/>
        </w:rPr>
        <w:footnoteReference w:id="391"/>
      </w:r>
      <w:r>
        <w:t xml:space="preserve">. Maßgeblich sind die Fachinformation und die ärztliche Begleitung.</w:t>
      </w:r>
    </w:p>
    <w:bookmarkEnd w:id="392"/>
    <w:bookmarkStart w:id="393" w:name="rechtslage-2"/>
    <w:p>
      <w:pPr>
        <w:pStyle w:val="Heading3"/>
      </w:pPr>
      <w:r>
        <w:t xml:space="preserve">Rechtslage</w:t>
      </w:r>
    </w:p>
    <w:p>
      <w:pPr>
        <w:numPr>
          <w:ilvl w:val="0"/>
          <w:numId w:val="1053"/>
        </w:numPr>
        <w:pStyle w:val="Compact"/>
      </w:pPr>
      <w:r>
        <w:rPr>
          <w:bCs/>
          <w:b/>
        </w:rPr>
        <w:t xml:space="preserve">EU:</w:t>
      </w:r>
      <w:r>
        <w:t xml:space="preserve"> </w:t>
      </w:r>
      <w:r>
        <w:t xml:space="preserve">Trulicity ist seit 2014 zentral zur Behandlung des Typ-2-Diabetes zugelassen, inzwischen auch für Jugendliche ab 10 Jahren. Verschreibungspflichtig. Keine Zulassung zur Gewichtsreduktion.</w:t>
      </w:r>
    </w:p>
    <w:p>
      <w:pPr>
        <w:numPr>
          <w:ilvl w:val="0"/>
          <w:numId w:val="1053"/>
        </w:numPr>
        <w:pStyle w:val="Compact"/>
      </w:pPr>
      <w:r>
        <w:rPr>
          <w:bCs/>
          <w:b/>
        </w:rPr>
        <w:t xml:space="preserve">Deutschland und Österreich:</w:t>
      </w:r>
      <w:r>
        <w:t xml:space="preserve"> </w:t>
      </w:r>
      <w:r>
        <w:t xml:space="preserve">verschreibungspflichtig; bei Typ-2-Diabetes erstattungsfähig. In den Jahren ab 2022 kam es wie bei anderen GLP-1-Präparaten zeitweise zu Lieferengpässen (bitte aktuell prüfen).</w:t>
      </w:r>
    </w:p>
    <w:p>
      <w:pPr>
        <w:numPr>
          <w:ilvl w:val="0"/>
          <w:numId w:val="1053"/>
        </w:numPr>
        <w:pStyle w:val="Compact"/>
      </w:pPr>
      <w:r>
        <w:rPr>
          <w:bCs/>
          <w:b/>
        </w:rPr>
        <w:t xml:space="preserve">USA:</w:t>
      </w:r>
      <w:r>
        <w:t xml:space="preserve"> </w:t>
      </w:r>
      <w:r>
        <w:t xml:space="preserve">zugelassen für Typ-2-Diabetes ab 10 Jahren und zur Senkung des Herz-Kreislauf-Risikos.</w:t>
      </w:r>
    </w:p>
    <w:p>
      <w:pPr>
        <w:numPr>
          <w:ilvl w:val="0"/>
          <w:numId w:val="1053"/>
        </w:numPr>
        <w:pStyle w:val="Compact"/>
      </w:pPr>
      <w:r>
        <w:rPr>
          <w:bCs/>
          <w:b/>
        </w:rPr>
        <w:t xml:space="preserve">Generika:</w:t>
      </w:r>
      <w:r>
        <w:t xml:space="preserve"> </w:t>
      </w:r>
      <w:r>
        <w:t xml:space="preserve">Da Dulaglutid ein gentechnisch hergestelltes Fusionsprotein ist, wären Nachahmerpräparate Biosimilars mit aufwendigerem Zulassungsverfahren als bei Liraglutid oder Semaglutid. Zum Zeitpunkt der Drucklegung ist in der EU nach bestem Wissen kein Biosimilar im Handel (bitte aktuell prüfen).</w:t>
      </w:r>
    </w:p>
    <w:p>
      <w:pPr>
        <w:numPr>
          <w:ilvl w:val="0"/>
          <w:numId w:val="1053"/>
        </w:numPr>
        <w:pStyle w:val="Compact"/>
      </w:pPr>
      <w:r>
        <w:rPr>
          <w:bCs/>
          <w:b/>
        </w:rPr>
        <w:t xml:space="preserve">Sport (WADA):</w:t>
      </w:r>
      <w:r>
        <w:t xml:space="preserve"> </w:t>
      </w:r>
      <w:r>
        <w:t xml:space="preserve">nicht gelistet (Stand 2026, bitte aktuell prüfen).</w:t>
      </w:r>
    </w:p>
    <w:p>
      <w:pPr>
        <w:numPr>
          <w:ilvl w:val="0"/>
          <w:numId w:val="1053"/>
        </w:numPr>
        <w:pStyle w:val="Compact"/>
      </w:pPr>
      <w:r>
        <w:rPr>
          <w:bCs/>
          <w:b/>
        </w:rPr>
        <w:t xml:space="preserve">Graumarkt:</w:t>
      </w:r>
      <w:r>
        <w:t xml:space="preserve"> </w:t>
      </w:r>
      <w:r>
        <w:t xml:space="preserve">Dulaglutid spielt im Graumarkt praktisch keine Rolle, weil ein großes Fusionsprotein nicht wie kleine Peptide synthetisch hergestellt werden kann.</w:t>
      </w:r>
    </w:p>
    <w:bookmarkEnd w:id="393"/>
    <w:bookmarkStart w:id="400" w:name="laufende-studien-und-ausblick-2"/>
    <w:p>
      <w:pPr>
        <w:pStyle w:val="Heading3"/>
      </w:pPr>
      <w:r>
        <w:t xml:space="preserve">Laufende Studien und Ausblick</w:t>
      </w:r>
    </w:p>
    <w:p>
      <w:pPr>
        <w:pStyle w:val="FirstParagraph"/>
      </w:pPr>
      <w:r>
        <w:rPr>
          <w:bCs/>
          <w:b/>
        </w:rPr>
        <w:t xml:space="preserve">Gesichert (registrierte Studien):</w:t>
      </w:r>
    </w:p>
    <w:p>
      <w:pPr>
        <w:numPr>
          <w:ilvl w:val="0"/>
          <w:numId w:val="1054"/>
        </w:numPr>
        <w:pStyle w:val="Compact"/>
      </w:pPr>
      <w:r>
        <w:rPr>
          <w:bCs/>
          <w:b/>
        </w:rPr>
        <w:t xml:space="preserve">Kinder und Jugendliche:</w:t>
      </w:r>
      <w:r>
        <w:t xml:space="preserve"> </w:t>
      </w:r>
      <w:r>
        <w:t xml:space="preserve">Lilly prüft die höheren Dosen 3,0 und 4,5 mg bei Jugendlichen mit Typ-2-Diabetes</w:t>
      </w:r>
      <w:r>
        <w:rPr>
          <w:rStyle w:val="FootnoteReference"/>
        </w:rPr>
        <w:footnoteReference w:id="394"/>
      </w:r>
      <w:r>
        <w:t xml:space="preserve"> </w:t>
      </w:r>
      <w:r>
        <w:t xml:space="preserve">und vergleicht die Tablette Orforglipron mit Dulaglutid in dieser Altersgruppe</w:t>
      </w:r>
      <w:r>
        <w:rPr>
          <w:rStyle w:val="FootnoteReference"/>
        </w:rPr>
        <w:footnoteReference w:id="395"/>
      </w:r>
      <w:r>
        <w:t xml:space="preserve">.</w:t>
      </w:r>
    </w:p>
    <w:p>
      <w:pPr>
        <w:numPr>
          <w:ilvl w:val="0"/>
          <w:numId w:val="1054"/>
        </w:numPr>
        <w:pStyle w:val="Compact"/>
      </w:pPr>
      <w:r>
        <w:rPr>
          <w:bCs/>
          <w:b/>
        </w:rPr>
        <w:t xml:space="preserve">Gefäße und Operationen:</w:t>
      </w:r>
      <w:r>
        <w:t xml:space="preserve"> </w:t>
      </w:r>
      <w:r>
        <w:t xml:space="preserve">Eine Studie untersucht Dulaglutid bei schwerer Verengung der Hirngefäße</w:t>
      </w:r>
      <w:r>
        <w:rPr>
          <w:rStyle w:val="FootnoteReference"/>
        </w:rPr>
        <w:footnoteReference w:id="396"/>
      </w:r>
      <w:r>
        <w:t xml:space="preserve">, eine weitere, ob es Herzmuskelschäden nach nicht-herzchirurgischen Operationen verringert</w:t>
      </w:r>
      <w:r>
        <w:rPr>
          <w:rStyle w:val="FootnoteReference"/>
        </w:rPr>
        <w:footnoteReference w:id="397"/>
      </w:r>
      <w:r>
        <w:t xml:space="preserve">.</w:t>
      </w:r>
    </w:p>
    <w:p>
      <w:pPr>
        <w:numPr>
          <w:ilvl w:val="0"/>
          <w:numId w:val="1054"/>
        </w:numPr>
        <w:pStyle w:val="Compact"/>
      </w:pPr>
      <w:r>
        <w:rPr>
          <w:bCs/>
          <w:b/>
        </w:rPr>
        <w:t xml:space="preserve">Mukoviszidose:</w:t>
      </w:r>
      <w:r>
        <w:t xml:space="preserve"> </w:t>
      </w:r>
      <w:r>
        <w:t xml:space="preserve">Eine kleine Phase-2-Studie untersucht Dulaglutid bei gestörter Zuckerverwertung infolge der Erkrankung</w:t>
      </w:r>
      <w:r>
        <w:rPr>
          <w:rStyle w:val="FootnoteReference"/>
        </w:rPr>
        <w:footnoteReference w:id="398"/>
      </w:r>
      <w:r>
        <w:t xml:space="preserve">.</w:t>
      </w:r>
    </w:p>
    <w:p>
      <w:pPr>
        <w:numPr>
          <w:ilvl w:val="0"/>
          <w:numId w:val="1054"/>
        </w:numPr>
        <w:pStyle w:val="Compact"/>
      </w:pPr>
      <w:r>
        <w:rPr>
          <w:bCs/>
          <w:b/>
        </w:rPr>
        <w:t xml:space="preserve">Als Vergleich:</w:t>
      </w:r>
      <w:r>
        <w:t xml:space="preserve"> </w:t>
      </w:r>
      <w:r>
        <w:t xml:space="preserve">Zahlreiche neue Wirkstoffe werden in Phase-3-Studien gegen Dulaglutid geprüft, darunter das Exendin-4-Fusionsprotein JY09</w:t>
      </w:r>
      <w:r>
        <w:rPr>
          <w:rStyle w:val="FootnoteReference"/>
        </w:rPr>
        <w:footnoteReference w:id="399"/>
      </w:r>
      <w:r>
        <w:t xml:space="preserve">.</w:t>
      </w:r>
    </w:p>
    <w:p>
      <w:pPr>
        <w:pStyle w:val="FirstParagraph"/>
      </w:pPr>
      <w:r>
        <w:rPr>
          <w:bCs/>
          <w:b/>
        </w:rPr>
        <w:t xml:space="preserve">Einschätzung:</w:t>
      </w:r>
      <w:r>
        <w:t xml:space="preserve"> </w:t>
      </w:r>
      <w:r>
        <w:t xml:space="preserve">Dulaglutid ist ein solider, gut untersuchter Wirkstoff mit nachgewiesenem Herz-Kreislauf-Nutzen, der aber bei Blutzucker und Gewicht von Semaglutid und Tirzepatid übertroffen wird. Seine Rolle dürfte sich zunehmend auf die eines Vergleichsstandards in Studien verlagern. Da Lilly mit Tirzepatid und Orforglipron eigene Nachfolger anbietet, ist eine weitere Entwicklung von Dulaglutid für neue Anwendungsgebiete wenig wahrscheinlich.</w:t>
      </w:r>
    </w:p>
    <w:bookmarkEnd w:id="400"/>
    <w:bookmarkStart w:id="401" w:name="fazit-2"/>
    <w:p>
      <w:pPr>
        <w:pStyle w:val="Heading3"/>
      </w:pPr>
      <w:r>
        <w:t xml:space="preserve">Fazit</w:t>
      </w:r>
    </w:p>
    <w:p>
      <w:pPr>
        <w:pStyle w:val="FirstParagraph"/>
      </w:pPr>
      <w:r>
        <w:t xml:space="preserve">Dulaglutid ist ein wöchentlich gespritztes GLP-1-Fusionsprotein, das im AWARD-Programm gegen fast alle gängigen Diabetesmittel geprüft wurde. Es senkte den Langzeitzucker etwa so stark wie Liraglutid und stärker als Exenatid, Sitagliptin oder Metformin, unterlag aber in SUSTAIN 7 Semaglutid, besonders beim Gewicht. In REWIND mit 9.901 Teilnehmenden, darunter vielen ohne bekannte Herz-Kreislauf-Erkrankung, verringerte es schwere Herz-Kreislauf-Ereignisse um 12 %. Die Nebenwirkungen entsprechen der Klasse; Antikörper sind selten. Zur Gewichtsreduktion ist es nicht zugelassen, und die Behandlung gehört in ärztliche Hände.</w:t>
      </w:r>
    </w:p>
    <w:bookmarkEnd w:id="401"/>
    <w:bookmarkEnd w:id="402"/>
    <w:bookmarkStart w:id="477" w:name="semaglutid"/>
    <w:p>
      <w:pPr>
        <w:pStyle w:val="Heading2"/>
      </w:pPr>
      <w:r>
        <w:t xml:space="preserve">Semaglutid</w:t>
      </w:r>
    </w:p>
    <w:bookmarkStart w:id="404" w:name="steckbrief-3"/>
    <w:p>
      <w:pPr>
        <w:pStyle w:val="Heading3"/>
      </w:pPr>
      <w:r>
        <w:t xml:space="preserve">Steckbrief</w:t>
      </w:r>
    </w:p>
    <w:p>
      <w:pPr>
        <w:numPr>
          <w:ilvl w:val="0"/>
          <w:numId w:val="1055"/>
        </w:numPr>
        <w:pStyle w:val="Compact"/>
      </w:pPr>
      <w:r>
        <w:rPr>
          <w:bCs/>
          <w:b/>
        </w:rPr>
        <w:t xml:space="preserve">Art/Struktur:</w:t>
      </w:r>
      <w:r>
        <w:t xml:space="preserve"> </w:t>
      </w:r>
      <w:r>
        <w:t xml:space="preserve">Abgewandeltes menschliches GLP-1 aus 31 Aminosäuren. Gegenüber dem körpereigenen Hormon sind zwei Aminosäuren ausgetauscht; an einer dritten Stelle hängt über einen Verbindungsbaustein eine Fettsäurekette, die das Molekül stark an das Bluteiweiß Albumin bindet</w:t>
      </w:r>
      <w:r>
        <w:rPr>
          <w:rStyle w:val="FootnoteReference"/>
        </w:rPr>
        <w:footnoteReference w:id="403"/>
      </w:r>
      <w:r>
        <w:t xml:space="preserve">.</w:t>
      </w:r>
    </w:p>
    <w:p>
      <w:pPr>
        <w:numPr>
          <w:ilvl w:val="0"/>
          <w:numId w:val="1055"/>
        </w:numPr>
        <w:pStyle w:val="Compact"/>
      </w:pPr>
      <w:r>
        <w:rPr>
          <w:bCs/>
          <w:b/>
        </w:rPr>
        <w:t xml:space="preserve">Herkunft:</w:t>
      </w:r>
      <w:r>
        <w:t xml:space="preserve"> </w:t>
      </w:r>
      <w:r>
        <w:t xml:space="preserve">entwickelt von Novo Nordisk als Weiterentwicklung von Liraglutid.</w:t>
      </w:r>
    </w:p>
    <w:p>
      <w:pPr>
        <w:numPr>
          <w:ilvl w:val="0"/>
          <w:numId w:val="1055"/>
        </w:numPr>
        <w:pStyle w:val="Compact"/>
      </w:pPr>
      <w:r>
        <w:rPr>
          <w:bCs/>
          <w:b/>
        </w:rPr>
        <w:t xml:space="preserve">Wirkprinzip:</w:t>
      </w:r>
      <w:r>
        <w:t xml:space="preserve"> </w:t>
      </w:r>
      <w:r>
        <w:t xml:space="preserve">GLP-1-Rezeptor-Agonist mit sehr langer Wirkdauer – eine Spritze pro Woche oder eine Tablette pro Tag.</w:t>
      </w:r>
    </w:p>
    <w:p>
      <w:pPr>
        <w:numPr>
          <w:ilvl w:val="0"/>
          <w:numId w:val="1055"/>
        </w:numPr>
        <w:pStyle w:val="Compact"/>
      </w:pPr>
      <w:r>
        <w:rPr>
          <w:bCs/>
          <w:b/>
        </w:rPr>
        <w:t xml:space="preserve">Präparate:</w:t>
      </w:r>
      <w:r>
        <w:t xml:space="preserve"> </w:t>
      </w:r>
      <w:r>
        <w:t xml:space="preserve">Ozempic (Spritze, Typ-2-Diabetes), Wegovy (Spritze, Gewichtsmanagement und Herz-Kreislauf-Risikosenkung), Rybelsus (Tablette, Typ-2-Diabetes). In den USA ist seit Ende 2025 auch eine Wegovy-Tablette zum Gewichtsmanagement zugelassen (bitte aktuell prüfen).</w:t>
      </w:r>
    </w:p>
    <w:p>
      <w:pPr>
        <w:numPr>
          <w:ilvl w:val="0"/>
          <w:numId w:val="1055"/>
        </w:numPr>
        <w:pStyle w:val="Compact"/>
      </w:pPr>
      <w:r>
        <w:rPr>
          <w:bCs/>
          <w:b/>
        </w:rPr>
        <w:t xml:space="preserve">Zulassung EU:</w:t>
      </w:r>
      <w:r>
        <w:t xml:space="preserve"> </w:t>
      </w:r>
      <w:r>
        <w:t xml:space="preserve">ja – Typ-2-Diabetes (Spritze seit 2018, Tablette seit 2020), Gewichtsmanagement (seit 2022, auch für Jugendliche ab 12 Jahren).</w:t>
      </w:r>
    </w:p>
    <w:p>
      <w:pPr>
        <w:numPr>
          <w:ilvl w:val="0"/>
          <w:numId w:val="1055"/>
        </w:numPr>
        <w:pStyle w:val="Compact"/>
      </w:pPr>
      <w:r>
        <w:rPr>
          <w:bCs/>
          <w:b/>
        </w:rPr>
        <w:t xml:space="preserve">Zulassung USA:</w:t>
      </w:r>
      <w:r>
        <w:t xml:space="preserve"> </w:t>
      </w:r>
      <w:r>
        <w:t xml:space="preserve">ja – Typ-2-Diabetes, Gewichtsmanagement, Senkung des Herz-Kreislauf-Risikos bei Übergewicht mit Herz-Kreislauf-Erkrankung, Nierenschutz bei Typ-2-Diabetes und chronischer Nierenerkrankung sowie Fettleberentzündung (MASH) mit Fibrose.</w:t>
      </w:r>
    </w:p>
    <w:p>
      <w:pPr>
        <w:numPr>
          <w:ilvl w:val="0"/>
          <w:numId w:val="1055"/>
        </w:numPr>
        <w:pStyle w:val="Compact"/>
      </w:pPr>
      <w:r>
        <w:rPr>
          <w:bCs/>
          <w:b/>
        </w:rPr>
        <w:t xml:space="preserve">WADA:</w:t>
      </w:r>
      <w:r>
        <w:t xml:space="preserve"> </w:t>
      </w:r>
      <w:r>
        <w:t xml:space="preserve">nicht gelistet.</w:t>
      </w:r>
    </w:p>
    <w:p>
      <w:pPr>
        <w:numPr>
          <w:ilvl w:val="0"/>
          <w:numId w:val="1055"/>
        </w:numPr>
        <w:pStyle w:val="Compact"/>
      </w:pPr>
      <w:r>
        <w:rPr>
          <w:bCs/>
          <w:b/>
        </w:rPr>
        <w:t xml:space="preserve">Evidenzstufe:</w:t>
      </w:r>
      <w:r>
        <w:t xml:space="preserve"> </w:t>
      </w:r>
      <w:r>
        <w:rPr>
          <w:bCs/>
          <w:b/>
        </w:rPr>
        <w:t xml:space="preserve">A</w:t>
      </w:r>
      <w:r>
        <w:t xml:space="preserve"> </w:t>
      </w:r>
      <w:r>
        <w:t xml:space="preserve">– vier große Zulassungsprogramme (SUSTAIN, PIONEER, STEP, OASIS), mehrere Endpunktstudien mit zusammen über 40.000 Teilnehmenden.</w:t>
      </w:r>
    </w:p>
    <w:bookmarkEnd w:id="404"/>
    <w:bookmarkStart w:id="407" w:name="wie-es-wirken-soll-3"/>
    <w:p>
      <w:pPr>
        <w:pStyle w:val="Heading3"/>
      </w:pPr>
      <w:r>
        <w:t xml:space="preserve">Wie es wirken soll</w:t>
      </w:r>
    </w:p>
    <w:p>
      <w:pPr>
        <w:pStyle w:val="FirstParagraph"/>
      </w:pPr>
      <w:r>
        <w:t xml:space="preserve">Semaglutid wirkt wie das Darmhormon GLP-1: Es verstärkt die zuckerabhängige Insulinausschüttung, hemmt das blutzuckersteigernde Glukagon, verlangsamt die Magenentleerung und dämpft im Gehirn Hunger und das Verlangen nach Essen. Der Grundmechanismus der Klasse ist im Kapitel Exenatid erklärt.</w:t>
      </w:r>
    </w:p>
    <w:p>
      <w:pPr>
        <w:pStyle w:val="BodyText"/>
      </w:pPr>
      <w:r>
        <w:t xml:space="preserve">Das Neue an Semaglutid ist die Haltbarkeit. Die Entwickler gingen von Liraglutid aus und veränderten zwei Dinge</w:t>
      </w:r>
      <w:r>
        <w:rPr>
          <w:rStyle w:val="FootnoteReference"/>
        </w:rPr>
        <w:footnoteReference w:id="405"/>
      </w:r>
      <w:r>
        <w:t xml:space="preserve">: Ein Aminosäureaustausch an Position 8 macht das Molekül vollständig unempfindlich gegen das Abbauenzym DPP-4. Und eine längere Fettsäurekette mit einem anderen Verbindungsstück bindet deutlich fester an Albumin. Dadurch wird Semaglutid nur langsam freigesetzt und ausgeschieden. Bei Minischweinen lag die Halbwertszeit nach Gabe in die Vene bei 46,1 Stunden; beim Menschen ist sie noch länger und erlaubt eine Spritze pro Woche.</w:t>
      </w:r>
    </w:p>
    <w:p>
      <w:pPr>
        <w:pStyle w:val="BodyText"/>
      </w:pPr>
      <w:r>
        <w:t xml:space="preserve">Für die Gewichtsabnahme sind vor allem Wirkungen im Gehirn entscheidend. Semaglutid verringert die Nahrungsaufnahme, das Hungergefühl und die Lust auf besonders fett- und zuckerreiche Speisen. Ein nennenswert höherer Energieverbrauch ist nicht belegt.</w:t>
      </w:r>
    </w:p>
    <w:p>
      <w:pPr>
        <w:pStyle w:val="BodyText"/>
      </w:pPr>
      <w:r>
        <w:rPr>
          <w:bCs/>
          <w:b/>
        </w:rPr>
        <w:t xml:space="preserve">Die Tablette:</w:t>
      </w:r>
      <w:r>
        <w:t xml:space="preserve"> </w:t>
      </w:r>
      <w:r>
        <w:t xml:space="preserve">Peptide werden im Magen normalerweise verdaut und kaum aufgenommen. Für Rybelsus wird Semaglutid mit dem Hilfsstoff SNAC kombiniert. Dieser puffert die Magensäure direkt an der Tablettenoberfläche, schützt so vor Abbau und erleichtert für kurze Zeit die Aufnahme durch die Magenschleimhaut – in Untersuchungen an Menschen und Hunden ausschließlich im Magen, nicht im Darm</w:t>
      </w:r>
      <w:r>
        <w:rPr>
          <w:rStyle w:val="FootnoteReference"/>
        </w:rPr>
        <w:footnoteReference w:id="406"/>
      </w:r>
      <w:r>
        <w:t xml:space="preserve">. Trotzdem gelangt nur ein sehr kleiner Bruchteil des Wirkstoffs ins Blut. Die Tablette enthält deshalb ein Vielfaches der Spritzendosis und muss nüchtern mit wenig Wasser eingenommen werden; die Fachinformation regelt die Einzelheiten.</w:t>
      </w:r>
    </w:p>
    <w:bookmarkEnd w:id="407"/>
    <w:bookmarkStart w:id="448" w:name="studien-am-menschen-3"/>
    <w:p>
      <w:pPr>
        <w:pStyle w:val="Heading3"/>
      </w:pPr>
      <w:r>
        <w:t xml:space="preserve">Studien am Menschen</w:t>
      </w:r>
    </w:p>
    <w:p>
      <w:pPr>
        <w:pStyle w:val="FirstParagraph"/>
      </w:pPr>
      <w:r>
        <w:t xml:space="preserve">Semaglutid ist der derzeit meistuntersuchte Wirkstoff seiner Klasse. Die für dieses Buch ausgewertete PubMed-Abfrage (Suchbegriff „semaglutide“ in Titel oder Abstract, Abfragedatum Oktober 2026) ergab 342 Humanstudien. Diese Zahl unterschätzt die tatsächliche Forschungsmenge, weil viele Auswertungen großer Studien unter deren Namen veröffentlicht sind. Auf ClinicalTrials.gov sind 793 Registereinträge verzeichnet – mehr als für jedes andere Peptid in diesem Buch.</w:t>
      </w:r>
    </w:p>
    <w:p>
      <w:pPr>
        <w:pStyle w:val="BodyText"/>
      </w:pPr>
      <w:r>
        <w:t xml:space="preserve">Die Studien lassen sich in vier Programme gliedern: SUSTAIN (Spritze bei Typ-2-Diabetes), PIONEER (Tablette bei Typ-2-Diabetes), STEP (Spritze bei Adipositas) und OASIS (Tablette bei Adipositas). Dazu kommen große Endpunktstudien zu Herz (SUSTAIN 6, PIONEER 6, SOUL, SELECT), Nieren (FLOW), Leber (ESSENCE), Herzschwäche, Gelenken und Gehirn (evoke).</w:t>
      </w:r>
    </w:p>
    <w:bookmarkStart w:id="411" w:name="typ-2-diabetes-mit-der-spritze-sustain"/>
    <w:p>
      <w:pPr>
        <w:pStyle w:val="Heading4"/>
      </w:pPr>
      <w:r>
        <w:t xml:space="preserve">Typ-2-Diabetes mit der Spritze: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SUSTAIN 1 (Sorli 2017), PMID 28110911</w:t>
            </w:r>
          </w:p>
        </w:tc>
        <w:tc>
          <w:tcPr/>
          <w:p>
            <w:pPr>
              <w:pStyle w:val="Compact"/>
              <w:jc w:val="left"/>
            </w:pPr>
            <w:r>
              <w:t xml:space="preserve">388 Personen, Monotherapie vs. Placebo</w:t>
            </w:r>
          </w:p>
        </w:tc>
        <w:tc>
          <w:tcPr/>
          <w:p>
            <w:pPr>
              <w:pStyle w:val="Compact"/>
              <w:jc w:val="left"/>
            </w:pPr>
            <w:r>
              <w:t xml:space="preserve">30 Wochen</w:t>
            </w:r>
          </w:p>
        </w:tc>
        <w:tc>
          <w:tcPr/>
          <w:p>
            <w:pPr>
              <w:pStyle w:val="Compact"/>
              <w:jc w:val="left"/>
            </w:pPr>
            <w:r>
              <w:t xml:space="preserve">HbA1c −1,55 (1,0 mg) vs. −0,02 Prozentpunkte; Gewicht −4,53 vs. −0,98 kg</w:t>
            </w:r>
          </w:p>
        </w:tc>
      </w:tr>
      <w:tr>
        <w:tc>
          <w:tcPr/>
          <w:p>
            <w:pPr>
              <w:pStyle w:val="Compact"/>
              <w:jc w:val="left"/>
            </w:pPr>
            <w:r>
              <w:t xml:space="preserve">SUSTAIN FORTE (Frías 2021), PMID 34293304</w:t>
            </w:r>
          </w:p>
        </w:tc>
        <w:tc>
          <w:tcPr/>
          <w:p>
            <w:pPr>
              <w:pStyle w:val="Compact"/>
              <w:jc w:val="left"/>
            </w:pPr>
            <w:r>
              <w:t xml:space="preserve">961 Personen; 2,0 mg vs. 1,0 mg</w:t>
            </w:r>
          </w:p>
        </w:tc>
        <w:tc>
          <w:tcPr/>
          <w:p>
            <w:pPr>
              <w:pStyle w:val="Compact"/>
              <w:jc w:val="left"/>
            </w:pPr>
            <w:r>
              <w:t xml:space="preserve">40 Wochen</w:t>
            </w:r>
          </w:p>
        </w:tc>
        <w:tc>
          <w:tcPr/>
          <w:p>
            <w:pPr>
              <w:pStyle w:val="Compact"/>
              <w:jc w:val="left"/>
            </w:pPr>
            <w:r>
              <w:t xml:space="preserve">HbA1c −2,2 vs. −1,9; Gewicht −6,9 vs. −6,0 kg</w:t>
            </w:r>
          </w:p>
        </w:tc>
      </w:tr>
      <w:tr>
        <w:tc>
          <w:tcPr/>
          <w:p>
            <w:pPr>
              <w:pStyle w:val="Compact"/>
              <w:jc w:val="left"/>
            </w:pPr>
            <w:r>
              <w:t xml:space="preserve">SUSTAIN 6 (Marso 2016), PMID 27633186</w:t>
            </w:r>
          </w:p>
        </w:tc>
        <w:tc>
          <w:tcPr/>
          <w:p>
            <w:pPr>
              <w:pStyle w:val="Compact"/>
              <w:jc w:val="left"/>
            </w:pPr>
            <w:r>
              <w:t xml:space="preserve">3.297 Personen mit hohem Herz-Kreislauf-Risiko, vs. Placebo</w:t>
            </w:r>
          </w:p>
        </w:tc>
        <w:tc>
          <w:tcPr/>
          <w:p>
            <w:pPr>
              <w:pStyle w:val="Compact"/>
              <w:jc w:val="left"/>
            </w:pPr>
            <w:r>
              <w:t xml:space="preserve">104 Wochen</w:t>
            </w:r>
          </w:p>
        </w:tc>
        <w:tc>
          <w:tcPr/>
          <w:p>
            <w:pPr>
              <w:pStyle w:val="Compact"/>
              <w:jc w:val="left"/>
            </w:pPr>
            <w:r>
              <w:t xml:space="preserve">Schwere Herz-Kreislauf-Ereignisse 6,6 % vs. 8,9 %; HR 0,74</w:t>
            </w:r>
          </w:p>
        </w:tc>
      </w:tr>
    </w:tbl>
    <w:p>
      <w:pPr>
        <w:pStyle w:val="BodyText"/>
      </w:pPr>
      <w:r>
        <w:t xml:space="preserve">Schon die Monotherapie-Studie SUSTAIN 1</w:t>
      </w:r>
      <w:r>
        <w:rPr>
          <w:rStyle w:val="FootnoteReference"/>
        </w:rPr>
        <w:footnoteReference w:id="408"/>
      </w:r>
      <w:r>
        <w:t xml:space="preserve"> </w:t>
      </w:r>
      <w:r>
        <w:t xml:space="preserve">zeigte, dass Semaglutid den Langzeitzucker HbA1c um rund 1,5 Prozentpunkte senkt. In späteren Studien mit Teilnehmenden, die höhere Ausgangswerte hatten, fiel die Senkung größer aus; mit der Dosis von 2,0 mg erreichte sie in SUSTAIN FORTE 2,2 Prozentpunkte</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war als Sicherheitsstudie angelegt, zeigte aber einen deutlichen Vorteil: Tod durch Herz-Kreislauf-Ursache, nicht tödlicher Herzinfarkt oder Schlaganfall traten bei 108 von 1.648 Personen unter Semaglutid (6,6 %) gegenüber 146 von 1.649 unter Placebo (8,9 %) auf. Schlaganfälle waren signifikant seltener (1,6 % vs. 2,7 %). Zugleich fiel ein Warnsignal auf: Komplikationen der diabetischen Netzhauterkrankung (Retinopathie) – etwa Glaskörperblutungen oder behandlungsbedürftige Befunde – waren unter Semaglutid häufiger (HR 1,76). Dieses Signal wird im Abschnitt Risiken besprochen.</w:t>
      </w:r>
    </w:p>
    <w:bookmarkEnd w:id="411"/>
    <w:bookmarkStart w:id="417" w:name="Xcd42628162e9f46293b12beb236572a406c47cb"/>
    <w:p>
      <w:pPr>
        <w:pStyle w:val="Heading4"/>
      </w:pPr>
      <w:r>
        <w:t xml:space="preserve">Direktvergleiche innerhalb der GLP-1-Klasse</w:t>
      </w:r>
    </w:p>
    <w:p>
      <w:pPr>
        <w:pStyle w:val="FirstParagraph"/>
      </w:pPr>
      <w:r>
        <w:t xml:space="preserve">Semaglutid ist in direkten Vergleichsstudien gegen alle älteren GLP-1-Rezeptor-Agonisten angetreten und hat jeden davon übertroffen.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(Semaglutid vs. Vergleich)</w:t>
            </w:r>
          </w:p>
        </w:tc>
      </w:tr>
      <w:tr>
        <w:tc>
          <w:tcPr/>
          <w:p>
            <w:pPr>
              <w:pStyle w:val="Compact"/>
              <w:jc w:val="left"/>
            </w:pPr>
            <w:r>
              <w:t xml:space="preserve">SUSTAIN 3 (Ahmann 2018), PMID 29246950</w:t>
            </w:r>
          </w:p>
        </w:tc>
        <w:tc>
          <w:tcPr/>
          <w:p>
            <w:pPr>
              <w:pStyle w:val="Compact"/>
              <w:jc w:val="left"/>
            </w:pPr>
            <w:r>
              <w:t xml:space="preserve">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SUSTAIN 7 (Pratley 2018), PMID 29397376</w:t>
            </w:r>
          </w:p>
        </w:tc>
        <w:tc>
          <w:tcPr/>
          <w:p>
            <w:pPr>
              <w:pStyle w:val="Compact"/>
              <w:jc w:val="left"/>
            </w:pPr>
            <w:r>
              <w:t xml:space="preserve">1.201 Personen; 0,5/1,0 mg vs. Dulaglutid 0,75/1,5 mg</w:t>
            </w:r>
          </w:p>
        </w:tc>
        <w:tc>
          <w:tcPr/>
          <w:p>
            <w:pPr>
              <w:pStyle w:val="Compact"/>
              <w:jc w:val="left"/>
            </w:pPr>
            <w:r>
              <w:t xml:space="preserve">40 Wochen</w:t>
            </w:r>
          </w:p>
        </w:tc>
        <w:tc>
          <w:tcPr/>
          <w:p>
            <w:pPr>
              <w:pStyle w:val="Compact"/>
              <w:jc w:val="left"/>
            </w:pPr>
            <w:r>
              <w:t xml:space="preserve">HbA1c −1,8 vs. −1,4; Gewicht −6,5 vs. −3,0 kg (hohe Dosen)</w:t>
            </w:r>
          </w:p>
        </w:tc>
      </w:tr>
      <w:tr>
        <w:tc>
          <w:tcPr/>
          <w:p>
            <w:pPr>
              <w:pStyle w:val="Compact"/>
              <w:jc w:val="left"/>
            </w:pPr>
            <w:r>
              <w:t xml:space="preserve">SUSTAIN 10 (Capehorn 2020), PMID 31539622</w:t>
            </w:r>
          </w:p>
        </w:tc>
        <w:tc>
          <w:tcPr/>
          <w:p>
            <w:pPr>
              <w:pStyle w:val="Compact"/>
              <w:jc w:val="left"/>
            </w:pPr>
            <w:r>
              <w:t xml:space="preserve">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PIONEER 4 (Pratley 2019), PMID 31186120</w:t>
            </w:r>
          </w:p>
        </w:tc>
        <w:tc>
          <w:tcPr/>
          <w:p>
            <w:pPr>
              <w:pStyle w:val="Compact"/>
              <w:jc w:val="left"/>
            </w:pPr>
            <w:r>
              <w:t xml:space="preserve">711 Personen; Tablette 14 mg vs. Liraglutid-Spritze 1,8 mg vs. Placebo</w:t>
            </w:r>
          </w:p>
        </w:tc>
        <w:tc>
          <w:tcPr/>
          <w:p>
            <w:pPr>
              <w:pStyle w:val="Compact"/>
              <w:jc w:val="left"/>
            </w:pPr>
            <w:r>
              <w:t xml:space="preserve">52 Wochen (Hauptauswertung nach 26 Wochen)</w:t>
            </w:r>
          </w:p>
        </w:tc>
        <w:tc>
          <w:tcPr/>
          <w:p>
            <w:pPr>
              <w:pStyle w:val="Compact"/>
              <w:jc w:val="left"/>
            </w:pPr>
            <w:r>
              <w:t xml:space="preserve">HbA1c −1,2 vs. −1,1 (nicht unterlegen); Gewicht −4,4 vs. −3,1 kg</w:t>
            </w:r>
          </w:p>
        </w:tc>
      </w:tr>
      <w:tr>
        <w:tc>
          <w:tcPr/>
          <w:p>
            <w:pPr>
              <w:pStyle w:val="Compact"/>
              <w:jc w:val="left"/>
            </w:pPr>
            <w:r>
              <w:t xml:space="preserve">STEP 8 (Rubino 2022), PMID 35015037</w:t>
            </w:r>
          </w:p>
        </w:tc>
        <w:tc>
          <w:tcPr/>
          <w:p>
            <w:pPr>
              <w:pStyle w:val="Compact"/>
              <w:jc w:val="left"/>
            </w:pPr>
            <w:r>
              <w:t xml:space="preserve">338 Personen mit Adipositas ohne Diabetes; 2,4 mg vs. Liraglutid 3,0 mg</w:t>
            </w:r>
          </w:p>
        </w:tc>
        <w:tc>
          <w:tcPr/>
          <w:p>
            <w:pPr>
              <w:pStyle w:val="Compact"/>
              <w:jc w:val="left"/>
            </w:pPr>
            <w:r>
              <w:t xml:space="preserve">68 Wochen</w:t>
            </w:r>
          </w:p>
        </w:tc>
        <w:tc>
          <w:tcPr/>
          <w:p>
            <w:pPr>
              <w:pStyle w:val="Compact"/>
              <w:jc w:val="left"/>
            </w:pPr>
            <w:r>
              <w:t xml:space="preserve">Gewicht −15,8 % vs. −6,4 %</w:t>
            </w:r>
          </w:p>
        </w:tc>
      </w:tr>
    </w:tbl>
    <w:p>
      <w:pPr>
        <w:pStyle w:val="BodyText"/>
      </w:pPr>
      <w:r>
        <w:t xml:space="preserve">Die Unterschiede beim Langzeitzucker liegen zwischen 0,1 und 0,7 Prozentpunkten zugunsten von Semaglutid, beim Gewicht zwischen 1,2 und rund 4 kg bei Diabetes. Am deutlichsten war der Abstand bei Adipositas: In STEP 8</w:t>
      </w:r>
      <w:r>
        <w:rPr>
          <w:rStyle w:val="FootnoteReference"/>
        </w:rPr>
        <w:footnoteReference w:id="412"/>
      </w:r>
      <w:r>
        <w:t xml:space="preserve"> </w:t>
      </w:r>
      <w:r>
        <w:t xml:space="preserve">verloren 38,5 % unter Semaglutid mindestens 20 % ihres Gewichts, unter Liraglutid 6,0 %. Der Preis ist bei einigen Vergleichen eine etwas höhere Rate an Magen-Darm-Beschwerden: In SUSTAIN 10 brachen 11,4 % gegenüber 6,6 % die Behandlung wegen Nebenwirkungen ab</w:t>
      </w:r>
      <w:r>
        <w:rPr>
          <w:rStyle w:val="FootnoteReference"/>
        </w:rPr>
        <w:footnoteReference w:id="413"/>
      </w:r>
      <w:r>
        <w:t xml:space="preserve">. In SUSTAIN 3 dagegen traten Reaktionen an der Einstichstelle unter Exenatid weit häufiger auf (22,0 % vs. 1,2 %)</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ist bemerkenswert, weil hier eine Tablette gegen eine Spritze antrat: Beim HbA1c war die Semaglutid-Tablette nicht schlechter als die Liraglutid-Spritze, beim Gewicht um 1,2 kg überlegen.</w:t>
      </w:r>
    </w:p>
    <w:p>
      <w:pPr>
        <w:pStyle w:val="BodyText"/>
      </w:pPr>
      <w:r>
        <w:t xml:space="preserve">Außerhalb der GLP-1-Klasse wurde Semaglutid seinerseits übertroffen: Im direkten Vergleich mit dem dualen GIP/GLP-1-Agonisten Tirzepatid bei 751 Personen mit Adipositas betrug der Gewichtsverlust nach 72 Wochen −13,7 % gegenüber −20,2 %</w:t>
      </w:r>
      <w:r>
        <w:rPr>
          <w:rStyle w:val="FootnoteReference"/>
        </w:rPr>
        <w:footnoteReference w:id="416"/>
      </w:r>
      <w:r>
        <w:t xml:space="preserve">. Einzelheiten stehen im Kapitel Tirzepatid.</w:t>
      </w:r>
    </w:p>
    <w:bookmarkEnd w:id="417"/>
    <w:bookmarkStart w:id="421" w:name="Xdd805761354f869cdc10c43fa606220a66aed7c"/>
    <w:p>
      <w:pPr>
        <w:pStyle w:val="Heading4"/>
      </w:pPr>
      <w:r>
        <w:t xml:space="preserve">Typ-2-Diabetes mit der Tablette: PIONEER und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PIONEER 1 (Aroda 2019), PMID 31186300</w:t>
            </w:r>
          </w:p>
        </w:tc>
        <w:tc>
          <w:tcPr/>
          <w:p>
            <w:pPr>
              <w:pStyle w:val="Compact"/>
              <w:jc w:val="left"/>
            </w:pPr>
            <w:r>
              <w:t xml:space="preserve">703 Personen, Monotherapie; 3/7/14 mg vs. Placebo</w:t>
            </w:r>
          </w:p>
        </w:tc>
        <w:tc>
          <w:tcPr/>
          <w:p>
            <w:pPr>
              <w:pStyle w:val="Compact"/>
              <w:jc w:val="left"/>
            </w:pPr>
            <w:r>
              <w:t xml:space="preserve">26 Wochen</w:t>
            </w:r>
          </w:p>
        </w:tc>
        <w:tc>
          <w:tcPr/>
          <w:p>
            <w:pPr>
              <w:pStyle w:val="Compact"/>
              <w:jc w:val="left"/>
            </w:pPr>
            <w:r>
              <w:t xml:space="preserve">HbA1c −1,1 Prozentpunkte (14 mg) gegenüber Placebo; Gewicht −2,3 kg gegenüber Placebo</w:t>
            </w:r>
          </w:p>
        </w:tc>
      </w:tr>
      <w:tr>
        <w:tc>
          <w:tcPr/>
          <w:p>
            <w:pPr>
              <w:pStyle w:val="Compact"/>
              <w:jc w:val="left"/>
            </w:pPr>
            <w:r>
              <w:t xml:space="preserve">PIONEER 6 (Husain 2019), PMID 31185157</w:t>
            </w:r>
          </w:p>
        </w:tc>
        <w:tc>
          <w:tcPr/>
          <w:p>
            <w:pPr>
              <w:pStyle w:val="Compact"/>
              <w:jc w:val="left"/>
            </w:pPr>
            <w:r>
              <w:t xml:space="preserve">3.183 Personen mit hohem Risiko; vs. Placebo</w:t>
            </w:r>
          </w:p>
        </w:tc>
        <w:tc>
          <w:tcPr/>
          <w:p>
            <w:pPr>
              <w:pStyle w:val="Compact"/>
              <w:jc w:val="left"/>
            </w:pPr>
            <w:r>
              <w:t xml:space="preserve">median 15,9 Monate</w:t>
            </w:r>
          </w:p>
        </w:tc>
        <w:tc>
          <w:tcPr/>
          <w:p>
            <w:pPr>
              <w:pStyle w:val="Compact"/>
              <w:jc w:val="left"/>
            </w:pPr>
            <w:r>
              <w:t xml:space="preserve">Ereignisse 3,8 % vs. 4,8 %; HR 0,79, nicht unterlegen</w:t>
            </w:r>
          </w:p>
        </w:tc>
      </w:tr>
      <w:tr>
        <w:tc>
          <w:tcPr/>
          <w:p>
            <w:pPr>
              <w:pStyle w:val="Compact"/>
              <w:jc w:val="left"/>
            </w:pPr>
            <w:r>
              <w:t xml:space="preserve">PIONEER PLUS (Aroda 2023), PMID 37385279</w:t>
            </w:r>
          </w:p>
        </w:tc>
        <w:tc>
          <w:tcPr/>
          <w:p>
            <w:pPr>
              <w:pStyle w:val="Compact"/>
              <w:jc w:val="left"/>
            </w:pPr>
            <w:r>
              <w:t xml:space="preserve">1.606 Personen; 25 und 50 mg vs. 14 mg</w:t>
            </w:r>
          </w:p>
        </w:tc>
        <w:tc>
          <w:tcPr/>
          <w:p>
            <w:pPr>
              <w:pStyle w:val="Compact"/>
              <w:jc w:val="left"/>
            </w:pPr>
            <w:r>
              <w:t xml:space="preserve">52 Wochen</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Personen mit Gefäß- und/oder Nierenerkrankung; vs. Placebo</w:t>
            </w:r>
          </w:p>
        </w:tc>
        <w:tc>
          <w:tcPr/>
          <w:p>
            <w:pPr>
              <w:pStyle w:val="Compact"/>
              <w:jc w:val="left"/>
            </w:pPr>
            <w:r>
              <w:t xml:space="preserve">median 49,5 Monate</w:t>
            </w:r>
          </w:p>
        </w:tc>
        <w:tc>
          <w:tcPr/>
          <w:p>
            <w:pPr>
              <w:pStyle w:val="Compact"/>
              <w:jc w:val="left"/>
            </w:pPr>
            <w:r>
              <w:t xml:space="preserve">Ereignisse 12,0 % vs. 13,8 %; HR 0,86 (0,77–0,96)</w:t>
            </w:r>
          </w:p>
        </w:tc>
      </w:tr>
    </w:tbl>
    <w:p>
      <w:pPr>
        <w:pStyle w:val="BodyText"/>
      </w:pPr>
      <w:r>
        <w:t xml:space="preserve">Die Tablette wirkt in der Standarddosis von 14 mg etwas schwächer als die Spritze. PIONEER PLUS</w:t>
      </w:r>
      <w:r>
        <w:rPr>
          <w:rStyle w:val="FootnoteReference"/>
        </w:rPr>
        <w:footnoteReference w:id="418"/>
      </w:r>
      <w:r>
        <w:t xml:space="preserve"> </w:t>
      </w:r>
      <w:r>
        <w:t xml:space="preserve">zeigte, dass höhere Tablettendosen den Abstand verringern. PIONEER 6</w:t>
      </w:r>
      <w:r>
        <w:rPr>
          <w:rStyle w:val="FootnoteReference"/>
        </w:rPr>
        <w:footnoteReference w:id="419"/>
      </w:r>
      <w:r>
        <w:t xml:space="preserve"> </w:t>
      </w:r>
      <w:r>
        <w:t xml:space="preserve">war eine kurze Sicherheitsstudie; sie bewies, dass die Tablette das Herz-Kreislauf-Risiko nicht erhöht, war aber zu klein für einen Nutzennachweis.</w:t>
      </w:r>
    </w:p>
    <w:p>
      <w:pPr>
        <w:pStyle w:val="BodyText"/>
      </w:pPr>
      <w:r>
        <w:t xml:space="preserve">Diesen lieferte</w:t>
      </w:r>
      <w:r>
        <w:t xml:space="preserve"> </w:t>
      </w:r>
      <w:r>
        <w:rPr>
          <w:bCs/>
          <w:b/>
        </w:rPr>
        <w:t xml:space="preserve">SOUL</w:t>
      </w:r>
      <w:r>
        <w:rPr>
          <w:rStyle w:val="FootnoteReference"/>
        </w:rPr>
        <w:footnoteReference w:id="420"/>
      </w:r>
      <w:r>
        <w:t xml:space="preserve">: Bei 9.650 Menschen mit Typ-2-Diabetes und Gefäß- oder Nierenerkrankung senkte die Semaglutid-Tablette über rund vier Jahre schwere Herz-Kreislauf-Ereignisse um 14 %. Die bestätigenden Nebenendpunkte, darunter Nierenergebnisse, unterschieden sich nicht signifikant. Schwerwiegende unerwünschte Ereignisse waren unter Semaglutid nicht häufiger (47,9 % vs. 50,3 %).</w:t>
      </w:r>
    </w:p>
    <w:bookmarkEnd w:id="421"/>
    <w:bookmarkStart w:id="427" w:name="adipositas-mit-der-spritze-step"/>
    <w:p>
      <w:pPr>
        <w:pStyle w:val="Heading4"/>
      </w:pPr>
      <w:r>
        <w:t xml:space="preserve">Adipositas mit der Spritze: STEP</w:t>
      </w:r>
    </w:p>
    <w:p>
      <w:pPr>
        <w:pStyle w:val="FirstParagraph"/>
      </w:pPr>
      <w:r>
        <w:t xml:space="preserve">Mit der Dosis 2,4 mg pro Woche wurde Semaglutid als Wegovy zum ersten Medikament, mit dem Menschen mit Adipositas in großen Studien im Mittel rund 15 % ihres Körpergewichts verloren.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STEP 1 (Wilding 2021), PMID 33567185</w:t>
            </w:r>
          </w:p>
        </w:tc>
        <w:tc>
          <w:tcPr/>
          <w:p>
            <w:pPr>
              <w:pStyle w:val="Compact"/>
              <w:jc w:val="left"/>
            </w:pPr>
            <w:r>
              <w:t xml:space="preserve">1.961 Erwachsene mit Adipositas ohne Diabetes, RCT gegen Placebo</w:t>
            </w:r>
          </w:p>
        </w:tc>
        <w:tc>
          <w:tcPr/>
          <w:p>
            <w:pPr>
              <w:pStyle w:val="Compact"/>
              <w:jc w:val="left"/>
            </w:pPr>
            <w:r>
              <w:t xml:space="preserve">68 Wochen</w:t>
            </w:r>
          </w:p>
        </w:tc>
        <w:tc>
          <w:tcPr/>
          <w:p>
            <w:pPr>
              <w:pStyle w:val="Compact"/>
              <w:jc w:val="left"/>
            </w:pPr>
            <w:r>
              <w:t xml:space="preserve">−14,9 % Körpergewicht vs. −2,4 %</w:t>
            </w:r>
          </w:p>
        </w:tc>
      </w:tr>
      <w:tr>
        <w:tc>
          <w:tcPr/>
          <w:p>
            <w:pPr>
              <w:pStyle w:val="Compact"/>
              <w:jc w:val="left"/>
            </w:pPr>
            <w:r>
              <w:t xml:space="preserve">STEP 2 (Davies 2021), PMID 33667417</w:t>
            </w:r>
          </w:p>
        </w:tc>
        <w:tc>
          <w:tcPr/>
          <w:p>
            <w:pPr>
              <w:pStyle w:val="Compact"/>
              <w:jc w:val="left"/>
            </w:pPr>
            <w:r>
              <w:t xml:space="preserve">1.210 Personen mit Übergewicht und Typ-2-Diabetes</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STEP 3 (Wadden 2021), PMID 33625476</w:t>
            </w:r>
          </w:p>
        </w:tc>
        <w:tc>
          <w:tcPr/>
          <w:p>
            <w:pPr>
              <w:pStyle w:val="Compact"/>
              <w:jc w:val="left"/>
            </w:pPr>
            <w:r>
              <w:t xml:space="preserve">611 Personen, zusätzlich intensive Verhaltenstherapie</w:t>
            </w:r>
          </w:p>
        </w:tc>
        <w:tc>
          <w:tcPr/>
          <w:p>
            <w:pPr>
              <w:pStyle w:val="Compact"/>
              <w:jc w:val="left"/>
            </w:pPr>
            <w:r>
              <w:t xml:space="preserve">68 Wochen</w:t>
            </w:r>
          </w:p>
        </w:tc>
        <w:tc>
          <w:tcPr/>
          <w:p>
            <w:pPr>
              <w:pStyle w:val="Compact"/>
              <w:jc w:val="left"/>
            </w:pPr>
            <w:r>
              <w:t xml:space="preserve">−16,0 % vs. −5,7 %</w:t>
            </w:r>
          </w:p>
        </w:tc>
      </w:tr>
      <w:tr>
        <w:tc>
          <w:tcPr/>
          <w:p>
            <w:pPr>
              <w:pStyle w:val="Compact"/>
              <w:jc w:val="left"/>
            </w:pPr>
            <w:r>
              <w:t xml:space="preserve">STEP 4 (Rubino 2021), PMID 33755728</w:t>
            </w:r>
          </w:p>
        </w:tc>
        <w:tc>
          <w:tcPr/>
          <w:p>
            <w:pPr>
              <w:pStyle w:val="Compact"/>
              <w:jc w:val="left"/>
            </w:pPr>
            <w:r>
              <w:t xml:space="preserve">803 Personen nach 20 Wochen Semaglutid: weiter oder Wechsel auf Placebo</w:t>
            </w:r>
          </w:p>
        </w:tc>
        <w:tc>
          <w:tcPr/>
          <w:p>
            <w:pPr>
              <w:pStyle w:val="Compact"/>
              <w:jc w:val="left"/>
            </w:pPr>
            <w:r>
              <w:t xml:space="preserve">48 Wochen</w:t>
            </w:r>
          </w:p>
        </w:tc>
        <w:tc>
          <w:tcPr/>
          <w:p>
            <w:pPr>
              <w:pStyle w:val="Compact"/>
              <w:jc w:val="left"/>
            </w:pPr>
            <w:r>
              <w:t xml:space="preserve">−7,9 % (weiter) vs. +6,9 % (abgesetzt)</w:t>
            </w:r>
          </w:p>
        </w:tc>
      </w:tr>
      <w:tr>
        <w:tc>
          <w:tcPr/>
          <w:p>
            <w:pPr>
              <w:pStyle w:val="Compact"/>
              <w:jc w:val="left"/>
            </w:pPr>
            <w:r>
              <w:t xml:space="preserve">STEP 5 (Garvey 2022), PMID 36216945</w:t>
            </w:r>
          </w:p>
        </w:tc>
        <w:tc>
          <w:tcPr/>
          <w:p>
            <w:pPr>
              <w:pStyle w:val="Compact"/>
              <w:jc w:val="left"/>
            </w:pPr>
            <w:r>
              <w:t xml:space="preserve">304 Personen</w:t>
            </w:r>
          </w:p>
        </w:tc>
        <w:tc>
          <w:tcPr/>
          <w:p>
            <w:pPr>
              <w:pStyle w:val="Compact"/>
              <w:jc w:val="left"/>
            </w:pPr>
            <w:r>
              <w:t xml:space="preserve">104 Wochen</w:t>
            </w:r>
          </w:p>
        </w:tc>
        <w:tc>
          <w:tcPr/>
          <w:p>
            <w:pPr>
              <w:pStyle w:val="Compact"/>
              <w:jc w:val="left"/>
            </w:pPr>
            <w:r>
              <w:t xml:space="preserve">−15,2 % vs. −2,6 %</w:t>
            </w:r>
          </w:p>
        </w:tc>
      </w:tr>
      <w:tr>
        <w:tc>
          <w:tcPr/>
          <w:p>
            <w:pPr>
              <w:pStyle w:val="Compact"/>
              <w:jc w:val="left"/>
            </w:pPr>
            <w:r>
              <w:t xml:space="preserve">STEP 6 (Kadowaki 2022), PMID 35131037</w:t>
            </w:r>
          </w:p>
        </w:tc>
        <w:tc>
          <w:tcPr/>
          <w:p>
            <w:pPr>
              <w:pStyle w:val="Compact"/>
              <w:jc w:val="left"/>
            </w:pPr>
            <w:r>
              <w:t xml:space="preserve">401 Personen in Ostasien</w:t>
            </w:r>
          </w:p>
        </w:tc>
        <w:tc>
          <w:tcPr/>
          <w:p>
            <w:pPr>
              <w:pStyle w:val="Compact"/>
              <w:jc w:val="left"/>
            </w:pPr>
            <w:r>
              <w:t xml:space="preserve">68 Wochen</w:t>
            </w:r>
          </w:p>
        </w:tc>
        <w:tc>
          <w:tcPr/>
          <w:p>
            <w:pPr>
              <w:pStyle w:val="Compact"/>
              <w:jc w:val="left"/>
            </w:pPr>
            <w:r>
              <w:t xml:space="preserve">−13,2 % vs. −2,1 %</w:t>
            </w:r>
          </w:p>
        </w:tc>
      </w:tr>
      <w:tr>
        <w:tc>
          <w:tcPr/>
          <w:p>
            <w:pPr>
              <w:pStyle w:val="Compact"/>
              <w:jc w:val="left"/>
            </w:pPr>
            <w:r>
              <w:t xml:space="preserve">STEP UP (Wharton 2025), PMID 40961952</w:t>
            </w:r>
          </w:p>
        </w:tc>
        <w:tc>
          <w:tcPr/>
          <w:p>
            <w:pPr>
              <w:pStyle w:val="Compact"/>
              <w:jc w:val="left"/>
            </w:pPr>
            <w:r>
              <w:t xml:space="preserve">1.407 Personen; 7,2 mg vs. 2,4 mg vs. Placebo</w:t>
            </w:r>
          </w:p>
        </w:tc>
        <w:tc>
          <w:tcPr/>
          <w:p>
            <w:pPr>
              <w:pStyle w:val="Compact"/>
              <w:jc w:val="left"/>
            </w:pPr>
            <w:r>
              <w:t xml:space="preserve">72 Wochen</w:t>
            </w:r>
          </w:p>
        </w:tc>
        <w:tc>
          <w:tcPr/>
          <w:p>
            <w:pPr>
              <w:pStyle w:val="Compact"/>
              <w:jc w:val="left"/>
            </w:pPr>
            <w:r>
              <w:t xml:space="preserve">−18,7 % vs. −15,6 % vs. −3,9 %</w:t>
            </w:r>
          </w:p>
        </w:tc>
      </w:tr>
    </w:tbl>
    <w:p>
      <w:pPr>
        <w:pStyle w:val="BodyText"/>
      </w:pPr>
      <w:r>
        <w:t xml:space="preserve">In</w:t>
      </w:r>
      <w:r>
        <w:t xml:space="preserve"> </w:t>
      </w:r>
      <w:r>
        <w:rPr>
          <w:bCs/>
          <w:b/>
        </w:rPr>
        <w:t xml:space="preserve">STEP 1</w:t>
      </w:r>
      <w:r>
        <w:rPr>
          <w:rStyle w:val="FootnoteReference"/>
        </w:rPr>
        <w:footnoteReference w:id="422"/>
      </w:r>
      <w:r>
        <w:t xml:space="preserve"> </w:t>
      </w:r>
      <w:r>
        <w:t xml:space="preserve">nahmen die Teilnehmenden im Mittel 15,3 kg ab, gegenüber 2,6 kg unter Placebo. Die Hälfte (50,5 %) verlor mindestens 15 % ihres Gewichts. Wegen Magen-Darm-Beschwerden brachen 4,5 % die Behandlung ab, gegenüber 0,8 % unter Placebo.</w:t>
      </w:r>
    </w:p>
    <w:p>
      <w:pPr>
        <w:pStyle w:val="BodyText"/>
      </w:pPr>
      <w:r>
        <w:t xml:space="preserve">Bei Menschen mit Typ-2-Diabetes fiel die Abnahme geringer aus (STEP 2, Davies 2021, PMID 33667417) – ein Muster, das bei allen Wirkstoffen dieser Klasse auftritt. In</w:t>
      </w:r>
      <w:r>
        <w:t xml:space="preserve"> </w:t>
      </w:r>
      <w:r>
        <w:rPr>
          <w:bCs/>
          <w:b/>
        </w:rPr>
        <w:t xml:space="preserve">STEP 5</w:t>
      </w:r>
      <w:r>
        <w:rPr>
          <w:rStyle w:val="FootnoteReference"/>
        </w:rPr>
        <w:footnoteReference w:id="423"/>
      </w:r>
      <w:r>
        <w:t xml:space="preserve"> </w:t>
      </w:r>
      <w:r>
        <w:t xml:space="preserve">blieb der Effekt über zwei Jahre stabil.</w:t>
      </w:r>
    </w:p>
    <w:p>
      <w:pPr>
        <w:pStyle w:val="BodyText"/>
      </w:pPr>
      <w:r>
        <w:rPr>
          <w:bCs/>
          <w:b/>
        </w:rPr>
        <w:t xml:space="preserve">Was passiert nach dem Absetzen?</w:t>
      </w:r>
      <w:r>
        <w:t xml:space="preserve"> </w:t>
      </w:r>
      <w:r>
        <w:t xml:space="preserve">Diese Frage ist für die Praxis zentral. In STEP 4</w:t>
      </w:r>
      <w:r>
        <w:rPr>
          <w:rStyle w:val="FootnoteReference"/>
        </w:rPr>
        <w:footnoteReference w:id="424"/>
      </w:r>
      <w:r>
        <w:t xml:space="preserve"> </w:t>
      </w:r>
      <w:r>
        <w:t xml:space="preserve">erhielten alle Teilnehmenden zunächst 20 Wochen Semaglutid und hatten dabei im Mittel 10,6 % abgenommen. Wer danach auf Placebo wechselte, nahm in den folgenden 48 Wochen wieder 6,9 % zu; wer weiter behandelt wurde, nahm weitere 7,9 % ab. In der Verlängerung von STEP 1</w:t>
      </w:r>
      <w:r>
        <w:rPr>
          <w:rStyle w:val="FootnoteReference"/>
        </w:rPr>
        <w:footnoteReference w:id="425"/>
      </w:r>
      <w:r>
        <w:t xml:space="preserve"> </w:t>
      </w:r>
      <w:r>
        <w:t xml:space="preserve">hatten die Teilnehmenden ein Jahr nach dem Absetzen etwa zwei Drittel des verlorenen Gewichts wieder zugenommen; auch Blutdruck, Blutfette und Blutzucker näherten sich wieder den Ausgangswerten. Die Autorinnen und Autoren folgern, dass Adipositas eine chronische Erkrankung ist und die Behandlung dauerhaft nötig sein dürfte.</w:t>
      </w:r>
    </w:p>
    <w:p>
      <w:pPr>
        <w:pStyle w:val="BodyText"/>
      </w:pPr>
      <w:r>
        <w:rPr>
          <w:bCs/>
          <w:b/>
        </w:rPr>
        <w:t xml:space="preserve">Höhere Dosis:</w:t>
      </w:r>
      <w:r>
        <w:t xml:space="preserve"> </w:t>
      </w:r>
      <w:r>
        <w:t xml:space="preserve">In STEP UP</w:t>
      </w:r>
      <w:r>
        <w:rPr>
          <w:rStyle w:val="FootnoteReference"/>
        </w:rPr>
        <w:footnoteReference w:id="426"/>
      </w:r>
      <w:r>
        <w:t xml:space="preserve"> </w:t>
      </w:r>
      <w:r>
        <w:t xml:space="preserve">führte die dreifache Dosis von 7,2 mg zu 18,7 % Gewichtsverlust. Magen-Darm-Beschwerden waren häufiger (70,8 % vs. 61,2 % unter 2,4 mg), und 22,9 % berichteten über Missempfindungen der Haut (Dysästhesie), gegenüber 6,0 % unter 2,4 mg.</w:t>
      </w:r>
    </w:p>
    <w:bookmarkEnd w:id="427"/>
    <w:bookmarkStart w:id="429" w:name="adipositas-mit-der-tablette-oasis"/>
    <w:p>
      <w:pPr>
        <w:pStyle w:val="Heading4"/>
      </w:pPr>
      <w:r>
        <w:t xml:space="preserve">Adipositas mit der Tablette: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Personen mit Adipositas ohne Diabetes; 50 mg täglich vs. Placebo</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OASIS 4 (Wharton 2025), PMID 40934115</w:t>
            </w:r>
          </w:p>
        </w:tc>
        <w:tc>
          <w:tcPr/>
          <w:p>
            <w:pPr>
              <w:pStyle w:val="Compact"/>
              <w:jc w:val="left"/>
            </w:pPr>
            <w:r>
              <w:t xml:space="preserve">307 Personen; 25 mg täglich vs. Placebo</w:t>
            </w:r>
          </w:p>
        </w:tc>
        <w:tc>
          <w:tcPr/>
          <w:p>
            <w:pPr>
              <w:pStyle w:val="Compact"/>
              <w:jc w:val="left"/>
            </w:pPr>
            <w:r>
              <w:t xml:space="preserve">64 Wochen</w:t>
            </w:r>
          </w:p>
        </w:tc>
        <w:tc>
          <w:tcPr/>
          <w:p>
            <w:pPr>
              <w:pStyle w:val="Compact"/>
              <w:jc w:val="left"/>
            </w:pPr>
            <w:r>
              <w:t xml:space="preserve">−13,6 % vs. −2,2 %</w:t>
            </w:r>
          </w:p>
        </w:tc>
      </w:tr>
    </w:tbl>
    <w:p>
      <w:pPr>
        <w:pStyle w:val="BodyText"/>
      </w:pPr>
      <w:r>
        <w:t xml:space="preserve">Die Tabletten erreichten in diesen Studien ähnliche Werte wie die Spritze in STEP 1</w:t>
      </w:r>
      <w:r>
        <w:rPr>
          <w:rStyle w:val="FootnoteReference"/>
        </w:rPr>
        <w:footnoteReference w:id="428"/>
      </w:r>
      <w:r>
        <w:t xml:space="preserve">. Magen-Darm-Beschwerden traten bei 74 % bis 80 % auf. Die 25-mg-Tablette aus OASIS 4 ist die Grundlage der in den USA zugelassenen Wegovy-Tablette. Ein direkter Vergleich mit der Spritze in einer großen Studie fehlt bisher.</w:t>
      </w:r>
    </w:p>
    <w:bookmarkEnd w:id="429"/>
    <w:bookmarkStart w:id="432" w:name="kinder-und-jugendliche-2"/>
    <w:p>
      <w:pPr>
        <w:pStyle w:val="Heading4"/>
      </w:pPr>
      <w:r>
        <w:t xml:space="preserve">Kinder und Jugendliche</w:t>
      </w:r>
    </w:p>
    <w:p>
      <w:pPr>
        <w:pStyle w:val="FirstParagraph"/>
      </w:pPr>
      <w:r>
        <w:t xml:space="preserve">In</w:t>
      </w:r>
      <w:r>
        <w:t xml:space="preserve"> </w:t>
      </w:r>
      <w:r>
        <w:rPr>
          <w:bCs/>
          <w:b/>
        </w:rPr>
        <w:t xml:space="preserve">STEP TEENS</w:t>
      </w:r>
      <w:r>
        <w:t xml:space="preserve"> </w:t>
      </w:r>
      <w:r>
        <w:t xml:space="preserve">mit 201 Jugendlichen mit Adipositas sank der Body-Mass-Index (BMI) nach 68 Wochen um 16,1 %, unter Placebo stieg er um 0,6 %</w:t>
      </w:r>
      <w:r>
        <w:rPr>
          <w:rStyle w:val="FootnoteReference"/>
        </w:rPr>
        <w:footnoteReference w:id="430"/>
      </w:r>
      <w:r>
        <w:t xml:space="preserve">. 73 % verloren mindestens 5 % ihres Gewichts, gegenüber 18 % unter Placebo. Fünf Jugendliche (4 %) unter Semaglutid entwickelten Gallensteine, keiner unter Placebo. Eine Studie mit Kindern ab 6 Jahren läuft</w:t>
      </w:r>
      <w:r>
        <w:rPr>
          <w:rStyle w:val="FootnoteReference"/>
        </w:rPr>
        <w:footnoteReference w:id="431"/>
      </w:r>
      <w:r>
        <w:t xml:space="preserve">.</w:t>
      </w:r>
    </w:p>
    <w:bookmarkEnd w:id="432"/>
    <w:bookmarkStart w:id="434" w:name="select-herzschutz-auch-ohne-diabetes"/>
    <w:p>
      <w:pPr>
        <w:pStyle w:val="Heading4"/>
      </w:pPr>
      <w:r>
        <w:t xml:space="preserve">SELECT: Herzschutz auch ohne Diabetes</w:t>
      </w:r>
    </w:p>
    <w:p>
      <w:pPr>
        <w:pStyle w:val="FirstParagraph"/>
      </w:pPr>
      <w:r>
        <w:t xml:space="preserve">SELECT war ein Meilenstein, weil sie erstmals zeigte, dass ein Medikament zur Gewichtsreduktion Herzinfarkte, Schlaganfälle und Herz-Kreislauf-Todesfälle bei Menschen ohne Diabetes verringert.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SELECT (Lincoff 2023), PMID 37952131</w:t>
            </w:r>
          </w:p>
        </w:tc>
        <w:tc>
          <w:tcPr/>
          <w:p>
            <w:pPr>
              <w:pStyle w:val="Compact"/>
              <w:jc w:val="left"/>
            </w:pPr>
            <w:r>
              <w:t xml:space="preserve">17.604 Personen mit Übergewicht oder Adipositas und Herz-Kreislauf-Erkrankung, ohne Diabetes; 2,4 mg vs. Placebo</w:t>
            </w:r>
          </w:p>
        </w:tc>
        <w:tc>
          <w:tcPr/>
          <w:p>
            <w:pPr>
              <w:pStyle w:val="Compact"/>
              <w:jc w:val="left"/>
            </w:pPr>
            <w:r>
              <w:t xml:space="preserve">mittlere Beobachtung 39,8 Monate</w:t>
            </w:r>
          </w:p>
        </w:tc>
        <w:tc>
          <w:tcPr/>
          <w:p>
            <w:pPr>
              <w:pStyle w:val="Compact"/>
              <w:jc w:val="left"/>
            </w:pPr>
            <w:r>
              <w:t xml:space="preserve">Schwere Herz-Kreislauf-Ereignisse 6,5 % vs. 8,0 %; HR 0,80 (0,72–0,90)</w:t>
            </w:r>
          </w:p>
        </w:tc>
      </w:tr>
    </w:tbl>
    <w:p>
      <w:pPr>
        <w:pStyle w:val="BodyText"/>
      </w:pPr>
      <w:r>
        <w:t xml:space="preserve">Die relative Risikosenkung betrug 20 %</w:t>
      </w:r>
      <w:r>
        <w:rPr>
          <w:rStyle w:val="FootnoteReference"/>
        </w:rPr>
        <w:footnoteReference w:id="433"/>
      </w:r>
      <w:r>
        <w:t xml:space="preserve">. In absoluten Zahlen hatten über gut drei Jahre etwa 1,5 von hundert Behandelten weniger ein solches Ereignis. Auffällig war die hohe Abbruchrate: 16,6 % beendeten die Behandlung wegen Nebenwirkungen dauerhaft, gegenüber 8,2 % unter Placebo. Ob der Nutzen allein auf der Gewichtsabnahme beruht oder auch auf direkten Wirkungen auf Gefäße und Entzündung, ist nicht abschließend geklärt.</w:t>
      </w:r>
    </w:p>
    <w:bookmarkEnd w:id="434"/>
    <w:bookmarkStart w:id="436" w:name="flow-schutz-der-nieren"/>
    <w:p>
      <w:pPr>
        <w:pStyle w:val="Heading4"/>
      </w:pPr>
      <w:r>
        <w:t xml:space="preserve">FLOW: Schutz der Nieren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FLOW (Perkovic 2024), PMID 38785209</w:t>
            </w:r>
          </w:p>
        </w:tc>
        <w:tc>
          <w:tcPr/>
          <w:p>
            <w:pPr>
              <w:pStyle w:val="Compact"/>
              <w:jc w:val="left"/>
            </w:pPr>
            <w:r>
              <w:t xml:space="preserve">3.533 Personen mit Typ-2-Diabetes und chronischer Nierenerkrankung; 1,0 mg vs. Placebo</w:t>
            </w:r>
          </w:p>
        </w:tc>
        <w:tc>
          <w:tcPr/>
          <w:p>
            <w:pPr>
              <w:pStyle w:val="Compact"/>
              <w:jc w:val="left"/>
            </w:pPr>
            <w:r>
              <w:t xml:space="preserve">median 3,4 Jahre (vorzeitig beendet wegen Wirksamkeit)</w:t>
            </w:r>
          </w:p>
        </w:tc>
        <w:tc>
          <w:tcPr/>
          <w:p>
            <w:pPr>
              <w:pStyle w:val="Compact"/>
              <w:jc w:val="left"/>
            </w:pPr>
            <w:r>
              <w:t xml:space="preserve">Nierenendpunkt 331 vs. 410 Ereignisse; HR 0,76; Gesamtsterblichkeit HR 0,80</w:t>
            </w:r>
          </w:p>
        </w:tc>
      </w:tr>
    </w:tbl>
    <w:p>
      <w:pPr>
        <w:pStyle w:val="BodyText"/>
      </w:pPr>
      <w:r>
        <w:t xml:space="preserve">FLOW</w:t>
      </w:r>
      <w:r>
        <w:rPr>
          <w:rStyle w:val="FootnoteReference"/>
        </w:rPr>
        <w:footnoteReference w:id="435"/>
      </w:r>
      <w:r>
        <w:t xml:space="preserve"> </w:t>
      </w:r>
      <w:r>
        <w:t xml:space="preserve">war die erste große Studie mit einem GLP-1-Rezeptor-Agonisten, bei der ein harter Nierenendpunkt – Nierenversagen, starker Funktionsverlust oder Tod durch Nieren- oder Herz-Kreislauf-Ursache – das Hauptziel war. Sie wurde nach einer Zwischenanalyse wegen klarer Wirksamkeit vorzeitig beendet. Der jährliche Verlust an Nierenfunktion (eGFR) war unter Semaglutid um 1,16 ml/min pro 1,73 m² geringer. Auch Herz-Kreislauf-Ereignisse (HR 0,82) und die Gesamtsterblichkeit (HR 0,80) waren reduziert.</w:t>
      </w:r>
    </w:p>
    <w:bookmarkEnd w:id="436"/>
    <w:bookmarkStart w:id="442" w:name="X9514d8f89fc20c3626676c5eafd9289bdafee99"/>
    <w:p>
      <w:pPr>
        <w:pStyle w:val="Heading4"/>
      </w:pPr>
      <w:r>
        <w:t xml:space="preserve">Weitere Organe: Leber, Herzschwäche, Gefäße, Gelenke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ESSENCE (Sanyal 2025), PMID 40305708</w:t>
            </w:r>
          </w:p>
        </w:tc>
        <w:tc>
          <w:tcPr/>
          <w:p>
            <w:pPr>
              <w:pStyle w:val="Compact"/>
              <w:jc w:val="left"/>
            </w:pPr>
            <w:r>
              <w:t xml:space="preserve">1.197 Personen mit Fettleberentzündung (MASH) und Fibrose Stadium 2–3; Zwischenauswertung der ersten 800</w:t>
            </w:r>
          </w:p>
        </w:tc>
        <w:tc>
          <w:tcPr/>
          <w:p>
            <w:pPr>
              <w:pStyle w:val="Compact"/>
              <w:jc w:val="left"/>
            </w:pPr>
            <w:r>
              <w:t xml:space="preserve">72 Wochen (erster Teil)</w:t>
            </w:r>
          </w:p>
        </w:tc>
        <w:tc>
          <w:tcPr/>
          <w:p>
            <w:pPr>
              <w:pStyle w:val="Compact"/>
              <w:jc w:val="left"/>
            </w:pPr>
            <w:r>
              <w:t xml:space="preserve">Rückbildung der Entzündung 62,9 % vs. 34,3 %; weniger Fibrose 36,8 % vs. 22,4 %</w:t>
            </w:r>
          </w:p>
        </w:tc>
      </w:tr>
      <w:tr>
        <w:tc>
          <w:tcPr/>
          <w:p>
            <w:pPr>
              <w:pStyle w:val="Compact"/>
              <w:jc w:val="left"/>
            </w:pPr>
            <w:r>
              <w:t xml:space="preserve">STEP-HFpEF (Kosiborod 2023), PMID 37622681</w:t>
            </w:r>
          </w:p>
        </w:tc>
        <w:tc>
          <w:tcPr/>
          <w:p>
            <w:pPr>
              <w:pStyle w:val="Compact"/>
              <w:jc w:val="left"/>
            </w:pPr>
            <w:r>
              <w:t xml:space="preserve">529 Personen mit Herzschwäche mit erhaltener Pumpfunktion und Adipositas; 2,4 mg vs. Placebo</w:t>
            </w:r>
          </w:p>
        </w:tc>
        <w:tc>
          <w:tcPr/>
          <w:p>
            <w:pPr>
              <w:pStyle w:val="Compact"/>
              <w:jc w:val="left"/>
            </w:pPr>
            <w:r>
              <w:t xml:space="preserve">52 Wochen</w:t>
            </w:r>
          </w:p>
        </w:tc>
        <w:tc>
          <w:tcPr/>
          <w:p>
            <w:pPr>
              <w:pStyle w:val="Compact"/>
              <w:jc w:val="left"/>
            </w:pPr>
            <w:r>
              <w:t xml:space="preserve">Symptomscore +16,6 vs. +8,7 Punkte; Gehstrecke +21,5 vs. +1,2 m</w:t>
            </w:r>
          </w:p>
        </w:tc>
      </w:tr>
      <w:tr>
        <w:tc>
          <w:tcPr/>
          <w:p>
            <w:pPr>
              <w:pStyle w:val="Compact"/>
              <w:jc w:val="left"/>
            </w:pPr>
            <w:r>
              <w:t xml:space="preserve">STRIDE (Bonaca 2025), PMID 40169145</w:t>
            </w:r>
          </w:p>
        </w:tc>
        <w:tc>
          <w:tcPr/>
          <w:p>
            <w:pPr>
              <w:pStyle w:val="Compact"/>
              <w:jc w:val="left"/>
            </w:pPr>
            <w:r>
              <w:t xml:space="preserve">792 Personen mit Schaufensterkrankheit und Typ-2-Diabetes; 1,0 mg vs. Placebo</w:t>
            </w:r>
          </w:p>
        </w:tc>
        <w:tc>
          <w:tcPr/>
          <w:p>
            <w:pPr>
              <w:pStyle w:val="Compact"/>
              <w:jc w:val="left"/>
            </w:pPr>
            <w:r>
              <w:t xml:space="preserve">52 Wochen</w:t>
            </w:r>
          </w:p>
        </w:tc>
        <w:tc>
          <w:tcPr/>
          <w:p>
            <w:pPr>
              <w:pStyle w:val="Compact"/>
              <w:jc w:val="left"/>
            </w:pPr>
            <w:r>
              <w:t xml:space="preserve">maximale Gehstrecke um 13 % stärker verbessert</w:t>
            </w:r>
          </w:p>
        </w:tc>
      </w:tr>
      <w:tr>
        <w:tc>
          <w:tcPr/>
          <w:p>
            <w:pPr>
              <w:pStyle w:val="Compact"/>
              <w:jc w:val="left"/>
            </w:pPr>
            <w:r>
              <w:t xml:space="preserve">STEP 9 (Bliddal 2024), PMID 39476339</w:t>
            </w:r>
          </w:p>
        </w:tc>
        <w:tc>
          <w:tcPr/>
          <w:p>
            <w:pPr>
              <w:pStyle w:val="Compact"/>
              <w:jc w:val="left"/>
            </w:pPr>
            <w:r>
              <w:t xml:space="preserve">407 Personen mit Adipositas und Kniearthrose</w:t>
            </w:r>
          </w:p>
        </w:tc>
        <w:tc>
          <w:tcPr/>
          <w:p>
            <w:pPr>
              <w:pStyle w:val="Compact"/>
              <w:jc w:val="left"/>
            </w:pPr>
            <w:r>
              <w:t xml:space="preserve">68 Wochen</w:t>
            </w:r>
          </w:p>
        </w:tc>
        <w:tc>
          <w:tcPr/>
          <w:p>
            <w:pPr>
              <w:pStyle w:val="Compact"/>
              <w:jc w:val="left"/>
            </w:pPr>
            <w:r>
              <w:t xml:space="preserve">Schmerzscore −41,7 vs. −27,5 Punkte; Gewicht −13,7 % vs. −3,2 %</w:t>
            </w:r>
          </w:p>
        </w:tc>
      </w:tr>
    </w:tbl>
    <w:p>
      <w:pPr>
        <w:pStyle w:val="BodyText"/>
      </w:pPr>
      <w:r>
        <w:rPr>
          <w:bCs/>
          <w:b/>
        </w:rPr>
        <w:t xml:space="preserve">Leber:</w:t>
      </w:r>
      <w:r>
        <w:t xml:space="preserve"> </w:t>
      </w:r>
      <w:r>
        <w:t xml:space="preserve">In ESSENCE</w:t>
      </w:r>
      <w:r>
        <w:rPr>
          <w:rStyle w:val="FootnoteReference"/>
        </w:rPr>
        <w:footnoteReference w:id="437"/>
      </w:r>
      <w:r>
        <w:t xml:space="preserve"> </w:t>
      </w:r>
      <w:r>
        <w:t xml:space="preserve">bildete sich die Fettleberentzündung in der Gewebeprobe bei knapp zwei Dritteln der Behandelten zurück, ohne dass die Vernarbung zunahm. Eine Verringerung der Fibrose – das klinisch wichtigere Ziel – erreichten 36,8 % gegenüber 22,4 %. Der zweite Teil der Studie mit harten Leberendpunkten wie Zirrhose läuft bis 2029</w:t>
      </w:r>
      <w:r>
        <w:rPr>
          <w:rStyle w:val="FootnoteReference"/>
        </w:rPr>
        <w:footnoteReference w:id="438"/>
      </w:r>
      <w:r>
        <w:t xml:space="preserve">.</w:t>
      </w:r>
    </w:p>
    <w:p>
      <w:pPr>
        <w:pStyle w:val="BodyText"/>
      </w:pPr>
      <w:r>
        <w:rPr>
          <w:bCs/>
          <w:b/>
        </w:rPr>
        <w:t xml:space="preserve">Herzschwäche:</w:t>
      </w:r>
      <w:r>
        <w:t xml:space="preserve"> </w:t>
      </w:r>
      <w:r>
        <w:t xml:space="preserve">Bei Herzschwäche mit erhaltener Pumpfunktion und Adipositas verbesserten sich Beschwerden und Belastbarkeit deutlich</w:t>
      </w:r>
      <w:r>
        <w:rPr>
          <w:rStyle w:val="FootnoteReference"/>
        </w:rPr>
        <w:footnoteReference w:id="439"/>
      </w:r>
      <w:r>
        <w:t xml:space="preserve">. Schwerwiegende unerwünschte Ereignisse waren unter Semaglutid seltener (13,3 % vs. 26,7 %). Ob Semaglutid auch Krankenhausaufenthalte oder Todesfälle durch Herzschwäche verringert, war nicht das Hauptziel dieser Studie.</w:t>
      </w:r>
    </w:p>
    <w:p>
      <w:pPr>
        <w:pStyle w:val="BodyText"/>
      </w:pPr>
      <w:r>
        <w:rPr>
          <w:bCs/>
          <w:b/>
        </w:rPr>
        <w:t xml:space="preserve">Schaufensterkrankheit:</w:t>
      </w:r>
      <w:r>
        <w:t xml:space="preserve"> </w:t>
      </w:r>
      <w:r>
        <w:t xml:space="preserve">Bei der peripheren arteriellen Verschlusskrankheit verlängerte Semaglutid die maximale Gehstrecke</w:t>
      </w:r>
      <w:r>
        <w:rPr>
          <w:rStyle w:val="FootnoteReference"/>
        </w:rPr>
        <w:footnoteReference w:id="440"/>
      </w:r>
      <w:r>
        <w:t xml:space="preserve">.</w:t>
      </w:r>
    </w:p>
    <w:p>
      <w:pPr>
        <w:pStyle w:val="BodyText"/>
      </w:pPr>
      <w:r>
        <w:rPr>
          <w:bCs/>
          <w:b/>
        </w:rPr>
        <w:t xml:space="preserve">Kniearthrose:</w:t>
      </w:r>
      <w:r>
        <w:t xml:space="preserve"> </w:t>
      </w:r>
      <w:r>
        <w:t xml:space="preserve">In STEP 9</w:t>
      </w:r>
      <w:r>
        <w:rPr>
          <w:rStyle w:val="FootnoteReference"/>
        </w:rPr>
        <w:footnoteReference w:id="441"/>
      </w:r>
      <w:r>
        <w:t xml:space="preserve"> </w:t>
      </w:r>
      <w:r>
        <w:t xml:space="preserve">nahmen Knieschmerzen stärker ab als unter Placebo. Ob das allein an der Gewichtsabnahme liegt, lässt die Studie offen.</w:t>
      </w:r>
    </w:p>
    <w:bookmarkEnd w:id="442"/>
    <w:bookmarkStart w:id="447" w:name="gehirn-und-sucht"/>
    <w:p>
      <w:pPr>
        <w:pStyle w:val="Heading4"/>
      </w:pPr>
      <w:r>
        <w:t xml:space="preserve">Gehirn und Sucht</w:t>
      </w:r>
    </w:p>
    <w:p>
      <w:pPr>
        <w:pStyle w:val="FirstParagraph"/>
      </w:pPr>
      <w:r>
        <w:rPr>
          <w:bCs/>
          <w:b/>
        </w:rPr>
        <w:t xml:space="preserve">Alzheimer-Krankheit:</w:t>
      </w:r>
      <w:r>
        <w:t xml:space="preserve"> </w:t>
      </w:r>
      <w:r>
        <w:t xml:space="preserve">Die Hoffnung, GLP-1-Rezeptor-Agonisten könnten den geistigen Abbau bremsen, stützte sich auf Tierversuche und Beobachtungsdaten. Novo Nordisk prüfte das in zwei großen Phase-3-Studien, evoke und evoke+, mit zusammen 3.808 Personen mit früher Alzheimer-Krankheit, die über 104 Wochen täglich Semaglutid-Tabletten oder Placebo erhielten</w:t>
      </w:r>
      <w:r>
        <w:rPr>
          <w:rStyle w:val="FootnoteReference"/>
        </w:rPr>
        <w:footnoteReference w:id="443"/>
      </w:r>
      <w:r>
        <w:t xml:space="preserve">. Das Ergebnis war eindeutig negativ: Die Krankheit schritt in beiden Gruppen gleich schnell voran (Unterschied auf der Demenzskala CDR-SB −0,08 bzw. +0,10 Punkte, nicht signifikant). Damit ist Semaglutid als Alzheimer-Medikament nach heutigem Stand gescheitert; ein Kommentar in derselben Zeitschrift diskutiert die Folgerungen für das Forschungsfeld</w:t>
      </w:r>
      <w:r>
        <w:rPr>
          <w:rStyle w:val="FootnoteReference"/>
        </w:rPr>
        <w:footnoteReference w:id="444"/>
      </w:r>
      <w:r>
        <w:t xml:space="preserve">.</w:t>
      </w:r>
    </w:p>
    <w:p>
      <w:pPr>
        <w:pStyle w:val="BodyText"/>
      </w:pPr>
      <w:r>
        <w:rPr>
          <w:bCs/>
          <w:b/>
        </w:rPr>
        <w:t xml:space="preserve">Alkohol:</w:t>
      </w:r>
      <w:r>
        <w:t xml:space="preserve"> </w:t>
      </w:r>
      <w:r>
        <w:t xml:space="preserve">In einer kleinen randomisierten Studie mit 48 Personen mit Alkoholkonsumstörung verringerte niedrig dosiertes Semaglutid die getrunkene Alkoholmenge in einem Labortest, das Verlangen nach Alkohol und die Zahl der Getränke an Trinktagen; die Zahl der Trinktage änderte sich nicht</w:t>
      </w:r>
      <w:r>
        <w:rPr>
          <w:rStyle w:val="FootnoteReference"/>
        </w:rPr>
        <w:footnoteReference w:id="445"/>
      </w:r>
      <w:r>
        <w:t xml:space="preserve">. In einer schwedischen Registerstudie war Semaglutid mit einem um 36 % geringeren Risiko für alkoholbedingte Krankenhausaufnahmen verbunden</w:t>
      </w:r>
      <w:r>
        <w:rPr>
          <w:rStyle w:val="FootnoteReference"/>
        </w:rPr>
        <w:footnoteReference w:id="446"/>
      </w:r>
      <w:r>
        <w:t xml:space="preserve">. Größere randomisierte Studien laufen.</w:t>
      </w:r>
    </w:p>
    <w:bookmarkEnd w:id="447"/>
    <w:bookmarkEnd w:id="448"/>
    <w:bookmarkStart w:id="452" w:name="tier--und-laborstudien-3"/>
    <w:p>
      <w:pPr>
        <w:pStyle w:val="Heading3"/>
      </w:pPr>
      <w:r>
        <w:t xml:space="preserve">Tier- und Laborstudien</w:t>
      </w:r>
    </w:p>
    <w:p>
      <w:pPr>
        <w:pStyle w:val="FirstParagraph"/>
      </w:pPr>
      <w:r>
        <w:t xml:space="preserve">Semaglutid wurde gezielt am Reißbrett entworfen: Aus zahlreichen Varianten wählten die Entwickler jene mit der besten Kombination aus Albuminbindung, Rezeptorwirkung und Stabilität</w:t>
      </w:r>
      <w:r>
        <w:rPr>
          <w:rStyle w:val="FootnoteReference"/>
        </w:rPr>
        <w:footnoteReference w:id="449"/>
      </w:r>
      <w:r>
        <w:t xml:space="preserve">. Die Halbwertszeit wurde zunächst an Minischweinen bestimmt. Die Aufnahme der Tablette über die Magenschleimhaut wurde an Hunden und am Menschen untersucht</w:t>
      </w:r>
      <w:r>
        <w:rPr>
          <w:rStyle w:val="FootnoteReference"/>
        </w:rPr>
        <w:footnoteReference w:id="450"/>
      </w:r>
      <w:r>
        <w:t xml:space="preserve">.</w:t>
      </w:r>
    </w:p>
    <w:p>
      <w:pPr>
        <w:pStyle w:val="BodyText"/>
      </w:pPr>
      <w:r>
        <w:t xml:space="preserve">Wie bei Liraglutid führten Langzeitversuche an Nagetieren zu C-Zell-Tumoren der Schilddrüse; die Übertragbarkeit auf den Menschen gilt wegen der geringen Rezeptordichte in menschlichen C-Zellen als fraglich</w:t>
      </w:r>
      <w:r>
        <w:rPr>
          <w:rStyle w:val="FootnoteReference"/>
        </w:rPr>
        <w:footnoteReference w:id="451"/>
      </w:r>
      <w:r>
        <w:t xml:space="preserve">. Tierversuche zu Nervenschutz, Sucht und Entzündung bildeten die Grundlage für die oben beschriebenen Studien an Menschen – mit gemischtem Ergebnis, wie das Scheitern von evoke zeigt.</w:t>
      </w:r>
    </w:p>
    <w:bookmarkEnd w:id="452"/>
    <w:bookmarkStart w:id="464" w:name="risiken-und-nebenwirkungen-3"/>
    <w:p>
      <w:pPr>
        <w:pStyle w:val="Heading3"/>
      </w:pPr>
      <w:r>
        <w:t xml:space="preserve">Risiken und Nebenwirkungen</w:t>
      </w:r>
    </w:p>
    <w:p>
      <w:pPr>
        <w:pStyle w:val="FirstParagraph"/>
      </w:pPr>
      <w:r>
        <w:rPr>
          <w:bCs/>
          <w:b/>
        </w:rPr>
        <w:t xml:space="preserve">Belegt aus randomisierten Studien:</w:t>
      </w:r>
    </w:p>
    <w:p>
      <w:pPr>
        <w:numPr>
          <w:ilvl w:val="0"/>
          <w:numId w:val="1056"/>
        </w:numPr>
        <w:pStyle w:val="Compact"/>
      </w:pPr>
      <w:r>
        <w:rPr>
          <w:bCs/>
          <w:b/>
        </w:rPr>
        <w:t xml:space="preserve">Magen-Darm-Beschwerden:</w:t>
      </w:r>
      <w:r>
        <w:t xml:space="preserve"> </w:t>
      </w:r>
      <w:r>
        <w:t xml:space="preserve">Übelkeit, Durchfall, Erbrechen und Verstopfung betreffen in den Adipositas-Studien die Mehrheit der Behandelten, meist leicht bis mittelschwer und vorübergehend, vor allem während der Dosissteigerung</w:t>
      </w:r>
      <w:r>
        <w:rPr>
          <w:rStyle w:val="FootnoteReference"/>
        </w:rPr>
        <w:footnoteReference w:id="453"/>
      </w:r>
      <w:r>
        <w:t xml:space="preserve">. Sie sind der häufigste Grund für Therapieabbrüche.</w:t>
      </w:r>
    </w:p>
    <w:p>
      <w:pPr>
        <w:numPr>
          <w:ilvl w:val="0"/>
          <w:numId w:val="1056"/>
        </w:numPr>
        <w:pStyle w:val="Compact"/>
      </w:pPr>
      <w:r>
        <w:rPr>
          <w:bCs/>
          <w:b/>
        </w:rPr>
        <w:t xml:space="preserve">Gallensteine und Gallenblasenentzündung:</w:t>
      </w:r>
      <w:r>
        <w:t xml:space="preserve"> </w:t>
      </w:r>
      <w:r>
        <w:t xml:space="preserve">In der Klasse insgesamt erhöht, besonders bei hohen Dosen und zur Gewichtsreduktion</w:t>
      </w:r>
      <w:r>
        <w:rPr>
          <w:rStyle w:val="FootnoteReference"/>
        </w:rPr>
        <w:footnoteReference w:id="454"/>
      </w:r>
      <w:r>
        <w:t xml:space="preserve">; in STEP TEENS bei 4 % der Jugendlichen</w:t>
      </w:r>
      <w:r>
        <w:rPr>
          <w:rStyle w:val="FootnoteReference"/>
        </w:rPr>
        <w:footnoteReference w:id="455"/>
      </w:r>
      <w:r>
        <w:t xml:space="preserve">.</w:t>
      </w:r>
    </w:p>
    <w:p>
      <w:pPr>
        <w:numPr>
          <w:ilvl w:val="0"/>
          <w:numId w:val="1056"/>
        </w:numPr>
        <w:pStyle w:val="Compact"/>
      </w:pPr>
      <w:r>
        <w:rPr>
          <w:bCs/>
          <w:b/>
        </w:rPr>
        <w:t xml:space="preserve">Verschlechterung einer diabetischen Netzhauterkrankung:</w:t>
      </w:r>
      <w:r>
        <w:t xml:space="preserve"> </w:t>
      </w:r>
      <w:r>
        <w:t xml:space="preserve">In SUSTAIN 6 häufiger (HR 1,76)</w:t>
      </w:r>
      <w:r>
        <w:rPr>
          <w:rStyle w:val="FootnoteReference"/>
        </w:rPr>
        <w:footnoteReference w:id="456"/>
      </w:r>
      <w:r>
        <w:t xml:space="preserve">. Vermutet wird, dass eine sehr rasche Blutzuckersenkung bei schon vorhandener Retinopathie vorübergehend schadet – ein Effekt, der auch von Insulin bekannt ist. Eine eigene Studie mit 1.500 Teilnehmenden zu dieser Frage läuft</w:t>
      </w:r>
      <w:r>
        <w:rPr>
          <w:rStyle w:val="FootnoteReference"/>
        </w:rPr>
        <w:footnoteReference w:id="457"/>
      </w:r>
      <w:r>
        <w:t xml:space="preserve">. Menschen mit Retinopathie sollten augenärztlich begleitet werden.</w:t>
      </w:r>
    </w:p>
    <w:p>
      <w:pPr>
        <w:numPr>
          <w:ilvl w:val="0"/>
          <w:numId w:val="1056"/>
        </w:numPr>
        <w:pStyle w:val="Compact"/>
      </w:pPr>
      <w:r>
        <w:rPr>
          <w:bCs/>
          <w:b/>
        </w:rPr>
        <w:t xml:space="preserve">Verlust an Muskelmasse:</w:t>
      </w:r>
      <w:r>
        <w:t xml:space="preserve"> </w:t>
      </w:r>
      <w:r>
        <w:t xml:space="preserve">Bei jeder starken Gewichtsabnahme geht auch fettfreie Masse verloren. Wie bedeutsam das unter Semaglutid ist, besonders bei älteren Menschen, wird noch untersucht; Teil IV geht darauf ein.</w:t>
      </w:r>
    </w:p>
    <w:p>
      <w:pPr>
        <w:pStyle w:val="FirstParagraph"/>
      </w:pPr>
      <w:r>
        <w:rPr>
          <w:bCs/>
          <w:b/>
        </w:rPr>
        <w:t xml:space="preserve">Beobachtungsdaten und Signale:</w:t>
      </w:r>
    </w:p>
    <w:p>
      <w:pPr>
        <w:numPr>
          <w:ilvl w:val="0"/>
          <w:numId w:val="1057"/>
        </w:numPr>
        <w:pStyle w:val="Compact"/>
      </w:pPr>
      <w:r>
        <w:rPr>
          <w:bCs/>
          <w:b/>
        </w:rPr>
        <w:t xml:space="preserve">NAION (Durchblutungsstörung des Sehnervs):</w:t>
      </w:r>
      <w:r>
        <w:t xml:space="preserve"> </w:t>
      </w:r>
      <w:r>
        <w:t xml:space="preserve">2024 berichtete eine US-Studie aus einer augenärztlichen Klinik von einem deutlich erhöhten Risiko für eine nicht-arteriitische anteriore ischämische Optikusneuropathie, einen plötzlichen, meist schmerzlosen Sehverlust auf einem Auge</w:t>
      </w:r>
      <w:r>
        <w:rPr>
          <w:rStyle w:val="FootnoteReference"/>
        </w:rPr>
        <w:footnoteReference w:id="458"/>
      </w:r>
      <w:r>
        <w:t xml:space="preserve">. In dieser Studie lag das Hazard Ratio bei 4,28 (Diabetes) bzw. 7,64 (Adipositas), allerdings bei sehr kleinen Fallzahlen. Eine dänisch-norwegische Registerstudie mit über 60.000 Menschen mit Typ-2-Diabetes bestätigte ein erhöhtes relatives Risiko (HR 2,81), bei niedrigem absolutem Risiko: rund 1,4 zusätzliche Fälle pro 10.000 Personenjahre</w:t>
      </w:r>
      <w:r>
        <w:rPr>
          <w:rStyle w:val="FootnoteReference"/>
        </w:rPr>
        <w:footnoteReference w:id="459"/>
      </w:r>
      <w:r>
        <w:t xml:space="preserve">. Eine Meta-Analyse von 2026 fand das Signal nur in Beobachtungsstudien bei Diabetes (HR 1,85), nicht in randomisierten Studien und nicht bei Adipositas</w:t>
      </w:r>
      <w:r>
        <w:rPr>
          <w:rStyle w:val="FootnoteReference"/>
        </w:rPr>
        <w:footnoteReference w:id="460"/>
      </w:r>
      <w:r>
        <w:t xml:space="preserve">. Die Europäische Arzneimittel-Agentur hat NAION 2025 als sehr seltene Nebenwirkung in die Fachinformation aufgenommen. Wer unter Semaglutid plötzlich schlechter sieht, sollte umgehend ärztliche Hilfe suchen.</w:t>
      </w:r>
    </w:p>
    <w:p>
      <w:pPr>
        <w:numPr>
          <w:ilvl w:val="0"/>
          <w:numId w:val="1057"/>
        </w:numPr>
        <w:pStyle w:val="Compact"/>
      </w:pPr>
      <w:r>
        <w:rPr>
          <w:bCs/>
          <w:b/>
        </w:rPr>
        <w:t xml:space="preserve">Bauchspeicheldrüsenentzündung und Darmverschluss:</w:t>
      </w:r>
      <w:r>
        <w:t xml:space="preserve"> </w:t>
      </w:r>
      <w:r>
        <w:t xml:space="preserve">Eine Auswertung von Versicherungsdaten fand bei GLP-1-Rezeptor-Agonisten zur Gewichtsabnahme ein erhöhtes Risiko für Bauchspeicheldrüsenentzündung, Darmverschluss und Magenlähmung</w:t>
      </w:r>
      <w:r>
        <w:rPr>
          <w:rStyle w:val="FootnoteReference"/>
        </w:rPr>
        <w:footnoteReference w:id="461"/>
      </w:r>
      <w:r>
        <w:t xml:space="preserve">. In den großen randomisierten Studien war Pankreatitis selten. Die Fachinformation nennt sie als mögliche Nebenwirkung.</w:t>
      </w:r>
    </w:p>
    <w:p>
      <w:pPr>
        <w:numPr>
          <w:ilvl w:val="0"/>
          <w:numId w:val="1057"/>
        </w:numPr>
        <w:pStyle w:val="Compact"/>
      </w:pPr>
      <w:r>
        <w:rPr>
          <w:bCs/>
          <w:b/>
        </w:rPr>
        <w:t xml:space="preserve">Schilddrüsenkrebs:</w:t>
      </w:r>
      <w:r>
        <w:t xml:space="preserve"> </w:t>
      </w:r>
      <w:r>
        <w:t xml:space="preserve">Signal in Beobachtungsstudien und Meta-Analysen für die Klasse</w:t>
      </w:r>
      <w:r>
        <w:rPr>
          <w:rStyle w:val="FootnoteReference"/>
        </w:rPr>
        <w:footnoteReference w:id="462"/>
      </w:r>
      <w:r>
        <w:t xml:space="preserve">; siehe Kapitel Liraglutid.</w:t>
      </w:r>
    </w:p>
    <w:p>
      <w:pPr>
        <w:numPr>
          <w:ilvl w:val="0"/>
          <w:numId w:val="1057"/>
        </w:numPr>
        <w:pStyle w:val="Compact"/>
      </w:pPr>
      <w:r>
        <w:rPr>
          <w:bCs/>
          <w:b/>
        </w:rPr>
        <w:t xml:space="preserve">Psychische Nebenwirkungen:</w:t>
      </w:r>
      <w:r>
        <w:t xml:space="preserve"> </w:t>
      </w:r>
      <w:r>
        <w:t xml:space="preserve">Nach Meldungen über Suizidgedanken prüften die Behörden 2023/2024 und fanden keinen Beleg für einen ursächlichen Zusammenhang. In einer großen US-Kohorte mit 240.618 Menschen mit Übergewicht war Semaglutid sogar mit weniger neu auftretenden Suizidgedanken verbunden als andere Mittel zur Gewichtsreduktion</w:t>
      </w:r>
      <w:r>
        <w:rPr>
          <w:rStyle w:val="FootnoteReference"/>
        </w:rPr>
        <w:footnoteReference w:id="463"/>
      </w:r>
      <w:r>
        <w:t xml:space="preserve">. Beobachtungsdaten können Verzerrungen nicht sicher ausschließen.</w:t>
      </w:r>
    </w:p>
    <w:p>
      <w:pPr>
        <w:pStyle w:val="FirstParagraph"/>
      </w:pPr>
      <w:r>
        <w:rPr>
          <w:bCs/>
          <w:b/>
        </w:rPr>
        <w:t xml:space="preserve">Hinweise für die Praxis:</w:t>
      </w:r>
      <w:r>
        <w:t xml:space="preserve"> </w:t>
      </w:r>
      <w:r>
        <w:t xml:space="preserve">Semaglutid ist in der Schwangerschaft nicht angezeigt; die Fachinformation empfiehlt ein rechtzeitiges Absetzen vor einer geplanten Schwangerschaft. Wegen der verzögerten Magenentleerung kann bei Narkosen ein erhöhtes Risiko bestehen, dass Mageninhalt in die Lunge gelangt; Behandelte sollten das vor Operationen und Magenspiegelungen angeben. Zu Anwendung, Dosissteigerung und Gegenanzeigen sind Fachinformation und ärztliche Begleitung maßgeblich.</w:t>
      </w:r>
    </w:p>
    <w:bookmarkEnd w:id="464"/>
    <w:bookmarkStart w:id="468" w:name="graumarkt-compounding-und-fälschungen"/>
    <w:p>
      <w:pPr>
        <w:pStyle w:val="Heading3"/>
      </w:pPr>
      <w:r>
        <w:t xml:space="preserve">Graumarkt, Compounding und Fälschungen</w:t>
      </w:r>
    </w:p>
    <w:p>
      <w:pPr>
        <w:pStyle w:val="FirstParagraph"/>
      </w:pPr>
      <w:r>
        <w:t xml:space="preserve">Kein anderes Peptid in diesem Buch wird so häufig außerhalb regulärer Wege beschafft wie Semaglutid. Die Nachfrage überstieg ab 2022 über Jahre das Angebot. Drei Probleme sind zu unterscheiden.</w:t>
      </w:r>
    </w:p>
    <w:p>
      <w:pPr>
        <w:pStyle w:val="BodyText"/>
      </w:pPr>
      <w:r>
        <w:rPr>
          <w:bCs/>
          <w:b/>
        </w:rPr>
        <w:t xml:space="preserve">Compounding (USA):</w:t>
      </w:r>
      <w:r>
        <w:t xml:space="preserve"> </w:t>
      </w:r>
      <w:r>
        <w:t xml:space="preserve">Während der offiziellen Lieferengpässe durften US-Apotheken Semaglutid selbst herstellen („compounding“), oft als Pulver oder Lösung in Fläschchen, teils mit anderen Salzformen des Wirkstoffs. Nach dem Ende des Engpasses hat die FDA diese Praxis stark eingeschränkt. Eine Fallserie eines Giftinformationszentrums beschrieb zehnfache Überdosierungen, weil Patientinnen und Patienten mit Spritzen und Fläschchen statt mit Fertigpens hantierten und Milliliter, Einheiten und Milligramm verwechselten</w:t>
      </w:r>
      <w:r>
        <w:rPr>
          <w:rStyle w:val="FootnoteReference"/>
        </w:rPr>
        <w:footnoteReference w:id="465"/>
      </w:r>
      <w:r>
        <w:t xml:space="preserve">. In einer Auswertung der US-Nebenwirkungsdatenbank waren bei zubereiteten Produkten Meldungen zu Herstellungsfehlern, Verunreinigung und Krankenhausaufnahmen überproportional häufig</w:t>
      </w:r>
      <w:r>
        <w:rPr>
          <w:rStyle w:val="FootnoteReference"/>
        </w:rPr>
        <w:footnoteReference w:id="466"/>
      </w:r>
      <w:r>
        <w:t xml:space="preserve">.</w:t>
      </w:r>
    </w:p>
    <w:p>
      <w:pPr>
        <w:pStyle w:val="BodyText"/>
      </w:pPr>
      <w:r>
        <w:rPr>
          <w:bCs/>
          <w:b/>
        </w:rPr>
        <w:t xml:space="preserve">Illegale Online-Shops:</w:t>
      </w:r>
      <w:r>
        <w:t xml:space="preserve"> </w:t>
      </w:r>
      <w:r>
        <w:t xml:space="preserve">In einer Marktuntersuchung führten 42,3 % der gefundenen Online-Apotheken-Links zu illegalen Anbietern, die Semaglutid ohne Rezept verkauften</w:t>
      </w:r>
      <w:r>
        <w:rPr>
          <w:rStyle w:val="FootnoteReference"/>
        </w:rPr>
        <w:footnoteReference w:id="467"/>
      </w:r>
      <w:r>
        <w:t xml:space="preserve">. Bei Testkäufen kamen bestellte Ozempic-Pens gar nicht an. Die gelieferten Fläschchen enthielten zwar Semaglutid, aber die Reinheit lag nur bei 7,7 % bis 14,37 % statt der angegebenen 99 %, und in allen Proben wurden Endotoxine (Bestandteile von Bakterien, die Fieber und Entzündungen auslösen können) nachgewiesen.</w:t>
      </w:r>
    </w:p>
    <w:p>
      <w:pPr>
        <w:pStyle w:val="BodyText"/>
      </w:pPr>
      <w:r>
        <w:rPr>
          <w:bCs/>
          <w:b/>
        </w:rPr>
        <w:t xml:space="preserve">Fälschungen:</w:t>
      </w:r>
      <w:r>
        <w:t xml:space="preserve"> </w:t>
      </w:r>
      <w:r>
        <w:t xml:space="preserve">Gefälschte Ozempic-Pens sind in Europa und den USA aufgetaucht, teils mit Insulin oder ohne Wirkstoff gefüllt; die Arzneimittelbehörden und die Weltgesundheitsorganisation haben mehrfach gewarnt. Allgemeine Informationen zu Graumarkt-Produkten findest du in Teil I und Teil IV. Sicher ist nur der reguläre Weg: ärztliche Verordnung und Abgabe in der Apotheke.</w:t>
      </w:r>
    </w:p>
    <w:bookmarkEnd w:id="468"/>
    <w:bookmarkStart w:id="469" w:name="rechtslage-3"/>
    <w:p>
      <w:pPr>
        <w:pStyle w:val="Heading3"/>
      </w:pPr>
      <w:r>
        <w:t xml:space="preserve">Rechtslage</w:t>
      </w:r>
    </w:p>
    <w:p>
      <w:pPr>
        <w:numPr>
          <w:ilvl w:val="0"/>
          <w:numId w:val="1058"/>
        </w:numPr>
        <w:pStyle w:val="Compact"/>
      </w:pPr>
      <w:r>
        <w:rPr>
          <w:bCs/>
          <w:b/>
        </w:rPr>
        <w:t xml:space="preserve">EU:</w:t>
      </w:r>
      <w:r>
        <w:t xml:space="preserve"> </w:t>
      </w:r>
      <w:r>
        <w:t xml:space="preserve">Ozempic (2018), Rybelsus (2020) und Wegovy (2022) sind zentral zugelassen und verschreibungspflichtig. Wegovy ist für Erwachsene und Jugendliche ab 12 Jahren zum Gewichtsmanagement zugelassen; die Fachinformation enthält inzwischen auch Angaben zur Herz-Kreislauf-Risikosenkung aus SELECT.</w:t>
      </w:r>
    </w:p>
    <w:p>
      <w:pPr>
        <w:numPr>
          <w:ilvl w:val="0"/>
          <w:numId w:val="1058"/>
        </w:numPr>
        <w:pStyle w:val="Compact"/>
      </w:pPr>
      <w:r>
        <w:rPr>
          <w:bCs/>
          <w:b/>
        </w:rPr>
        <w:t xml:space="preserve">Deutschland:</w:t>
      </w:r>
      <w:r>
        <w:t xml:space="preserve"> </w:t>
      </w:r>
      <w:r>
        <w:t xml:space="preserve">Ozempic und Rybelsus werden bei Typ-2-Diabetes erstattet. Wegovy gilt als Mittel zur Gewichtsreduktion und ist nach § 34 SGB V grundsätzlich von der Erstattung durch die gesetzliche Krankenversicherung ausgeschlossen; eine Änderung wird politisch diskutiert. Die Verordnung von Ozempic zur reinen Gewichtsabnahme ist Off-Label und wurde während der Lieferengpässe von den Behörden ausdrücklich kritisiert.</w:t>
      </w:r>
    </w:p>
    <w:p>
      <w:pPr>
        <w:numPr>
          <w:ilvl w:val="0"/>
          <w:numId w:val="1058"/>
        </w:numPr>
        <w:pStyle w:val="Compact"/>
      </w:pPr>
      <w:r>
        <w:rPr>
          <w:bCs/>
          <w:b/>
        </w:rPr>
        <w:t xml:space="preserve">Österreich:</w:t>
      </w:r>
      <w:r>
        <w:t xml:space="preserve"> </w:t>
      </w:r>
      <w:r>
        <w:t xml:space="preserve">verschreibungspflichtig; Kostenübernahme für das Gewichtsmanagement nur eingeschränkt (bitte aktuell prüfen).</w:t>
      </w:r>
    </w:p>
    <w:p>
      <w:pPr>
        <w:numPr>
          <w:ilvl w:val="0"/>
          <w:numId w:val="1058"/>
        </w:numPr>
        <w:pStyle w:val="Compact"/>
      </w:pPr>
      <w:r>
        <w:rPr>
          <w:bCs/>
          <w:b/>
        </w:rPr>
        <w:t xml:space="preserve">USA:</w:t>
      </w:r>
      <w:r>
        <w:t xml:space="preserve"> </w:t>
      </w:r>
      <w:r>
        <w:t xml:space="preserve">Ozempic, Rybelsus und Wegovy (Spritze und Tablette) zugelassen, mit erweiterten Anwendungsgebieten für Herz, Nieren und MASH.</w:t>
      </w:r>
    </w:p>
    <w:p>
      <w:pPr>
        <w:numPr>
          <w:ilvl w:val="0"/>
          <w:numId w:val="1058"/>
        </w:numPr>
        <w:pStyle w:val="Compact"/>
      </w:pPr>
      <w:r>
        <w:rPr>
          <w:bCs/>
          <w:b/>
        </w:rPr>
        <w:t xml:space="preserve">Patente und Generika:</w:t>
      </w:r>
      <w:r>
        <w:t xml:space="preserve"> </w:t>
      </w:r>
      <w:r>
        <w:t xml:space="preserve">In mehreren großen Märkten außerhalb von EU und USA – darunter Kanada, China, Indien und Brasilien – läuft der Patentschutz für Semaglutid 2026 aus; erste Nachahmerpräparate sind dort angekündigt oder auf dem Markt. In der EU und den USA wird mit Generika erst um 2031/2032 gerechnet. Mehr dazu in Teil V.</w:t>
      </w:r>
    </w:p>
    <w:p>
      <w:pPr>
        <w:numPr>
          <w:ilvl w:val="0"/>
          <w:numId w:val="1058"/>
        </w:numPr>
        <w:pStyle w:val="Compact"/>
      </w:pPr>
      <w:r>
        <w:rPr>
          <w:bCs/>
          <w:b/>
        </w:rPr>
        <w:t xml:space="preserve">Sport (WADA):</w:t>
      </w:r>
      <w:r>
        <w:t xml:space="preserve"> </w:t>
      </w:r>
      <w:r>
        <w:t xml:space="preserve">nicht gelistet (Stand 2026, bitte aktuell prüfen).</w:t>
      </w:r>
    </w:p>
    <w:bookmarkEnd w:id="469"/>
    <w:bookmarkStart w:id="475" w:name="laufende-studien-und-ausblick-3"/>
    <w:p>
      <w:pPr>
        <w:pStyle w:val="Heading3"/>
      </w:pPr>
      <w:r>
        <w:t xml:space="preserve">Laufende Studien und Ausblick</w:t>
      </w:r>
    </w:p>
    <w:p>
      <w:pPr>
        <w:pStyle w:val="FirstParagraph"/>
      </w:pPr>
      <w:r>
        <w:rPr>
          <w:bCs/>
          <w:b/>
        </w:rPr>
        <w:t xml:space="preserve">Gesichert (registrierte Studien):</w:t>
      </w:r>
      <w:r>
        <w:t xml:space="preserve"> </w:t>
      </w:r>
      <w:r>
        <w:t xml:space="preserve">Von den 793 Registereinträgen betrifft ein großer Teil Kombinationen und Nachfolger. Beispiele:</w:t>
      </w:r>
    </w:p>
    <w:p>
      <w:pPr>
        <w:numPr>
          <w:ilvl w:val="0"/>
          <w:numId w:val="1059"/>
        </w:numPr>
        <w:pStyle w:val="Compact"/>
      </w:pPr>
      <w:r>
        <w:rPr>
          <w:bCs/>
          <w:b/>
        </w:rPr>
        <w:t xml:space="preserve">Augen:</w:t>
      </w:r>
      <w:r>
        <w:t xml:space="preserve"> </w:t>
      </w:r>
      <w:r>
        <w:t xml:space="preserve">Eine Studie mit 1.500 Teilnehmenden untersucht gezielt die Wirkung auf die diabetische Retinopathie</w:t>
      </w:r>
      <w:r>
        <w:rPr>
          <w:rStyle w:val="FootnoteReference"/>
        </w:rPr>
        <w:footnoteReference w:id="470"/>
      </w:r>
      <w:r>
        <w:t xml:space="preserve">.</w:t>
      </w:r>
    </w:p>
    <w:p>
      <w:pPr>
        <w:numPr>
          <w:ilvl w:val="0"/>
          <w:numId w:val="1059"/>
        </w:numPr>
        <w:pStyle w:val="Compact"/>
      </w:pPr>
      <w:r>
        <w:rPr>
          <w:bCs/>
          <w:b/>
        </w:rPr>
        <w:t xml:space="preserve">Leber:</w:t>
      </w:r>
      <w:r>
        <w:t xml:space="preserve"> </w:t>
      </w:r>
      <w:r>
        <w:t xml:space="preserve">Der zweite Teil von ESSENCE mit 1.205 Teilnehmenden soll klären, ob Semaglutid Leberzirrhose und Leberkomplikationen verhindert</w:t>
      </w:r>
      <w:r>
        <w:rPr>
          <w:rStyle w:val="FootnoteReference"/>
        </w:rPr>
        <w:footnoteReference w:id="471"/>
      </w:r>
      <w:r>
        <w:t xml:space="preserve">.</w:t>
      </w:r>
    </w:p>
    <w:p>
      <w:pPr>
        <w:numPr>
          <w:ilvl w:val="0"/>
          <w:numId w:val="1059"/>
        </w:numPr>
        <w:pStyle w:val="Compact"/>
      </w:pPr>
      <w:r>
        <w:rPr>
          <w:bCs/>
          <w:b/>
        </w:rPr>
        <w:t xml:space="preserve">Kinder:</w:t>
      </w:r>
      <w:r>
        <w:t xml:space="preserve"> </w:t>
      </w:r>
      <w:r>
        <w:t xml:space="preserve">Eine Studie mit 212 Kindern und Jugendlichen läuft</w:t>
      </w:r>
      <w:r>
        <w:rPr>
          <w:rStyle w:val="FootnoteReference"/>
        </w:rPr>
        <w:footnoteReference w:id="472"/>
      </w:r>
      <w:r>
        <w:t xml:space="preserve">.</w:t>
      </w:r>
    </w:p>
    <w:p>
      <w:pPr>
        <w:numPr>
          <w:ilvl w:val="0"/>
          <w:numId w:val="1059"/>
        </w:numPr>
        <w:pStyle w:val="Compact"/>
      </w:pPr>
      <w:r>
        <w:rPr>
          <w:bCs/>
          <w:b/>
        </w:rPr>
        <w:t xml:space="preserve">Tablette:</w:t>
      </w:r>
      <w:r>
        <w:t xml:space="preserve"> </w:t>
      </w:r>
      <w:r>
        <w:t xml:space="preserve">Weitere Phase-3-Studien zur Tablette bei Adipositas sind gestartet</w:t>
      </w:r>
      <w:r>
        <w:rPr>
          <w:rStyle w:val="FootnoteReference"/>
        </w:rPr>
        <w:footnoteReference w:id="473"/>
      </w:r>
      <w:r>
        <w:t xml:space="preserve">.</w:t>
      </w:r>
    </w:p>
    <w:p>
      <w:pPr>
        <w:numPr>
          <w:ilvl w:val="0"/>
          <w:numId w:val="1059"/>
        </w:numPr>
        <w:pStyle w:val="Compact"/>
      </w:pPr>
      <w:r>
        <w:rPr>
          <w:bCs/>
          <w:b/>
        </w:rPr>
        <w:t xml:space="preserve">Kombination CagriSema:</w:t>
      </w:r>
      <w:r>
        <w:t xml:space="preserve"> </w:t>
      </w:r>
      <w:r>
        <w:t xml:space="preserve">Semaglutid in fester Kombination mit dem Amylin-Analogon Cagrilintid wird in einer Herz-Kreislauf-Studie mit 7.101 Teilnehmenden geprüft</w:t>
      </w:r>
      <w:r>
        <w:rPr>
          <w:rStyle w:val="FootnoteReference"/>
        </w:rPr>
        <w:footnoteReference w:id="474"/>
      </w:r>
      <w:r>
        <w:t xml:space="preserve">; Details im Kapitel Cagrilintid/CagriSema.</w:t>
      </w:r>
    </w:p>
    <w:p>
      <w:pPr>
        <w:pStyle w:val="FirstParagraph"/>
      </w:pPr>
      <w:r>
        <w:rPr>
          <w:bCs/>
          <w:b/>
        </w:rPr>
        <w:t xml:space="preserve">Einschätzung:</w:t>
      </w:r>
      <w:r>
        <w:t xml:space="preserve"> </w:t>
      </w:r>
      <w:r>
        <w:t xml:space="preserve">Semaglutid wird in den kommenden Jahren von zwei Seiten unter Druck geraten – durch wirksamere Nachfolger wie Tirzepatid, CagriSema oder Retatrutid und durch Generika in großen Märkten. Gleichzeitig ist es der Wirkstoff mit der breitesten Belegbasis für harte Endpunkte (Herz, Nieren, Leber). Die Tablettenform könnte den Zugang deutlich erweitern. Die gescheiterten Alzheimer-Studien zeigen, dass nicht jede Hoffnung aus Tierversuchen und Beobachtungsdaten trägt.</w:t>
      </w:r>
    </w:p>
    <w:bookmarkEnd w:id="475"/>
    <w:bookmarkStart w:id="476" w:name="fazit-3"/>
    <w:p>
      <w:pPr>
        <w:pStyle w:val="Heading3"/>
      </w:pPr>
      <w:r>
        <w:t xml:space="preserve">Fazit</w:t>
      </w:r>
    </w:p>
    <w:p>
      <w:pPr>
        <w:pStyle w:val="FirstParagraph"/>
      </w:pPr>
      <w:r>
        <w:t xml:space="preserve">Semaglutid ist der am umfassendsten untersuchte GLP-1-Rezeptor-Agonist und hat in direkten Vergleichen Exenatid, Liraglutid und Dulaglutid übertroffen. In der Dosis 2,4 mg pro Woche verloren Menschen mit Adipositas in STEP 1 im Mittel 14,9 % ihres Gewichts; nach dem Absetzen kehrt der Großteil des Gewichts zurück. Große Endpunktstudien zeigten eine Senkung schwerer Herz-Kreislauf-Ereignisse – auch ohne Diabetes (SELECT, 20 %) – sowie einen Schutz der Nieren (FLOW) und Verbesserungen bei Fettleberentzündung. Häufige Nebenwirkungen betreffen den Magen-Darm-Trakt und die Gallenblase; seltene Signale wie NAION werden weiter beobachtet, während die Alzheimer-Studien keinen Nutzen zeigten. Graumarktprodukte bergen erhebliche Risiken – die Behandlung gehört in ärztliche Hände und in die Apotheke.</w:t>
      </w:r>
    </w:p>
    <w:bookmarkEnd w:id="476"/>
    <w:bookmarkEnd w:id="477"/>
    <w:bookmarkStart w:id="537" w:name="tirzepatid"/>
    <w:p>
      <w:pPr>
        <w:pStyle w:val="Heading2"/>
      </w:pPr>
      <w:r>
        <w:t xml:space="preserve">Tirzepatid</w:t>
      </w:r>
    </w:p>
    <w:bookmarkStart w:id="478" w:name="steckbrief-4"/>
    <w:p>
      <w:pPr>
        <w:pStyle w:val="Heading3"/>
      </w:pPr>
      <w:r>
        <w:t xml:space="preserve">Steckbrief</w:t>
      </w:r>
    </w:p>
    <w:p>
      <w:pPr>
        <w:numPr>
          <w:ilvl w:val="0"/>
          <w:numId w:val="1060"/>
        </w:numPr>
        <w:pStyle w:val="Compact"/>
      </w:pPr>
      <w:r>
        <w:rPr>
          <w:bCs/>
          <w:b/>
        </w:rPr>
        <w:t xml:space="preserve">Art/Struktur:</w:t>
      </w:r>
      <w:r>
        <w:t xml:space="preserve"> </w:t>
      </w:r>
      <w:r>
        <w:t xml:space="preserve">synthetisches Peptid, dessen Grundgerüst dem körpereigenen Darmhormon GIP nachempfunden ist; eine angehängte Fettsäurekette bindet es im Blut an Albumin und verlängert die Wirkdauer so weit, dass eine Spritze pro Woche genügt.</w:t>
      </w:r>
    </w:p>
    <w:p>
      <w:pPr>
        <w:numPr>
          <w:ilvl w:val="0"/>
          <w:numId w:val="1060"/>
        </w:numPr>
        <w:pStyle w:val="Compact"/>
      </w:pPr>
      <w:r>
        <w:rPr>
          <w:bCs/>
          <w:b/>
        </w:rPr>
        <w:t xml:space="preserve">Herkunft:</w:t>
      </w:r>
      <w:r>
        <w:t xml:space="preserve"> </w:t>
      </w:r>
      <w:r>
        <w:t xml:space="preserve">entwickelt von Eli Lilly, in frühen Studien unter dem Code LY3298176 geführt.</w:t>
      </w:r>
    </w:p>
    <w:p>
      <w:pPr>
        <w:numPr>
          <w:ilvl w:val="0"/>
          <w:numId w:val="1060"/>
        </w:numPr>
        <w:pStyle w:val="Compact"/>
      </w:pPr>
      <w:r>
        <w:rPr>
          <w:bCs/>
          <w:b/>
        </w:rPr>
        <w:t xml:space="preserve">Wirkprinzip:</w:t>
      </w:r>
      <w:r>
        <w:t xml:space="preserve"> </w:t>
      </w:r>
      <w:r>
        <w:t xml:space="preserve">doppelter Agonist (Aktivator) an zwei Rezeptoren: dem GIP-Rezeptor und dem GLP-1-Rezeptor. Deshalb auch „Twincretin“ oder „dualer Inkretin-Agonist“ genannt.</w:t>
      </w:r>
    </w:p>
    <w:p>
      <w:pPr>
        <w:numPr>
          <w:ilvl w:val="0"/>
          <w:numId w:val="1060"/>
        </w:numPr>
        <w:pStyle w:val="Compact"/>
      </w:pPr>
      <w:r>
        <w:rPr>
          <w:bCs/>
          <w:b/>
        </w:rPr>
        <w:t xml:space="preserve">Zulassung EU:</w:t>
      </w:r>
      <w:r>
        <w:t xml:space="preserve"> </w:t>
      </w:r>
      <w:r>
        <w:t xml:space="preserve">ja (Mounjaro) für Typ-2-Diabetes und für das Gewichtsmanagement bei Adipositas und Übergewicht mit Begleiterkrankungen.</w:t>
      </w:r>
    </w:p>
    <w:p>
      <w:pPr>
        <w:numPr>
          <w:ilvl w:val="0"/>
          <w:numId w:val="1060"/>
        </w:numPr>
        <w:pStyle w:val="Compact"/>
      </w:pPr>
      <w:r>
        <w:rPr>
          <w:bCs/>
          <w:b/>
        </w:rPr>
        <w:t xml:space="preserve">Zulassung USA:</w:t>
      </w:r>
      <w:r>
        <w:t xml:space="preserve"> </w:t>
      </w:r>
      <w:r>
        <w:t xml:space="preserve">ja (Mounjaro für Typ-2-Diabetes; Zepbound für Adipositas und für mittelschwere bis schwere obstruktive Schlafapnoe bei Adipositas).</w:t>
      </w:r>
    </w:p>
    <w:p>
      <w:pPr>
        <w:numPr>
          <w:ilvl w:val="0"/>
          <w:numId w:val="1060"/>
        </w:numPr>
        <w:pStyle w:val="Compact"/>
      </w:pPr>
      <w:r>
        <w:rPr>
          <w:bCs/>
          <w:b/>
        </w:rPr>
        <w:t xml:space="preserve">WADA:</w:t>
      </w:r>
      <w:r>
        <w:t xml:space="preserve"> </w:t>
      </w:r>
      <w:r>
        <w:t xml:space="preserve">nicht auf der Verbotsliste.</w:t>
      </w:r>
    </w:p>
    <w:p>
      <w:pPr>
        <w:numPr>
          <w:ilvl w:val="0"/>
          <w:numId w:val="1060"/>
        </w:numPr>
        <w:pStyle w:val="Compact"/>
      </w:pPr>
      <w:r>
        <w:rPr>
          <w:bCs/>
          <w:b/>
        </w:rPr>
        <w:t xml:space="preserve">Evidenzstufe:</w:t>
      </w:r>
      <w:r>
        <w:t xml:space="preserve"> </w:t>
      </w:r>
      <w:r>
        <w:rPr>
          <w:bCs/>
          <w:b/>
        </w:rPr>
        <w:t xml:space="preserve">A</w:t>
      </w:r>
      <w:r>
        <w:t xml:space="preserve"> </w:t>
      </w:r>
      <w:r>
        <w:t xml:space="preserve">– zahlreiche große randomisierte Studien, Endpunktstudien zu Herz und Herzinsuffizienz, Zulassung in vielen Ländern.</w:t>
      </w:r>
    </w:p>
    <w:bookmarkEnd w:id="478"/>
    <w:bookmarkStart w:id="482" w:name="wie-es-wirken-soll-4"/>
    <w:p>
      <w:pPr>
        <w:pStyle w:val="Heading3"/>
      </w:pPr>
      <w:r>
        <w:t xml:space="preserve">Wie es wirken soll</w:t>
      </w:r>
    </w:p>
    <w:p>
      <w:pPr>
        <w:pStyle w:val="FirstParagraph"/>
      </w:pPr>
      <w:r>
        <w:t xml:space="preserve">Nach einer Mahlzeit schüttet der Darm zwei Hormone aus, die man Inkretine nennt: GLP-1 (Glucagon-like Peptide-1) und GIP (Glukose-abhängiges insulinotropes Polypeptid). Beide melden der Bauchspeicheldrüse „Nahrung kommt“ und verstärken die Insulinausschüttung – aber nur, solange der Blutzucker erhöht ist. Das ist der Grund, warum Inkretin-Medikamente allein selten Unterzuckerungen auslösen. GLP-1 bremst zusätzlich die Magenentleerung und wirkt im Gehirn auf Sättigungszentren. Welche Rolle GIP beim Appetit spielt, ist weniger klar und war lange umstritten; in einigen älteren Arbeiten galt GIP sogar eher als „Dickmacher-Hormon“.</w:t>
      </w:r>
    </w:p>
    <w:p>
      <w:pPr>
        <w:pStyle w:val="BodyText"/>
      </w:pPr>
      <w:r>
        <w:t xml:space="preserve">Tirzepatid kombiniert beide Signale in einem einzigen Molekül. Laboruntersuchungen an Zelllinien zeigten zwei Besonderheiten</w:t>
      </w:r>
      <w:r>
        <w:rPr>
          <w:rStyle w:val="FootnoteReference"/>
        </w:rPr>
        <w:footnoteReference w:id="479"/>
      </w:r>
      <w:r>
        <w:t xml:space="preserve">: Erstens ist Tirzepatid „unausgewogen“ – bei den Konzentrationen, die in Behandlungsdosen erreicht werden, besetzt es den GIP-Rezeptor stärker als den GLP-1-Rezeptor. Zweitens aktiviert es am GLP-1-Rezeptor bevorzugt einen bestimmten Signalweg (cAMP) und löst weniger die Rezeptor-Internalisierung aus, bei der der Rezeptor ins Zellinnere gezogen und damit vorübergehend abgeschaltet wird. Ob diese „verzerrte“ Signalgebung beim Menschen eine Rolle spielt, ist eine Hypothese aus Labordaten.</w:t>
      </w:r>
    </w:p>
    <w:p>
      <w:pPr>
        <w:pStyle w:val="BodyText"/>
      </w:pPr>
      <w:r>
        <w:t xml:space="preserve">Bei übergewichtigen Mäusen verbesserte Tirzepatid die Insulinempfindlichkeit stärker als ein reiner GLP-1-Agonist, und zwar teilweise unabhängig vom Gewichtsverlust – vermittelt über den GIP-Rezeptor und eine bessere Glukoseaufnahme im Fettgewebe</w:t>
      </w:r>
      <w:r>
        <w:rPr>
          <w:rStyle w:val="FootnoteReference"/>
        </w:rPr>
        <w:footnoteReference w:id="480"/>
      </w:r>
      <w:r>
        <w:t xml:space="preserve">. Beim Menschen sinkt unter Tirzepatid vor allem die Nahrungsaufnahme; in einer Studie mit 117 Menschen mit Typ-2-Diabetes verringerten sich unter Tirzepatid Appetit, Energieaufnahme und Fettmasse gegenüber Placebo. Beim Appetit unterschied es sich allerdings nicht messbar von Semaglutid, obwohl der Gewichtsverlust größer war – die Autorinnen und Autoren halten daher weitere Mechanismen für möglich</w:t>
      </w:r>
      <w:r>
        <w:rPr>
          <w:rStyle w:val="FootnoteReference"/>
        </w:rPr>
        <w:footnoteReference w:id="481"/>
      </w:r>
      <w:r>
        <w:t xml:space="preserve">.</w:t>
      </w:r>
    </w:p>
    <w:p>
      <w:pPr>
        <w:pStyle w:val="BodyText"/>
      </w:pPr>
      <w:r>
        <w:t xml:space="preserve">Vereinfacht gesagt: Tirzepatid wirkt wie ein GLP-1-Medikament mit einem zusätzlichen GIP-„Verstärker“. Die Studien zeigen, dass dieses Paket beim Gewicht und beim Blutzucker mehr bewirkt als die bisher verfügbaren reinen GLP-1-Agonisten – warum genau, ist noch nicht vollständig verstanden.</w:t>
      </w:r>
    </w:p>
    <w:bookmarkEnd w:id="482"/>
    <w:bookmarkStart w:id="515" w:name="studien-am-menschen-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144 als Humanstudien klassifizierte Veröffentlichungen mit „tirzepatide“ im Titel oder Abstract, dazu sehr viele Übersichtsarbeiten und Meta-Analysen. Auf ClinicalTrials.gov waren 307 Studien registriert, davon über 100 noch in der Rekrutierung (ein offenkundig fiktiver Beispiel-Eintrag eines unbekannten Sponsors ist nicht mitgezählt). Tirzepatid gehört damit zu den am besten untersuchten Wirkstoffen dieses Buches. Die Hauptlast tragen zwei Zulassungsprogramme:</w:t>
      </w:r>
      <w:r>
        <w:t xml:space="preserve"> </w:t>
      </w:r>
      <w:r>
        <w:rPr>
          <w:bCs/>
          <w:b/>
        </w:rPr>
        <w:t xml:space="preserve">SURPASS</w:t>
      </w:r>
      <w:r>
        <w:t xml:space="preserve"> </w:t>
      </w:r>
      <w:r>
        <w:t xml:space="preserve">(Typ-2-Diabetes) und</w:t>
      </w:r>
      <w:r>
        <w:t xml:space="preserve"> </w:t>
      </w:r>
      <w:r>
        <w:rPr>
          <w:bCs/>
          <w:b/>
        </w:rPr>
        <w:t xml:space="preserve">SURMOUNT</w:t>
      </w:r>
      <w:r>
        <w:t xml:space="preserve"> </w:t>
      </w:r>
      <w:r>
        <w:t xml:space="preserve">(Adipositas), ergänzt durch Studien zu Herzinsuffizienz, Schlafapnoe und Fettleber.</w:t>
      </w:r>
    </w:p>
    <w:bookmarkStart w:id="485" w:name="vom-labor-in-die-klinik-phase-1-und-2"/>
    <w:p>
      <w:pPr>
        <w:pStyle w:val="Heading4"/>
      </w:pPr>
      <w:r>
        <w:t xml:space="preserve">Vom Labor in die Klinik: Phase 1 und 2</w:t>
      </w:r>
    </w:p>
    <w:p>
      <w:pPr>
        <w:pStyle w:val="FirstParagraph"/>
      </w:pPr>
      <w:r>
        <w:t xml:space="preserve">Die ersten Daten am Menschen stammen aus einer kombinierten Phase-1-Studie mit 142 Personen, die Tirzepatid, Dulaglutid oder Placebo erhielten. Bei Menschen mit Typ-2-Diabetes senkten höhere Dosen nach vier Wochen den Nüchternblutzucker deutlich; die häufigsten Nebenwirkungen betrafen den Magen-Darm-Trakt</w:t>
      </w:r>
      <w:r>
        <w:rPr>
          <w:rStyle w:val="FootnoteReference"/>
        </w:rPr>
        <w:footnoteReference w:id="483"/>
      </w:r>
      <w:r>
        <w:t xml:space="preserve">.</w:t>
      </w:r>
    </w:p>
    <w:p>
      <w:pPr>
        <w:pStyle w:val="BodyText"/>
      </w:pPr>
      <w:r>
        <w:t xml:space="preserve">In der Phase-2-Studie erhielten 318 Menschen mit Typ-2-Diabetes 26 Wochen lang eine von vier Tirzepatid-Dosen, Dulaglutid oder Placebo. Der Langzeitzuckerwert HbA1c sank dosisabhängig um bis zu 1,94 Prozentpunkte (Dulaglutid: −1,21; Placebo: −0,06). Das Körpergewicht veränderte sich unter Tirzepatid um −0,9 bis −11,3 kg, unter Dulaglutid um −2,7 kg</w:t>
      </w:r>
      <w:r>
        <w:rPr>
          <w:rStyle w:val="FootnoteReference"/>
        </w:rPr>
        <w:footnoteReference w:id="484"/>
      </w:r>
      <w:r>
        <w:t xml:space="preserve">. Diese Größenordnung des Gewichtsverlusts – bei einer Diabetesstudie – war der Anlass für das große Adipositasprogramm.</w:t>
      </w:r>
    </w:p>
    <w:bookmarkEnd w:id="485"/>
    <w:bookmarkStart w:id="491" w:name="surpass-typ-2-diabetes"/>
    <w:p>
      <w:pPr>
        <w:pStyle w:val="Heading4"/>
      </w:pPr>
      <w:r>
        <w:t xml:space="preserve">SURPASS: Typ-2-Diabetes</w:t>
      </w:r>
    </w:p>
    <w:p>
      <w:pPr>
        <w:pStyle w:val="FirstParagraph"/>
      </w:pPr>
      <w:r>
        <w:t xml:space="preserve">Das SURPASS-Programm prüfte Tirzepatid in drei Dosen (5, 10 und 15 mg pro Woche) gegen Placebo, gegen Semaglutid und gegen Insuline. Der HbA1c-Wert spiegelt den durchschnittlichen Blutzucker der letzten zwei bis drei Monate wider; ein Wert unter 7 % gilt für viele Menschen mit Diabetes als Therapieziel.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SURPASS-1 (Rosenstock 2021), PMID 34186022</w:t>
            </w:r>
          </w:p>
        </w:tc>
        <w:tc>
          <w:tcPr/>
          <w:p>
            <w:pPr>
              <w:pStyle w:val="Compact"/>
              <w:jc w:val="left"/>
            </w:pPr>
            <w:r>
              <w:t xml:space="preserve">478 Erwachsene, nur Diät/Bewegung, gegen Placebo</w:t>
            </w:r>
          </w:p>
        </w:tc>
        <w:tc>
          <w:tcPr/>
          <w:p>
            <w:pPr>
              <w:pStyle w:val="Compact"/>
              <w:jc w:val="left"/>
            </w:pPr>
            <w:r>
              <w:t xml:space="preserve">40 Wochen</w:t>
            </w:r>
          </w:p>
        </w:tc>
        <w:tc>
          <w:tcPr/>
          <w:p>
            <w:pPr>
              <w:pStyle w:val="Compact"/>
              <w:jc w:val="left"/>
            </w:pPr>
            <w:r>
              <w:t xml:space="preserve">HbA1c −1,87 bis −2,07 Punkte vs. +0,04; Gewicht −7,0 bis −9,5 kg</w:t>
            </w:r>
          </w:p>
        </w:tc>
      </w:tr>
      <w:tr>
        <w:tc>
          <w:tcPr/>
          <w:p>
            <w:pPr>
              <w:pStyle w:val="Compact"/>
              <w:jc w:val="left"/>
            </w:pPr>
            <w:r>
              <w:t xml:space="preserve">SURPASS-2 (Frías 2021), PMID 34170647</w:t>
            </w:r>
          </w:p>
        </w:tc>
        <w:tc>
          <w:tcPr/>
          <w:p>
            <w:pPr>
              <w:pStyle w:val="Compact"/>
              <w:jc w:val="left"/>
            </w:pPr>
            <w:r>
              <w:t xml:space="preserve">1.879 Erwachsene mit Metformin, offen gegen Semaglutid 1 mg</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SURPASS-3 (Ludvik 2021), PMID 34370970</w:t>
            </w:r>
          </w:p>
        </w:tc>
        <w:tc>
          <w:tcPr/>
          <w:p>
            <w:pPr>
              <w:pStyle w:val="Compact"/>
              <w:jc w:val="left"/>
            </w:pPr>
            <w:r>
              <w:t xml:space="preserve">1.444 Erwachsene, offen gegen Insulin degludec</w:t>
            </w:r>
          </w:p>
        </w:tc>
        <w:tc>
          <w:tcPr/>
          <w:p>
            <w:pPr>
              <w:pStyle w:val="Compact"/>
              <w:jc w:val="left"/>
            </w:pPr>
            <w:r>
              <w:t xml:space="preserve">52 Wochen</w:t>
            </w:r>
          </w:p>
        </w:tc>
        <w:tc>
          <w:tcPr/>
          <w:p>
            <w:pPr>
              <w:pStyle w:val="Compact"/>
              <w:jc w:val="left"/>
            </w:pPr>
            <w:r>
              <w:t xml:space="preserve">HbA1c −1,93 bis −2,37 vs. −1,34; Gewicht −7,5 bis −12,9 kg vs. +2,3 kg</w:t>
            </w:r>
          </w:p>
        </w:tc>
      </w:tr>
      <w:tr>
        <w:tc>
          <w:tcPr/>
          <w:p>
            <w:pPr>
              <w:pStyle w:val="Compact"/>
              <w:jc w:val="left"/>
            </w:pPr>
            <w:r>
              <w:t xml:space="preserve">SURPASS-4 (Del Prato 2021), PMID 34672967</w:t>
            </w:r>
          </w:p>
        </w:tc>
        <w:tc>
          <w:tcPr/>
          <w:p>
            <w:pPr>
              <w:pStyle w:val="Compact"/>
              <w:jc w:val="left"/>
            </w:pPr>
            <w:r>
              <w:t xml:space="preserve">2.002 Erwachsene mit hohem Herz-Kreislauf-Risiko, offen gegen Insulin glargin</w:t>
            </w:r>
          </w:p>
        </w:tc>
        <w:tc>
          <w:tcPr/>
          <w:p>
            <w:pPr>
              <w:pStyle w:val="Compact"/>
              <w:jc w:val="left"/>
            </w:pPr>
            <w:r>
              <w:t xml:space="preserve">52 bis 104 Wochen</w:t>
            </w:r>
          </w:p>
        </w:tc>
        <w:tc>
          <w:tcPr/>
          <w:p>
            <w:pPr>
              <w:pStyle w:val="Compact"/>
              <w:jc w:val="left"/>
            </w:pPr>
            <w:r>
              <w:t xml:space="preserve">HbA1c −2,43/−2,58 vs. −1,44; MACE-4 nicht erhöht (HR 0,74)</w:t>
            </w:r>
          </w:p>
        </w:tc>
      </w:tr>
      <w:tr>
        <w:tc>
          <w:tcPr/>
          <w:p>
            <w:pPr>
              <w:pStyle w:val="Compact"/>
              <w:jc w:val="left"/>
            </w:pPr>
            <w:r>
              <w:t xml:space="preserve">SURPASS-5 (Dahl 2022), PMID 35133415</w:t>
            </w:r>
          </w:p>
        </w:tc>
        <w:tc>
          <w:tcPr/>
          <w:p>
            <w:pPr>
              <w:pStyle w:val="Compact"/>
              <w:jc w:val="left"/>
            </w:pPr>
            <w:r>
              <w:t xml:space="preserve">475 Erwachsene mit Insulin glargin, gegen Placebo</w:t>
            </w:r>
          </w:p>
        </w:tc>
        <w:tc>
          <w:tcPr/>
          <w:p>
            <w:pPr>
              <w:pStyle w:val="Compact"/>
              <w:jc w:val="left"/>
            </w:pPr>
            <w:r>
              <w:t xml:space="preserve">40 Wochen</w:t>
            </w:r>
          </w:p>
        </w:tc>
        <w:tc>
          <w:tcPr/>
          <w:p>
            <w:pPr>
              <w:pStyle w:val="Compact"/>
              <w:jc w:val="left"/>
            </w:pPr>
            <w:r>
              <w:t xml:space="preserve">HbA1c −2,11 bis −2,40 vs. −0,86; Gewicht −5,4 bis −8,8 kg vs. +1,6 kg</w:t>
            </w:r>
          </w:p>
        </w:tc>
      </w:tr>
      <w:tr>
        <w:tc>
          <w:tcPr/>
          <w:p>
            <w:pPr>
              <w:pStyle w:val="Compact"/>
              <w:jc w:val="left"/>
            </w:pPr>
            <w:r>
              <w:t xml:space="preserve">SURPASS-PEDS (Hannon 2025), PMID 40975112</w:t>
            </w:r>
          </w:p>
        </w:tc>
        <w:tc>
          <w:tcPr/>
          <w:p>
            <w:pPr>
              <w:pStyle w:val="Compact"/>
              <w:jc w:val="left"/>
            </w:pPr>
            <w:r>
              <w:t xml:space="preserve">99 Jugendliche (10–17 Jahre) mit Typ-2-Diabetes, gegen Placebo</w:t>
            </w:r>
          </w:p>
        </w:tc>
        <w:tc>
          <w:tcPr/>
          <w:p>
            <w:pPr>
              <w:pStyle w:val="Compact"/>
              <w:jc w:val="left"/>
            </w:pPr>
            <w:r>
              <w:t xml:space="preserve">30 Wochen (+22 offen)</w:t>
            </w:r>
          </w:p>
        </w:tc>
        <w:tc>
          <w:tcPr/>
          <w:p>
            <w:pPr>
              <w:pStyle w:val="Compact"/>
              <w:jc w:val="left"/>
            </w:pPr>
            <w:r>
              <w:t xml:space="preserve">HbA1c −2,23 vs. +0,05; BMI −7,4 bis −11,2 %</w:t>
            </w:r>
          </w:p>
        </w:tc>
      </w:tr>
    </w:tbl>
    <w:p>
      <w:pPr>
        <w:pStyle w:val="BodyText"/>
      </w:pPr>
      <w:r>
        <w:t xml:space="preserve">Einige Punkte verdienen Hervorhebung:</w:t>
      </w:r>
    </w:p>
    <w:p>
      <w:pPr>
        <w:numPr>
          <w:ilvl w:val="0"/>
          <w:numId w:val="1061"/>
        </w:numPr>
        <w:pStyle w:val="Compact"/>
      </w:pPr>
      <w:r>
        <w:rPr>
          <w:bCs/>
          <w:b/>
        </w:rPr>
        <w:t xml:space="preserve">Im direkten Vergleich mit Semaglutid</w:t>
      </w:r>
      <w:r>
        <w:t xml:space="preserve"> </w:t>
      </w:r>
      <w:r>
        <w:t xml:space="preserve">(SURPASS-2) war Tirzepatid in allen drei Dosen beim HbA1c nicht unterlegen und überlegen. Allerdings verwendete die Studie Semaglutid in der Dosis von 1 mg; die später zugelassene höhere Diabetesdosis war nicht der Vergleich. Häufigkeit von Übelkeit (17–22 % vs. 18 %) und Erbrechen (6–10 % vs. 8 %) war ähnlich; schwere unerwünschte Ereignisse traten unter Tirzepatid bei 5–7 % gegenüber 3 % unter Semaglutid auf</w:t>
      </w:r>
      <w:r>
        <w:rPr>
          <w:rStyle w:val="FootnoteReference"/>
        </w:rPr>
        <w:footnoteReference w:id="486"/>
      </w:r>
      <w:r>
        <w:t xml:space="preserve">.</w:t>
      </w:r>
    </w:p>
    <w:p>
      <w:pPr>
        <w:numPr>
          <w:ilvl w:val="0"/>
          <w:numId w:val="1061"/>
        </w:numPr>
        <w:pStyle w:val="Compact"/>
      </w:pPr>
      <w:r>
        <w:rPr>
          <w:bCs/>
          <w:b/>
        </w:rPr>
        <w:t xml:space="preserve">Gegenüber Insulin</w:t>
      </w:r>
      <w:r>
        <w:t xml:space="preserve"> </w:t>
      </w:r>
      <w:r>
        <w:t xml:space="preserve">führte Tirzepatid zu mehr Blutzuckersenkung und gleichzeitig zu Gewichtsverlust statt Gewichtszunahme. Unterzuckerungen (unter 54 mg/dl oder schwer) waren in SURPASS-3 deutlich seltener: 1–2 % gegenüber 7 % unter Insulin degludec</w:t>
      </w:r>
      <w:r>
        <w:rPr>
          <w:rStyle w:val="FootnoteReference"/>
        </w:rPr>
        <w:footnoteReference w:id="487"/>
      </w:r>
      <w:r>
        <w:t xml:space="preserve">.</w:t>
      </w:r>
    </w:p>
    <w:p>
      <w:pPr>
        <w:numPr>
          <w:ilvl w:val="0"/>
          <w:numId w:val="1061"/>
        </w:numPr>
        <w:pStyle w:val="Compact"/>
      </w:pPr>
      <w:r>
        <w:rPr>
          <w:bCs/>
          <w:b/>
        </w:rPr>
        <w:t xml:space="preserve">Kinder und Jugendliche:</w:t>
      </w:r>
      <w:r>
        <w:t xml:space="preserve"> </w:t>
      </w:r>
      <w:r>
        <w:t xml:space="preserve">SURPASS-PEDS ist eine der wenigen Inkretin-Studien bei jugendlichem Typ-2-Diabetes. Die Wirkung blieb in der offenen Verlängerung bis Woche 52 erhalten; das Nebenwirkungsprofil entsprach dem bei Erwachsenen</w:t>
      </w:r>
      <w:r>
        <w:rPr>
          <w:rStyle w:val="FootnoteReference"/>
        </w:rPr>
        <w:footnoteReference w:id="488"/>
      </w:r>
      <w:r>
        <w:t xml:space="preserve">.</w:t>
      </w:r>
    </w:p>
    <w:p>
      <w:pPr>
        <w:numPr>
          <w:ilvl w:val="0"/>
          <w:numId w:val="1061"/>
        </w:numPr>
        <w:pStyle w:val="Compact"/>
      </w:pPr>
      <w:r>
        <w:rPr>
          <w:bCs/>
          <w:b/>
        </w:rPr>
        <w:t xml:space="preserve">Typ-1-Diabetes:</w:t>
      </w:r>
      <w:r>
        <w:t xml:space="preserve"> </w:t>
      </w:r>
      <w:r>
        <w:t xml:space="preserve">Eine kleine Phase-2-Studie mit 24 Erwachsenen mit Typ-1-Diabetes und Adipositas zeigte nach zwölf Wochen einen Gewichtsverlust von 10,3 kg gegenüber 0,7 kg unter Placebo und einen um 35 % niedrigeren Insulinbedarf</w:t>
      </w:r>
      <w:r>
        <w:rPr>
          <w:rStyle w:val="FootnoteReference"/>
        </w:rPr>
        <w:footnoteReference w:id="489"/>
      </w:r>
      <w:r>
        <w:t xml:space="preserve">. Tirzepatid ist für Typ-1-Diabetes nicht zugelassen; größere Studien laufen (siehe Ausblick).</w:t>
      </w:r>
    </w:p>
    <w:p>
      <w:pPr>
        <w:pStyle w:val="FirstParagraph"/>
      </w:pPr>
      <w:r>
        <w:t xml:space="preserve">Eine vorab geplante Meta-Analyse aller sieben SURPASS-Studien mit mindestens 26 Wochen Dauer (4.887 Personen unter Tirzepatid, 2.328 in Kontrollgruppen) fand kein erhöhtes Risiko für schwere Herz-Kreislauf-Ereignisse (MACE-4, Hazard Ratio 0,80; 95-%-Konfidenzintervall 0,57–1,11)</w:t>
      </w:r>
      <w:r>
        <w:rPr>
          <w:rStyle w:val="FootnoteReference"/>
        </w:rPr>
        <w:footnoteReference w:id="490"/>
      </w:r>
      <w:r>
        <w:t xml:space="preserve">. Das ist eine Sicherheits-, keine Nutzenaussage – dafür war die Endpunktstudie SURPASS-CVOT nötig.</w:t>
      </w:r>
    </w:p>
    <w:bookmarkEnd w:id="491"/>
    <w:bookmarkStart w:id="495" w:name="surpass-cvot-herz-kreislauf-endpunkte"/>
    <w:p>
      <w:pPr>
        <w:pStyle w:val="Heading4"/>
      </w:pPr>
      <w:r>
        <w:t xml:space="preserve">SURPASS-CVOT: Herz-Kreislauf-Endpunkte</w:t>
      </w:r>
    </w:p>
    <w:p>
      <w:pPr>
        <w:pStyle w:val="FirstParagraph"/>
      </w:pPr>
      <w:r>
        <w:t xml:space="preserve">Bei Diabetesmedikamenten verlangen Behörden den Nachweis, dass sie das Herz nicht gefährden. SURPASS-CVOT ging einen Schritt weiter: Statt gegen Placebo trat Tirzepatid gegen Dulaglutid an, ein GLP-1-Medikament, das in der REWIND-Studie selbst Herz-Kreislauf-Ereignisse verringert hatte. 13.299 Menschen mit Typ-2-Diabetes und bestehender Arteriosklerose-Erkrankung wurden randomisiert; ausgewertet wurden 13.165</w:t>
      </w:r>
      <w:r>
        <w:rPr>
          <w:rStyle w:val="FootnoteReference"/>
        </w:rPr>
        <w:footnoteReference w:id="492"/>
      </w:r>
      <w:r>
        <w:t xml:space="preserve">.</w:t>
      </w:r>
    </w:p>
    <w:p>
      <w:pPr>
        <w:pStyle w:val="BodyText"/>
      </w:pPr>
      <w:r>
        <w:t xml:space="preserve">Der Hauptendpunkt – Herz-Kreislauf-Tod, Herzinfarkt oder Schlaganfall – trat bei 801 Personen (12,2 %) unter Tirzepatid und bei 862 (13,1 %) unter Dulaglutid auf (Hazard Ratio 0,92; 95,3-%-KI 0,83–1,01). Damit war Tirzepatid</w:t>
      </w:r>
      <w:r>
        <w:t xml:space="preserve"> </w:t>
      </w:r>
      <w:r>
        <w:rPr>
          <w:bCs/>
          <w:b/>
        </w:rPr>
        <w:t xml:space="preserve">nicht unterlegen</w:t>
      </w:r>
      <w:r>
        <w:t xml:space="preserve">; die formale Überlegenheit wurde knapp verfehlt (p = 0,09). Magen-Darm-Nebenwirkungen waren unter Tirzepatid häufiger.</w:t>
      </w:r>
    </w:p>
    <w:p>
      <w:pPr>
        <w:pStyle w:val="BodyText"/>
      </w:pPr>
      <w:r>
        <w:t xml:space="preserve">Eine nachträgliche (post hoc) Auswertung mit einem breiteren Endpunkt aus sechs Komponenten – Tod jeder Ursache, Herzinfarkt, Schlaganfall, Revaskularisation, Krankenhausaufnahme wegen Herzinsuffizienz und Nierenereignisse – fand nach einer medianen Behandlungsdauer von fast vier Jahren Ereignisse bei 23,7 % gegenüber 27,4 % (Hazard Ratio 0,84; 95-%-KI 0,79–0,90)</w:t>
      </w:r>
      <w:r>
        <w:rPr>
          <w:rStyle w:val="FootnoteReference"/>
        </w:rPr>
        <w:footnoteReference w:id="493"/>
      </w:r>
      <w:r>
        <w:t xml:space="preserve">. Post-hoc-Analysen sind hypothesenbildend; sie können eine vorab festgelegte Hauptanalyse nicht ersetzen.</w:t>
      </w:r>
    </w:p>
    <w:p>
      <w:pPr>
        <w:pStyle w:val="BodyText"/>
      </w:pPr>
      <w:r>
        <w:t xml:space="preserve">Wie groß der Nutzen gegenüber</w:t>
      </w:r>
      <w:r>
        <w:t xml:space="preserve"> </w:t>
      </w:r>
      <w:r>
        <w:rPr>
          <w:iCs/>
          <w:i/>
        </w:rPr>
        <w:t xml:space="preserve">keiner</w:t>
      </w:r>
      <w:r>
        <w:t xml:space="preserve"> </w:t>
      </w:r>
      <w:r>
        <w:t xml:space="preserve">Behandlung wäre, lässt sich aus einem Vergleich gegen ein wirksames Medikament nicht direkt ablesen. Eine vorab geplante, aber indirekte Auswertung berechnete einen „Placebo-Arm“ aus den Daten der REWIND-Studie und kam für Tirzepatid gegenüber diesem errechneten Placebo auf ein Hazard Ratio von 0,72 (95-%-KI 0,55–0,94) für Herz-Kreislauf-Tod, Herzinfarkt oder Schlaganfall</w:t>
      </w:r>
      <w:r>
        <w:rPr>
          <w:rStyle w:val="FootnoteReference"/>
        </w:rPr>
        <w:footnoteReference w:id="494"/>
      </w:r>
      <w:r>
        <w:t xml:space="preserve">. Solche Modellrechnungen beruhen auf Annahmen und ersetzen keinen echten Placebovergleich.</w:t>
      </w:r>
    </w:p>
    <w:bookmarkEnd w:id="495"/>
    <w:bookmarkStart w:id="501" w:name="surmount-adipositas"/>
    <w:p>
      <w:pPr>
        <w:pStyle w:val="Heading4"/>
      </w:pPr>
      <w:r>
        <w:t xml:space="preserve">SURMOUNT: Adipositas</w:t>
      </w:r>
    </w:p>
    <w:p>
      <w:pPr>
        <w:pStyle w:val="FirstParagraph"/>
      </w:pPr>
      <w:r>
        <w:t xml:space="preserve">Im Adipositasprogramm wurde Tirzepatid bei Menschen mit einem Body-Mass-Index (BMI) ab 30 oder ab 27 plus Begleiterkrankung untersucht, stets zusätzlich zu Ernährungs- und Bewegungsberatung.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SURMOUNT-1 (Jastreboff 2022), PMID 35658024</w:t>
            </w:r>
          </w:p>
        </w:tc>
        <w:tc>
          <w:tcPr/>
          <w:p>
            <w:pPr>
              <w:pStyle w:val="Compact"/>
              <w:jc w:val="left"/>
            </w:pPr>
            <w:r>
              <w:t xml:space="preserve">2.539 Erwachsene ohne Diabetes, gegen Placebo</w:t>
            </w:r>
          </w:p>
        </w:tc>
        <w:tc>
          <w:tcPr/>
          <w:p>
            <w:pPr>
              <w:pStyle w:val="Compact"/>
              <w:jc w:val="left"/>
            </w:pPr>
            <w:r>
              <w:t xml:space="preserve">72 Wochen</w:t>
            </w:r>
          </w:p>
        </w:tc>
        <w:tc>
          <w:tcPr/>
          <w:p>
            <w:pPr>
              <w:pStyle w:val="Compact"/>
              <w:jc w:val="left"/>
            </w:pPr>
            <w:r>
              <w:t xml:space="preserve">−15,0 / −19,5 / −20,9 % Gewicht (5/10/15 mg) vs. −3,1 %</w:t>
            </w:r>
          </w:p>
        </w:tc>
      </w:tr>
      <w:tr>
        <w:tc>
          <w:tcPr/>
          <w:p>
            <w:pPr>
              <w:pStyle w:val="Compact"/>
              <w:jc w:val="left"/>
            </w:pPr>
            <w:r>
              <w:t xml:space="preserve">SURMOUNT-2 (Garvey 2023), PMID 37385275</w:t>
            </w:r>
          </w:p>
        </w:tc>
        <w:tc>
          <w:tcPr/>
          <w:p>
            <w:pPr>
              <w:pStyle w:val="Compact"/>
              <w:jc w:val="left"/>
            </w:pPr>
            <w:r>
              <w:t xml:space="preserve">938 Erwachsene mit Typ-2-Diabetes, gegen Placebo</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SURMOUNT-3 (Wadden 2023), PMID 37840095</w:t>
            </w:r>
          </w:p>
        </w:tc>
        <w:tc>
          <w:tcPr/>
          <w:p>
            <w:pPr>
              <w:pStyle w:val="Compact"/>
              <w:jc w:val="left"/>
            </w:pPr>
            <w:r>
              <w:t xml:space="preserve">579 Erwachsene nach erfolgreicher 12-wöchiger Lebensstilintervention</w:t>
            </w:r>
          </w:p>
        </w:tc>
        <w:tc>
          <w:tcPr/>
          <w:p>
            <w:pPr>
              <w:pStyle w:val="Compact"/>
              <w:jc w:val="left"/>
            </w:pPr>
            <w:r>
              <w:t xml:space="preserve">72 Wochen</w:t>
            </w:r>
          </w:p>
        </w:tc>
        <w:tc>
          <w:tcPr/>
          <w:p>
            <w:pPr>
              <w:pStyle w:val="Compact"/>
              <w:jc w:val="left"/>
            </w:pPr>
            <w:r>
              <w:t xml:space="preserve">zusätzlich −18,4 % vs. +2,5 %</w:t>
            </w:r>
          </w:p>
        </w:tc>
      </w:tr>
      <w:tr>
        <w:tc>
          <w:tcPr/>
          <w:p>
            <w:pPr>
              <w:pStyle w:val="Compact"/>
              <w:jc w:val="left"/>
            </w:pPr>
            <w:r>
              <w:t xml:space="preserve">SURMOUNT-4 (Aronne 2024), PMID 38078870</w:t>
            </w:r>
          </w:p>
        </w:tc>
        <w:tc>
          <w:tcPr/>
          <w:p>
            <w:pPr>
              <w:pStyle w:val="Compact"/>
              <w:jc w:val="left"/>
            </w:pPr>
            <w:r>
              <w:t xml:space="preserve">670 Erwachsene nach 36 Wochen Tirzepatid, Weiterführen vs. Absetzen</w:t>
            </w:r>
          </w:p>
        </w:tc>
        <w:tc>
          <w:tcPr/>
          <w:p>
            <w:pPr>
              <w:pStyle w:val="Compact"/>
              <w:jc w:val="left"/>
            </w:pPr>
            <w:r>
              <w:t xml:space="preserve">52 Wochen (nach Einleitung)</w:t>
            </w:r>
          </w:p>
        </w:tc>
        <w:tc>
          <w:tcPr/>
          <w:p>
            <w:pPr>
              <w:pStyle w:val="Compact"/>
              <w:jc w:val="left"/>
            </w:pPr>
            <w:r>
              <w:t xml:space="preserve">−5,5 % weiter vs. +14,0 % Wiederzunahme</w:t>
            </w:r>
          </w:p>
        </w:tc>
      </w:tr>
      <w:tr>
        <w:tc>
          <w:tcPr/>
          <w:p>
            <w:pPr>
              <w:pStyle w:val="Compact"/>
              <w:jc w:val="left"/>
            </w:pPr>
            <w:r>
              <w:t xml:space="preserve">SURMOUNT-5 (Aronne 2025), PMID 40353578</w:t>
            </w:r>
          </w:p>
        </w:tc>
        <w:tc>
          <w:tcPr/>
          <w:p>
            <w:pPr>
              <w:pStyle w:val="Compact"/>
              <w:jc w:val="left"/>
            </w:pPr>
            <w:r>
              <w:t xml:space="preserve">751 Erwachsene ohne Diabetes, offen gegen Semaglutid 2,4 mg</w:t>
            </w:r>
          </w:p>
        </w:tc>
        <w:tc>
          <w:tcPr/>
          <w:p>
            <w:pPr>
              <w:pStyle w:val="Compact"/>
              <w:jc w:val="left"/>
            </w:pPr>
            <w:r>
              <w:t xml:space="preserve">72 Wochen</w:t>
            </w:r>
          </w:p>
        </w:tc>
        <w:tc>
          <w:tcPr/>
          <w:p>
            <w:pPr>
              <w:pStyle w:val="Compact"/>
              <w:jc w:val="left"/>
            </w:pPr>
            <w:r>
              <w:t xml:space="preserve">−20,2 % vs. −13,7 %</w:t>
            </w:r>
          </w:p>
        </w:tc>
      </w:tr>
      <w:tr>
        <w:tc>
          <w:tcPr/>
          <w:p>
            <w:pPr>
              <w:pStyle w:val="Compact"/>
              <w:jc w:val="left"/>
            </w:pPr>
            <w:r>
              <w:t xml:space="preserve">SURMOUNT-1, 3-Jahres-Daten (Jastreboff 2025), PMID 39536238</w:t>
            </w:r>
          </w:p>
        </w:tc>
        <w:tc>
          <w:tcPr/>
          <w:p>
            <w:pPr>
              <w:pStyle w:val="Compact"/>
              <w:jc w:val="left"/>
            </w:pPr>
            <w:r>
              <w:t xml:space="preserve">1.032 Erwachsene mit Adipositas und Prädiabetes</w:t>
            </w:r>
          </w:p>
        </w:tc>
        <w:tc>
          <w:tcPr/>
          <w:p>
            <w:pPr>
              <w:pStyle w:val="Compact"/>
              <w:jc w:val="left"/>
            </w:pPr>
            <w:r>
              <w:t xml:space="preserve">176 Wochen</w:t>
            </w:r>
          </w:p>
        </w:tc>
        <w:tc>
          <w:tcPr/>
          <w:p>
            <w:pPr>
              <w:pStyle w:val="Compact"/>
              <w:jc w:val="left"/>
            </w:pPr>
            <w:r>
              <w:t xml:space="preserve">−12,3 bis −19,7 % vs. −1,3 %; Typ-2-Diabetes 1,3 % vs. 13,3 %</w:t>
            </w:r>
          </w:p>
        </w:tc>
      </w:tr>
    </w:tbl>
    <w:p>
      <w:pPr>
        <w:pStyle w:val="BodyText"/>
      </w:pPr>
      <w:r>
        <w:rPr>
          <w:bCs/>
          <w:b/>
        </w:rPr>
        <w:t xml:space="preserve">SURMOUNT-1</w:t>
      </w:r>
      <w:r>
        <w:t xml:space="preserve"> </w:t>
      </w:r>
      <w:r>
        <w:t xml:space="preserve">war die Studie, die Tirzepatid als Adipositasmedikament bekannt machte. Bei einem Ausgangsgewicht von durchschnittlich 104,8 kg verloren die Teilnehmenden in der höchsten Dosis im Mittel 20,9 % ihres Körpergewichts. 57 % in der 15-mg-Gruppe erreichten mindestens 20 % Gewichtsverlust, unter Placebo 3 %. Wegen Nebenwirkungen brachen 4,3–7,1 % unter Tirzepatid und 2,6 % unter Placebo die Behandlung ab</w:t>
      </w:r>
      <w:r>
        <w:rPr>
          <w:rStyle w:val="FootnoteReference"/>
        </w:rPr>
        <w:footnoteReference w:id="496"/>
      </w:r>
      <w:r>
        <w:t xml:space="preserve">.</w:t>
      </w:r>
    </w:p>
    <w:p>
      <w:pPr>
        <w:pStyle w:val="BodyText"/>
      </w:pPr>
      <w:r>
        <w:rPr>
          <w:bCs/>
          <w:b/>
        </w:rPr>
        <w:t xml:space="preserve">Menschen mit Typ-2-Diabetes</w:t>
      </w:r>
      <w:r>
        <w:t xml:space="preserve"> </w:t>
      </w:r>
      <w:r>
        <w:t xml:space="preserve">verlieren mit allen Inkretin-Medikamenten weniger Gewicht als Menschen ohne Diabetes. Das zeigte auch SURMOUNT-2: Der Unterschied zu Placebo betrug 9,6 bzw. 11,6 Prozentpunkte</w:t>
      </w:r>
      <w:r>
        <w:rPr>
          <w:rStyle w:val="FootnoteReference"/>
        </w:rPr>
        <w:footnoteReference w:id="497"/>
      </w:r>
      <w:r>
        <w:t xml:space="preserve">.</w:t>
      </w:r>
    </w:p>
    <w:p>
      <w:pPr>
        <w:pStyle w:val="BodyText"/>
      </w:pPr>
      <w:r>
        <w:rPr>
          <w:bCs/>
          <w:b/>
        </w:rPr>
        <w:t xml:space="preserve">Was passiert nach dem Absetzen?</w:t>
      </w:r>
      <w:r>
        <w:t xml:space="preserve"> </w:t>
      </w:r>
      <w:r>
        <w:t xml:space="preserve">SURMOUNT-4 beantwortete diese Frage mit einem „Randomized-Withdrawal“-Design: Alle erhielten zunächst 36 Wochen Tirzepatid und verloren im Mittel 20,9 %. Dann wurde ausgelost, wer weiter Tirzepatid und wer unbemerkt Placebo erhielt. In den folgenden 52 Wochen nahm die Placebogruppe um 14,0 % wieder zu, die Tirzepatid-Gruppe verlor weitere 5,5 %. Über die gesamte Studiendauer betrug der Gewichtsverlust 25,3 % gegenüber 9,9 %</w:t>
      </w:r>
      <w:r>
        <w:rPr>
          <w:rStyle w:val="FootnoteReference"/>
        </w:rPr>
        <w:footnoteReference w:id="498"/>
      </w:r>
      <w:r>
        <w:t xml:space="preserve">. Die Botschaft der Autorinnen und Autoren: Adipositas verhält sich wie eine chronische Erkrankung, deren Behandlung meist dauerhaft sein muss.</w:t>
      </w:r>
    </w:p>
    <w:p>
      <w:pPr>
        <w:pStyle w:val="BodyText"/>
      </w:pPr>
      <w:r>
        <w:rPr>
          <w:bCs/>
          <w:b/>
        </w:rPr>
        <w:t xml:space="preserve">Niedrigere Erhaltungsdosis:</w:t>
      </w:r>
      <w:r>
        <w:t xml:space="preserve"> </w:t>
      </w:r>
      <w:r>
        <w:t xml:space="preserve">Ob man nach dem Abnehmen auf eine geringere Dosis wechseln kann, untersuchte SURMOUNT-MAINTAIN mit 378 randomisierten Personen in den USA. Nach 60 Wochen in der Höchstdosis wurden sie auf drei Gruppen verteilt. In Woche 112 lag der Gewichtsverlust seit Studienbeginn bei −21,9 % (Höchstdosis weiter), −16,6 % (Reduktion auf 5 mg) und −9,9 % (Placebo). Eine Rettungstherapie wegen Wiederzunahme von mindestens 50 % benötigten 8 %, 25 % bzw. 67 %</w:t>
      </w:r>
      <w:r>
        <w:rPr>
          <w:rStyle w:val="FootnoteReference"/>
        </w:rPr>
        <w:footnoteReference w:id="499"/>
      </w:r>
      <w:r>
        <w:t xml:space="preserve">. Die Dosisreduktion ist also eine Zwischenlösung mit individuell sehr unterschiedlichem Erfolg.</w:t>
      </w:r>
    </w:p>
    <w:p>
      <w:pPr>
        <w:pStyle w:val="BodyText"/>
      </w:pPr>
      <w:r>
        <w:rPr>
          <w:bCs/>
          <w:b/>
        </w:rPr>
        <w:t xml:space="preserve">Diabetesvorbeugung:</w:t>
      </w:r>
      <w:r>
        <w:t xml:space="preserve"> </w:t>
      </w:r>
      <w:r>
        <w:t xml:space="preserve">In der Drei-Jahres-Auswertung von SURMOUNT-1 bei Personen mit Prädiabetes (Vorstufe des Diabetes) entwickelten 1,3 % unter Tirzepatid und 13,3 % unter Placebo einen Typ-2-Diabetes. Auch 17 Wochen nach dem Absetzen blieb der Unterschied deutlich (2,4 % vs. 13,7 %). Neue Sicherheitssignale traten in diesen drei Jahren nicht auf</w:t>
      </w:r>
      <w:r>
        <w:rPr>
          <w:rStyle w:val="FootnoteReference"/>
        </w:rPr>
        <w:footnoteReference w:id="500"/>
      </w:r>
      <w:r>
        <w:t xml:space="preserve">.</w:t>
      </w:r>
    </w:p>
    <w:bookmarkEnd w:id="501"/>
    <w:bookmarkStart w:id="504" w:name="surmount-5-tirzepatid-gegen-semaglutid"/>
    <w:p>
      <w:pPr>
        <w:pStyle w:val="Heading4"/>
      </w:pPr>
      <w:r>
        <w:t xml:space="preserve">SURMOUNT-5: Tirzepatid gegen Semaglutid</w:t>
      </w:r>
    </w:p>
    <w:p>
      <w:pPr>
        <w:pStyle w:val="FirstParagraph"/>
      </w:pPr>
      <w:r>
        <w:t xml:space="preserve">Die von vielen erwartete direkte Gegenüberstellung bei Adipositas ohne Diabetes lieferte SURMOUNT-5</w:t>
      </w:r>
      <w:r>
        <w:rPr>
          <w:rStyle w:val="FootnoteReference"/>
        </w:rPr>
        <w:footnoteReference w:id="502"/>
      </w:r>
      <w:r>
        <w:t xml:space="preserve">. 751 Erwachsene erhielten offen (also ohne Verblindung) die jeweils höchste vertragene Dosis von Tirzepatid (10 oder 15 mg) oder Semaglutid (1,7 oder 2,4 mg). Nach 72 Wochen:</w:t>
      </w:r>
    </w:p>
    <w:p>
      <w:pPr>
        <w:numPr>
          <w:ilvl w:val="0"/>
          <w:numId w:val="1062"/>
        </w:numPr>
        <w:pStyle w:val="Compact"/>
      </w:pPr>
      <w:r>
        <w:t xml:space="preserve">Gewichtsveränderung: −20,2 % mit Tirzepatid gegenüber −13,7 % mit Semaglutid.</w:t>
      </w:r>
    </w:p>
    <w:p>
      <w:pPr>
        <w:numPr>
          <w:ilvl w:val="0"/>
          <w:numId w:val="1062"/>
        </w:numPr>
        <w:pStyle w:val="Compact"/>
      </w:pPr>
      <w:r>
        <w:t xml:space="preserve">Taillenumfang: −18,4 cm gegenüber −13,0 cm.</w:t>
      </w:r>
    </w:p>
    <w:p>
      <w:pPr>
        <w:numPr>
          <w:ilvl w:val="0"/>
          <w:numId w:val="1062"/>
        </w:numPr>
        <w:pStyle w:val="Compact"/>
      </w:pPr>
      <w:r>
        <w:t xml:space="preserve">Mehr Teilnehmende unter Tirzepatid erreichten jede der Schwellen 10, 15, 20 und 25 %.</w:t>
      </w:r>
    </w:p>
    <w:p>
      <w:pPr>
        <w:numPr>
          <w:ilvl w:val="0"/>
          <w:numId w:val="1062"/>
        </w:numPr>
        <w:pStyle w:val="Compact"/>
      </w:pPr>
      <w:r>
        <w:t xml:space="preserve">Die Nebenwirkungen waren in beiden Gruppen überwiegend Magen-Darm-Beschwerden, meist leicht bis mittelschwer und vor allem in der Aufdosierungsphase.</w:t>
      </w:r>
    </w:p>
    <w:p>
      <w:pPr>
        <w:pStyle w:val="FirstParagraph"/>
      </w:pPr>
      <w:r>
        <w:t xml:space="preserve">Eine Nachauswertung zeigte, dass 44 % unter Tirzepatid und 21 % unter Semaglutid bis Woche 24 bereits mindestens 15 % abgenommen hatten („schnelle Responder“). Diese hatten etwas mehr Magen-Darm- und Gallenwegsereignisse, brachen die Behandlung aber nicht häufiger ab</w:t>
      </w:r>
      <w:r>
        <w:rPr>
          <w:rStyle w:val="FootnoteReference"/>
        </w:rPr>
        <w:footnoteReference w:id="503"/>
      </w:r>
      <w:r>
        <w:t xml:space="preserve">.</w:t>
      </w:r>
    </w:p>
    <w:p>
      <w:pPr>
        <w:pStyle w:val="BodyText"/>
      </w:pPr>
      <w:r>
        <w:t xml:space="preserve">Zur Einordnung: SURMOUNT-5 war vom Hersteller des Tirzepatids finanziert und offen durchgeführt. Der Unterschied ist trotzdem groß genug, dass er kaum allein durch diese Einschränkungen erklärbar ist. Eine Gegenüberstellung aller GLP-1-Medikamente findest du in Teil III.</w:t>
      </w:r>
    </w:p>
    <w:bookmarkEnd w:id="504"/>
    <w:bookmarkStart w:id="507" w:name="herzinsuffizienz-summit"/>
    <w:p>
      <w:pPr>
        <w:pStyle w:val="Heading4"/>
      </w:pPr>
      <w:r>
        <w:t xml:space="preserve">Herzinsuffizienz: SUMMIT</w:t>
      </w:r>
    </w:p>
    <w:p>
      <w:pPr>
        <w:pStyle w:val="FirstParagraph"/>
      </w:pPr>
      <w:r>
        <w:t xml:space="preserve">Herzinsuffizienz mit erhaltener Pumpfunktion (HFpEF) ist eine häufige Form der Herzschwäche, bei der das Herz zwar normal auswirft, sich aber schlecht füllt. Adipositas ist ein wichtiger Treiber. In SUMMIT wurden 731 Menschen mit HFpEF und BMI ab 30 auf Tirzepatid oder Placebo randomisiert und median 104 Wochen beobachtet</w:t>
      </w:r>
      <w:r>
        <w:rPr>
          <w:rStyle w:val="FootnoteReference"/>
        </w:rPr>
        <w:footnoteReference w:id="505"/>
      </w:r>
      <w:r>
        <w:t xml:space="preserve">.</w:t>
      </w:r>
    </w:p>
    <w:p>
      <w:pPr>
        <w:numPr>
          <w:ilvl w:val="0"/>
          <w:numId w:val="1063"/>
        </w:numPr>
        <w:pStyle w:val="Compact"/>
      </w:pPr>
      <w:r>
        <w:t xml:space="preserve">Herz-Kreislauf-Tod oder Verschlechterung der Herzinsuffizienz: 9,9 % unter Tirzepatid vs. 15,3 % unter Placebo (Hazard Ratio 0,62; 95-%-KI 0,41–0,95).</w:t>
      </w:r>
    </w:p>
    <w:p>
      <w:pPr>
        <w:numPr>
          <w:ilvl w:val="0"/>
          <w:numId w:val="1063"/>
        </w:numPr>
        <w:pStyle w:val="Compact"/>
      </w:pPr>
      <w:r>
        <w:t xml:space="preserve">Dieser Unterschied beruhte auf weniger Verschlechterungsereignissen (8,0 % vs. 14,2 %). Herz-Kreislauf-Todesfälle waren selten und zahlenmäßig unter Tirzepatid sogar etwas häufiger (2,2 % vs. 1,4 %), mit sehr breitem Unsicherheitsbereich.</w:t>
      </w:r>
    </w:p>
    <w:p>
      <w:pPr>
        <w:numPr>
          <w:ilvl w:val="0"/>
          <w:numId w:val="1063"/>
        </w:numPr>
        <w:pStyle w:val="Compact"/>
      </w:pPr>
      <w:r>
        <w:t xml:space="preserve">Die Lebensqualität (KCCQ-Fragebogen) verbesserte sich stärker: +19,5 gegenüber +12,7 Punkte.</w:t>
      </w:r>
    </w:p>
    <w:p>
      <w:pPr>
        <w:numPr>
          <w:ilvl w:val="0"/>
          <w:numId w:val="1063"/>
        </w:numPr>
        <w:pStyle w:val="Compact"/>
      </w:pPr>
      <w:r>
        <w:t xml:space="preserve">Abbrüche wegen Nebenwirkungen: 6,3 % vs. 1,4 %.</w:t>
      </w:r>
    </w:p>
    <w:p>
      <w:pPr>
        <w:pStyle w:val="FirstParagraph"/>
      </w:pPr>
      <w:r>
        <w:t xml:space="preserve">Eine Herz-MRT-Unterstudie zeigte eine Abnahme der linksventrikulären Muskelmasse und des Fettgewebes um das Herz</w:t>
      </w:r>
      <w:r>
        <w:rPr>
          <w:rStyle w:val="FootnoteReference"/>
        </w:rPr>
        <w:footnoteReference w:id="506"/>
      </w:r>
      <w:r>
        <w:t xml:space="preserve">. Mit 731 Personen und 92 Endpunktereignissen ist SUMMIT eine vergleichsweise kleine Endpunktstudie; die Ergebnisse sind ermutigend, aber nicht so belastbar wie Daten aus Studien mit Tausenden Teilnehmenden.</w:t>
      </w:r>
    </w:p>
    <w:bookmarkEnd w:id="507"/>
    <w:bookmarkStart w:id="509" w:name="obstruktive-schlafapnoe-surmount-osa"/>
    <w:p>
      <w:pPr>
        <w:pStyle w:val="Heading4"/>
      </w:pPr>
      <w:r>
        <w:t xml:space="preserve">Obstruktive Schlafapnoe: SURMOUNT-OSA</w:t>
      </w:r>
    </w:p>
    <w:p>
      <w:pPr>
        <w:pStyle w:val="FirstParagraph"/>
      </w:pPr>
      <w:r>
        <w:t xml:space="preserve">Bei der obstruktiven Schlafapnoe fallen die oberen Atemwege im Schlaf immer wieder zusammen; die Atmung setzt aus (Apnoe) oder wird flach (Hypopnoe). Der Apnoe-Hypopnoe-Index (AHI) zählt diese Ereignisse pro Stunde; ab 30 gilt die Schlafapnoe als schwer. Übergewicht ist ein Hauptrisikofaktor.</w:t>
      </w:r>
    </w:p>
    <w:p>
      <w:pPr>
        <w:pStyle w:val="BodyText"/>
      </w:pPr>
      <w:r>
        <w:t xml:space="preserve">SURMOUNT-OSA bestand aus zwei parallelen Studien mit Menschen mit Adipositas und mittelschwerer bis schwerer Schlafapnoe: ohne Atemmaskentherapie (Studie 1) und mit Atemmaske (CPAP, Studie 2). Ausgangs-AHI etwa 50 Ereignisse pro Stunde. Nach 52 Wochen</w:t>
      </w:r>
      <w:r>
        <w:rPr>
          <w:rStyle w:val="FootnoteReference"/>
        </w:rPr>
        <w:footnoteReference w:id="508"/>
      </w:r>
      <w:r>
        <w:t xml:space="preserve">:</w:t>
      </w:r>
    </w:p>
    <w:p>
      <w:pPr>
        <w:numPr>
          <w:ilvl w:val="0"/>
          <w:numId w:val="1064"/>
        </w:numPr>
        <w:pStyle w:val="Compact"/>
      </w:pPr>
      <w:r>
        <w:t xml:space="preserve">Studie 1: AHI −25,3 Ereignisse/Stunde mit Tirzepatid vs. −5,3 mit Placebo.</w:t>
      </w:r>
    </w:p>
    <w:p>
      <w:pPr>
        <w:numPr>
          <w:ilvl w:val="0"/>
          <w:numId w:val="1064"/>
        </w:numPr>
        <w:pStyle w:val="Compact"/>
      </w:pPr>
      <w:r>
        <w:t xml:space="preserve">Studie 2: AHI −29,3 vs. −5,5.</w:t>
      </w:r>
    </w:p>
    <w:p>
      <w:pPr>
        <w:numPr>
          <w:ilvl w:val="0"/>
          <w:numId w:val="1064"/>
        </w:numPr>
        <w:pStyle w:val="Compact"/>
      </w:pPr>
      <w:r>
        <w:t xml:space="preserve">Zusätzlich verbesserten sich Sauerstoffmangelbelastung, Entzündungsmarker (hsCRP), Blutdruck und von den Teilnehmenden berichtete Schlafbeschwerden.</w:t>
      </w:r>
    </w:p>
    <w:p>
      <w:pPr>
        <w:pStyle w:val="FirstParagraph"/>
      </w:pPr>
      <w:r>
        <w:t xml:space="preserve">Auf dieser Grundlage wurde Tirzepatid in den USA als erstes Medikament für die Behandlung der Schlafapnoe bei Adipositas zugelassen. Eine Atemmaske ersetzt es nicht automatisch: Auch nach dem Rückgang lag der AHI bei vielen Teilnehmenden noch im behandlungsbedürftigen Bereich. Die Entscheidung über die Therapie gehört in schlafmedizinische Hände.</w:t>
      </w:r>
    </w:p>
    <w:bookmarkEnd w:id="509"/>
    <w:bookmarkStart w:id="511" w:name="fettleber-mash"/>
    <w:p>
      <w:pPr>
        <w:pStyle w:val="Heading4"/>
      </w:pPr>
      <w:r>
        <w:t xml:space="preserve">Fettleber (MASH)</w:t>
      </w:r>
    </w:p>
    <w:p>
      <w:pPr>
        <w:pStyle w:val="FirstParagraph"/>
      </w:pPr>
      <w:r>
        <w:t xml:space="preserve">Die Metabolisch bedingte Steatohepatitis (MASH, früher NASH) ist eine entzündliche Form der Fettleber, die zu Vernarbung (Fibrose) und Zirrhose fortschreiten kann. In der Phase-2-Studie SYNERGY-NASH erhielten 190 Personen mit bioptisch gesicherter MASH und mittlerer bis schwerer Fibrose Tirzepatid oder Placebo. Nach 52 Wochen verschwand die MASH ohne Verschlechterung der Fibrose bei 44–62 % unter Tirzepatid gegenüber 10 % unter Placebo; eine Verbesserung der Fibrose um mindestens eine Stufe zeigten 51–55 % gegenüber 30 %</w:t>
      </w:r>
      <w:r>
        <w:rPr>
          <w:rStyle w:val="FootnoteReference"/>
        </w:rPr>
        <w:footnoteReference w:id="510"/>
      </w:r>
      <w:r>
        <w:t xml:space="preserve">. Eine Phase-3-Studie läuft (siehe Ausblick).</w:t>
      </w:r>
    </w:p>
    <w:bookmarkEnd w:id="511"/>
    <w:bookmarkStart w:id="514" w:name="Xd6211a0d015a50d6991e8ae86e6d5eec80617d6"/>
    <w:p>
      <w:pPr>
        <w:pStyle w:val="Heading4"/>
      </w:pPr>
      <w:r>
        <w:t xml:space="preserve">Weitere Anwendungsgebiete und Meta-Analysen</w:t>
      </w:r>
    </w:p>
    <w:p>
      <w:pPr>
        <w:pStyle w:val="FirstParagraph"/>
      </w:pPr>
      <w:r>
        <w:t xml:space="preserve">Die Literatur zu Tirzepatid wächst sehr schnell. Neben den großen Programmen gibt es Studien zu Schuppenflechte und Psoriasis-Arthritis in Kombination mit Biologika: In einer offenen Phase-3b-Studie mit 274 Personen erreichten unter Ixekizumab plus Tirzepatid 27,1 % gleichzeitig eine vollständige Abheilung der Hautherde (PASI 100) und mindestens 10 % Gewichtsverlust, unter Ixekizumab allein 5,8 %</w:t>
      </w:r>
      <w:r>
        <w:rPr>
          <w:rStyle w:val="FootnoteReference"/>
        </w:rPr>
        <w:footnoteReference w:id="512"/>
      </w:r>
      <w:r>
        <w:t xml:space="preserve">. Weitere Arbeiten befassen sich mit dem polyzystischen Ovarialsyndrom, zur Nierenfunktion und zu Asien-spezifischen Populationen (SURMOUNT-J, SURMOUNT-CN, SURPASS-AP-Combo). Eine Gesamtdarstellung aller Einzelstudien würde den Rahmen sprengen; sie sind im Studienverzeichnis im Anhang aufgeführt.</w:t>
      </w:r>
    </w:p>
    <w:p>
      <w:pPr>
        <w:pStyle w:val="BodyText"/>
      </w:pPr>
      <w:r>
        <w:t xml:space="preserve">Zur Körperzusammensetzung: In einer DXA-Unterstudie von SURMOUNT-1 mit 160 Personen bestand etwa 75 % des verlorenen Gewichts aus Fett und etwa 25 % aus fettfreier Masse (zu der die Muskulatur gehört) – im gleichen Verhältnis wie in der Placebogruppe</w:t>
      </w:r>
      <w:r>
        <w:rPr>
          <w:rStyle w:val="FootnoteReference"/>
        </w:rPr>
        <w:footnoteReference w:id="513"/>
      </w:r>
      <w:r>
        <w:t xml:space="preserve">. Die Sorge um Muskelverlust ist also berechtigt, aber kein Tirzepatid-spezifischer Effekt, sondern typisch für jede deutliche Gewichtsabnahme.</w:t>
      </w:r>
    </w:p>
    <w:bookmarkEnd w:id="514"/>
    <w:bookmarkEnd w:id="515"/>
    <w:bookmarkStart w:id="519" w:name="tier--und-laborstudien-4"/>
    <w:p>
      <w:pPr>
        <w:pStyle w:val="Heading3"/>
      </w:pPr>
      <w:r>
        <w:t xml:space="preserve">Tier- und Laborstudien</w:t>
      </w:r>
    </w:p>
    <w:p>
      <w:pPr>
        <w:pStyle w:val="FirstParagraph"/>
      </w:pPr>
      <w:r>
        <w:t xml:space="preserve">Die präklinische Entwicklung ist ungewöhnlich gut veröffentlicht. In Zellkulturen aktiviert Tirzepatid beide Rezeptoren; bei Mäusen senkte es Gewicht und Nahrungsaufnahme stärker als ein reiner GLP-1-Agonist</w:t>
      </w:r>
      <w:r>
        <w:rPr>
          <w:rStyle w:val="FootnoteReference"/>
        </w:rPr>
        <w:footnoteReference w:id="516"/>
      </w:r>
      <w:r>
        <w:t xml:space="preserve">. Studien an Mäusen ohne funktionierenden GLP-1-Rezeptor zeigten, dass der GIP-Anteil die Insulinempfindlichkeit im Fettgewebe verbessert</w:t>
      </w:r>
      <w:r>
        <w:rPr>
          <w:rStyle w:val="FootnoteReference"/>
        </w:rPr>
        <w:footnoteReference w:id="517"/>
      </w:r>
      <w:r>
        <w:t xml:space="preserve">. Zur Verteilung und zum Abbau im Körper liegen Untersuchungen bei Menschen, Ratten und Affen vor: Das Molekül wird über Spaltung des Peptidgerüsts und Abbau der Fettsäurekette verstoffwechselt; beim Menschen fanden sich etwa 66 % der markierten Substanz im Urin und etwa 33 % im Stuhl, unverändertes Tirzepatid dagegen in keinem von beiden</w:t>
      </w:r>
      <w:r>
        <w:rPr>
          <w:rStyle w:val="FootnoteReference"/>
        </w:rPr>
        <w:footnoteReference w:id="518"/>
      </w:r>
      <w:r>
        <w:t xml:space="preserve">.</w:t>
      </w:r>
    </w:p>
    <w:p>
      <w:pPr>
        <w:pStyle w:val="BodyText"/>
      </w:pPr>
      <w:r>
        <w:t xml:space="preserve">Wie bei allen lang wirksamen GLP-1-Agonisten traten in Langzeitstudien an Nagetieren Tumoren der C-Zellen der Schilddrüse auf. Ob dieser Befund auf den Menschen übertragbar ist, ist unklar, weil Nagetiere deutlich mehr GLP-1-Rezeptoren auf diesen Zellen tragen. Dieses Tierergebnis ist die Grundlage für die Warnhinweise in der Fachinformation (siehe unten).</w:t>
      </w:r>
    </w:p>
    <w:bookmarkEnd w:id="519"/>
    <w:bookmarkStart w:id="528" w:name="risiken-und-nebenwirkungen-4"/>
    <w:p>
      <w:pPr>
        <w:pStyle w:val="Heading3"/>
      </w:pPr>
      <w:r>
        <w:t xml:space="preserve">Risiken und Nebenwirkungen</w:t>
      </w:r>
    </w:p>
    <w:p>
      <w:pPr>
        <w:pStyle w:val="FirstParagraph"/>
      </w:pPr>
      <w:r>
        <w:rPr>
          <w:bCs/>
          <w:b/>
        </w:rPr>
        <w:t xml:space="preserve">Belegt aus Studien:</w:t>
      </w:r>
    </w:p>
    <w:p>
      <w:pPr>
        <w:numPr>
          <w:ilvl w:val="0"/>
          <w:numId w:val="1065"/>
        </w:numPr>
        <w:pStyle w:val="Compact"/>
      </w:pPr>
      <w:r>
        <w:rPr>
          <w:bCs/>
          <w:b/>
        </w:rPr>
        <w:t xml:space="preserve">Magen-Darm-Beschwerden</w:t>
      </w:r>
      <w:r>
        <w:t xml:space="preserve"> </w:t>
      </w:r>
      <w:r>
        <w:t xml:space="preserve">sind mit Abstand am häufigsten: Übelkeit, Durchfall, Erbrechen, Verstopfung, verminderter Appetit. In SURPASS-3 berichteten 12–24 % über Übelkeit, 15–17 % über Durchfall und 6–10 % über Erbrechen</w:t>
      </w:r>
      <w:r>
        <w:rPr>
          <w:rStyle w:val="FootnoteReference"/>
        </w:rPr>
        <w:footnoteReference w:id="520"/>
      </w:r>
      <w:r>
        <w:t xml:space="preserve">. Die Beschwerden treten vor allem in der Aufdosierungsphase auf und lassen meist nach. Sie sind der häufigste Grund für Therapieabbrüche.</w:t>
      </w:r>
    </w:p>
    <w:p>
      <w:pPr>
        <w:numPr>
          <w:ilvl w:val="0"/>
          <w:numId w:val="1065"/>
        </w:numPr>
        <w:pStyle w:val="Compact"/>
      </w:pPr>
      <w:r>
        <w:rPr>
          <w:bCs/>
          <w:b/>
        </w:rPr>
        <w:t xml:space="preserve">Gallenblase und Gallenwege:</w:t>
      </w:r>
      <w:r>
        <w:t xml:space="preserve"> </w:t>
      </w:r>
      <w:r>
        <w:t xml:space="preserve">Eine Meta-Analyse von neun Studien mit 9.871 Teilnehmenden fand ein erhöhtes Risiko für die Sammelkategorie Gallenblasen- oder Gallenwegserkrankungen gegenüber Placebo oder Insulin (relatives Risiko 1,97; 95-%-KI 1,14–3,42), für Bauchspeicheldrüsenentzündung (Pankreatitis) dagegen keinen statistisch gesicherten Anstieg</w:t>
      </w:r>
      <w:r>
        <w:rPr>
          <w:rStyle w:val="FootnoteReference"/>
        </w:rPr>
        <w:footnoteReference w:id="521"/>
      </w:r>
      <w:r>
        <w:t xml:space="preserve">. Schneller Gewichtsverlust selbst begünstigt Gallensteine.</w:t>
      </w:r>
    </w:p>
    <w:p>
      <w:pPr>
        <w:numPr>
          <w:ilvl w:val="0"/>
          <w:numId w:val="1065"/>
        </w:numPr>
        <w:pStyle w:val="Compact"/>
      </w:pPr>
      <w:r>
        <w:rPr>
          <w:bCs/>
          <w:b/>
        </w:rPr>
        <w:t xml:space="preserve">Unterzuckerung:</w:t>
      </w:r>
      <w:r>
        <w:t xml:space="preserve"> </w:t>
      </w:r>
      <w:r>
        <w:t xml:space="preserve">Allein selten. Das Risiko steigt, wenn gleichzeitig Insulin oder Sulfonylharnstoffe eingenommen werden – in SURPASS-4 traten Unterzuckerungen ohne Sulfonylharnstoff bei 1–3 % auf</w:t>
      </w:r>
      <w:r>
        <w:rPr>
          <w:rStyle w:val="FootnoteReference"/>
        </w:rPr>
        <w:footnoteReference w:id="522"/>
      </w:r>
      <w:r>
        <w:t xml:space="preserve">.</w:t>
      </w:r>
    </w:p>
    <w:p>
      <w:pPr>
        <w:numPr>
          <w:ilvl w:val="0"/>
          <w:numId w:val="1065"/>
        </w:numPr>
        <w:pStyle w:val="Compact"/>
      </w:pPr>
      <w:r>
        <w:rPr>
          <w:bCs/>
          <w:b/>
        </w:rPr>
        <w:t xml:space="preserve">Psychische Gesundheit:</w:t>
      </w:r>
      <w:r>
        <w:t xml:space="preserve"> </w:t>
      </w:r>
      <w:r>
        <w:t xml:space="preserve">Eine Nachauswertung von SURMOUNT-1 bis -3 mit 4.056 Personen ohne bekannte schwere psychische Erkrankung fand keinen Hinweis auf vermehrte Depressionen; Suizidgedanken wurden in beiden Gruppen von 0,6 % angegeben</w:t>
      </w:r>
      <w:r>
        <w:rPr>
          <w:rStyle w:val="FootnoteReference"/>
        </w:rPr>
        <w:footnoteReference w:id="523"/>
      </w:r>
      <w:r>
        <w:t xml:space="preserve">. Für Menschen mit schweren psychischen Erkrankungen fehlen ausreichende Daten.</w:t>
      </w:r>
    </w:p>
    <w:p>
      <w:pPr>
        <w:numPr>
          <w:ilvl w:val="0"/>
          <w:numId w:val="1065"/>
        </w:numPr>
        <w:pStyle w:val="Compact"/>
      </w:pPr>
      <w:r>
        <w:rPr>
          <w:bCs/>
          <w:b/>
        </w:rPr>
        <w:t xml:space="preserve">Verlust fettfreier Masse:</w:t>
      </w:r>
      <w:r>
        <w:t xml:space="preserve"> </w:t>
      </w:r>
      <w:r>
        <w:t xml:space="preserve">etwa ein Viertel des abgenommenen Gewichts</w:t>
      </w:r>
      <w:r>
        <w:rPr>
          <w:rStyle w:val="FootnoteReference"/>
        </w:rPr>
        <w:footnoteReference w:id="524"/>
      </w:r>
      <w:r>
        <w:t xml:space="preserve">. Krafttraining und ausreichende Eiweißzufuhr werden in Fachkreisen empfohlen, um gegenzusteuern; harte Studiendaten zum funktionellen Nutzen sind begrenzt.</w:t>
      </w:r>
    </w:p>
    <w:p>
      <w:pPr>
        <w:pStyle w:val="FirstParagraph"/>
      </w:pPr>
      <w:r>
        <w:rPr>
          <w:bCs/>
          <w:b/>
        </w:rPr>
        <w:t xml:space="preserve">Aus Daten nach der Markteinführung:</w:t>
      </w:r>
      <w:r>
        <w:t xml:space="preserve"> </w:t>
      </w:r>
      <w:r>
        <w:t xml:space="preserve">Eine Auswertung der US-Nebenwirkungsdatenbank FAERS fand überproportional viele Meldungen von Übelkeit, Pankreatitis, diabetischer Netzhauterkrankung und medullärem Schilddrüsenkrebs – im Vergleich zu anderen GLP-1-Agonisten aber kein erhöhtes Risiko</w:t>
      </w:r>
      <w:r>
        <w:rPr>
          <w:rStyle w:val="FootnoteReference"/>
        </w:rPr>
        <w:footnoteReference w:id="525"/>
      </w:r>
      <w:r>
        <w:t xml:space="preserve">. Solche Meldedaten zeigen Signale, keine Ursachen: Bekannte Risiken werden häufiger gemeldet. In einer großen Kohortenstudie mit über 46.000 Paaren in Routinebehandlung unterschied sich das Risiko schwerer Magen-Darm-Ereignisse (Pankreatitis, Gallenwegserkrankungen, Darmverschluss, Magenlähmung, schwere Verstopfung) zwischen Tirzepatid und Semaglutid nicht wesentlich (Hazard Ratio 1,07; 95-%-KI 0,90–1,26)</w:t>
      </w:r>
      <w:r>
        <w:rPr>
          <w:rStyle w:val="FootnoteReference"/>
        </w:rPr>
        <w:footnoteReference w:id="526"/>
      </w:r>
      <w:r>
        <w:t xml:space="preserve">.</w:t>
      </w:r>
    </w:p>
    <w:p>
      <w:pPr>
        <w:pStyle w:val="BodyText"/>
      </w:pPr>
      <w:r>
        <w:rPr>
          <w:bCs/>
          <w:b/>
        </w:rPr>
        <w:t xml:space="preserve">Theoretisch oder aus Tierdaten abgeleitet:</w:t>
      </w:r>
      <w:r>
        <w:t xml:space="preserve"> </w:t>
      </w:r>
      <w:r>
        <w:t xml:space="preserve">medullärer Schilddrüsenkrebs (Tierbefund, siehe oben). Deshalb gilt in den Fachinformationen ein Warnhinweis bzw. eine Gegenanzeige bei medullärem Schilddrüsenkarzinom in der eigenen oder familiären Vorgeschichte und beim MEN-2-Syndrom.</w:t>
      </w:r>
    </w:p>
    <w:p>
      <w:pPr>
        <w:pStyle w:val="BodyText"/>
      </w:pPr>
      <w:r>
        <w:rPr>
          <w:bCs/>
          <w:b/>
        </w:rPr>
        <w:t xml:space="preserve">Wichtig für die Praxis (laut Fachinformation, nicht als Anleitung zu verstehen):</w:t>
      </w:r>
      <w:r>
        <w:t xml:space="preserve"> </w:t>
      </w:r>
      <w:r>
        <w:t xml:space="preserve">Die verzögerte Magenentleerung kann die Aufnahme von Tabletten beeinflussen, was etwa für die Pille zur Empfängnisverhütung relevant ist. In Schwangerschaft und Stillzeit wird Tirzepatid nicht angewendet. Vor Operationen mit Narkose ist die verzögerte Magenentleerung zu bedenken. Über alle Details informieren Fachinformation und behandelnde Ärztin oder behandelnder Arzt.</w:t>
      </w:r>
    </w:p>
    <w:p>
      <w:pPr>
        <w:pStyle w:val="BodyText"/>
      </w:pPr>
      <w:r>
        <w:rPr>
          <w:bCs/>
          <w:b/>
        </w:rPr>
        <w:t xml:space="preserve">Nachgemachte Produkte:</w:t>
      </w:r>
      <w:r>
        <w:t xml:space="preserve"> </w:t>
      </w:r>
      <w:r>
        <w:t xml:space="preserve">Während der Lieferengpässe der Jahre 2022 bis 2024 wurden in den USA Tirzepatid-Zubereitungen in Apotheken hergestellt („compounding“), parallel entstand ein großer Online-Graumarkt. Eine Untersuchung von 2025 fand 33 Zubereitungen mit Semaglutid oder Tirzepatid in Darreichungsformen, die nicht zugelassen sind – etwa Lutschtabletten oder Mischungen mit Vitaminen; Daten zu Wirksamkeit und Sicherheit fehlen für diese Produkte</w:t>
      </w:r>
      <w:r>
        <w:rPr>
          <w:rStyle w:val="FootnoteReference"/>
        </w:rPr>
        <w:footnoteReference w:id="527"/>
      </w:r>
      <w:r>
        <w:t xml:space="preserve">. Für „Research“-Ware ohne Arzneimittelzulassung gilt das in noch höherem Maß (siehe Teil I und Teil IV).</w:t>
      </w:r>
    </w:p>
    <w:bookmarkEnd w:id="528"/>
    <w:bookmarkStart w:id="529" w:name="rechtslage-4"/>
    <w:p>
      <w:pPr>
        <w:pStyle w:val="Heading3"/>
      </w:pPr>
      <w:r>
        <w:t xml:space="preserve">Rechtslage</w:t>
      </w:r>
    </w:p>
    <w:p>
      <w:pPr>
        <w:numPr>
          <w:ilvl w:val="0"/>
          <w:numId w:val="1066"/>
        </w:numPr>
        <w:pStyle w:val="Compact"/>
      </w:pPr>
      <w:r>
        <w:rPr>
          <w:bCs/>
          <w:b/>
        </w:rPr>
        <w:t xml:space="preserve">EU / Österreich / Deutschland:</w:t>
      </w:r>
      <w:r>
        <w:t xml:space="preserve"> </w:t>
      </w:r>
      <w:r>
        <w:t xml:space="preserve">Tirzepatid ist als Mounjaro zentral in der EU zugelassen (2022 für Typ-2-Diabetes, seit Ende 2023 auch für das Gewichtsmanagement). Es ist verschreibungspflichtig. Ob die Krankenkasse die Kosten übernimmt, hängt vom Anwendungsgebiet ab: Für Typ-2-Diabetes ist eine Erstattung grundsätzlich möglich; Arzneimittel zur Gewichtsreduktion sind in Deutschland gesetzlich weitgehend von der Erstattung ausgenommen, in Österreich gelten eigene, restriktive Regeln. Details ändern sich – bitte aktuell prüfen.</w:t>
      </w:r>
    </w:p>
    <w:p>
      <w:pPr>
        <w:numPr>
          <w:ilvl w:val="0"/>
          <w:numId w:val="1066"/>
        </w:numPr>
        <w:pStyle w:val="Compact"/>
      </w:pPr>
      <w:r>
        <w:rPr>
          <w:bCs/>
          <w:b/>
        </w:rPr>
        <w:t xml:space="preserve">USA:</w:t>
      </w:r>
      <w:r>
        <w:t xml:space="preserve"> </w:t>
      </w:r>
      <w:r>
        <w:t xml:space="preserve">Zugelassen als Mounjaro (2022, Typ-2-Diabetes) und als Zepbound (2023, chronisches Gewichtsmanagement; 2024 zusätzlich obstruktive Schlafapnoe bei Adipositas). Nach dem Ende des offiziellen Lieferengpasses hat die FDA die Herstellung von Kopien in Apotheken stark eingeschränkt.</w:t>
      </w:r>
    </w:p>
    <w:p>
      <w:pPr>
        <w:numPr>
          <w:ilvl w:val="0"/>
          <w:numId w:val="1066"/>
        </w:numPr>
        <w:pStyle w:val="Compact"/>
      </w:pPr>
      <w:r>
        <w:rPr>
          <w:bCs/>
          <w:b/>
        </w:rPr>
        <w:t xml:space="preserve">Sport:</w:t>
      </w:r>
      <w:r>
        <w:t xml:space="preserve"> </w:t>
      </w:r>
      <w:r>
        <w:t xml:space="preserve">Tirzepatid steht nicht auf der WADA-Verbotsliste (Stand 2026, bitte aktuell prüfen).</w:t>
      </w:r>
    </w:p>
    <w:p>
      <w:pPr>
        <w:numPr>
          <w:ilvl w:val="0"/>
          <w:numId w:val="1066"/>
        </w:numPr>
        <w:pStyle w:val="Compact"/>
      </w:pPr>
      <w:r>
        <w:rPr>
          <w:bCs/>
          <w:b/>
        </w:rPr>
        <w:t xml:space="preserve">Graumarkt:</w:t>
      </w:r>
      <w:r>
        <w:t xml:space="preserve"> </w:t>
      </w:r>
      <w:r>
        <w:t xml:space="preserve">Der Handel mit nicht zugelassenen Tirzepatid-Produkten („for research use only“) ist in der EU kein legaler Weg zum Arzneimittel; die Produkte unterliegen keiner Qualitätskontrolle.</w:t>
      </w:r>
    </w:p>
    <w:bookmarkEnd w:id="529"/>
    <w:bookmarkStart w:id="535" w:name="laufende-studien-und-ausblick-4"/>
    <w:p>
      <w:pPr>
        <w:pStyle w:val="Heading3"/>
      </w:pPr>
      <w:r>
        <w:t xml:space="preserve">Laufende Studien und Ausblick</w:t>
      </w:r>
    </w:p>
    <w:p>
      <w:pPr>
        <w:pStyle w:val="FirstParagraph"/>
      </w:pPr>
      <w:r>
        <w:rPr>
          <w:bCs/>
          <w:b/>
        </w:rPr>
        <w:t xml:space="preserve">Gesichert (registrierte Studien, Stand Oktober 2026):</w:t>
      </w:r>
    </w:p>
    <w:p>
      <w:pPr>
        <w:numPr>
          <w:ilvl w:val="0"/>
          <w:numId w:val="1067"/>
        </w:numPr>
        <w:pStyle w:val="Compact"/>
      </w:pPr>
      <w:r>
        <w:rPr>
          <w:bCs/>
          <w:b/>
        </w:rPr>
        <w:t xml:space="preserve">SURMOUNT-MMO</w:t>
      </w:r>
      <w:r>
        <w:rPr>
          <w:rStyle w:val="FootnoteReference"/>
        </w:rPr>
        <w:footnoteReference w:id="530"/>
      </w:r>
      <w:r>
        <w:t xml:space="preserve">: Endpunktstudie mit rund 15.000 Menschen mit Adipositas ohne Diabetes und hohem Herz-Kreislauf-Risiko, Tirzepatid gegen Placebo. Hauptendpunkt sind Herzinfarkt, Schlaganfall, Revaskularisation, Herzinsuffizienz-Ereignisse und Tod jeder Ursache; geplantes Ende 2027. Laut Design-Veröffentlichung ist es die erste Inkretin-Endpunktstudie, die sowohl die Primär- als auch die Sekundärprävention von Herz-Kreislauf-Erkrankungen untersucht</w:t>
      </w:r>
      <w:r>
        <w:rPr>
          <w:rStyle w:val="FootnoteReference"/>
        </w:rPr>
        <w:footnoteReference w:id="531"/>
      </w:r>
      <w:r>
        <w:t xml:space="preserve">.</w:t>
      </w:r>
    </w:p>
    <w:p>
      <w:pPr>
        <w:numPr>
          <w:ilvl w:val="0"/>
          <w:numId w:val="1067"/>
        </w:numPr>
        <w:pStyle w:val="Compact"/>
      </w:pPr>
      <w:r>
        <w:rPr>
          <w:bCs/>
          <w:b/>
        </w:rPr>
        <w:t xml:space="preserve">SYNERGY-Outcomes</w:t>
      </w:r>
      <w:r>
        <w:rPr>
          <w:rStyle w:val="FootnoteReference"/>
        </w:rPr>
        <w:footnoteReference w:id="532"/>
      </w:r>
      <w:r>
        <w:t xml:space="preserve">: Phase-3-Masterprotokoll zur Fettlebererkrankung mit geplant 4.500 Teilnehmenden.</w:t>
      </w:r>
    </w:p>
    <w:p>
      <w:pPr>
        <w:numPr>
          <w:ilvl w:val="0"/>
          <w:numId w:val="1067"/>
        </w:numPr>
        <w:pStyle w:val="Compact"/>
      </w:pPr>
      <w:r>
        <w:rPr>
          <w:bCs/>
          <w:b/>
        </w:rPr>
        <w:t xml:space="preserve">Typ-1-Diabetes mit Adipositas</w:t>
      </w:r>
      <w:r>
        <w:rPr>
          <w:rStyle w:val="FootnoteReference"/>
        </w:rPr>
        <w:footnoteReference w:id="533"/>
      </w:r>
      <w:r>
        <w:t xml:space="preserve">: zwei Phase-3-Studien.</w:t>
      </w:r>
    </w:p>
    <w:p>
      <w:pPr>
        <w:numPr>
          <w:ilvl w:val="0"/>
          <w:numId w:val="1067"/>
        </w:numPr>
        <w:pStyle w:val="Compact"/>
      </w:pPr>
      <w:r>
        <w:rPr>
          <w:bCs/>
          <w:b/>
        </w:rPr>
        <w:t xml:space="preserve">Jugendliche mit Adipositas</w:t>
      </w:r>
      <w:r>
        <w:t xml:space="preserve"> </w:t>
      </w:r>
      <w:r>
        <w:t xml:space="preserve">(NCT06439277, SURMOUNT-ADOLESCENTS-2) und Kinder</w:t>
      </w:r>
      <w:r>
        <w:rPr>
          <w:rStyle w:val="FootnoteReference"/>
        </w:rPr>
        <w:footnoteReference w:id="534"/>
      </w:r>
      <w:r>
        <w:t xml:space="preserve">.</w:t>
      </w:r>
    </w:p>
    <w:p>
      <w:pPr>
        <w:numPr>
          <w:ilvl w:val="0"/>
          <w:numId w:val="1067"/>
        </w:numPr>
        <w:pStyle w:val="Compact"/>
      </w:pPr>
      <w:r>
        <w:rPr>
          <w:bCs/>
          <w:b/>
        </w:rPr>
        <w:t xml:space="preserve">Direkter Vergleich mit dem Nachfolger Retatrutid</w:t>
      </w:r>
      <w:r>
        <w:t xml:space="preserve"> </w:t>
      </w:r>
      <w:r>
        <w:t xml:space="preserve">(NCT06662383, siehe Kapitel Retatrutid).</w:t>
      </w:r>
    </w:p>
    <w:p>
      <w:pPr>
        <w:numPr>
          <w:ilvl w:val="0"/>
          <w:numId w:val="1067"/>
        </w:numPr>
        <w:pStyle w:val="Compact"/>
      </w:pPr>
      <w:r>
        <w:t xml:space="preserve">Zahlreiche Studien zu Kniearthrose, Schuppenflechte, Nierenerkrankungen und Schlaganfall.</w:t>
      </w:r>
    </w:p>
    <w:p>
      <w:pPr>
        <w:pStyle w:val="FirstParagraph"/>
      </w:pPr>
      <w:r>
        <w:rPr>
          <w:bCs/>
          <w:b/>
        </w:rPr>
        <w:t xml:space="preserve">Einschätzung:</w:t>
      </w:r>
      <w:r>
        <w:t xml:space="preserve"> </w:t>
      </w:r>
      <w:r>
        <w:t xml:space="preserve">Tirzepatid ist 2026 der Maßstab, an dem sich neue Abnehmmedikamente messen lassen müssen. Die nächste große Frage ist, ob SURMOUNT-MMO bei Menschen ohne Diabetes einen ähnlichen Herz-Kreislauf-Nutzen zeigt wie die SELECT-Studie für Semaglutid. Konkurrenz kommt von Dreifach-Agonisten (Retatrutid), Amylin-Kombinationen (CagriSema, Amycretin) und Tabletten (Orforglipron). Wann die Patente auslaufen und günstigere Nachahmerpräparate möglich werden, behandelt Teil V.</w:t>
      </w:r>
    </w:p>
    <w:bookmarkEnd w:id="535"/>
    <w:bookmarkStart w:id="536" w:name="fazit-4"/>
    <w:p>
      <w:pPr>
        <w:pStyle w:val="Heading3"/>
      </w:pPr>
      <w:r>
        <w:t xml:space="preserve">Fazit</w:t>
      </w:r>
    </w:p>
    <w:p>
      <w:pPr>
        <w:pStyle w:val="FirstParagraph"/>
      </w:pPr>
      <w:r>
        <w:t xml:space="preserve">Tirzepatid ist ein doppelter GIP/GLP-1-Agonist, der in einem der größten Studienprogramme der Diabetes- und Adipositasmedizin untersucht wurde. In SURMOUNT-1 verringerte sich das Körpergewicht in der höchsten Dosis im Mittel um rund 21 %, im direkten Vergleich mit Semaglutid (SURMOUNT-5) um 20,2 % gegenüber 13,7 %. Gegen Dulaglutid war es bei Herz-Kreislauf-Ereignissen nicht unterlegen, bei Herzinsuffizienz mit erhaltener Pumpfunktion und Schlafapnoe zeigten sich günstige Effekte. Die Nebenwirkungen betreffen vor allem den Magen-Darm-Trakt und die Gallenblase; nach dem Absetzen kehrt ein Großteil des Gewichts zurück. Die Behandlung gehört in ärztliche Hände – mit Originalpräparat, nicht mit Graumarktware.</w:t>
      </w:r>
    </w:p>
    <w:bookmarkEnd w:id="536"/>
    <w:bookmarkEnd w:id="537"/>
    <w:bookmarkStart w:id="577" w:name="retatrutid"/>
    <w:p>
      <w:pPr>
        <w:pStyle w:val="Heading2"/>
      </w:pPr>
      <w:r>
        <w:t xml:space="preserve">Retatrutid</w:t>
      </w:r>
    </w:p>
    <w:bookmarkStart w:id="538" w:name="steckbrief-5"/>
    <w:p>
      <w:pPr>
        <w:pStyle w:val="Heading3"/>
      </w:pPr>
      <w:r>
        <w:t xml:space="preserve">Steckbrief</w:t>
      </w:r>
    </w:p>
    <w:p>
      <w:pPr>
        <w:numPr>
          <w:ilvl w:val="0"/>
          <w:numId w:val="1068"/>
        </w:numPr>
        <w:pStyle w:val="Compact"/>
      </w:pPr>
      <w:r>
        <w:rPr>
          <w:bCs/>
          <w:b/>
        </w:rPr>
        <w:t xml:space="preserve">Art/Struktur:</w:t>
      </w:r>
      <w:r>
        <w:t xml:space="preserve"> </w:t>
      </w:r>
      <w:r>
        <w:t xml:space="preserve">synthetisches Peptid mit angehängter Fettsäurekette für die einmal wöchentliche Gabe unter die Haut; Entwicklungscode LY3437943.</w:t>
      </w:r>
    </w:p>
    <w:p>
      <w:pPr>
        <w:numPr>
          <w:ilvl w:val="0"/>
          <w:numId w:val="1068"/>
        </w:numPr>
        <w:pStyle w:val="Compact"/>
      </w:pPr>
      <w:r>
        <w:rPr>
          <w:bCs/>
          <w:b/>
        </w:rPr>
        <w:t xml:space="preserve">Herkunft:</w:t>
      </w:r>
      <w:r>
        <w:t xml:space="preserve"> </w:t>
      </w:r>
      <w:r>
        <w:t xml:space="preserve">entwickelt von Eli Lilly als Nachfolger von Tirzepatid.</w:t>
      </w:r>
    </w:p>
    <w:p>
      <w:pPr>
        <w:numPr>
          <w:ilvl w:val="0"/>
          <w:numId w:val="1068"/>
        </w:numPr>
        <w:pStyle w:val="Compact"/>
      </w:pPr>
      <w:r>
        <w:rPr>
          <w:bCs/>
          <w:b/>
        </w:rPr>
        <w:t xml:space="preserve">Wirkprinzip:</w:t>
      </w:r>
      <w:r>
        <w:t xml:space="preserve"> </w:t>
      </w:r>
      <w:r>
        <w:t xml:space="preserve">„Dreifach-Agonist“ (Triple-Agonist) an drei Rezeptoren: GIP, GLP-1 und Glukagon. In den Medien oft „Triple G“ genannt.</w:t>
      </w:r>
    </w:p>
    <w:p>
      <w:pPr>
        <w:numPr>
          <w:ilvl w:val="0"/>
          <w:numId w:val="1068"/>
        </w:numPr>
        <w:pStyle w:val="Compact"/>
      </w:pPr>
      <w:r>
        <w:rPr>
          <w:bCs/>
          <w:b/>
        </w:rPr>
        <w:t xml:space="preserve">Zulassung EU:</w:t>
      </w:r>
      <w:r>
        <w:t xml:space="preserve"> </w:t>
      </w:r>
      <w:r>
        <w:t xml:space="preserve">nein (Stand Oktober 2026; Phase-3-Programm TRIUMPH teilweise abgeschlossen).</w:t>
      </w:r>
    </w:p>
    <w:p>
      <w:pPr>
        <w:numPr>
          <w:ilvl w:val="0"/>
          <w:numId w:val="1068"/>
        </w:numPr>
        <w:pStyle w:val="Compact"/>
      </w:pPr>
      <w:r>
        <w:rPr>
          <w:bCs/>
          <w:b/>
        </w:rPr>
        <w:t xml:space="preserve">Zulassung USA:</w:t>
      </w:r>
      <w:r>
        <w:t xml:space="preserve"> </w:t>
      </w:r>
      <w:r>
        <w:t xml:space="preserve">nein (Stand Oktober 2026, bitte aktuell prüfen).</w:t>
      </w:r>
    </w:p>
    <w:p>
      <w:pPr>
        <w:numPr>
          <w:ilvl w:val="0"/>
          <w:numId w:val="1068"/>
        </w:numPr>
        <w:pStyle w:val="Compact"/>
      </w:pPr>
      <w:r>
        <w:rPr>
          <w:bCs/>
          <w:b/>
        </w:rPr>
        <w:t xml:space="preserve">WADA:</w:t>
      </w:r>
      <w:r>
        <w:t xml:space="preserve"> </w:t>
      </w:r>
      <w:r>
        <w:t xml:space="preserve">nicht namentlich gelistet; als nirgends zugelassener Wirkstoff fällt Retatrutid aber unter die Klasse S0 „Nicht zugelassene Substanzen“ und ist damit im Sport jederzeit verboten.</w:t>
      </w:r>
    </w:p>
    <w:p>
      <w:pPr>
        <w:numPr>
          <w:ilvl w:val="0"/>
          <w:numId w:val="1068"/>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und keine Endpunktdaten zu Herz und Niere. Mit einer Zulassung wäre die Stufe A erreicht.</w:t>
      </w:r>
    </w:p>
    <w:bookmarkEnd w:id="538"/>
    <w:bookmarkStart w:id="542" w:name="wie-es-wirken-soll-5"/>
    <w:p>
      <w:pPr>
        <w:pStyle w:val="Heading3"/>
      </w:pPr>
      <w:r>
        <w:t xml:space="preserve">Wie es wirken soll</w:t>
      </w:r>
    </w:p>
    <w:p>
      <w:pPr>
        <w:pStyle w:val="FirstParagraph"/>
      </w:pPr>
      <w:r>
        <w:t xml:space="preserve">Retatrutid baut auf dem Prinzip von Tirzepatid auf (siehe dort) und fügt einen dritten Angriffspunkt hinzu: den Glukagon-Rezeptor. Das klingt zunächst widersprüchlich, denn Glukagon ist das „Gegenhormon“ des Insulins – es lässt die Leber Zucker freisetzen und hebt den Blutzucker. Glukagon hat aber weitere Wirkungen: Es steigert den Energieverbrauch, fördert den Fettabbau in der Leber und trägt zur Sättigung bei. Die Idee hinter Retatrutid ist, diese günstigen Effekte zu nutzen, während der GLP-1- und GIP-Anteil den blutzuckersteigernden Effekt ausgleicht.</w:t>
      </w:r>
    </w:p>
    <w:p>
      <w:pPr>
        <w:pStyle w:val="BodyText"/>
      </w:pPr>
      <w:r>
        <w:t xml:space="preserve">In Zellversuchen wirkt Retatrutid an Glukagon- und GLP-1-Rezeptor etwa gleich stark, am GIP-Rezeptor stärker. Bei übergewichtigen Mäusen verstärkte der Glukagon-Anteil den Gewichtsverlust über einen erhöhten Energieverbrauch, während GIP und GLP-1 die Kalorienaufnahme verringerten</w:t>
      </w:r>
      <w:r>
        <w:rPr>
          <w:rStyle w:val="FootnoteReference"/>
        </w:rPr>
        <w:footnoteReference w:id="539"/>
      </w:r>
      <w:r>
        <w:t xml:space="preserve">. Ob der Energieverbrauch auch beim Menschen nennenswert steigt, ist noch nicht ausreichend untersucht; eine entsprechende Phase-1-Studie ist registriert</w:t>
      </w:r>
      <w:r>
        <w:rPr>
          <w:rStyle w:val="FootnoteReference"/>
        </w:rPr>
        <w:footnoteReference w:id="540"/>
      </w:r>
      <w:r>
        <w:t xml:space="preserve">.</w:t>
      </w:r>
    </w:p>
    <w:p>
      <w:pPr>
        <w:pStyle w:val="BodyText"/>
      </w:pPr>
      <w:r>
        <w:t xml:space="preserve">Beim Menschen berichteten Teilnehmende einer Phase-2-Studie unter höheren Dosen weniger Hunger und weniger Neigung zu „Kontrollverlust“ beim Essen; diese Veränderungen hingen mit dem Gewichtsverlust zusammen</w:t>
      </w:r>
      <w:r>
        <w:rPr>
          <w:rStyle w:val="FootnoteReference"/>
        </w:rPr>
        <w:footnoteReference w:id="541"/>
      </w:r>
      <w:r>
        <w:t xml:space="preserve">.</w:t>
      </w:r>
    </w:p>
    <w:bookmarkEnd w:id="542"/>
    <w:bookmarkStart w:id="557" w:name="studien-am-menschen-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ergänzt durch die gezielte Suche nach den Phase-1- und Phase-3-Veröffentlichungen. Auf ClinicalTrials.gov waren 32 Studien registriert (ein offenkundig fiktiver Beispiel-Eintrag ist nicht mitgezählt), darunter das Zulassungsprogramm TRIUMPH (Adipositas) und TRANSCEND (Typ-2-Diabetes). Für einen Wirkstoff ohne Zulassung ist das eine ungewöhnlich solide Datenlage – sie stammt allerdings fast vollständig aus herstellerfinanzierten Studien.</w:t>
      </w:r>
    </w:p>
    <w:bookmarkStart w:id="545" w:name="frühe-studien"/>
    <w:p>
      <w:pPr>
        <w:pStyle w:val="Heading4"/>
      </w:pPr>
      <w:r>
        <w:t xml:space="preserve">Frühe Studien</w:t>
      </w:r>
    </w:p>
    <w:p>
      <w:pPr>
        <w:pStyle w:val="FirstParagraph"/>
      </w:pPr>
      <w:r>
        <w:t xml:space="preserve">Nach einer Einzeldosisstudie an Gesunden, in der das Körpergewicht nach einer einzigen Spritze bis zu 43 Tage lang reduziert blieb</w:t>
      </w:r>
      <w:r>
        <w:rPr>
          <w:rStyle w:val="FootnoteReference"/>
        </w:rPr>
        <w:footnoteReference w:id="543"/>
      </w:r>
      <w:r>
        <w:t xml:space="preserve">, folgte eine zwölfwöchige Phase-1b-Studie mit 72 Menschen mit Typ-2-Diabetes. Die Halbwertszeit betrug etwa sechs Tage, was die wöchentliche Gabe erlaubt. In der höchsten Dosisgruppe lag die Gewichtsabnahme gegenüber Placebo bei bis zu knapp 9 kg</w:t>
      </w:r>
      <w:r>
        <w:rPr>
          <w:rStyle w:val="FootnoteReference"/>
        </w:rPr>
        <w:footnoteReference w:id="544"/>
      </w:r>
      <w:r>
        <w:t xml:space="preserve">.</w:t>
      </w:r>
    </w:p>
    <w:bookmarkEnd w:id="545"/>
    <w:bookmarkStart w:id="551" w:name="phase-2-adipositas-und-typ-2-diabetes"/>
    <w:p>
      <w:pPr>
        <w:pStyle w:val="Heading4"/>
      </w:pPr>
      <w:r>
        <w:t xml:space="preserve">Phase 2: Adipositas und Typ-2-Diabetes</w:t>
      </w:r>
    </w:p>
    <w:p>
      <w:pPr>
        <w:pStyle w:val="FirstParagraph"/>
      </w:pPr>
      <w:r>
        <w:t xml:space="preserve">Die Phase-2-Studie bei Adipositas sorgte 2023 für Schlagzeilen</w:t>
      </w:r>
      <w:r>
        <w:rPr>
          <w:rStyle w:val="FootnoteReference"/>
        </w:rPr>
        <w:footnoteReference w:id="546"/>
      </w:r>
      <w:r>
        <w:t xml:space="preserve">. 338 Erwachsene erhielten 48 Wochen lang verschiedene Dosen oder Placebo. In der höchsten Dosisgruppe verringerte sich das Körpergewicht um durchschnittlich 24,2 % (Placebo: −2,1 %); 83 % dieser Gruppe verloren mindestens 15 %. Das waren die bis dahin höchsten Werte, die in einer Medikamentenstudie zur Adipositas gemessen worden waren. Die Magen-Darm-Nebenwirkungen nahmen mit der Dosis zu und fielen bei langsamerer Aufdosierung geringer aus. Die Herzfrequenz stieg dosisabhängig an, erreichte nach 24 Wochen ihren Höchstwert und ging danach zurück.</w:t>
      </w:r>
    </w:p>
    <w:p>
      <w:pPr>
        <w:pStyle w:val="BodyText"/>
      </w:pPr>
      <w:r>
        <w:t xml:space="preserve">Die parallele Phase-2-Studie bei 281 Menschen mit Typ-2-Diabetes zeigte nach 24 Wochen HbA1c-Senkungen von bis zu 2,02 Prozentpunkten (Dulaglutid: −1,41) und nach 36 Wochen einen Gewichtsverlust von bis zu 16,94 %</w:t>
      </w:r>
      <w:r>
        <w:rPr>
          <w:rStyle w:val="FootnoteReference"/>
        </w:rPr>
        <w:footnoteReference w:id="547"/>
      </w:r>
      <w:r>
        <w:t xml:space="preserve">. In einer Unterstudie mit Körperzusammensetzungsmessung (DXA) sank die Fettmasse unter den höheren Dosen um 23–26 %</w:t>
      </w:r>
      <w:r>
        <w:rPr>
          <w:rStyle w:val="FootnoteReference"/>
        </w:rPr>
        <w:footnoteReference w:id="548"/>
      </w:r>
      <w:r>
        <w:t xml:space="preserve">.</w:t>
      </w:r>
    </w:p>
    <w:p>
      <w:pPr>
        <w:pStyle w:val="BodyText"/>
      </w:pPr>
      <w:r>
        <w:t xml:space="preserve">Eine Unterstudie bei 98 Teilnehmenden mit Fettleber (mindestens 10 % Leberfett) fand nach 24 Wochen eine relative Abnahme des Leberfetts um bis zu 82,4 %; in der höchsten Dosis hatten 86 % danach normale Leberfettwerte, unter Placebo niemand</w:t>
      </w:r>
      <w:r>
        <w:rPr>
          <w:rStyle w:val="FootnoteReference"/>
        </w:rPr>
        <w:footnoteReference w:id="549"/>
      </w:r>
      <w:r>
        <w:t xml:space="preserve">. Der Leberfettgehalt ist ein Surrogatparameter – ob sich dadurch Leberentzündung, Fibrose und Zirrhose verringern, ist noch nicht gezeigt.</w:t>
      </w:r>
    </w:p>
    <w:p>
      <w:pPr>
        <w:pStyle w:val="BodyText"/>
      </w:pPr>
      <w:r>
        <w:t xml:space="preserve">Nachauswertungen der Phase-2-Studien zeigten Verbesserungen bei Blutfetten und Entzündungsmarkern, etwa ein um bis zu 26,9 % niedrigeres Non-HDL-Cholesterin und einen um 54,8 % niedrigeren CRP-Wert in der Adipositasstudie</w:t>
      </w:r>
      <w:r>
        <w:rPr>
          <w:rStyle w:val="FootnoteReference"/>
        </w:rPr>
        <w:footnoteReference w:id="550"/>
      </w:r>
      <w:r>
        <w:t xml:space="preserve">. Auch das sind Laborwerte, keine harten Endpunkte.</w:t>
      </w:r>
    </w:p>
    <w:bookmarkEnd w:id="551"/>
    <w:bookmarkStart w:id="556" w:name="X664bece749c69b01cfbf036de223c5fe92044b6"/>
    <w:p>
      <w:pPr>
        <w:pStyle w:val="Heading4"/>
      </w:pPr>
      <w:r>
        <w:t xml:space="preserve">Phase 3: das TRIUMPH- und TRANSCEND-Programm</w:t>
      </w:r>
    </w:p>
    <w:p>
      <w:pPr>
        <w:pStyle w:val="FirstParagraph"/>
      </w:pPr>
      <w:r>
        <w:t xml:space="preserve">Das Zulassungsprogramm für Adipositas, TRIUMPH, umfasst vier Studien mit zusammen über 5.800 Teilnehmenden. Eine Besonderheit ist das „Basket“-Design: Innerhalb der großen Gewichtsstudien wurden Untergruppen mit Kniearthrose oder Schlafapnoe mit eigenen Hauptendpunkten ausgewertet</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(Jastreboff 2023), PMID 37366315</w:t>
            </w:r>
          </w:p>
        </w:tc>
        <w:tc>
          <w:tcPr/>
          <w:p>
            <w:pPr>
              <w:pStyle w:val="Compact"/>
              <w:jc w:val="left"/>
            </w:pPr>
            <w:r>
              <w:t xml:space="preserve">338 Erwachsene ohne Diabetes, gegen Placebo</w:t>
            </w:r>
          </w:p>
        </w:tc>
        <w:tc>
          <w:tcPr/>
          <w:p>
            <w:pPr>
              <w:pStyle w:val="Compact"/>
              <w:jc w:val="left"/>
            </w:pPr>
            <w:r>
              <w:t xml:space="preserve">48 Wochen</w:t>
            </w:r>
          </w:p>
        </w:tc>
        <w:tc>
          <w:tcPr/>
          <w:p>
            <w:pPr>
              <w:pStyle w:val="Compact"/>
              <w:jc w:val="left"/>
            </w:pPr>
            <w:r>
              <w:t xml:space="preserve">bis −24,2 % Gewicht vs. −2,1 %</w:t>
            </w:r>
          </w:p>
        </w:tc>
      </w:tr>
      <w:tr>
        <w:tc>
          <w:tcPr/>
          <w:p>
            <w:pPr>
              <w:pStyle w:val="Compact"/>
              <w:jc w:val="left"/>
            </w:pPr>
            <w:r>
              <w:t xml:space="preserve">Phase 2 Typ-2-Diabetes (Rosenstock 2023), PMID 37385280</w:t>
            </w:r>
          </w:p>
        </w:tc>
        <w:tc>
          <w:tcPr/>
          <w:p>
            <w:pPr>
              <w:pStyle w:val="Compact"/>
              <w:jc w:val="left"/>
            </w:pPr>
            <w:r>
              <w:t xml:space="preserve">281 Erwachsene, gegen Placebo und Dulaglutid</w:t>
            </w:r>
          </w:p>
        </w:tc>
        <w:tc>
          <w:tcPr/>
          <w:p>
            <w:pPr>
              <w:pStyle w:val="Compact"/>
              <w:jc w:val="left"/>
            </w:pPr>
            <w:r>
              <w:t xml:space="preserve">36 Wochen</w:t>
            </w:r>
          </w:p>
        </w:tc>
        <w:tc>
          <w:tcPr/>
          <w:p>
            <w:pPr>
              <w:pStyle w:val="Compact"/>
              <w:jc w:val="left"/>
            </w:pPr>
            <w:r>
              <w:t xml:space="preserve">HbA1c bis −2,02 Punkte; Gewicht bis −16,94 %</w:t>
            </w:r>
          </w:p>
        </w:tc>
      </w:tr>
      <w:tr>
        <w:tc>
          <w:tcPr/>
          <w:p>
            <w:pPr>
              <w:pStyle w:val="Compact"/>
              <w:jc w:val="left"/>
            </w:pPr>
            <w:r>
              <w:t xml:space="preserve">TRIUMPH-1 (Jastreboff 2026), PMID 42814954</w:t>
            </w:r>
          </w:p>
        </w:tc>
        <w:tc>
          <w:tcPr/>
          <w:p>
            <w:pPr>
              <w:pStyle w:val="Compact"/>
              <w:jc w:val="left"/>
            </w:pPr>
            <w:r>
              <w:t xml:space="preserve">2.339 Erwachsene mit Adipositas ohne Diabetes, gegen Placebo</w:t>
            </w:r>
          </w:p>
        </w:tc>
        <w:tc>
          <w:tcPr/>
          <w:p>
            <w:pPr>
              <w:pStyle w:val="Compact"/>
              <w:jc w:val="left"/>
            </w:pPr>
            <w:r>
              <w:t xml:space="preserve">80 Wochen</w:t>
            </w:r>
          </w:p>
        </w:tc>
        <w:tc>
          <w:tcPr/>
          <w:p>
            <w:pPr>
              <w:pStyle w:val="Compact"/>
              <w:jc w:val="left"/>
            </w:pPr>
            <w:r>
              <w:t xml:space="preserve">−17,6 / −23,7 / −25,0 % (4/9/12 mg) vs. −3,9 %</w:t>
            </w:r>
          </w:p>
        </w:tc>
      </w:tr>
      <w:tr>
        <w:tc>
          <w:tcPr/>
          <w:p>
            <w:pPr>
              <w:pStyle w:val="Compact"/>
              <w:jc w:val="left"/>
            </w:pPr>
            <w:r>
              <w:t xml:space="preserve">TRIUMPH-2 (Bellido 2026), PMID 42810372</w:t>
            </w:r>
          </w:p>
        </w:tc>
        <w:tc>
          <w:tcPr/>
          <w:p>
            <w:pPr>
              <w:pStyle w:val="Compact"/>
              <w:jc w:val="left"/>
            </w:pPr>
            <w:r>
              <w:t xml:space="preserve">1.152 Erwachsene mit Adipositas und Typ-2-Diabetes, gegen Placebo</w:t>
            </w:r>
          </w:p>
        </w:tc>
        <w:tc>
          <w:tcPr/>
          <w:p>
            <w:pPr>
              <w:pStyle w:val="Compact"/>
              <w:jc w:val="left"/>
            </w:pPr>
            <w:r>
              <w:t xml:space="preserve">80 Wochen</w:t>
            </w:r>
          </w:p>
        </w:tc>
        <w:tc>
          <w:tcPr/>
          <w:p>
            <w:pPr>
              <w:pStyle w:val="Compact"/>
              <w:jc w:val="left"/>
            </w:pPr>
            <w:r>
              <w:t xml:space="preserve">−11,9 / −16,8 / −18,8 % vs. −5,1 %</w:t>
            </w:r>
          </w:p>
        </w:tc>
      </w:tr>
      <w:tr>
        <w:tc>
          <w:tcPr/>
          <w:p>
            <w:pPr>
              <w:pStyle w:val="Compact"/>
              <w:jc w:val="left"/>
            </w:pPr>
            <w:r>
              <w:t xml:space="preserve">TRANSCEND-T2D-1 (Bajaj 2026), PMID 42250575</w:t>
            </w:r>
          </w:p>
        </w:tc>
        <w:tc>
          <w:tcPr/>
          <w:p>
            <w:pPr>
              <w:pStyle w:val="Compact"/>
              <w:jc w:val="left"/>
            </w:pPr>
            <w:r>
              <w:t xml:space="preserve">537 Erwachsene mit Typ-2-Diabetes ohne Medikamente, gegen Placebo</w:t>
            </w:r>
          </w:p>
        </w:tc>
        <w:tc>
          <w:tcPr/>
          <w:p>
            <w:pPr>
              <w:pStyle w:val="Compact"/>
              <w:jc w:val="left"/>
            </w:pPr>
            <w:r>
              <w:t xml:space="preserve">40 Wochen</w:t>
            </w:r>
          </w:p>
        </w:tc>
        <w:tc>
          <w:tcPr/>
          <w:p>
            <w:pPr>
              <w:pStyle w:val="Compact"/>
              <w:jc w:val="left"/>
            </w:pPr>
            <w:r>
              <w:t xml:space="preserve">HbA1c −1,69 bis −1,94 vs. −0,81; Gewicht bis −15,3 %</w:t>
            </w:r>
          </w:p>
        </w:tc>
      </w:tr>
    </w:tbl>
    <w:p>
      <w:pPr>
        <w:pStyle w:val="BodyText"/>
      </w:pPr>
      <w:r>
        <w:rPr>
          <w:bCs/>
          <w:b/>
        </w:rPr>
        <w:t xml:space="preserve">TRIUMPH-1</w:t>
      </w:r>
      <w:r>
        <w:rPr>
          <w:rStyle w:val="FootnoteReference"/>
        </w:rPr>
        <w:footnoteReference w:id="553"/>
      </w:r>
      <w:r>
        <w:t xml:space="preserve"> </w:t>
      </w:r>
      <w:r>
        <w:t xml:space="preserve">ist die Hauptstudie. Bei 2.339 Erwachsenen mit Adipositas ohne Diabetes verringerte sich das Körpergewicht nach 80 Wochen in der höchsten Dosis um durchschnittlich 25,0 %. Zum Vergleich: In SURMOUNT-1 erreichte Tirzepatid in der höchsten Dosis nach 72 Wochen 20,9 %. Ein solcher Quervergleich zwischen Studien mit unterschiedlicher Dauer und Population ist allerdings nur eine grobe Orientierung; den direkten Vergleich soll eine laufende Studie liefern (siehe Ausblick).</w:t>
      </w:r>
    </w:p>
    <w:p>
      <w:pPr>
        <w:pStyle w:val="BodyText"/>
      </w:pPr>
      <w:r>
        <w:t xml:space="preserve">In den eingebetteten Teilstudien:</w:t>
      </w:r>
    </w:p>
    <w:p>
      <w:pPr>
        <w:numPr>
          <w:ilvl w:val="0"/>
          <w:numId w:val="1069"/>
        </w:numPr>
        <w:pStyle w:val="Compact"/>
      </w:pPr>
      <w:r>
        <w:rPr>
          <w:bCs/>
          <w:b/>
        </w:rPr>
        <w:t xml:space="preserve">Kniearthrose</w:t>
      </w:r>
      <w:r>
        <w:t xml:space="preserve"> </w:t>
      </w:r>
      <w:r>
        <w:t xml:space="preserve">(574 Teilnehmende): Der Schmerzwert (WOMAC, Skala 1 bis 10) sank um 3,5 bzw. 3,6 Punkte unter 9 bzw. 12 mg gegenüber 1,9 Punkten unter Placebo.</w:t>
      </w:r>
    </w:p>
    <w:p>
      <w:pPr>
        <w:numPr>
          <w:ilvl w:val="0"/>
          <w:numId w:val="1069"/>
        </w:numPr>
        <w:pStyle w:val="Compact"/>
      </w:pPr>
      <w:r>
        <w:rPr>
          <w:bCs/>
          <w:b/>
        </w:rPr>
        <w:t xml:space="preserve">Schlafapnoe</w:t>
      </w:r>
      <w:r>
        <w:t xml:space="preserve"> </w:t>
      </w:r>
      <w:r>
        <w:t xml:space="preserve">(243 Teilnehmende): Der Apnoe-Hypopnoe-Index ging um rund 32 bis 34 Ereignisse pro Stunde zurück, unter Placebo um knapp 10.</w:t>
      </w:r>
    </w:p>
    <w:p>
      <w:pPr>
        <w:pStyle w:val="FirstParagraph"/>
      </w:pPr>
      <w:r>
        <w:rPr>
          <w:bCs/>
          <w:b/>
        </w:rPr>
        <w:t xml:space="preserve">TRIUMPH-2</w:t>
      </w:r>
      <w:r>
        <w:rPr>
          <w:rStyle w:val="FootnoteReference"/>
        </w:rPr>
        <w:footnoteReference w:id="554"/>
      </w:r>
      <w:r>
        <w:t xml:space="preserve"> </w:t>
      </w:r>
      <w:r>
        <w:t xml:space="preserve">bestätigte das bekannte Muster, dass Menschen mit Typ-2-Diabetes weniger abnehmen: −18,8 % in der höchsten Dosis gegenüber −5,1 % unter Placebo. Diese Studie lieferte auch die bisher genauesten Sicherheitsdaten (siehe unten).</w:t>
      </w:r>
    </w:p>
    <w:p>
      <w:pPr>
        <w:pStyle w:val="BodyText"/>
      </w:pPr>
      <w:r>
        <w:rPr>
          <w:bCs/>
          <w:b/>
        </w:rPr>
        <w:t xml:space="preserve">TRANSCEND-T2D-1</w:t>
      </w:r>
      <w:r>
        <w:rPr>
          <w:rStyle w:val="FootnoteReference"/>
        </w:rPr>
        <w:footnoteReference w:id="555"/>
      </w:r>
      <w:r>
        <w:t xml:space="preserve"> </w:t>
      </w:r>
      <w:r>
        <w:t xml:space="preserve">prüfte Retatrutid als alleinige Diabetesbehandlung bei Menschen mit kurzer Diabetesdauer. Der HbA1c-Wert sank um bis zu 1,94 Prozentpunkte, das Gewicht um bis zu 15,3 %; schwere Unterzuckerungen traten nicht auf.</w:t>
      </w:r>
    </w:p>
    <w:p>
      <w:pPr>
        <w:pStyle w:val="BodyText"/>
      </w:pPr>
      <w:r>
        <w:t xml:space="preserve">Die Ergebnisse von TRIUMPH-3 (Adipositas mit Herz-Kreislauf-Erkrankung, NCT05882045) und TRIUMPH-4 (Kniearthrose, NCT05931367) sind laut Register abgeschlossen; eine begutachtete Veröffentlichung lag bei Redaktionsschluss für diese Kapitel noch nicht vor.</w:t>
      </w:r>
    </w:p>
    <w:bookmarkEnd w:id="556"/>
    <w:bookmarkEnd w:id="557"/>
    <w:bookmarkStart w:id="561" w:name="tier--und-laborstudien-5"/>
    <w:p>
      <w:pPr>
        <w:pStyle w:val="Heading3"/>
      </w:pPr>
      <w:r>
        <w:t xml:space="preserve">Tier- und Laborstudien</w:t>
      </w:r>
    </w:p>
    <w:p>
      <w:pPr>
        <w:pStyle w:val="FirstParagraph"/>
      </w:pPr>
      <w:r>
        <w:t xml:space="preserve">Die präklinischen Grundlagen stammen überwiegend vom Hersteller. In Zellkulturen aktiviert Retatrutid alle drei Rezeptoren; bei übergewichtigen Mäusen senkte es Gewicht und Blutzucker, wobei der Glukagon-Anteil den Energieverbrauch erhöhte</w:t>
      </w:r>
      <w:r>
        <w:rPr>
          <w:rStyle w:val="FootnoteReference"/>
        </w:rPr>
        <w:footnoteReference w:id="558"/>
      </w:r>
      <w:r>
        <w:t xml:space="preserve">. Eine Arbeit an übergewichtigen Mäusen beschreibt, dass transplantierte Bauchspeicheldrüsen- und Lungentumoren unter Retatrutid seltener anwuchsen und langsamer wuchsen</w:t>
      </w:r>
      <w:r>
        <w:rPr>
          <w:rStyle w:val="FootnoteReference"/>
        </w:rPr>
        <w:footnoteReference w:id="559"/>
      </w:r>
      <w:r>
        <w:t xml:space="preserve"> </w:t>
      </w:r>
      <w:r>
        <w:t xml:space="preserve">– ein Tierbefund, aus dem sich für Menschen nichts ableiten lässt.</w:t>
      </w:r>
    </w:p>
    <w:p>
      <w:pPr>
        <w:pStyle w:val="BodyText"/>
      </w:pPr>
      <w:r>
        <w:t xml:space="preserve">Für die Doping-Analytik wurde 2026 ein Nachweisverfahren entwickelt. Dafür wurden Blut- und Urinproben von vier Personen untersucht, die Retatrutid außerhalb von Studien selbst gespritzt hatten. Im Urin fand sich kein intaktes Retatrutid; im Blut war es bis etwa 56 Tage nach der ersten Spritze nachweisbar</w:t>
      </w:r>
      <w:r>
        <w:rPr>
          <w:rStyle w:val="FootnoteReference"/>
        </w:rPr>
        <w:footnoteReference w:id="560"/>
      </w:r>
      <w:r>
        <w:t xml:space="preserve">. Die Autorinnen und Autoren verweisen auf Berichte über den Gebrauch unter Freizeitsportlern.</w:t>
      </w:r>
    </w:p>
    <w:bookmarkEnd w:id="561"/>
    <w:bookmarkStart w:id="565" w:name="risiken-und-nebenwirkungen-5"/>
    <w:p>
      <w:pPr>
        <w:pStyle w:val="Heading3"/>
      </w:pPr>
      <w:r>
        <w:t xml:space="preserve">Risiken und Nebenwirkungen</w:t>
      </w:r>
    </w:p>
    <w:p>
      <w:pPr>
        <w:pStyle w:val="FirstParagraph"/>
      </w:pPr>
      <w:r>
        <w:rPr>
          <w:bCs/>
          <w:b/>
        </w:rPr>
        <w:t xml:space="preserve">Belegt aus Studien:</w:t>
      </w:r>
    </w:p>
    <w:p>
      <w:pPr>
        <w:numPr>
          <w:ilvl w:val="0"/>
          <w:numId w:val="1070"/>
        </w:numPr>
        <w:pStyle w:val="Compact"/>
      </w:pPr>
      <w:r>
        <w:rPr>
          <w:bCs/>
          <w:b/>
        </w:rPr>
        <w:t xml:space="preserve">Magen-Darm-Beschwerden</w:t>
      </w:r>
      <w:r>
        <w:t xml:space="preserve"> </w:t>
      </w:r>
      <w:r>
        <w:t xml:space="preserve">sind die häufigsten Nebenwirkungen und deutlich dosisabhängig. In TRIUMPH-2 trat Durchfall bei 27–34 % (Placebo 13 %) und Übelkeit bei 14–28 % (Placebo 8 %) auf</w:t>
      </w:r>
      <w:r>
        <w:rPr>
          <w:rStyle w:val="FootnoteReference"/>
        </w:rPr>
        <w:footnoteReference w:id="562"/>
      </w:r>
      <w:r>
        <w:t xml:space="preserve">.</w:t>
      </w:r>
    </w:p>
    <w:p>
      <w:pPr>
        <w:numPr>
          <w:ilvl w:val="0"/>
          <w:numId w:val="1070"/>
        </w:numPr>
        <w:pStyle w:val="Compact"/>
      </w:pPr>
      <w:r>
        <w:rPr>
          <w:bCs/>
          <w:b/>
        </w:rPr>
        <w:t xml:space="preserve">Therapieabbrüche:</w:t>
      </w:r>
      <w:r>
        <w:t xml:space="preserve"> </w:t>
      </w:r>
      <w:r>
        <w:t xml:space="preserve">In TRIUMPH-2 brachen 12 % (9 mg) bzw. 8 % (12 mg) die Behandlung wegen Nebenwirkungen oder Tod ab, unter 4 mg 4 % und unter Placebo 5 %.</w:t>
      </w:r>
    </w:p>
    <w:p>
      <w:pPr>
        <w:numPr>
          <w:ilvl w:val="0"/>
          <w:numId w:val="1070"/>
        </w:numPr>
        <w:pStyle w:val="Compact"/>
      </w:pPr>
      <w:r>
        <w:rPr>
          <w:bCs/>
          <w:b/>
        </w:rPr>
        <w:t xml:space="preserve">Dysästhesie</w:t>
      </w:r>
      <w:r>
        <w:t xml:space="preserve"> </w:t>
      </w:r>
      <w:r>
        <w:t xml:space="preserve">– unangenehme Missempfindungen der Haut wie Kribbeln, Brennen oder Berührungsempfindlichkeit – trat in TRIUMPH-2 dosisabhängig bei 4–7 % gegenüber 1 % unter Placebo auf. Dieses Signal ist für Retatrutid vergleichsweise neu; seine Ursache ist ungeklärt.</w:t>
      </w:r>
    </w:p>
    <w:p>
      <w:pPr>
        <w:numPr>
          <w:ilvl w:val="0"/>
          <w:numId w:val="1070"/>
        </w:numPr>
        <w:pStyle w:val="Compact"/>
      </w:pPr>
      <w:r>
        <w:rPr>
          <w:bCs/>
          <w:b/>
        </w:rPr>
        <w:t xml:space="preserve">Niedriger Blutdruck</w:t>
      </w:r>
      <w:r>
        <w:t xml:space="preserve"> </w:t>
      </w:r>
      <w:r>
        <w:t xml:space="preserve">(Hypotonie): 1–6 % gegenüber unter 1 % unter Placebo (TRIUMPH-2).</w:t>
      </w:r>
    </w:p>
    <w:p>
      <w:pPr>
        <w:numPr>
          <w:ilvl w:val="0"/>
          <w:numId w:val="1070"/>
        </w:numPr>
        <w:pStyle w:val="Compact"/>
      </w:pPr>
      <w:r>
        <w:rPr>
          <w:bCs/>
          <w:b/>
        </w:rPr>
        <w:t xml:space="preserve">Herzfrequenz:</w:t>
      </w:r>
      <w:r>
        <w:t xml:space="preserve"> </w:t>
      </w:r>
      <w:r>
        <w:t xml:space="preserve">In der Phase-2-Studie stieg der Puls dosisabhängig an und ging nach 24 Wochen wieder zurück</w:t>
      </w:r>
      <w:r>
        <w:rPr>
          <w:rStyle w:val="FootnoteReference"/>
        </w:rPr>
        <w:footnoteReference w:id="563"/>
      </w:r>
      <w:r>
        <w:t xml:space="preserve">. Ein höherer Ruhepuls ist bei allen GLP-1-Medikamenten bekannt; ob er beim Dreifach-Agonisten klinisch bedeutsam ist, sollen die Endpunktstudien klären.</w:t>
      </w:r>
    </w:p>
    <w:p>
      <w:pPr>
        <w:numPr>
          <w:ilvl w:val="0"/>
          <w:numId w:val="1070"/>
        </w:numPr>
        <w:pStyle w:val="Compact"/>
      </w:pPr>
      <w:r>
        <w:rPr>
          <w:bCs/>
          <w:b/>
        </w:rPr>
        <w:t xml:space="preserve">Verlust fettfreier Masse:</w:t>
      </w:r>
      <w:r>
        <w:t xml:space="preserve"> </w:t>
      </w:r>
      <w:r>
        <w:t xml:space="preserve">wie bei jeder starken Gewichtsabnahme (siehe Tirzepatid).</w:t>
      </w:r>
    </w:p>
    <w:p>
      <w:pPr>
        <w:pStyle w:val="FirstParagraph"/>
      </w:pPr>
      <w:r>
        <w:rPr>
          <w:bCs/>
          <w:b/>
        </w:rPr>
        <w:t xml:space="preserve">Theoretisch oder noch unzureichend untersucht:</w:t>
      </w:r>
      <w:r>
        <w:t xml:space="preserve"> </w:t>
      </w:r>
      <w:r>
        <w:t xml:space="preserve">Der Glukagon-Anteil könnte langfristig Auswirkungen auf Aminosäurestoffwechsel, Herzrhythmus und Knochen haben; belastbare Langzeitdaten gibt es dazu nicht. Für die Klassenrisiken der GLP-1-Medikamente (Gallenblase, Bauchspeicheldrüse, Schilddrüsen-C-Zellen im Tierversuch) liegen für Retatrutid noch zu wenige Patientenjahre vor, um eigene Aussagen zu treffen.</w:t>
      </w:r>
    </w:p>
    <w:p>
      <w:pPr>
        <w:pStyle w:val="BodyText"/>
      </w:pPr>
      <w:r>
        <w:rPr>
          <w:bCs/>
          <w:b/>
        </w:rPr>
        <w:t xml:space="preserve">Graumarkt:</w:t>
      </w:r>
      <w:r>
        <w:t xml:space="preserve"> </w:t>
      </w:r>
      <w:r>
        <w:t xml:space="preserve">Retatrutid wird seit der Phase-2-Veröffentlichung im Internet als „Research Peptide“ angeboten; die Fachzeitschrift JAMA berichtete 2026 über einen wachsenden Schwarzmarkt für Retatrutid und Zenagamtid</w:t>
      </w:r>
      <w:r>
        <w:rPr>
          <w:rStyle w:val="FootnoteReference"/>
        </w:rPr>
        <w:footnoteReference w:id="564"/>
      </w:r>
      <w:r>
        <w:t xml:space="preserve">. Diese Produkte sind keine Arzneimittel, ihr Inhalt ist nicht geprüft, und die in Studien verwendeten Aufdosierungsschemata lassen sich mit ihnen nicht verlässlich nachbilden. Die Häufung von Nebenwirkungen bei schneller Dosissteigerung in den Studien zeigt, dass gerade dieser Punkt für die Verträglichkeit entscheidend ist. Siehe dazu Teil I und Teil IV.</w:t>
      </w:r>
    </w:p>
    <w:bookmarkEnd w:id="565"/>
    <w:bookmarkStart w:id="567" w:name="rechtslage-5"/>
    <w:p>
      <w:pPr>
        <w:pStyle w:val="Heading3"/>
      </w:pPr>
      <w:r>
        <w:t xml:space="preserve">Rechtslage</w:t>
      </w:r>
    </w:p>
    <w:p>
      <w:pPr>
        <w:numPr>
          <w:ilvl w:val="0"/>
          <w:numId w:val="1071"/>
        </w:numPr>
        <w:pStyle w:val="Compact"/>
      </w:pPr>
      <w:r>
        <w:rPr>
          <w:bCs/>
          <w:b/>
        </w:rPr>
        <w:t xml:space="preserve">EU / Österreich / Deutschland:</w:t>
      </w:r>
      <w:r>
        <w:t xml:space="preserve"> </w:t>
      </w:r>
      <w:r>
        <w:t xml:space="preserve">nicht zugelassen. Retatrutid darf nur im Rahmen klinischer Studien angewendet werden. Der Verkauf als „Forschungschemikalie“ zur Anwendung am Menschen ist arzneimittelrechtlich unzulässig.</w:t>
      </w:r>
    </w:p>
    <w:p>
      <w:pPr>
        <w:numPr>
          <w:ilvl w:val="0"/>
          <w:numId w:val="1071"/>
        </w:numPr>
        <w:pStyle w:val="Compact"/>
      </w:pPr>
      <w:r>
        <w:rPr>
          <w:bCs/>
          <w:b/>
        </w:rPr>
        <w:t xml:space="preserve">USA:</w:t>
      </w:r>
      <w:r>
        <w:t xml:space="preserve"> </w:t>
      </w:r>
      <w:r>
        <w:t xml:space="preserve">nicht zugelassen (Stand Oktober 2026). Im Register ist ein Programm für den erweiterten Zugang vor der Zulassung („Expanded Access“) eingetragen</w:t>
      </w:r>
      <w:r>
        <w:rPr>
          <w:rStyle w:val="FootnoteReference"/>
        </w:rPr>
        <w:footnoteReference w:id="566"/>
      </w:r>
      <w:r>
        <w:t xml:space="preserve">. Ob und wann ein Zulassungsantrag gestellt wird oder wurde, bitte aktuell prüfen.</w:t>
      </w:r>
    </w:p>
    <w:p>
      <w:pPr>
        <w:numPr>
          <w:ilvl w:val="0"/>
          <w:numId w:val="1071"/>
        </w:numPr>
        <w:pStyle w:val="Compact"/>
      </w:pPr>
      <w:r>
        <w:rPr>
          <w:bCs/>
          <w:b/>
        </w:rPr>
        <w:t xml:space="preserve">Sport:</w:t>
      </w:r>
      <w:r>
        <w:t xml:space="preserve"> </w:t>
      </w:r>
      <w:r>
        <w:t xml:space="preserve">Als nicht zugelassener Wirkstoff fällt Retatrutid unter die WADA-Klasse S0 (Stand 2026, bitte aktuell prüfen). Ein spezifisches Nachweisverfahren im Blut ist beschrieben.</w:t>
      </w:r>
    </w:p>
    <w:bookmarkEnd w:id="567"/>
    <w:bookmarkStart w:id="575" w:name="laufende-studien-und-ausblick-5"/>
    <w:p>
      <w:pPr>
        <w:pStyle w:val="Heading3"/>
      </w:pPr>
      <w:r>
        <w:t xml:space="preserve">Laufende Studien und Ausblick</w:t>
      </w:r>
    </w:p>
    <w:p>
      <w:pPr>
        <w:pStyle w:val="FirstParagraph"/>
      </w:pPr>
      <w:r>
        <w:rPr>
          <w:bCs/>
          <w:b/>
        </w:rPr>
        <w:t xml:space="preserve">Gesichert (registrierte Studien, Stand Oktober 2026):</w:t>
      </w:r>
    </w:p>
    <w:p>
      <w:pPr>
        <w:numPr>
          <w:ilvl w:val="0"/>
          <w:numId w:val="1072"/>
        </w:numPr>
        <w:pStyle w:val="Compact"/>
      </w:pPr>
      <w:r>
        <w:rPr>
          <w:bCs/>
          <w:b/>
        </w:rPr>
        <w:t xml:space="preserve">TRIUMPH-Outcomes</w:t>
      </w:r>
      <w:r>
        <w:rPr>
          <w:rStyle w:val="FootnoteReference"/>
        </w:rPr>
        <w:footnoteReference w:id="568"/>
      </w:r>
      <w:r>
        <w:t xml:space="preserve">: Endpunktstudie zu Herz-Kreislauf- und Nierenereignissen mit rund 10.000 Teilnehmenden mit Adipositas, geplantes Ende 2029.</w:t>
      </w:r>
    </w:p>
    <w:p>
      <w:pPr>
        <w:numPr>
          <w:ilvl w:val="0"/>
          <w:numId w:val="1072"/>
        </w:numPr>
        <w:pStyle w:val="Compact"/>
      </w:pPr>
      <w:r>
        <w:rPr>
          <w:bCs/>
          <w:b/>
        </w:rPr>
        <w:t xml:space="preserve">Retatrutid gegen Tirzepatid</w:t>
      </w:r>
      <w:r>
        <w:rPr>
          <w:rStyle w:val="FootnoteReference"/>
        </w:rPr>
        <w:footnoteReference w:id="569"/>
      </w:r>
      <w:r>
        <w:t xml:space="preserve">: direkter Vergleich bei 800 Erwachsenen mit Adipositas, geplantes Studienende Dezember 2026.</w:t>
      </w:r>
    </w:p>
    <w:p>
      <w:pPr>
        <w:numPr>
          <w:ilvl w:val="0"/>
          <w:numId w:val="1072"/>
        </w:numPr>
        <w:pStyle w:val="Compact"/>
      </w:pPr>
      <w:r>
        <w:rPr>
          <w:bCs/>
          <w:b/>
        </w:rPr>
        <w:t xml:space="preserve">Retatrutid gegen Semaglutid</w:t>
      </w:r>
      <w:r>
        <w:t xml:space="preserve"> </w:t>
      </w:r>
      <w:r>
        <w:t xml:space="preserve">bei Typ-2-Diabetes</w:t>
      </w:r>
      <w:r>
        <w:rPr>
          <w:rStyle w:val="FootnoteReference"/>
        </w:rPr>
        <w:footnoteReference w:id="570"/>
      </w:r>
      <w:r>
        <w:t xml:space="preserve">.</w:t>
      </w:r>
    </w:p>
    <w:p>
      <w:pPr>
        <w:numPr>
          <w:ilvl w:val="0"/>
          <w:numId w:val="1072"/>
        </w:numPr>
        <w:pStyle w:val="Compact"/>
      </w:pPr>
      <w:r>
        <w:rPr>
          <w:bCs/>
          <w:b/>
        </w:rPr>
        <w:t xml:space="preserve">Gewichtserhalt</w:t>
      </w:r>
      <w:r>
        <w:t xml:space="preserve"> </w:t>
      </w:r>
      <w:r>
        <w:t xml:space="preserve">nach Abnahme</w:t>
      </w:r>
      <w:r>
        <w:rPr>
          <w:rStyle w:val="FootnoteReference"/>
        </w:rPr>
        <w:footnoteReference w:id="571"/>
      </w:r>
      <w:r>
        <w:t xml:space="preserve">,</w:t>
      </w:r>
      <w:r>
        <w:t xml:space="preserve"> </w:t>
      </w:r>
      <w:r>
        <w:rPr>
          <w:bCs/>
          <w:b/>
        </w:rPr>
        <w:t xml:space="preserve">Nierenfunktion</w:t>
      </w:r>
      <w:r>
        <w:t xml:space="preserve"> </w:t>
      </w:r>
      <w:r>
        <w:t xml:space="preserve">bei Typ-2-Diabetes mit Niereninsuffizienz</w:t>
      </w:r>
      <w:r>
        <w:rPr>
          <w:rStyle w:val="FootnoteReference"/>
        </w:rPr>
        <w:footnoteReference w:id="572"/>
      </w:r>
      <w:r>
        <w:t xml:space="preserve">,</w:t>
      </w:r>
      <w:r>
        <w:t xml:space="preserve"> </w:t>
      </w:r>
      <w:r>
        <w:rPr>
          <w:bCs/>
          <w:b/>
        </w:rPr>
        <w:t xml:space="preserve">chronische Rückenschmerzen</w:t>
      </w:r>
      <w:r>
        <w:t xml:space="preserve"> </w:t>
      </w:r>
      <w:r>
        <w:t xml:space="preserve">bei Adipositas</w:t>
      </w:r>
      <w:r>
        <w:rPr>
          <w:rStyle w:val="FootnoteReference"/>
        </w:rPr>
        <w:footnoteReference w:id="573"/>
      </w:r>
      <w:r>
        <w:t xml:space="preserve">.</w:t>
      </w:r>
    </w:p>
    <w:p>
      <w:pPr>
        <w:numPr>
          <w:ilvl w:val="0"/>
          <w:numId w:val="1072"/>
        </w:numPr>
        <w:pStyle w:val="Compact"/>
      </w:pPr>
      <w:r>
        <w:t xml:space="preserve">Retatrutid ist außerdem Teil eines Phase-3-Masterprotokolls zur Fettlebererkrankung</w:t>
      </w:r>
      <w:r>
        <w:rPr>
          <w:rStyle w:val="FootnoteReference"/>
        </w:rPr>
        <w:footnoteReference w:id="574"/>
      </w:r>
      <w:r>
        <w:t xml:space="preserve">.</w:t>
      </w:r>
    </w:p>
    <w:p>
      <w:pPr>
        <w:pStyle w:val="FirstParagraph"/>
      </w:pPr>
      <w:r>
        <w:rPr>
          <w:bCs/>
          <w:b/>
        </w:rPr>
        <w:t xml:space="preserve">Einschätzung:</w:t>
      </w:r>
      <w:r>
        <w:t xml:space="preserve"> </w:t>
      </w:r>
      <w:r>
        <w:t xml:space="preserve">Nach den TRIUMPH-1- und TRIUMPH-2-Daten ist mit Zulassungsanträgen in den USA und der EU zu rechnen; eine Markteinführung in den Jahren 2027 oder 2028 erscheint plausibel, ist aber nicht gesichert. Ob ein zusätzlicher Gewichtsverlust gegenüber Tirzepatid die etwas höheren Abbruchraten und das neue Signal der Dysästhesie aufwiegt, wird der direkte Vergleich zeigen. Für viele Menschen ist ein mittlerer, gut verträglicher Gewichtsverlust wichtiger als ein Rekordwert.</w:t>
      </w:r>
    </w:p>
    <w:bookmarkEnd w:id="575"/>
    <w:bookmarkStart w:id="576" w:name="fazit-5"/>
    <w:p>
      <w:pPr>
        <w:pStyle w:val="Heading3"/>
      </w:pPr>
      <w:r>
        <w:t xml:space="preserve">Fazit</w:t>
      </w:r>
    </w:p>
    <w:p>
      <w:pPr>
        <w:pStyle w:val="FirstParagraph"/>
      </w:pPr>
      <w:r>
        <w:t xml:space="preserve">Retatrutid ist ein Dreifach-Agonist an GIP-, GLP-1- und Glukagon-Rezeptor und hat in der Phase-3-Studie TRIUMPH-1 eine durchschnittliche Gewichtsabnahme von 25,0 % nach 80 Wochen erreicht – der höchste bisher in einer großen Medikamentenstudie gemessene Wert. Auch bei Typ-2-Diabetes, Kniearthrose und Schlafapnoe zeigten sich deutliche Effekte. Die Nebenwirkungen betreffen vor allem den Magen-Darm-Trakt; neu sind Missempfindungen der Haut, und die Abbruchraten steigen in hohen Dosen. Daten zu Herz-Kreislauf-Ereignissen und eine Zulassung stehen noch aus. Graumarktprodukte mit der Aufschrift „Retatrutide“ sind keine sichere Abkürzung zu diesem Medikament.</w:t>
      </w:r>
    </w:p>
    <w:bookmarkEnd w:id="576"/>
    <w:bookmarkEnd w:id="577"/>
    <w:bookmarkStart w:id="613" w:name="survodutid"/>
    <w:p>
      <w:pPr>
        <w:pStyle w:val="Heading2"/>
      </w:pPr>
      <w:r>
        <w:t xml:space="preserve">Survodutid</w:t>
      </w:r>
    </w:p>
    <w:bookmarkStart w:id="578" w:name="steckbrief-6"/>
    <w:p>
      <w:pPr>
        <w:pStyle w:val="Heading3"/>
      </w:pPr>
      <w:r>
        <w:t xml:space="preserve">Steckbrief</w:t>
      </w:r>
    </w:p>
    <w:p>
      <w:pPr>
        <w:numPr>
          <w:ilvl w:val="0"/>
          <w:numId w:val="1073"/>
        </w:numPr>
        <w:pStyle w:val="Compact"/>
      </w:pPr>
      <w:r>
        <w:rPr>
          <w:bCs/>
          <w:b/>
        </w:rPr>
        <w:t xml:space="preserve">Art/Struktur:</w:t>
      </w:r>
      <w:r>
        <w:t xml:space="preserve"> </w:t>
      </w:r>
      <w:r>
        <w:t xml:space="preserve">synthetisches, fettsäuremodifiziertes Peptid für die einmal wöchentliche Gabe unter die Haut; Entwicklungscode BI 456906.</w:t>
      </w:r>
    </w:p>
    <w:p>
      <w:pPr>
        <w:numPr>
          <w:ilvl w:val="0"/>
          <w:numId w:val="1073"/>
        </w:numPr>
        <w:pStyle w:val="Compact"/>
      </w:pPr>
      <w:r>
        <w:rPr>
          <w:bCs/>
          <w:b/>
        </w:rPr>
        <w:t xml:space="preserve">Herkunft:</w:t>
      </w:r>
      <w:r>
        <w:t xml:space="preserve"> </w:t>
      </w:r>
      <w:r>
        <w:t xml:space="preserve">entwickelt von Boehringer Ingelheim in Zusammenarbeit mit dem dänischen Unternehmen Zealand Pharma.</w:t>
      </w:r>
    </w:p>
    <w:p>
      <w:pPr>
        <w:numPr>
          <w:ilvl w:val="0"/>
          <w:numId w:val="1073"/>
        </w:numPr>
        <w:pStyle w:val="Compact"/>
      </w:pPr>
      <w:r>
        <w:rPr>
          <w:bCs/>
          <w:b/>
        </w:rPr>
        <w:t xml:space="preserve">Wirkprinzip:</w:t>
      </w:r>
      <w:r>
        <w:t xml:space="preserve"> </w:t>
      </w:r>
      <w:r>
        <w:t xml:space="preserve">doppelter Agonist an Glukagon-Rezeptor und GLP-1-Rezeptor (ohne GIP-Anteil).</w:t>
      </w:r>
    </w:p>
    <w:p>
      <w:pPr>
        <w:numPr>
          <w:ilvl w:val="0"/>
          <w:numId w:val="1073"/>
        </w:numPr>
        <w:pStyle w:val="Compact"/>
      </w:pPr>
      <w:r>
        <w:rPr>
          <w:bCs/>
          <w:b/>
        </w:rPr>
        <w:t xml:space="preserve">Zulassung EU:</w:t>
      </w:r>
      <w:r>
        <w:t xml:space="preserve"> </w:t>
      </w:r>
      <w:r>
        <w:t xml:space="preserve">nein (Stand Oktober 2026).</w:t>
      </w:r>
    </w:p>
    <w:p>
      <w:pPr>
        <w:numPr>
          <w:ilvl w:val="0"/>
          <w:numId w:val="1073"/>
        </w:numPr>
        <w:pStyle w:val="Compact"/>
      </w:pPr>
      <w:r>
        <w:rPr>
          <w:bCs/>
          <w:b/>
        </w:rPr>
        <w:t xml:space="preserve">Zulassung USA:</w:t>
      </w:r>
      <w:r>
        <w:t xml:space="preserve"> </w:t>
      </w:r>
      <w:r>
        <w:t xml:space="preserve">nein (Stand Oktober 2026).</w:t>
      </w:r>
    </w:p>
    <w:p>
      <w:pPr>
        <w:numPr>
          <w:ilvl w:val="0"/>
          <w:numId w:val="1073"/>
        </w:numPr>
        <w:pStyle w:val="Compact"/>
      </w:pPr>
      <w:r>
        <w:rPr>
          <w:bCs/>
          <w:b/>
        </w:rPr>
        <w:t xml:space="preserve">WADA:</w:t>
      </w:r>
      <w:r>
        <w:t xml:space="preserve"> </w:t>
      </w:r>
      <w:r>
        <w:t xml:space="preserve">als nirgends zugelassener Wirkstoff unter S0 „Nicht zugelassene Substanzen“ verboten.</w:t>
      </w:r>
    </w:p>
    <w:p>
      <w:pPr>
        <w:numPr>
          <w:ilvl w:val="0"/>
          <w:numId w:val="1073"/>
        </w:numPr>
        <w:pStyle w:val="Compact"/>
      </w:pPr>
      <w:r>
        <w:rPr>
          <w:bCs/>
          <w:b/>
        </w:rPr>
        <w:t xml:space="preserve">Evidenzstufe:</w:t>
      </w:r>
      <w:r>
        <w:t xml:space="preserve"> </w:t>
      </w:r>
      <w:r>
        <w:rPr>
          <w:bCs/>
          <w:b/>
        </w:rPr>
        <w:t xml:space="preserve">B</w:t>
      </w:r>
      <w:r>
        <w:t xml:space="preserve"> </w:t>
      </w:r>
      <w:r>
        <w:t xml:space="preserve">– randomisierte Phase-2- und erste Phase-3-Studien veröffentlicht, keine Zulassung.</w:t>
      </w:r>
    </w:p>
    <w:bookmarkEnd w:id="578"/>
    <w:bookmarkStart w:id="582" w:name="wie-es-wirken-soll-6"/>
    <w:p>
      <w:pPr>
        <w:pStyle w:val="Heading3"/>
      </w:pPr>
      <w:r>
        <w:t xml:space="preserve">Wie es wirken soll</w:t>
      </w:r>
    </w:p>
    <w:p>
      <w:pPr>
        <w:pStyle w:val="FirstParagraph"/>
      </w:pPr>
      <w:r>
        <w:t xml:space="preserve">Survodutid verbindet zwei Darm- bzw. Bauchspeicheldrüsenhormone: GLP-1, das Sättigung fördert und die Insulinausschüttung verstärkt, und Glukagon, das den Energieverbrauch erhöht und die Leber zum Abbau von Fett anregt. Während Tirzepatid auf GIP plus GLP-1 setzt und Retatrutid alle drei Signale vereint, verzichtet Survodutid auf den GIP-Anteil und betont stattdessen die Glukagon-Wirkung. Der Hersteller zielt damit besonders auf die Leber: Die Fettlebererkrankung MASH ist neben Adipositas das zweite Hauptentwicklungsgebiet.</w:t>
      </w:r>
    </w:p>
    <w:p>
      <w:pPr>
        <w:pStyle w:val="BodyText"/>
      </w:pPr>
      <w:r>
        <w:t xml:space="preserve">Aus 19 ähnlichen Kandidaten wurde Survodutid ausgewählt, weil es in Tierversuchen beide Rezeptoren ausgewogen ansprach. Bei übergewichtigen Mäusen verringerte sich das Körpergewicht um etwa ein Viertel</w:t>
      </w:r>
      <w:r>
        <w:rPr>
          <w:rStyle w:val="FootnoteReference"/>
        </w:rPr>
        <w:footnoteReference w:id="579"/>
      </w:r>
      <w:r>
        <w:t xml:space="preserve">. Untersuchungen an Mäusen deuten darauf hin, dass die appetitsenkende Wirkung im Gehirn vor allem über den GLP-1-Rezeptor läuft; der Glukagon-Anteil wirkt eher im Körper, etwa in der Leber</w:t>
      </w:r>
      <w:r>
        <w:rPr>
          <w:rStyle w:val="FootnoteReference"/>
        </w:rPr>
        <w:footnoteReference w:id="580"/>
      </w:r>
      <w:r>
        <w:t xml:space="preserve">. Das sind Tierbefunde; beim Menschen wird die Wirkung auf den Energieverbrauch derzeit in einer eigenen Studie gemessen</w:t>
      </w:r>
      <w:r>
        <w:rPr>
          <w:rStyle w:val="FootnoteReference"/>
        </w:rPr>
        <w:footnoteReference w:id="581"/>
      </w:r>
      <w:r>
        <w:t xml:space="preserve">.</w:t>
      </w:r>
    </w:p>
    <w:bookmarkEnd w:id="582"/>
    <w:bookmarkStart w:id="592" w:name="studien-am-menschen-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hinzu kommt die gezielt nachrecherchierte Veröffentlichung der Phase-3-Studie SYNCHRONIZE-2. Auf ClinicalTrials.gov waren 29 Studien registriert, darunter das Phase-3-Programm SYNCHRONIZE (Adipositas) und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Typ-2-Diabetes (Blüher 2024), PMID 38095657</w:t>
            </w:r>
          </w:p>
        </w:tc>
        <w:tc>
          <w:tcPr/>
          <w:p>
            <w:pPr>
              <w:pStyle w:val="Compact"/>
              <w:jc w:val="left"/>
            </w:pPr>
            <w:r>
              <w:t xml:space="preserve">413 Erwachsene mit Metformin, gegen Placebo und offen Semaglutid</w:t>
            </w:r>
          </w:p>
        </w:tc>
        <w:tc>
          <w:tcPr/>
          <w:p>
            <w:pPr>
              <w:pStyle w:val="Compact"/>
              <w:jc w:val="left"/>
            </w:pPr>
            <w:r>
              <w:t xml:space="preserve">16 Wochen</w:t>
            </w:r>
          </w:p>
        </w:tc>
        <w:tc>
          <w:tcPr/>
          <w:p>
            <w:pPr>
              <w:pStyle w:val="Compact"/>
              <w:jc w:val="left"/>
            </w:pPr>
            <w:r>
              <w:t xml:space="preserve">HbA1c bis −1,71 Punkte; Gewicht bis −8,7 % (Semaglutid −5,3 %)</w:t>
            </w:r>
          </w:p>
        </w:tc>
      </w:tr>
      <w:tr>
        <w:tc>
          <w:tcPr/>
          <w:p>
            <w:pPr>
              <w:pStyle w:val="Compact"/>
              <w:jc w:val="left"/>
            </w:pPr>
            <w:r>
              <w:t xml:space="preserve">Phase 2 Adipositas (le Roux 2024), PMID 38330987</w:t>
            </w:r>
          </w:p>
        </w:tc>
        <w:tc>
          <w:tcPr/>
          <w:p>
            <w:pPr>
              <w:pStyle w:val="Compact"/>
              <w:jc w:val="left"/>
            </w:pPr>
            <w:r>
              <w:t xml:space="preserve">387 Erwachsene ohne Diabetes, gegen Placebo</w:t>
            </w:r>
          </w:p>
        </w:tc>
        <w:tc>
          <w:tcPr/>
          <w:p>
            <w:pPr>
              <w:pStyle w:val="Compact"/>
              <w:jc w:val="left"/>
            </w:pPr>
            <w:r>
              <w:t xml:space="preserve">46 Wochen</w:t>
            </w:r>
          </w:p>
        </w:tc>
        <w:tc>
          <w:tcPr/>
          <w:p>
            <w:pPr>
              <w:pStyle w:val="Compact"/>
              <w:jc w:val="left"/>
            </w:pPr>
            <w:r>
              <w:t xml:space="preserve">−6,2 bis −14,9 % Gewicht vs. −2,8 %</w:t>
            </w:r>
          </w:p>
        </w:tc>
      </w:tr>
      <w:tr>
        <w:tc>
          <w:tcPr/>
          <w:p>
            <w:pPr>
              <w:pStyle w:val="Compact"/>
              <w:jc w:val="left"/>
            </w:pPr>
            <w:r>
              <w:t xml:space="preserve">Phase 2 MASH (Sanyal 2024), PMID 38847460</w:t>
            </w:r>
          </w:p>
        </w:tc>
        <w:tc>
          <w:tcPr/>
          <w:p>
            <w:pPr>
              <w:pStyle w:val="Compact"/>
              <w:jc w:val="left"/>
            </w:pPr>
            <w:r>
              <w:t xml:space="preserve">293 Erwachsene mit bioptisch gesicherter MASH und Fibrose F1–F3</w:t>
            </w:r>
          </w:p>
        </w:tc>
        <w:tc>
          <w:tcPr/>
          <w:p>
            <w:pPr>
              <w:pStyle w:val="Compact"/>
              <w:jc w:val="left"/>
            </w:pPr>
            <w:r>
              <w:t xml:space="preserve">48 Wochen</w:t>
            </w:r>
          </w:p>
        </w:tc>
        <w:tc>
          <w:tcPr/>
          <w:p>
            <w:pPr>
              <w:pStyle w:val="Compact"/>
              <w:jc w:val="left"/>
            </w:pPr>
            <w:r>
              <w:t xml:space="preserve">MASH-Besserung bei 43–62 % vs. 14 %</w:t>
            </w:r>
          </w:p>
        </w:tc>
      </w:tr>
      <w:tr>
        <w:tc>
          <w:tcPr/>
          <w:p>
            <w:pPr>
              <w:pStyle w:val="Compact"/>
              <w:jc w:val="left"/>
            </w:pPr>
            <w:r>
              <w:t xml:space="preserve">SYNCHRONIZE-1 (le Roux 2026), PMID 42253238</w:t>
            </w:r>
          </w:p>
        </w:tc>
        <w:tc>
          <w:tcPr/>
          <w:p>
            <w:pPr>
              <w:pStyle w:val="Compact"/>
              <w:jc w:val="left"/>
            </w:pPr>
            <w:r>
              <w:t xml:space="preserve">725 Erwachsene mit Adipositas ohne Diabetes, gegen Placebo</w:t>
            </w:r>
          </w:p>
        </w:tc>
        <w:tc>
          <w:tcPr/>
          <w:p>
            <w:pPr>
              <w:pStyle w:val="Compact"/>
              <w:jc w:val="left"/>
            </w:pPr>
            <w:r>
              <w:t xml:space="preserve">76 Wochen</w:t>
            </w:r>
          </w:p>
        </w:tc>
        <w:tc>
          <w:tcPr/>
          <w:p>
            <w:pPr>
              <w:pStyle w:val="Compact"/>
              <w:jc w:val="left"/>
            </w:pPr>
            <w:r>
              <w:t xml:space="preserve">−12,2 / −13,0 % (3,6/6,0 mg) vs. −5,4 %</w:t>
            </w:r>
          </w:p>
        </w:tc>
      </w:tr>
      <w:tr>
        <w:tc>
          <w:tcPr/>
          <w:p>
            <w:pPr>
              <w:pStyle w:val="Compact"/>
              <w:jc w:val="left"/>
            </w:pPr>
            <w:r>
              <w:t xml:space="preserve">SYNCHRONIZE-2 (Wharton 2026), PMID 42820639</w:t>
            </w:r>
          </w:p>
        </w:tc>
        <w:tc>
          <w:tcPr/>
          <w:p>
            <w:pPr>
              <w:pStyle w:val="Compact"/>
              <w:jc w:val="left"/>
            </w:pPr>
            <w:r>
              <w:t xml:space="preserve">752 Erwachsene mit Adipositas und Typ-2-Diabetes, gegen Placebo</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SYNCHRONIZE-MASLD (Kaplan 2026), PMID 42252333</w:t>
            </w:r>
          </w:p>
        </w:tc>
        <w:tc>
          <w:tcPr/>
          <w:p>
            <w:pPr>
              <w:pStyle w:val="Compact"/>
              <w:jc w:val="left"/>
            </w:pPr>
            <w:r>
              <w:t xml:space="preserve">216 Erwachsene mit Adipositas und Fettleber mit Risikozeichen</w:t>
            </w:r>
          </w:p>
        </w:tc>
        <w:tc>
          <w:tcPr/>
          <w:p>
            <w:pPr>
              <w:pStyle w:val="Compact"/>
              <w:jc w:val="left"/>
            </w:pPr>
            <w:r>
              <w:t xml:space="preserve">48 Wochen</w:t>
            </w:r>
          </w:p>
        </w:tc>
        <w:tc>
          <w:tcPr/>
          <w:p>
            <w:pPr>
              <w:pStyle w:val="Compact"/>
              <w:jc w:val="left"/>
            </w:pPr>
            <w:r>
              <w:t xml:space="preserve">Leberfett −30 % oder mehr bei 84,2 % vs. 24,3 %</w:t>
            </w:r>
          </w:p>
        </w:tc>
      </w:tr>
    </w:tbl>
    <w:bookmarkStart w:id="587" w:name="adipositas-und-typ-2-diabetes"/>
    <w:p>
      <w:pPr>
        <w:pStyle w:val="Heading4"/>
      </w:pPr>
      <w:r>
        <w:t xml:space="preserve">Adipositas und Typ-2-Diabetes</w:t>
      </w:r>
    </w:p>
    <w:p>
      <w:pPr>
        <w:pStyle w:val="FirstParagraph"/>
      </w:pPr>
      <w:r>
        <w:t xml:space="preserve">Die Phase-2-Studie bei Adipositas</w:t>
      </w:r>
      <w:r>
        <w:rPr>
          <w:rStyle w:val="FootnoteReference"/>
        </w:rPr>
        <w:footnoteReference w:id="583"/>
      </w:r>
      <w:r>
        <w:t xml:space="preserve"> </w:t>
      </w:r>
      <w:r>
        <w:t xml:space="preserve">zeigte nach 46 Wochen eine dosisabhängige Gewichtsabnahme von bis zu 14,9 %. Auffällig war die hohe Abbruchrate: Nur 61 % der Teilnehmenden unter Survodutid beendeten die 46 Behandlungswochen, allerdings auch nur 60 % unter Placebo. Magen-Darm-Nebenwirkungen traten bei 75 % unter Survodutid und 42 % unter Placebo auf. Die Aufdosierung war in dieser Studie vergleichsweise schnell.</w:t>
      </w:r>
    </w:p>
    <w:p>
      <w:pPr>
        <w:pStyle w:val="BodyText"/>
      </w:pPr>
      <w:r>
        <w:t xml:space="preserve">In der Phase-3-Studie</w:t>
      </w:r>
      <w:r>
        <w:t xml:space="preserve"> </w:t>
      </w:r>
      <w:r>
        <w:rPr>
          <w:bCs/>
          <w:b/>
        </w:rPr>
        <w:t xml:space="preserve">SYNCHRONIZE-1</w:t>
      </w:r>
      <w:r>
        <w:rPr>
          <w:rStyle w:val="FootnoteReference"/>
        </w:rPr>
        <w:footnoteReference w:id="584"/>
      </w:r>
      <w:r>
        <w:t xml:space="preserve"> </w:t>
      </w:r>
      <w:r>
        <w:t xml:space="preserve">wurde langsamer aufdosiert. Nach 76 Wochen verloren die Teilnehmenden in der höheren Dosis 13,0 % ihres Körpergewichts, unter Placebo 5,4 %. Das liegt unter den Werten, die Tirzepatid oder Retatrutid in ähnlich angelegten Studien erreichten. Dabei ist zu beachten, dass die Hauptanalyse alle Personen einschloss – auch diejenigen, die die Behandlung abbrachen oder bei denen die Aufdosierung verlängert wurde. Magen-Darm-Beschwerden betrafen 80,9 % bzw. 89,7 % gegenüber 47,9 % unter Placebo; Todesfälle traten nicht auf.</w:t>
      </w:r>
    </w:p>
    <w:p>
      <w:pPr>
        <w:pStyle w:val="BodyText"/>
      </w:pPr>
      <w:r>
        <w:rPr>
          <w:bCs/>
          <w:b/>
        </w:rPr>
        <w:t xml:space="preserve">SYNCHRONIZE-2</w:t>
      </w:r>
      <w:r>
        <w:rPr>
          <w:rStyle w:val="FootnoteReference"/>
        </w:rPr>
        <w:footnoteReference w:id="585"/>
      </w:r>
      <w:r>
        <w:t xml:space="preserve"> </w:t>
      </w:r>
      <w:r>
        <w:t xml:space="preserve">untersuchte 752 Menschen mit Adipositas und Typ-2-Diabetes. Der Gewichtsverlust betrug nach 76 Wochen 8,2 % bzw. 9,8 % gegenüber 3,9 % unter Placebo; der HbA1c-Wert sank von 7,4 % um 0,8 bis 0,9 Prozentpunkte.</w:t>
      </w:r>
    </w:p>
    <w:p>
      <w:pPr>
        <w:pStyle w:val="BodyText"/>
      </w:pPr>
      <w:r>
        <w:t xml:space="preserve">In der Phase-2-Studie bei Typ-2-Diabetes senkte Survodutid den HbA1c-Wert nach 16 Wochen in niedriger Dosis ähnlich stark wie Semaglutid 1 mg (je etwa −1,46 bzw. −1,47 Punkte); die höheren Dosen führten zu mehr Gewichtsverlust als Semaglutid</w:t>
      </w:r>
      <w:r>
        <w:rPr>
          <w:rStyle w:val="FootnoteReference"/>
        </w:rPr>
        <w:footnoteReference w:id="586"/>
      </w:r>
      <w:r>
        <w:t xml:space="preserve">. Der Semaglutid-Arm war allerdings offen und die Studie kurz.</w:t>
      </w:r>
    </w:p>
    <w:bookmarkEnd w:id="587"/>
    <w:bookmarkStart w:id="591" w:name="fettleber-masld-und-mash"/>
    <w:p>
      <w:pPr>
        <w:pStyle w:val="Heading4"/>
      </w:pPr>
      <w:r>
        <w:t xml:space="preserve">Fettleber (MASLD und MASH)</w:t>
      </w:r>
    </w:p>
    <w:p>
      <w:pPr>
        <w:pStyle w:val="FirstParagraph"/>
      </w:pPr>
      <w:r>
        <w:t xml:space="preserve">Hier liegt die eigentliche Stärke der bisherigen Daten. In der Phase-2-Studie bei bioptisch gesicherter MASH mit Fibrose</w:t>
      </w:r>
      <w:r>
        <w:rPr>
          <w:rStyle w:val="FootnoteReference"/>
        </w:rPr>
        <w:footnoteReference w:id="588"/>
      </w:r>
      <w:r>
        <w:t xml:space="preserve"> </w:t>
      </w:r>
      <w:r>
        <w:t xml:space="preserve">besserte sich die Leberentzündung ohne Verschlechterung der Fibrose bei 47 %, 62 % und 43 % der drei Dosisgruppen gegenüber 14 % unter Placebo. Eine Verbesserung der Fibrose um mindestens eine Stufe zeigten 34–36 % gegenüber 22 %. Die Dosis-Wirkungs-Kurve verlief dabei nicht linear: Die mittlere Dosis schnitt am besten ab.</w:t>
      </w:r>
    </w:p>
    <w:p>
      <w:pPr>
        <w:pStyle w:val="BodyText"/>
      </w:pPr>
      <w:r>
        <w:t xml:space="preserve">Die Phase-3-Studie</w:t>
      </w:r>
      <w:r>
        <w:t xml:space="preserve"> </w:t>
      </w:r>
      <w:r>
        <w:rPr>
          <w:bCs/>
          <w:b/>
        </w:rPr>
        <w:t xml:space="preserve">SYNCHRONIZE-MASLD</w:t>
      </w:r>
      <w:r>
        <w:rPr>
          <w:rStyle w:val="FootnoteReference"/>
        </w:rPr>
        <w:footnoteReference w:id="589"/>
      </w:r>
      <w:r>
        <w:t xml:space="preserve"> </w:t>
      </w:r>
      <w:r>
        <w:t xml:space="preserve">mit 216 Erwachsenen zeigte nach 48 Wochen bei 84,2 % unter Survodutid eine Abnahme des Leberfetts um mindestens 30 % (Placebo 24,3 %), gemessen mittels MRT. Nach der strengeren Auswertung, die auch Behandlungsabbrüche berücksichtigt, waren es 68,5 % gegenüber 28,6 %. Die Autorinnen und Autoren nennen selbst die kurze Dauer und die Rekrutierung nur in den USA und Spanien als Einschränkungen.</w:t>
      </w:r>
    </w:p>
    <w:p>
      <w:pPr>
        <w:pStyle w:val="BodyText"/>
      </w:pPr>
      <w:r>
        <w:t xml:space="preserve">In einer offenen Phase-1-Studie wurde Survodutid auch bei Menschen mit Leberzirrhose, einschließlich fortgeschrittener Stadien, untersucht. Die Blutspiegel unterschieden sich nicht wesentlich von denen Lebergesunder; Leberfett, Lebersteifigkeit und Körpergewicht gingen über 28 Wochen zurück</w:t>
      </w:r>
      <w:r>
        <w:rPr>
          <w:rStyle w:val="FootnoteReference"/>
        </w:rPr>
        <w:footnoteReference w:id="590"/>
      </w:r>
      <w:r>
        <w:t xml:space="preserve">. Diese Studie war klein und nicht kontrolliert.</w:t>
      </w:r>
    </w:p>
    <w:bookmarkEnd w:id="591"/>
    <w:bookmarkEnd w:id="592"/>
    <w:bookmarkStart w:id="595" w:name="tier--und-laborstudien-6"/>
    <w:p>
      <w:pPr>
        <w:pStyle w:val="Heading3"/>
      </w:pPr>
      <w:r>
        <w:t xml:space="preserve">Tier- und Laborstudien</w:t>
      </w:r>
    </w:p>
    <w:p>
      <w:pPr>
        <w:pStyle w:val="FirstParagraph"/>
      </w:pPr>
      <w:r>
        <w:t xml:space="preserve">Die präklinischen Daten stammen überwiegend aus den Laboren des Herstellers: Rezeptorprofile in Zelllinien, Gewichtsverlust bei Mäusen mit ernährungsbedingter Adipositas und Blutzuckersenkung bei diabetischen Mäusen</w:t>
      </w:r>
      <w:r>
        <w:rPr>
          <w:rStyle w:val="FootnoteReference"/>
        </w:rPr>
        <w:footnoteReference w:id="593"/>
      </w:r>
      <w:r>
        <w:t xml:space="preserve">. Zum Wirkort im Gehirn liegen Untersuchungen an Mäusen und an menschlichem Gewebe vor</w:t>
      </w:r>
      <w:r>
        <w:rPr>
          <w:rStyle w:val="FootnoteReference"/>
        </w:rPr>
        <w:footnoteReference w:id="594"/>
      </w:r>
      <w:r>
        <w:t xml:space="preserve">. Unabhängige Tierstudien sind selten.</w:t>
      </w:r>
    </w:p>
    <w:bookmarkEnd w:id="595"/>
    <w:bookmarkStart w:id="599" w:name="risiken-und-nebenwirkungen-6"/>
    <w:p>
      <w:pPr>
        <w:pStyle w:val="Heading3"/>
      </w:pPr>
      <w:r>
        <w:t xml:space="preserve">Risiken und Nebenwirkungen</w:t>
      </w:r>
    </w:p>
    <w:p>
      <w:pPr>
        <w:pStyle w:val="FirstParagraph"/>
      </w:pPr>
      <w:r>
        <w:rPr>
          <w:bCs/>
          <w:b/>
        </w:rPr>
        <w:t xml:space="preserve">Belegt aus Studien:</w:t>
      </w:r>
    </w:p>
    <w:p>
      <w:pPr>
        <w:numPr>
          <w:ilvl w:val="0"/>
          <w:numId w:val="1074"/>
        </w:numPr>
        <w:pStyle w:val="Compact"/>
      </w:pPr>
      <w:r>
        <w:rPr>
          <w:bCs/>
          <w:b/>
        </w:rPr>
        <w:t xml:space="preserve">Magen-Darm-Beschwerden</w:t>
      </w:r>
      <w:r>
        <w:t xml:space="preserve"> </w:t>
      </w:r>
      <w:r>
        <w:t xml:space="preserve">sind bei Survodutid besonders häufig. In der MASH-Studie traten Übelkeit bei 66 % (Placebo 23 %), Durchfall bei 49 % (23 %) und Erbrechen bei 41 % (4 %) auf</w:t>
      </w:r>
      <w:r>
        <w:rPr>
          <w:rStyle w:val="FootnoteReference"/>
        </w:rPr>
        <w:footnoteReference w:id="596"/>
      </w:r>
      <w:r>
        <w:t xml:space="preserve">. In SYNCHRONIZE-1 berichteten bis zu 89,7 % über Magen-Darm-Beschwerden</w:t>
      </w:r>
      <w:r>
        <w:rPr>
          <w:rStyle w:val="FootnoteReference"/>
        </w:rPr>
        <w:footnoteReference w:id="597"/>
      </w:r>
      <w:r>
        <w:t xml:space="preserve">. Die Häufigkeit ist im Vergleich mit anderen Inkretin-Medikamenten hoch, auch wenn die meisten Beschwerden leicht bis mittelschwer waren.</w:t>
      </w:r>
    </w:p>
    <w:p>
      <w:pPr>
        <w:numPr>
          <w:ilvl w:val="0"/>
          <w:numId w:val="1074"/>
        </w:numPr>
        <w:pStyle w:val="Compact"/>
      </w:pPr>
      <w:r>
        <w:rPr>
          <w:bCs/>
          <w:b/>
        </w:rPr>
        <w:t xml:space="preserve">Schwere unerwünschte Ereignisse</w:t>
      </w:r>
      <w:r>
        <w:t xml:space="preserve"> </w:t>
      </w:r>
      <w:r>
        <w:t xml:space="preserve">waren in der MASH-Studie mit 8 % unter Survodutid und 7 % unter Placebo ähnlich häufig.</w:t>
      </w:r>
    </w:p>
    <w:p>
      <w:pPr>
        <w:numPr>
          <w:ilvl w:val="0"/>
          <w:numId w:val="1074"/>
        </w:numPr>
        <w:pStyle w:val="Compact"/>
      </w:pPr>
      <w:r>
        <w:rPr>
          <w:bCs/>
          <w:b/>
        </w:rPr>
        <w:t xml:space="preserve">Abbrüche:</w:t>
      </w:r>
      <w:r>
        <w:t xml:space="preserve"> </w:t>
      </w:r>
      <w:r>
        <w:t xml:space="preserve">In der Phase-2-Adipositasstudie beendeten nur rund 60 % die Behandlungsphase – in beiden Gruppen.</w:t>
      </w:r>
    </w:p>
    <w:p>
      <w:pPr>
        <w:pStyle w:val="FirstParagraph"/>
      </w:pPr>
      <w:r>
        <w:rPr>
          <w:bCs/>
          <w:b/>
        </w:rPr>
        <w:t xml:space="preserve">Noch offen:</w:t>
      </w:r>
      <w:r>
        <w:t xml:space="preserve"> </w:t>
      </w:r>
      <w:r>
        <w:t xml:space="preserve">Herzfrequenzanstiege sind bei Glukagon- und GLP-1-Agonisten bekannt; eine eigene Studie zur Herzsicherheit wurde durchgeführt</w:t>
      </w:r>
      <w:r>
        <w:rPr>
          <w:rStyle w:val="FootnoteReference"/>
        </w:rPr>
        <w:footnoteReference w:id="598"/>
      </w:r>
      <w:r>
        <w:t xml:space="preserve">. Die große Herz-Kreislauf-Sicherheitsstudie SYNCHRONIZE-CVOT ist laut Register abgeschlossen; die Ergebnisse waren bei Redaktionsschluss noch nicht in einer begutachteten Fachzeitschrift veröffentlicht. Langfristige Auswirkungen der Glukagon-Komponente auf Muskeln, Knochen und Aminosäurestoffwechsel sind nicht untersucht.</w:t>
      </w:r>
    </w:p>
    <w:bookmarkEnd w:id="599"/>
    <w:bookmarkStart w:id="600" w:name="rechtslage-6"/>
    <w:p>
      <w:pPr>
        <w:pStyle w:val="Heading3"/>
      </w:pPr>
      <w:r>
        <w:t xml:space="preserve">Rechtslage</w:t>
      </w:r>
    </w:p>
    <w:p>
      <w:pPr>
        <w:numPr>
          <w:ilvl w:val="0"/>
          <w:numId w:val="1075"/>
        </w:numPr>
        <w:pStyle w:val="Compact"/>
      </w:pPr>
      <w:r>
        <w:rPr>
          <w:bCs/>
          <w:b/>
        </w:rPr>
        <w:t xml:space="preserve">EU / Österreich / Deutschland:</w:t>
      </w:r>
      <w:r>
        <w:t xml:space="preserve"> </w:t>
      </w:r>
      <w:r>
        <w:t xml:space="preserve">nicht zugelassen; Anwendung nur in klinischen Studien. Graumarktangebote sind keine legalen Arzneimittel.</w:t>
      </w:r>
    </w:p>
    <w:p>
      <w:pPr>
        <w:numPr>
          <w:ilvl w:val="0"/>
          <w:numId w:val="1075"/>
        </w:numPr>
        <w:pStyle w:val="Compact"/>
      </w:pPr>
      <w:r>
        <w:rPr>
          <w:bCs/>
          <w:b/>
        </w:rPr>
        <w:t xml:space="preserve">USA:</w:t>
      </w:r>
      <w:r>
        <w:t xml:space="preserve"> </w:t>
      </w:r>
      <w:r>
        <w:t xml:space="preserve">nicht zugelassen. Die FDA hat Survodutid für die MASH-Behandlung als „Breakthrough Therapy“ eingestuft, was das Prüfverfahren beschleunigen kann.</w:t>
      </w:r>
    </w:p>
    <w:p>
      <w:pPr>
        <w:numPr>
          <w:ilvl w:val="0"/>
          <w:numId w:val="1075"/>
        </w:numPr>
        <w:pStyle w:val="Compact"/>
      </w:pPr>
      <w:r>
        <w:rPr>
          <w:bCs/>
          <w:b/>
        </w:rPr>
        <w:t xml:space="preserve">Sport:</w:t>
      </w:r>
      <w:r>
        <w:t xml:space="preserve"> </w:t>
      </w:r>
      <w:r>
        <w:t xml:space="preserve">WADA-Klasse S0 (nicht zugelassene Substanz), Stand 2026, bitte aktuell prüfen.</w:t>
      </w:r>
    </w:p>
    <w:bookmarkEnd w:id="600"/>
    <w:bookmarkStart w:id="611" w:name="laufende-studien-und-ausblick-6"/>
    <w:p>
      <w:pPr>
        <w:pStyle w:val="Heading3"/>
      </w:pPr>
      <w:r>
        <w:t xml:space="preserve">Laufende Studien und Ausblick</w:t>
      </w:r>
    </w:p>
    <w:p>
      <w:pPr>
        <w:pStyle w:val="FirstParagraph"/>
      </w:pPr>
      <w:r>
        <w:rPr>
          <w:bCs/>
          <w:b/>
        </w:rPr>
        <w:t xml:space="preserve">Gesichert (registrierte Studien, Stand Oktober 2026):</w:t>
      </w:r>
    </w:p>
    <w:p>
      <w:pPr>
        <w:numPr>
          <w:ilvl w:val="0"/>
          <w:numId w:val="1076"/>
        </w:numPr>
        <w:pStyle w:val="Compact"/>
      </w:pPr>
      <w:r>
        <w:rPr>
          <w:bCs/>
          <w:b/>
        </w:rPr>
        <w:t xml:space="preserve">SYNCHRONIZE-CVOT</w:t>
      </w:r>
      <w:r>
        <w:rPr>
          <w:rStyle w:val="FootnoteReference"/>
        </w:rPr>
        <w:footnoteReference w:id="601"/>
      </w:r>
      <w:r>
        <w:t xml:space="preserve">: Herz-Kreislauf-Sicherheitsstudie mit 5.531 Teilnehmenden, laut Register abgeschlossen; Design beschrieben bei Kosiborod 2024</w:t>
      </w:r>
      <w:r>
        <w:rPr>
          <w:rStyle w:val="FootnoteReference"/>
        </w:rPr>
        <w:footnoteReference w:id="602"/>
      </w:r>
      <w:r>
        <w:t xml:space="preserve">.</w:t>
      </w:r>
    </w:p>
    <w:p>
      <w:pPr>
        <w:numPr>
          <w:ilvl w:val="0"/>
          <w:numId w:val="1076"/>
        </w:numPr>
        <w:pStyle w:val="Compact"/>
      </w:pPr>
      <w:r>
        <w:rPr>
          <w:bCs/>
          <w:b/>
        </w:rPr>
        <w:t xml:space="preserve">LIVERAGE</w:t>
      </w:r>
      <w:r>
        <w:rPr>
          <w:rStyle w:val="FootnoteReference"/>
        </w:rPr>
        <w:footnoteReference w:id="603"/>
      </w:r>
      <w:r>
        <w:t xml:space="preserve"> </w:t>
      </w:r>
      <w:r>
        <w:t xml:space="preserve">mit 1.800 Teilnehmenden mit MASH und Fibrose sowie</w:t>
      </w:r>
      <w:r>
        <w:t xml:space="preserve"> </w:t>
      </w:r>
      <w:r>
        <w:rPr>
          <w:bCs/>
          <w:b/>
        </w:rPr>
        <w:t xml:space="preserve">LIVERAGE-Cirrhosis</w:t>
      </w:r>
      <w:r>
        <w:rPr>
          <w:rStyle w:val="FootnoteReference"/>
        </w:rPr>
        <w:footnoteReference w:id="604"/>
      </w:r>
      <w:r>
        <w:t xml:space="preserve"> </w:t>
      </w:r>
      <w:r>
        <w:t xml:space="preserve">mit 1.590 Teilnehmenden mit MASH-Zirrhose – die entscheidenden Studien für eine Zulassung in der Leberheilkunde, mit geplanten Enddaten zwischen 2029 und 2031.</w:t>
      </w:r>
    </w:p>
    <w:p>
      <w:pPr>
        <w:numPr>
          <w:ilvl w:val="0"/>
          <w:numId w:val="1076"/>
        </w:numPr>
        <w:pStyle w:val="Compact"/>
      </w:pPr>
      <w:r>
        <w:t xml:space="preserve">Weitere Phase-3-Studien: Typ-2-Diabetes</w:t>
      </w:r>
      <w:r>
        <w:rPr>
          <w:rStyle w:val="FootnoteReference"/>
        </w:rPr>
        <w:footnoteReference w:id="605"/>
      </w:r>
      <w:r>
        <w:t xml:space="preserve">, Frauen mit Adipositas</w:t>
      </w:r>
      <w:r>
        <w:rPr>
          <w:rStyle w:val="FootnoteReference"/>
        </w:rPr>
        <w:footnoteReference w:id="606"/>
      </w:r>
      <w:r>
        <w:t xml:space="preserve">, Herzstruktur bei Adipositas</w:t>
      </w:r>
      <w:r>
        <w:rPr>
          <w:rStyle w:val="FootnoteReference"/>
        </w:rPr>
        <w:footnoteReference w:id="607"/>
      </w:r>
      <w:r>
        <w:t xml:space="preserve">, Personen ohne vorherige Behandlung</w:t>
      </w:r>
      <w:r>
        <w:rPr>
          <w:rStyle w:val="FootnoteReference"/>
        </w:rPr>
        <w:footnoteReference w:id="608"/>
      </w:r>
      <w:r>
        <w:t xml:space="preserve">.</w:t>
      </w:r>
    </w:p>
    <w:p>
      <w:pPr>
        <w:numPr>
          <w:ilvl w:val="0"/>
          <w:numId w:val="1076"/>
        </w:numPr>
        <w:pStyle w:val="Compact"/>
      </w:pPr>
      <w:r>
        <w:t xml:space="preserve">Phase-3-Studien in China</w:t>
      </w:r>
      <w:r>
        <w:rPr>
          <w:rStyle w:val="FootnoteReference"/>
        </w:rPr>
        <w:footnoteReference w:id="609"/>
      </w:r>
      <w:r>
        <w:t xml:space="preserve"> </w:t>
      </w:r>
      <w:r>
        <w:t xml:space="preserve">und Japan</w:t>
      </w:r>
      <w:r>
        <w:rPr>
          <w:rStyle w:val="FootnoteReference"/>
        </w:rPr>
        <w:footnoteReference w:id="610"/>
      </w:r>
      <w:r>
        <w:t xml:space="preserve"> </w:t>
      </w:r>
      <w:r>
        <w:t xml:space="preserve">sind abgeschlossen.</w:t>
      </w:r>
    </w:p>
    <w:p>
      <w:pPr>
        <w:pStyle w:val="FirstParagraph"/>
      </w:pPr>
      <w:r>
        <w:rPr>
          <w:bCs/>
          <w:b/>
        </w:rPr>
        <w:t xml:space="preserve">Einschätzung:</w:t>
      </w:r>
      <w:r>
        <w:t xml:space="preserve"> </w:t>
      </w:r>
      <w:r>
        <w:t xml:space="preserve">Als reines Abnehmmedikament dürfte es Survodutid gegen Tirzepatid, Semaglutid und die kommenden Dreifach-Agonisten schwer haben – die Gewichtsabnahme in SYNCHRONIZE-1 war geringer, die Magen-Darm-Nebenwirkungen häufig. Seine Nische könnte die Fettlebererkrankung werden, insbesondere fortgeschrittene Stadien bis zur Zirrhose, für die es kaum Behandlungsmöglichkeiten gibt. Ob das gelingt, entscheiden die LIVERAGE-Studien.</w:t>
      </w:r>
    </w:p>
    <w:bookmarkEnd w:id="611"/>
    <w:bookmarkStart w:id="612" w:name="fazit-6"/>
    <w:p>
      <w:pPr>
        <w:pStyle w:val="Heading3"/>
      </w:pPr>
      <w:r>
        <w:t xml:space="preserve">Fazit</w:t>
      </w:r>
    </w:p>
    <w:p>
      <w:pPr>
        <w:pStyle w:val="FirstParagraph"/>
      </w:pPr>
      <w:r>
        <w:t xml:space="preserve">Survodutid ist ein doppelter Glukagon- und GLP-1-Agonist, der in Phase-3-Studien das Körpergewicht nach 76 Wochen um bis zu 13,0 % (ohne Diabetes) bzw. 9,8 % (mit Typ-2-Diabetes) verringerte. Deutlicher waren die Effekte auf die Leber: In der Phase-2-Studie besserte sich die Leberentzündung bei bis zu 62 % gegenüber 14 % unter Placebo. Magen-Darm-Beschwerden sind sehr häufig. Survodutid ist nicht zugelassen; ob es als Lebermedikament eine Zukunft hat, zeigen die laufenden Phase-3-Studien.</w:t>
      </w:r>
    </w:p>
    <w:bookmarkEnd w:id="612"/>
    <w:bookmarkEnd w:id="613"/>
    <w:bookmarkStart w:id="651" w:name="mazdutid"/>
    <w:p>
      <w:pPr>
        <w:pStyle w:val="Heading2"/>
      </w:pPr>
      <w:r>
        <w:t xml:space="preserve">Mazdutid</w:t>
      </w:r>
    </w:p>
    <w:bookmarkStart w:id="614" w:name="steckbrief-7"/>
    <w:p>
      <w:pPr>
        <w:pStyle w:val="Heading3"/>
      </w:pPr>
      <w:r>
        <w:t xml:space="preserve">Steckbrief</w:t>
      </w:r>
    </w:p>
    <w:p>
      <w:pPr>
        <w:numPr>
          <w:ilvl w:val="0"/>
          <w:numId w:val="1077"/>
        </w:numPr>
        <w:pStyle w:val="Compact"/>
      </w:pPr>
      <w:r>
        <w:rPr>
          <w:bCs/>
          <w:b/>
        </w:rPr>
        <w:t xml:space="preserve">Art/Struktur:</w:t>
      </w:r>
      <w:r>
        <w:t xml:space="preserve"> </w:t>
      </w:r>
      <w:r>
        <w:t xml:space="preserve">synthetisches, fettsäuremodifiziertes Peptid, abgeleitet vom Darmhormon Oxyntomodulin; einmal wöchentliche Gabe unter die Haut. Entwicklungscodes LY3305677 (Eli Lilly) und IBI362 (Innovent Biologics).</w:t>
      </w:r>
    </w:p>
    <w:p>
      <w:pPr>
        <w:numPr>
          <w:ilvl w:val="0"/>
          <w:numId w:val="1077"/>
        </w:numPr>
        <w:pStyle w:val="Compact"/>
      </w:pPr>
      <w:r>
        <w:rPr>
          <w:bCs/>
          <w:b/>
        </w:rPr>
        <w:t xml:space="preserve">Herkunft:</w:t>
      </w:r>
      <w:r>
        <w:t xml:space="preserve"> </w:t>
      </w:r>
      <w:r>
        <w:t xml:space="preserve">ursprünglich von Eli Lilly entwickelt; in China von Innovent Biologics bis zur Zulassung gebracht, außerhalb Chinas weiter von Lilly untersucht.</w:t>
      </w:r>
    </w:p>
    <w:p>
      <w:pPr>
        <w:numPr>
          <w:ilvl w:val="0"/>
          <w:numId w:val="1077"/>
        </w:numPr>
        <w:pStyle w:val="Compact"/>
      </w:pPr>
      <w:r>
        <w:rPr>
          <w:bCs/>
          <w:b/>
        </w:rPr>
        <w:t xml:space="preserve">Wirkprinzip:</w:t>
      </w:r>
      <w:r>
        <w:t xml:space="preserve"> </w:t>
      </w:r>
      <w:r>
        <w:t xml:space="preserve">doppelter Agonist an GLP-1- und Glukagon-Rezeptor – wie Survodutid, aber ein eigenständiges Molekül.</w:t>
      </w:r>
    </w:p>
    <w:p>
      <w:pPr>
        <w:numPr>
          <w:ilvl w:val="0"/>
          <w:numId w:val="1077"/>
        </w:numPr>
        <w:pStyle w:val="Compact"/>
      </w:pPr>
      <w:r>
        <w:rPr>
          <w:bCs/>
          <w:b/>
        </w:rPr>
        <w:t xml:space="preserve">Zulassung EU:</w:t>
      </w:r>
      <w:r>
        <w:t xml:space="preserve"> </w:t>
      </w:r>
      <w:r>
        <w:t xml:space="preserve">nein.</w:t>
      </w:r>
    </w:p>
    <w:p>
      <w:pPr>
        <w:numPr>
          <w:ilvl w:val="0"/>
          <w:numId w:val="1077"/>
        </w:numPr>
        <w:pStyle w:val="Compact"/>
      </w:pPr>
      <w:r>
        <w:rPr>
          <w:bCs/>
          <w:b/>
        </w:rPr>
        <w:t xml:space="preserve">Zulassung USA:</w:t>
      </w:r>
      <w:r>
        <w:t xml:space="preserve"> </w:t>
      </w:r>
      <w:r>
        <w:t xml:space="preserve">nein.</w:t>
      </w:r>
    </w:p>
    <w:p>
      <w:pPr>
        <w:numPr>
          <w:ilvl w:val="0"/>
          <w:numId w:val="1077"/>
        </w:numPr>
        <w:pStyle w:val="Compact"/>
      </w:pPr>
      <w:r>
        <w:rPr>
          <w:bCs/>
          <w:b/>
        </w:rPr>
        <w:t xml:space="preserve">Zulassung China:</w:t>
      </w:r>
      <w:r>
        <w:t xml:space="preserve"> </w:t>
      </w:r>
      <w:r>
        <w:t xml:space="preserve">ja, seit Juni 2025 für das Gewichtsmanagement, seit September 2025 auch für Typ-2-Diabetes (Handelsname Xinermei).</w:t>
      </w:r>
    </w:p>
    <w:p>
      <w:pPr>
        <w:numPr>
          <w:ilvl w:val="0"/>
          <w:numId w:val="1077"/>
        </w:numPr>
        <w:pStyle w:val="Compact"/>
      </w:pPr>
      <w:r>
        <w:rPr>
          <w:bCs/>
          <w:b/>
        </w:rPr>
        <w:t xml:space="preserve">WADA:</w:t>
      </w:r>
      <w:r>
        <w:t xml:space="preserve"> </w:t>
      </w:r>
      <w:r>
        <w:t xml:space="preserve">nicht namentlich gelistet. Da Mazdutid von einer staatlichen Gesundheitsbehörde (China) zugelassen ist, fällt es nach dem Wortlaut nicht mehr unter S0; ein Einsatz im Sport ohne medizinische Indikation ist dennoch problematisch.</w:t>
      </w:r>
    </w:p>
    <w:p>
      <w:pPr>
        <w:numPr>
          <w:ilvl w:val="0"/>
          <w:numId w:val="1077"/>
        </w:numPr>
        <w:pStyle w:val="Compact"/>
      </w:pPr>
      <w:r>
        <w:rPr>
          <w:bCs/>
          <w:b/>
        </w:rPr>
        <w:t xml:space="preserve">Evidenzstufe:</w:t>
      </w:r>
      <w:r>
        <w:t xml:space="preserve"> </w:t>
      </w:r>
      <w:r>
        <w:rPr>
          <w:bCs/>
          <w:b/>
        </w:rPr>
        <w:t xml:space="preserve">A</w:t>
      </w:r>
      <w:r>
        <w:t xml:space="preserve"> </w:t>
      </w:r>
      <w:r>
        <w:t xml:space="preserve">– mehrere große Phase-3-Studien und eine Zulassung, allerdings fast ausschließlich bei chinesischen Teilnehmenden.</w:t>
      </w:r>
    </w:p>
    <w:bookmarkEnd w:id="614"/>
    <w:bookmarkStart w:id="615" w:name="wie-es-wirken-soll-7"/>
    <w:p>
      <w:pPr>
        <w:pStyle w:val="Heading3"/>
      </w:pPr>
      <w:r>
        <w:t xml:space="preserve">Wie es wirken soll</w:t>
      </w:r>
    </w:p>
    <w:p>
      <w:pPr>
        <w:pStyle w:val="FirstParagraph"/>
      </w:pPr>
      <w:r>
        <w:t xml:space="preserve">Oxyntomodulin ist ein natürliches Hormon aus dem Darm, das – ähnlich wie GLP-1 – nach dem Essen ausgeschüttet wird. Es aktiviert sowohl den GLP-1- als auch den Glukagon-Rezeptor, allerdings nur schwach und sehr kurz. Mazdutid ist eine stabilisierte, lang wirksame Version dieses Prinzips.</w:t>
      </w:r>
    </w:p>
    <w:p>
      <w:pPr>
        <w:pStyle w:val="BodyText"/>
      </w:pPr>
      <w:r>
        <w:t xml:space="preserve">Der GLP-1-Anteil dämpft den Appetit, verlangsamt die Magenentleerung und fördert die blutzuckerabhängige Insulinausschüttung. Der Glukagon-Anteil soll den Energieverbrauch steigern und den Fettabbau in der Leber fördern (siehe auch Kapitel Survodutid). Beim Menschen ist der Beitrag des Glukagon-Anteils zum Gewichtsverlust nicht direkt gemessen; die Hypothese stützt sich vor allem auf Tierdaten.</w:t>
      </w:r>
    </w:p>
    <w:bookmarkEnd w:id="615"/>
    <w:bookmarkStart w:id="630" w:name="studien-am-menschen-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9 Humanstudien, ergänzt durch eine Hochdosis-Phase-1-Studie und einen Fallbericht. Auf ClinicalTrials.gov waren 44 Studien registriert, die meisten davon in China. Die Zulassungsstudien heißen</w:t>
      </w:r>
      <w:r>
        <w:t xml:space="preserve"> </w:t>
      </w:r>
      <w:r>
        <w:rPr>
          <w:bCs/>
          <w:b/>
        </w:rPr>
        <w:t xml:space="preserve">GLORY</w:t>
      </w:r>
      <w:r>
        <w:t xml:space="preserve"> </w:t>
      </w:r>
      <w:r>
        <w:t xml:space="preserve">(Adipositas) und</w:t>
      </w:r>
      <w:r>
        <w:t xml:space="preserve"> </w:t>
      </w:r>
      <w:r>
        <w:rPr>
          <w:bCs/>
          <w:b/>
        </w:rPr>
        <w:t xml:space="preserve">DREAMS</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(Ji 2023), PMID 38092790</w:t>
            </w:r>
          </w:p>
        </w:tc>
        <w:tc>
          <w:tcPr/>
          <w:p>
            <w:pPr>
              <w:pStyle w:val="Compact"/>
              <w:jc w:val="left"/>
            </w:pPr>
            <w:r>
              <w:t xml:space="preserve">248 chinesische Erwachsene mit Übergewicht/Adipositas</w:t>
            </w:r>
          </w:p>
        </w:tc>
        <w:tc>
          <w:tcPr/>
          <w:p>
            <w:pPr>
              <w:pStyle w:val="Compact"/>
              <w:jc w:val="left"/>
            </w:pPr>
            <w:r>
              <w:t xml:space="preserve">24 Wochen</w:t>
            </w:r>
          </w:p>
        </w:tc>
        <w:tc>
          <w:tcPr/>
          <w:p>
            <w:pPr>
              <w:pStyle w:val="Compact"/>
              <w:jc w:val="left"/>
            </w:pPr>
            <w:r>
              <w:t xml:space="preserve">−6,7 bis −11,3 % Gewicht vs. +1,0 %</w:t>
            </w:r>
          </w:p>
        </w:tc>
      </w:tr>
      <w:tr>
        <w:tc>
          <w:tcPr/>
          <w:p>
            <w:pPr>
              <w:pStyle w:val="Compact"/>
              <w:jc w:val="left"/>
            </w:pPr>
            <w:r>
              <w:t xml:space="preserve">Phase 2 Typ-2-Diabetes (Zhang 2024), PMID 37943529</w:t>
            </w:r>
          </w:p>
        </w:tc>
        <w:tc>
          <w:tcPr/>
          <w:p>
            <w:pPr>
              <w:pStyle w:val="Compact"/>
              <w:jc w:val="left"/>
            </w:pPr>
            <w:r>
              <w:t xml:space="preserve">250 chinesische Erwachsene, gegen Placebo und offen Dulaglutid</w:t>
            </w:r>
          </w:p>
        </w:tc>
        <w:tc>
          <w:tcPr/>
          <w:p>
            <w:pPr>
              <w:pStyle w:val="Compact"/>
              <w:jc w:val="left"/>
            </w:pPr>
            <w:r>
              <w:t xml:space="preserve">20 Wochen</w:t>
            </w:r>
          </w:p>
        </w:tc>
        <w:tc>
          <w:tcPr/>
          <w:p>
            <w:pPr>
              <w:pStyle w:val="Compact"/>
              <w:jc w:val="left"/>
            </w:pPr>
            <w:r>
              <w:t xml:space="preserve">HbA1c −1,41 bis −1,67 (Dulaglutid −1,35)</w:t>
            </w:r>
          </w:p>
        </w:tc>
      </w:tr>
      <w:tr>
        <w:tc>
          <w:tcPr/>
          <w:p>
            <w:pPr>
              <w:pStyle w:val="Compact"/>
              <w:jc w:val="left"/>
            </w:pPr>
            <w:r>
              <w:t xml:space="preserve">GLORY-1 (Ji 2025), PMID 40421736</w:t>
            </w:r>
          </w:p>
        </w:tc>
        <w:tc>
          <w:tcPr/>
          <w:p>
            <w:pPr>
              <w:pStyle w:val="Compact"/>
              <w:jc w:val="left"/>
            </w:pPr>
            <w:r>
              <w:t xml:space="preserve">610 chinesische Erwachsene mit Übergewicht/Adipositas, gegen Placebo</w:t>
            </w:r>
          </w:p>
        </w:tc>
        <w:tc>
          <w:tcPr/>
          <w:p>
            <w:pPr>
              <w:pStyle w:val="Compact"/>
              <w:jc w:val="left"/>
            </w:pPr>
            <w:r>
              <w:t xml:space="preserve">48 Wochen</w:t>
            </w:r>
          </w:p>
        </w:tc>
        <w:tc>
          <w:tcPr/>
          <w:p>
            <w:pPr>
              <w:pStyle w:val="Compact"/>
              <w:jc w:val="left"/>
            </w:pPr>
            <w:r>
              <w:t xml:space="preserve">−11,00 / −14,01 % (4/6 mg) vs. +0,30 %</w:t>
            </w:r>
          </w:p>
        </w:tc>
      </w:tr>
      <w:tr>
        <w:tc>
          <w:tcPr/>
          <w:p>
            <w:pPr>
              <w:pStyle w:val="Compact"/>
              <w:jc w:val="left"/>
            </w:pPr>
            <w:r>
              <w:t xml:space="preserve">GLORY-2 (Gao 2026), PMID 42251595</w:t>
            </w:r>
          </w:p>
        </w:tc>
        <w:tc>
          <w:tcPr/>
          <w:p>
            <w:pPr>
              <w:pStyle w:val="Compact"/>
              <w:jc w:val="left"/>
            </w:pPr>
            <w:r>
              <w:t xml:space="preserve">461 chinesische Erwachsene mit Adipositas, höhere Dosis gegen Placebo</w:t>
            </w:r>
          </w:p>
        </w:tc>
        <w:tc>
          <w:tcPr/>
          <w:p>
            <w:pPr>
              <w:pStyle w:val="Compact"/>
              <w:jc w:val="left"/>
            </w:pPr>
            <w:r>
              <w:t xml:space="preserve">60 Wochen</w:t>
            </w:r>
          </w:p>
        </w:tc>
        <w:tc>
          <w:tcPr/>
          <w:p>
            <w:pPr>
              <w:pStyle w:val="Compact"/>
              <w:jc w:val="left"/>
            </w:pPr>
            <w:r>
              <w:t xml:space="preserve">−16,65 % vs. −1,50 %</w:t>
            </w:r>
          </w:p>
        </w:tc>
      </w:tr>
      <w:tr>
        <w:tc>
          <w:tcPr/>
          <w:p>
            <w:pPr>
              <w:pStyle w:val="Compact"/>
              <w:jc w:val="left"/>
            </w:pPr>
            <w:r>
              <w:t xml:space="preserve">DREAMS-1 (Zhu 2026), PMID 41407859</w:t>
            </w:r>
          </w:p>
        </w:tc>
        <w:tc>
          <w:tcPr/>
          <w:p>
            <w:pPr>
              <w:pStyle w:val="Compact"/>
              <w:jc w:val="left"/>
            </w:pPr>
            <w:r>
              <w:t xml:space="preserve">320 chinesische Erwachsene mit Typ-2-Diabetes, gegen Placebo</w:t>
            </w:r>
          </w:p>
        </w:tc>
        <w:tc>
          <w:tcPr/>
          <w:p>
            <w:pPr>
              <w:pStyle w:val="Compact"/>
              <w:jc w:val="left"/>
            </w:pPr>
            <w:r>
              <w:t xml:space="preserve">24 Wochen</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chinesische Erwachsene mit Typ-2-Diabetes, gegen Dulaglutid</w:t>
            </w:r>
          </w:p>
        </w:tc>
        <w:tc>
          <w:tcPr/>
          <w:p>
            <w:pPr>
              <w:pStyle w:val="Compact"/>
              <w:jc w:val="left"/>
            </w:pPr>
            <w:r>
              <w:t xml:space="preserve">28 Wochen</w:t>
            </w:r>
          </w:p>
        </w:tc>
        <w:tc>
          <w:tcPr/>
          <w:p>
            <w:pPr>
              <w:pStyle w:val="Compact"/>
              <w:jc w:val="left"/>
            </w:pPr>
            <w:r>
              <w:t xml:space="preserve">HbA1c zusätzlich −0,24 / −0,30; Gewicht zusätzlich −3,78 / −5,76 %</w:t>
            </w:r>
          </w:p>
        </w:tc>
      </w:tr>
      <w:tr>
        <w:tc>
          <w:tcPr/>
          <w:p>
            <w:pPr>
              <w:pStyle w:val="Compact"/>
              <w:jc w:val="left"/>
            </w:pPr>
            <w:r>
              <w:t xml:space="preserve">Phase 2 USA (Hsia 2026), PMID 42628555</w:t>
            </w:r>
          </w:p>
        </w:tc>
        <w:tc>
          <w:tcPr/>
          <w:p>
            <w:pPr>
              <w:pStyle w:val="Compact"/>
              <w:jc w:val="left"/>
            </w:pPr>
            <w:r>
              <w:t xml:space="preserve">179 Erwachsene mit Übergewicht/Adipositas, gegen Placebo</w:t>
            </w:r>
          </w:p>
        </w:tc>
        <w:tc>
          <w:tcPr/>
          <w:p>
            <w:pPr>
              <w:pStyle w:val="Compact"/>
              <w:jc w:val="left"/>
            </w:pPr>
            <w:r>
              <w:t xml:space="preserve">48 Wochen (Hauptendpunkt 32)</w:t>
            </w:r>
          </w:p>
        </w:tc>
        <w:tc>
          <w:tcPr/>
          <w:p>
            <w:pPr>
              <w:pStyle w:val="Compact"/>
              <w:jc w:val="left"/>
            </w:pPr>
            <w:r>
              <w:t xml:space="preserve">−7,3 bis −18,1 % nach 32 Wochen vs. −0,9 %</w:t>
            </w:r>
          </w:p>
        </w:tc>
      </w:tr>
    </w:tbl>
    <w:bookmarkStart w:id="618" w:name="adipositas-glory-1-und-glory-2"/>
    <w:p>
      <w:pPr>
        <w:pStyle w:val="Heading4"/>
      </w:pPr>
      <w:r>
        <w:t xml:space="preserve">Adipositas: GLORY-1 und GLORY-2</w:t>
      </w:r>
    </w:p>
    <w:p>
      <w:pPr>
        <w:pStyle w:val="FirstParagraph"/>
      </w:pPr>
      <w:r>
        <w:rPr>
          <w:bCs/>
          <w:b/>
        </w:rPr>
        <w:t xml:space="preserve">GLORY-1</w:t>
      </w:r>
      <w:r>
        <w:rPr>
          <w:rStyle w:val="FootnoteReference"/>
        </w:rPr>
        <w:footnoteReference w:id="616"/>
      </w:r>
      <w:r>
        <w:t xml:space="preserve"> </w:t>
      </w:r>
      <w:r>
        <w:t xml:space="preserve">war die Zulassungsstudie für China. Die Einschlusskriterien orientierten sich an chinesischen Grenzwerten: BMI ab 28 oder ab 24 mit Begleiterkrankung. Bei einem Ausgangsgewicht von 87,2 kg verringerte sich das Gewicht nach 48 Wochen um 11,0 % (4 mg) bzw. 14,0 % (6 mg); unter Placebo blieb es praktisch gleich. Mindestens 15 % verloren 35,7 % bzw. 49,5 % der Teilnehmenden. Abbrüche wegen Nebenwirkungen waren mit 0,5–1,5 % sehr selten.</w:t>
      </w:r>
    </w:p>
    <w:p>
      <w:pPr>
        <w:pStyle w:val="BodyText"/>
      </w:pPr>
      <w:r>
        <w:rPr>
          <w:bCs/>
          <w:b/>
        </w:rPr>
        <w:t xml:space="preserve">GLORY-2</w:t>
      </w:r>
      <w:r>
        <w:rPr>
          <w:rStyle w:val="FootnoteReference"/>
        </w:rPr>
        <w:footnoteReference w:id="617"/>
      </w:r>
      <w:r>
        <w:t xml:space="preserve"> </w:t>
      </w:r>
      <w:r>
        <w:t xml:space="preserve">prüfte eine höhere Dosis bei Menschen mit einem BMI ab 30. Die Teilnehmenden waren mit durchschnittlich 33,9 Jahren auffallend jung. Nach 60 Wochen betrug der Gewichtsverlust 16,65 % gegenüber 1,50 % unter Placebo. Der Preis waren deutlich mehr Magen-Darm-Beschwerden: Erbrechen bei 53,1 % (Placebo 1,3 %), Übelkeit bei 46,9 % (3,2 %) und Durchfall bei 39,4 % (6,5 %). Wegen Nebenwirkungen brachen trotzdem nur 2,9 % die Behandlung ab.</w:t>
      </w:r>
    </w:p>
    <w:bookmarkEnd w:id="618"/>
    <w:bookmarkStart w:id="623" w:name="typ-2-diabetes-dreams-1-und-dreams-2"/>
    <w:p>
      <w:pPr>
        <w:pStyle w:val="Heading4"/>
      </w:pPr>
      <w:r>
        <w:t xml:space="preserve">Typ-2-Diabetes: DREAMS-1 und DREAMS-2</w:t>
      </w:r>
    </w:p>
    <w:p>
      <w:pPr>
        <w:pStyle w:val="FirstParagraph"/>
      </w:pPr>
      <w:r>
        <w:t xml:space="preserve">In</w:t>
      </w:r>
      <w:r>
        <w:t xml:space="preserve"> </w:t>
      </w:r>
      <w:r>
        <w:rPr>
          <w:bCs/>
          <w:b/>
        </w:rPr>
        <w:t xml:space="preserve">DREAMS-1</w:t>
      </w:r>
      <w:r>
        <w:rPr>
          <w:rStyle w:val="FootnoteReference"/>
        </w:rPr>
        <w:footnoteReference w:id="619"/>
      </w:r>
      <w:r>
        <w:t xml:space="preserve"> </w:t>
      </w:r>
      <w:r>
        <w:t xml:space="preserve">erhielten Menschen mit Typ-2-Diabetes, der mit Ernährung und Bewegung allein nicht ausreichend eingestellt war (mittlere Diabetesdauer 1,9 Jahre) Mazdutid ohne weitere Diabetesmedikamente. Der HbA1c-Wert sank in der höheren Dosis nach 24 Wochen um 2,15 Prozentpunkte (Placebo −0,14), das Gewicht um 7,81 %.</w:t>
      </w:r>
    </w:p>
    <w:p>
      <w:pPr>
        <w:pStyle w:val="BodyText"/>
      </w:pPr>
      <w:r>
        <w:rPr>
          <w:bCs/>
          <w:b/>
        </w:rPr>
        <w:t xml:space="preserve">DREAMS-2</w:t>
      </w:r>
      <w:r>
        <w:rPr>
          <w:rStyle w:val="FootnoteReference"/>
        </w:rPr>
        <w:footnoteReference w:id="620"/>
      </w:r>
      <w:r>
        <w:t xml:space="preserve"> </w:t>
      </w:r>
      <w:r>
        <w:t xml:space="preserve">ist bislang die wichtigste Vergleichsstudie: Gegen das etablierte GLP-1-Medikament Dulaglutid war Mazdutid beim HbA1c nicht unterlegen und überlegen, wenn auch mit kleinem Abstand (−0,24 bzw. −0,30 Prozentpunkte zusätzlich). Deutlicher war der Unterschied beim Gewicht (zusätzlich −3,78 bzw. −5,76 %). Magen-Darm-Nebenwirkungen waren unter Mazdutid häufiger als unter Dulaglutid.</w:t>
      </w:r>
    </w:p>
    <w:p>
      <w:pPr>
        <w:pStyle w:val="BodyText"/>
      </w:pPr>
      <w:r>
        <w:t xml:space="preserve">Eine Vergleichsstudie gegen Semaglutid bei Menschen mit frühem Typ-2-Diabetes und Adipositas (DREAMS-3) ist laut Register abgeschlossen</w:t>
      </w:r>
      <w:r>
        <w:rPr>
          <w:rStyle w:val="FootnoteReference"/>
        </w:rPr>
        <w:footnoteReference w:id="621"/>
      </w:r>
      <w:r>
        <w:t xml:space="preserve">; ihr Design und die Ausgangsdaten der 349 Teilnehmenden sind veröffentlicht</w:t>
      </w:r>
      <w:r>
        <w:rPr>
          <w:rStyle w:val="FootnoteReference"/>
        </w:rPr>
        <w:footnoteReference w:id="622"/>
      </w:r>
      <w:r>
        <w:t xml:space="preserve">, die Ergebnisse noch nicht.</w:t>
      </w:r>
    </w:p>
    <w:bookmarkEnd w:id="623"/>
    <w:bookmarkStart w:id="626" w:name="X6cdc925622381547a8c5a43896cc69891a51fb8"/>
    <w:p>
      <w:pPr>
        <w:pStyle w:val="Heading4"/>
      </w:pPr>
      <w:r>
        <w:t xml:space="preserve">Studien außerhalb Chinas und höhere Dosen</w:t>
      </w:r>
    </w:p>
    <w:p>
      <w:pPr>
        <w:pStyle w:val="FirstParagraph"/>
      </w:pPr>
      <w:r>
        <w:t xml:space="preserve">Lilly untersucht Mazdutid außerhalb Chinas in höheren Dosen. In einer kleinen Phase-1-Studie mit 32 Erwachsenen in den USA sank das Körpergewicht in der höchsten Dosis nach 20 Wochen um 20,0 bzw. 21,0 % (zwei Aufdosierungsschemata) gegenüber 0,1 % unter Placebo; schwere Nebenwirkungen traten nicht auf</w:t>
      </w:r>
      <w:r>
        <w:rPr>
          <w:rStyle w:val="FootnoteReference"/>
        </w:rPr>
        <w:footnoteReference w:id="624"/>
      </w:r>
      <w:r>
        <w:t xml:space="preserve">.</w:t>
      </w:r>
    </w:p>
    <w:p>
      <w:pPr>
        <w:pStyle w:val="BodyText"/>
      </w:pPr>
      <w:r>
        <w:t xml:space="preserve">In der US-amerikanischen Phase-2-Studie mit 179 Teilnehmenden</w:t>
      </w:r>
      <w:r>
        <w:rPr>
          <w:rStyle w:val="FootnoteReference"/>
        </w:rPr>
        <w:footnoteReference w:id="625"/>
      </w:r>
      <w:r>
        <w:t xml:space="preserve"> </w:t>
      </w:r>
      <w:r>
        <w:t xml:space="preserve">betrug der Gewichtsverlust nach 32 Wochen bis zu 18,1 % in der höchsten Dosis. Allerdings brachen dort in der höchsten Dosis 20 % die Behandlung wegen Nebenwirkungen ab, überwiegend wegen Magen-Darm-Beschwerden. Die Hauptanalyse verwendete zudem den „Wirksamkeits-Schätzer“, der Personen nach einem Abbruch nicht mehr berücksichtigt und den Effekt daher eher günstiger darstellt.</w:t>
      </w:r>
    </w:p>
    <w:bookmarkEnd w:id="626"/>
    <w:bookmarkStart w:id="629" w:name="einzelfallberichte"/>
    <w:p>
      <w:pPr>
        <w:pStyle w:val="Heading4"/>
      </w:pPr>
      <w:r>
        <w:t xml:space="preserve">Einzelfallberichte</w:t>
      </w:r>
    </w:p>
    <w:p>
      <w:pPr>
        <w:pStyle w:val="FirstParagraph"/>
      </w:pPr>
      <w:r>
        <w:t xml:space="preserve">Ein Fallbericht beschreibt einen 15-jährigen Patienten mit Adipositas, Typ-2-Diabetes und erhöhter Harnsäure, der Mazdutid zusätzlich zu Metformin und Insulin erhielt und nach 36 Wochen 16,8 kg abnahm</w:t>
      </w:r>
      <w:r>
        <w:rPr>
          <w:rStyle w:val="FootnoteReference"/>
        </w:rPr>
        <w:footnoteReference w:id="627"/>
      </w:r>
      <w:r>
        <w:t xml:space="preserve">. Ein Einzelfall erlaubt keine Aussage über Wirksamkeit oder Sicherheit bei Jugendlichen; eine Studie dazu läuft</w:t>
      </w:r>
      <w:r>
        <w:rPr>
          <w:rStyle w:val="FootnoteReference"/>
        </w:rPr>
        <w:footnoteReference w:id="628"/>
      </w:r>
      <w:r>
        <w:t xml:space="preserve">.</w:t>
      </w:r>
    </w:p>
    <w:bookmarkEnd w:id="629"/>
    <w:bookmarkEnd w:id="630"/>
    <w:bookmarkStart w:id="634" w:name="tier--und-laborstudien-7"/>
    <w:p>
      <w:pPr>
        <w:pStyle w:val="Heading3"/>
      </w:pPr>
      <w:r>
        <w:t xml:space="preserve">Tier- und Laborstudien</w:t>
      </w:r>
    </w:p>
    <w:p>
      <w:pPr>
        <w:pStyle w:val="FirstParagraph"/>
      </w:pPr>
      <w:r>
        <w:t xml:space="preserve">Bei diabetischen Mäusen (db/db-Modell) schnitt Mazdutid in Gedächtnis- und Verhaltenstests besser ab als Dulaglutid; im Gehirngewebe zeigten sich weniger Schäden</w:t>
      </w:r>
      <w:r>
        <w:rPr>
          <w:rStyle w:val="FootnoteReference"/>
        </w:rPr>
        <w:footnoteReference w:id="631"/>
      </w:r>
      <w:r>
        <w:t xml:space="preserve">. Bei Mäusen mit ernährungsbedingter Fettleber und in Leberzellkulturen verringerte Mazdutid Fetteinlagerung und Entzündungszeichen</w:t>
      </w:r>
      <w:r>
        <w:rPr>
          <w:rStyle w:val="FootnoteReference"/>
        </w:rPr>
        <w:footnoteReference w:id="632"/>
      </w:r>
      <w:r>
        <w:t xml:space="preserve">. Ob sich daraus Vorteile für Menschen ergeben, ist offen; eine Studie zu Typ-2-Diabetes mit beginnender kognitiver Beeinträchtigung ist in China registriert</w:t>
      </w:r>
      <w:r>
        <w:rPr>
          <w:rStyle w:val="FootnoteReference"/>
        </w:rPr>
        <w:footnoteReference w:id="633"/>
      </w:r>
      <w:r>
        <w:t xml:space="preserve">.</w:t>
      </w:r>
    </w:p>
    <w:bookmarkEnd w:id="634"/>
    <w:bookmarkStart w:id="639" w:name="risiken-und-nebenwirkungen-7"/>
    <w:p>
      <w:pPr>
        <w:pStyle w:val="Heading3"/>
      </w:pPr>
      <w:r>
        <w:t xml:space="preserve">Risiken und Nebenwirkungen</w:t>
      </w:r>
    </w:p>
    <w:p>
      <w:pPr>
        <w:pStyle w:val="FirstParagraph"/>
      </w:pPr>
      <w:r>
        <w:rPr>
          <w:bCs/>
          <w:b/>
        </w:rPr>
        <w:t xml:space="preserve">Belegt aus Studien:</w:t>
      </w:r>
    </w:p>
    <w:p>
      <w:pPr>
        <w:numPr>
          <w:ilvl w:val="0"/>
          <w:numId w:val="1078"/>
        </w:numPr>
        <w:pStyle w:val="Compact"/>
      </w:pPr>
      <w:r>
        <w:rPr>
          <w:bCs/>
          <w:b/>
        </w:rPr>
        <w:t xml:space="preserve">Magen-Darm-Beschwerden</w:t>
      </w:r>
      <w:r>
        <w:t xml:space="preserve"> </w:t>
      </w:r>
      <w:r>
        <w:t xml:space="preserve">sind die häufigsten Nebenwirkungen; ihre Häufigkeit steigt mit der Dosis. In der Phase-2-Diabetesstudie traten Durchfall bei 36 %, verminderter Appetit bei 29 %, Übelkeit bei 23 % und Erbrechen bei 14 % auf</w:t>
      </w:r>
      <w:r>
        <w:rPr>
          <w:rStyle w:val="FootnoteReference"/>
        </w:rPr>
        <w:footnoteReference w:id="635"/>
      </w:r>
      <w:r>
        <w:t xml:space="preserve">. In GLORY-2 erbrach mehr als die Hälfte der Teilnehmenden mindestens einmal</w:t>
      </w:r>
      <w:r>
        <w:rPr>
          <w:rStyle w:val="FootnoteReference"/>
        </w:rPr>
        <w:footnoteReference w:id="636"/>
      </w:r>
      <w:r>
        <w:t xml:space="preserve">.</w:t>
      </w:r>
    </w:p>
    <w:p>
      <w:pPr>
        <w:numPr>
          <w:ilvl w:val="0"/>
          <w:numId w:val="1078"/>
        </w:numPr>
        <w:pStyle w:val="Compact"/>
      </w:pPr>
      <w:r>
        <w:rPr>
          <w:bCs/>
          <w:b/>
        </w:rPr>
        <w:t xml:space="preserve">Unterzuckerung:</w:t>
      </w:r>
      <w:r>
        <w:t xml:space="preserve"> </w:t>
      </w:r>
      <w:r>
        <w:t xml:space="preserve">In der Phase-2-Diabetesstudie wurden Unterzuckerungen bei 10 % unter Mazdutid und 8 % unter Placebo berichtet</w:t>
      </w:r>
      <w:r>
        <w:rPr>
          <w:rStyle w:val="FootnoteReference"/>
        </w:rPr>
        <w:footnoteReference w:id="637"/>
      </w:r>
      <w:r>
        <w:t xml:space="preserve">.</w:t>
      </w:r>
    </w:p>
    <w:p>
      <w:pPr>
        <w:numPr>
          <w:ilvl w:val="0"/>
          <w:numId w:val="1078"/>
        </w:numPr>
        <w:pStyle w:val="Compact"/>
      </w:pPr>
      <w:r>
        <w:rPr>
          <w:bCs/>
          <w:b/>
        </w:rPr>
        <w:t xml:space="preserve">Abbrüche bei hohen Dosen:</w:t>
      </w:r>
      <w:r>
        <w:t xml:space="preserve"> </w:t>
      </w:r>
      <w:r>
        <w:t xml:space="preserve">bis zu 20 % in der US-Phase-2-Studie</w:t>
      </w:r>
      <w:r>
        <w:rPr>
          <w:rStyle w:val="FootnoteReference"/>
        </w:rPr>
        <w:footnoteReference w:id="638"/>
      </w:r>
      <w:r>
        <w:t xml:space="preserve">.</w:t>
      </w:r>
    </w:p>
    <w:p>
      <w:pPr>
        <w:pStyle w:val="FirstParagraph"/>
      </w:pPr>
      <w:r>
        <w:rPr>
          <w:bCs/>
          <w:b/>
        </w:rPr>
        <w:t xml:space="preserve">Noch offen:</w:t>
      </w:r>
      <w:r>
        <w:t xml:space="preserve"> </w:t>
      </w:r>
      <w:r>
        <w:t xml:space="preserve">Es gibt keine Herz-Kreislauf-Endpunktstudie. Langzeitdaten über mehr als 60 Wochen fehlen. Die Studien schlossen fast ausschließlich Menschen chinesischer Herkunft ein, die bei gleichem Gewichtsverlust andere Ausgangswerte (niedrigeres Körpergewicht) hatten als europäische Studienpopulationen. Die für GLP-1-Medikamente bekannten Klassenrisiken (Gallenblase, Bauchspeicheldrüse, Schilddrüsen-C-Zellen im Tierversuch) sind bei Mazdutid mangels Patientenjahren noch nicht eigenständig bewertet.</w:t>
      </w:r>
    </w:p>
    <w:bookmarkEnd w:id="639"/>
    <w:bookmarkStart w:id="641" w:name="rechtslage-7"/>
    <w:p>
      <w:pPr>
        <w:pStyle w:val="Heading3"/>
      </w:pPr>
      <w:r>
        <w:t xml:space="preserve">Rechtslage</w:t>
      </w:r>
    </w:p>
    <w:p>
      <w:pPr>
        <w:numPr>
          <w:ilvl w:val="0"/>
          <w:numId w:val="1079"/>
        </w:numPr>
        <w:pStyle w:val="Compact"/>
      </w:pPr>
      <w:r>
        <w:rPr>
          <w:bCs/>
          <w:b/>
        </w:rPr>
        <w:t xml:space="preserve">China:</w:t>
      </w:r>
      <w:r>
        <w:t xml:space="preserve"> </w:t>
      </w:r>
      <w:r>
        <w:t xml:space="preserve">zugelassen (Juni 2025 für Gewichtsmanagement, September 2025 für Typ-2-Diabetes)</w:t>
      </w:r>
      <w:r>
        <w:rPr>
          <w:rStyle w:val="FootnoteReference"/>
        </w:rPr>
        <w:footnoteReference w:id="640"/>
      </w:r>
      <w:r>
        <w:t xml:space="preserve">.</w:t>
      </w:r>
    </w:p>
    <w:p>
      <w:pPr>
        <w:numPr>
          <w:ilvl w:val="0"/>
          <w:numId w:val="1079"/>
        </w:numPr>
        <w:pStyle w:val="Compact"/>
      </w:pPr>
      <w:r>
        <w:rPr>
          <w:bCs/>
          <w:b/>
        </w:rPr>
        <w:t xml:space="preserve">EU / Österreich / Deutschland:</w:t>
      </w:r>
      <w:r>
        <w:t xml:space="preserve"> </w:t>
      </w:r>
      <w:r>
        <w:t xml:space="preserve">nicht zugelassen. Ein Import zur Anwendung ist ohne Zulassung nicht legal; über den Graumarkt angebotene „Mazdutide“-Produkte sind keine geprüften Arzneimittel.</w:t>
      </w:r>
    </w:p>
    <w:p>
      <w:pPr>
        <w:numPr>
          <w:ilvl w:val="0"/>
          <w:numId w:val="1079"/>
        </w:numPr>
        <w:pStyle w:val="Compact"/>
      </w:pPr>
      <w:r>
        <w:rPr>
          <w:bCs/>
          <w:b/>
        </w:rPr>
        <w:t xml:space="preserve">USA:</w:t>
      </w:r>
      <w:r>
        <w:t xml:space="preserve"> </w:t>
      </w:r>
      <w:r>
        <w:t xml:space="preserve">nicht zugelassen; Lilly führt eigene Studien durch.</w:t>
      </w:r>
    </w:p>
    <w:p>
      <w:pPr>
        <w:numPr>
          <w:ilvl w:val="0"/>
          <w:numId w:val="1079"/>
        </w:numPr>
        <w:pStyle w:val="Compact"/>
      </w:pPr>
      <w:r>
        <w:rPr>
          <w:bCs/>
          <w:b/>
        </w:rPr>
        <w:t xml:space="preserve">Sport:</w:t>
      </w:r>
      <w:r>
        <w:t xml:space="preserve"> </w:t>
      </w:r>
      <w:r>
        <w:t xml:space="preserve">nicht namentlich gelistet; Status unter S0 wegen der chinesischen Zulassung unklar – Stand 2026, bitte aktuell prüfen.</w:t>
      </w:r>
    </w:p>
    <w:bookmarkEnd w:id="641"/>
    <w:bookmarkStart w:id="649" w:name="laufende-studien-und-ausblick-7"/>
    <w:p>
      <w:pPr>
        <w:pStyle w:val="Heading3"/>
      </w:pPr>
      <w:r>
        <w:t xml:space="preserve">Laufende Studien und Ausblick</w:t>
      </w:r>
    </w:p>
    <w:p>
      <w:pPr>
        <w:pStyle w:val="FirstParagraph"/>
      </w:pPr>
      <w:r>
        <w:rPr>
          <w:bCs/>
          <w:b/>
        </w:rPr>
        <w:t xml:space="preserve">Gesichert (registrierte Studien, Stand Oktober 2026):</w:t>
      </w:r>
    </w:p>
    <w:p>
      <w:pPr>
        <w:numPr>
          <w:ilvl w:val="0"/>
          <w:numId w:val="1080"/>
        </w:numPr>
        <w:pStyle w:val="Compact"/>
      </w:pPr>
      <w:r>
        <w:t xml:space="preserve">Vergleich mit Semaglutid bei Fettleber</w:t>
      </w:r>
      <w:r>
        <w:rPr>
          <w:rStyle w:val="FootnoteReference"/>
        </w:rPr>
        <w:footnoteReference w:id="642"/>
      </w:r>
      <w:r>
        <w:t xml:space="preserve"> </w:t>
      </w:r>
      <w:r>
        <w:t xml:space="preserve">und bei frühem Typ-2-Diabetes (NCT06184568, abgeschlossen).</w:t>
      </w:r>
    </w:p>
    <w:p>
      <w:pPr>
        <w:numPr>
          <w:ilvl w:val="0"/>
          <w:numId w:val="1080"/>
        </w:numPr>
        <w:pStyle w:val="Compact"/>
      </w:pPr>
      <w:r>
        <w:t xml:space="preserve">Schlafapnoe</w:t>
      </w:r>
      <w:r>
        <w:rPr>
          <w:rStyle w:val="FootnoteReference"/>
        </w:rPr>
        <w:footnoteReference w:id="643"/>
      </w:r>
      <w:r>
        <w:t xml:space="preserve">, Bluthochdruck mit Adipositas</w:t>
      </w:r>
      <w:r>
        <w:rPr>
          <w:rStyle w:val="FootnoteReference"/>
        </w:rPr>
        <w:footnoteReference w:id="644"/>
      </w:r>
      <w:r>
        <w:t xml:space="preserve">, Jugendliche</w:t>
      </w:r>
      <w:r>
        <w:rPr>
          <w:rStyle w:val="FootnoteReference"/>
        </w:rPr>
        <w:footnoteReference w:id="645"/>
      </w:r>
      <w:r>
        <w:t xml:space="preserve">.</w:t>
      </w:r>
    </w:p>
    <w:p>
      <w:pPr>
        <w:numPr>
          <w:ilvl w:val="0"/>
          <w:numId w:val="1080"/>
        </w:numPr>
        <w:pStyle w:val="Compact"/>
      </w:pPr>
      <w:r>
        <w:t xml:space="preserve">Phase-2-Studien zu MASH</w:t>
      </w:r>
      <w:r>
        <w:rPr>
          <w:rStyle w:val="FootnoteReference"/>
        </w:rPr>
        <w:footnoteReference w:id="646"/>
      </w:r>
      <w:r>
        <w:t xml:space="preserve">, Herzinsuffizienz mit Adipositas</w:t>
      </w:r>
      <w:r>
        <w:rPr>
          <w:rStyle w:val="FootnoteReference"/>
        </w:rPr>
        <w:footnoteReference w:id="647"/>
      </w:r>
      <w:r>
        <w:t xml:space="preserve"> </w:t>
      </w:r>
      <w:r>
        <w:t xml:space="preserve">und Alkoholkonsumstörung (NCT06817356, abgeschlossen, Sponsor Lilly).</w:t>
      </w:r>
    </w:p>
    <w:p>
      <w:pPr>
        <w:numPr>
          <w:ilvl w:val="0"/>
          <w:numId w:val="1080"/>
        </w:numPr>
        <w:pStyle w:val="Compact"/>
      </w:pPr>
      <w:r>
        <w:t xml:space="preserve">Lilly prüft Mazdutid außerdem in einem Phase-2-Masterprotokoll</w:t>
      </w:r>
      <w:r>
        <w:rPr>
          <w:rStyle w:val="FootnoteReference"/>
        </w:rPr>
        <w:footnoteReference w:id="648"/>
      </w:r>
      <w:r>
        <w:t xml:space="preserve">.</w:t>
      </w:r>
    </w:p>
    <w:p>
      <w:pPr>
        <w:pStyle w:val="FirstParagraph"/>
      </w:pPr>
      <w:r>
        <w:rPr>
          <w:bCs/>
          <w:b/>
        </w:rPr>
        <w:t xml:space="preserve">Einschätzung:</w:t>
      </w:r>
      <w:r>
        <w:t xml:space="preserve"> </w:t>
      </w:r>
      <w:r>
        <w:t xml:space="preserve">Mazdutid ist das erste Glukagon/GLP-1-Doppelmedikament mit einer Zulassung – allerdings nur in China. Ob Lilly eine Zulassung in den USA und Europa anstrebt, hängt vermutlich davon ab, ob sich das Molekül neben Tirzepatid und Retatrutid aus demselben Haus abgrenzen lässt, etwa bei Fettleber oder Alkoholkonsumstörung. Das ist eine Einschätzung; konkrete Zulassungsanträge außerhalb Chinas sind nicht bekannt.</w:t>
      </w:r>
    </w:p>
    <w:bookmarkEnd w:id="649"/>
    <w:bookmarkStart w:id="650" w:name="fazit-7"/>
    <w:p>
      <w:pPr>
        <w:pStyle w:val="Heading3"/>
      </w:pPr>
      <w:r>
        <w:t xml:space="preserve">Fazit</w:t>
      </w:r>
    </w:p>
    <w:p>
      <w:pPr>
        <w:pStyle w:val="FirstParagraph"/>
      </w:pPr>
      <w:r>
        <w:t xml:space="preserve">Mazdutid ist ein lang wirksamer Abkömmling des Darmhormons Oxyntomodulin, der GLP-1- und Glukagon-Rezeptor gleichzeitig aktiviert. In chinesischen Phase-3-Studien verringerte sich das Körpergewicht um 11–14 % nach 48 Wochen bzw. um 16,65 % nach 60 Wochen mit höherer Dosis; bei Typ-2-Diabetes war es Dulaglutid leicht überlegen. Häufigste Nebenwirkungen sind Magen-Darm-Beschwerden, die bei höheren Dosen sehr häufig werden. Mazdutid ist nur in China zugelassen; Daten zu Herz-Kreislauf-Endpunkten und zu nicht-asiatischen Bevölkerungsgruppen fehlen weitgehend.</w:t>
      </w:r>
    </w:p>
    <w:bookmarkEnd w:id="650"/>
    <w:bookmarkEnd w:id="651"/>
    <w:bookmarkStart w:id="699" w:name="cagrilintid-und-cagrisema"/>
    <w:p>
      <w:pPr>
        <w:pStyle w:val="Heading2"/>
      </w:pPr>
      <w:r>
        <w:t xml:space="preserve">Cagrilintid und CagriSema</w:t>
      </w:r>
    </w:p>
    <w:bookmarkStart w:id="652" w:name="steckbrief-8"/>
    <w:p>
      <w:pPr>
        <w:pStyle w:val="Heading3"/>
      </w:pPr>
      <w:r>
        <w:t xml:space="preserve">Steckbrief</w:t>
      </w:r>
    </w:p>
    <w:p>
      <w:pPr>
        <w:numPr>
          <w:ilvl w:val="0"/>
          <w:numId w:val="1081"/>
        </w:numPr>
        <w:pStyle w:val="Compact"/>
      </w:pPr>
      <w:r>
        <w:rPr>
          <w:bCs/>
          <w:b/>
        </w:rPr>
        <w:t xml:space="preserve">Art/Struktur:</w:t>
      </w:r>
      <w:r>
        <w:t xml:space="preserve"> </w:t>
      </w:r>
      <w:r>
        <w:t xml:space="preserve">Cagrilintid ist ein synthetisches, fettsäuremodifiziertes Analogon des Hormons Amylin für die einmal wöchentliche Gabe unter die Haut.</w:t>
      </w:r>
      <w:r>
        <w:t xml:space="preserve"> </w:t>
      </w:r>
      <w:r>
        <w:rPr>
          <w:bCs/>
          <w:b/>
        </w:rPr>
        <w:t xml:space="preserve">CagriSema</w:t>
      </w:r>
      <w:r>
        <w:t xml:space="preserve"> </w:t>
      </w:r>
      <w:r>
        <w:t xml:space="preserve">ist die feste Kombination aus Cagrilintid und Semaglutid in einem Injektionsgerät.</w:t>
      </w:r>
    </w:p>
    <w:p>
      <w:pPr>
        <w:numPr>
          <w:ilvl w:val="0"/>
          <w:numId w:val="1081"/>
        </w:numPr>
        <w:pStyle w:val="Compact"/>
      </w:pPr>
      <w:r>
        <w:rPr>
          <w:bCs/>
          <w:b/>
        </w:rPr>
        <w:t xml:space="preserve">Herkunft:</w:t>
      </w:r>
      <w:r>
        <w:t xml:space="preserve"> </w:t>
      </w:r>
      <w:r>
        <w:t xml:space="preserve">entwickelt von Novo Nordisk, dem Hersteller von Semaglutid.</w:t>
      </w:r>
    </w:p>
    <w:p>
      <w:pPr>
        <w:numPr>
          <w:ilvl w:val="0"/>
          <w:numId w:val="1081"/>
        </w:numPr>
        <w:pStyle w:val="Compact"/>
      </w:pPr>
      <w:r>
        <w:rPr>
          <w:bCs/>
          <w:b/>
        </w:rPr>
        <w:t xml:space="preserve">Wirkprinzip:</w:t>
      </w:r>
      <w:r>
        <w:t xml:space="preserve"> </w:t>
      </w:r>
      <w:r>
        <w:t xml:space="preserve">Cagrilintid aktiviert Amylin-Rezeptoren und zusätzlich den verwandten Calcitonin-Rezeptor (ein „dualer Amylin- und Calcitonin-Rezeptor-Agonist“). In CagriSema kommt die GLP-1-Wirkung des Semaglutids hinzu.</w:t>
      </w:r>
    </w:p>
    <w:p>
      <w:pPr>
        <w:numPr>
          <w:ilvl w:val="0"/>
          <w:numId w:val="1081"/>
        </w:numPr>
        <w:pStyle w:val="Compact"/>
      </w:pPr>
      <w:r>
        <w:rPr>
          <w:bCs/>
          <w:b/>
        </w:rPr>
        <w:t xml:space="preserve">Zulassung EU:</w:t>
      </w:r>
      <w:r>
        <w:t xml:space="preserve"> </w:t>
      </w:r>
      <w:r>
        <w:t xml:space="preserve">nein (Stand Oktober 2026).</w:t>
      </w:r>
    </w:p>
    <w:p>
      <w:pPr>
        <w:numPr>
          <w:ilvl w:val="0"/>
          <w:numId w:val="1081"/>
        </w:numPr>
        <w:pStyle w:val="Compact"/>
      </w:pPr>
      <w:r>
        <w:rPr>
          <w:bCs/>
          <w:b/>
        </w:rPr>
        <w:t xml:space="preserve">Zulassung USA:</w:t>
      </w:r>
      <w:r>
        <w:t xml:space="preserve"> </w:t>
      </w:r>
      <w:r>
        <w:t xml:space="preserve">nein (Stand Oktober 2026; ein Zulassungsverfahren für CagriSema ist angekündigt bzw. könnte bereits laufen – bitte aktuell prüfen).</w:t>
      </w:r>
    </w:p>
    <w:p>
      <w:pPr>
        <w:numPr>
          <w:ilvl w:val="0"/>
          <w:numId w:val="1081"/>
        </w:numPr>
        <w:pStyle w:val="Compact"/>
      </w:pPr>
      <w:r>
        <w:rPr>
          <w:bCs/>
          <w:b/>
        </w:rPr>
        <w:t xml:space="preserve">WADA:</w:t>
      </w:r>
      <w:r>
        <w:t xml:space="preserve"> </w:t>
      </w:r>
      <w:r>
        <w:t xml:space="preserve">als nicht zugelassene Substanz unter S0 verboten.</w:t>
      </w:r>
    </w:p>
    <w:p>
      <w:pPr>
        <w:numPr>
          <w:ilvl w:val="0"/>
          <w:numId w:val="1081"/>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Mit Zulassung würde CagriSema Stufe A erreichen.</w:t>
      </w:r>
    </w:p>
    <w:bookmarkEnd w:id="652"/>
    <w:bookmarkStart w:id="657" w:name="wie-es-wirken-soll-8"/>
    <w:p>
      <w:pPr>
        <w:pStyle w:val="Heading3"/>
      </w:pPr>
      <w:r>
        <w:t xml:space="preserve">Wie es wirken soll</w:t>
      </w:r>
    </w:p>
    <w:p>
      <w:pPr>
        <w:pStyle w:val="FirstParagraph"/>
      </w:pPr>
      <w:r>
        <w:t xml:space="preserve">Amylin ist ein Hormon, das die Betazellen der Bauchspeicheldrüse gemeinsam mit Insulin ausschütten. Es wirkt vor allem im Hirnstamm: Es fördert das Sättigungsgefühl, verlangsamt die Magenentleerung und bremst die Glukagon-Ausschüttung nach dem Essen. Menschen mit Typ-1-Diabetes fehlt neben Insulin auch Amylin.</w:t>
      </w:r>
    </w:p>
    <w:p>
      <w:pPr>
        <w:pStyle w:val="BodyText"/>
      </w:pPr>
      <w:r>
        <w:t xml:space="preserve">Natürliches Amylin ist als Medikament ungeeignet, weil es zur Verklumpung neigt (es bildet sogenannte Amyloid-Fibrillen) und nur Minuten im Blut überdauert. Das erste Amylin-Medikament, Pramlintid (siehe eigenes Kapitel), muss deshalb mehrmals täglich gespritzt werden. Cagrilintid wurde gezielt so verändert, dass es stabil bleibt und durch eine Fettsäurekette eine Woche lang wirkt</w:t>
      </w:r>
      <w:r>
        <w:rPr>
          <w:rStyle w:val="FootnoteReference"/>
        </w:rPr>
        <w:footnoteReference w:id="653"/>
      </w:r>
      <w:r>
        <w:t xml:space="preserve">. In Phase-1-Daten lag die Halbwertszeit bei 159 bis 195 Stunden, also rund einer Woche</w:t>
      </w:r>
      <w:r>
        <w:rPr>
          <w:rStyle w:val="FootnoteReference"/>
        </w:rPr>
        <w:footnoteReference w:id="654"/>
      </w:r>
      <w:r>
        <w:t xml:space="preserve">.</w:t>
      </w:r>
    </w:p>
    <w:p>
      <w:pPr>
        <w:pStyle w:val="BodyText"/>
      </w:pPr>
      <w:r>
        <w:t xml:space="preserve">Die Kombination mit Semaglutid folgt einer einfachen Idee: Amylin und GLP-1 wirken über verschiedene Rezeptoren und teilweise unterschiedliche Hirnregionen auf die Sättigung – die Effekte könnten sich addieren. Untersuchungen an genetisch veränderten Mäusen zeigen, dass Cagrilintid für seine gewichtssenkende Wirkung die Amylin-Rezeptor-Untertypen 1 und 3 im Gehirn benötigt</w:t>
      </w:r>
      <w:r>
        <w:rPr>
          <w:rStyle w:val="FootnoteReference"/>
        </w:rPr>
        <w:footnoteReference w:id="655"/>
      </w:r>
      <w:r>
        <w:t xml:space="preserve">. Bei Ratten senkte CagriSema vor allem die Energieaufnahme, während der Energieverbrauch weitgehend erhalten blieb</w:t>
      </w:r>
      <w:r>
        <w:rPr>
          <w:rStyle w:val="FootnoteReference"/>
        </w:rPr>
        <w:footnoteReference w:id="656"/>
      </w:r>
      <w:r>
        <w:t xml:space="preserve">.</w:t>
      </w:r>
    </w:p>
    <w:bookmarkEnd w:id="657"/>
    <w:bookmarkStart w:id="672" w:name="studien-am-menschen-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zu Cagrilintid bzw. CagriSema. Auf ClinicalTrials.gov waren 44 Studien registriert. Das Zulassungsprogramm heißt</w:t>
      </w:r>
      <w:r>
        <w:t xml:space="preserve"> </w:t>
      </w:r>
      <w:r>
        <w:rPr>
          <w:bCs/>
          <w:b/>
        </w:rPr>
        <w:t xml:space="preserve">REDEFINE</w:t>
      </w:r>
      <w:r>
        <w:t xml:space="preserve"> </w:t>
      </w:r>
      <w:r>
        <w:t xml:space="preserve">(Gewichtsmanagement) bzw.</w:t>
      </w:r>
      <w:r>
        <w:t xml:space="preserve"> </w:t>
      </w:r>
      <w:r>
        <w:rPr>
          <w:bCs/>
          <w:b/>
        </w:rPr>
        <w:t xml:space="preserve">REIMAGINE</w:t>
      </w:r>
      <w:r>
        <w:t xml:space="preserve"> </w:t>
      </w:r>
      <w:r>
        <w:t xml:space="preserve">(Typ-2-Diabetes).</w:t>
      </w:r>
    </w:p>
    <w:bookmarkStart w:id="660" w:name="cagrilintid-allein"/>
    <w:p>
      <w:pPr>
        <w:pStyle w:val="Heading4"/>
      </w:pPr>
      <w:r>
        <w:t xml:space="preserve">Cagrilintid allein</w:t>
      </w:r>
    </w:p>
    <w:p>
      <w:pPr>
        <w:pStyle w:val="FirstParagraph"/>
      </w:pPr>
      <w:r>
        <w:t xml:space="preserve">In der Phase-2-Dosisfindungsstudie</w:t>
      </w:r>
      <w:r>
        <w:rPr>
          <w:rStyle w:val="FootnoteReference"/>
        </w:rPr>
        <w:footnoteReference w:id="658"/>
      </w:r>
      <w:r>
        <w:t xml:space="preserve"> </w:t>
      </w:r>
      <w:r>
        <w:t xml:space="preserve">erhielten 706 Erwachsene mit Übergewicht oder Adipositas 26 Wochen lang Cagrilintid in fünf Dosen, 99 Liraglutid und 101 Placebo. Das Gewicht sank dosisabhängig um 6,0 bis 10,8 % (Placebo 3,0 %). Die höchste Dosis war Liraglutid 3,0 mg leicht überlegen (10,8 % vs. 9,0 %). Übelkeit trat bei 20–47 % auf (Placebo 18 %). Cagrilintid allein erreicht damit etwa die Größenordnung älterer GLP-1-Medikamente, nicht die von Semaglutid oder Tirzepatid. Inzwischen wird es auch als Einzelsubstanz in Phase 3 geprüft</w:t>
      </w:r>
      <w:r>
        <w:rPr>
          <w:rStyle w:val="FootnoteReference"/>
        </w:rPr>
        <w:footnoteReference w:id="659"/>
      </w:r>
      <w:r>
        <w:t xml:space="preserve">.</w:t>
      </w:r>
    </w:p>
    <w:bookmarkEnd w:id="660"/>
    <w:bookmarkStart w:id="663" w:name="cagrisema-frühe-studien"/>
    <w:p>
      <w:pPr>
        <w:pStyle w:val="Heading4"/>
      </w:pPr>
      <w:r>
        <w:t xml:space="preserve">CagriSema: frühe Studien</w:t>
      </w:r>
    </w:p>
    <w:p>
      <w:pPr>
        <w:pStyle w:val="FirstParagraph"/>
      </w:pPr>
      <w:r>
        <w:t xml:space="preserve">In einer Phase-1b-Studie bei 95 gesunden Personen mit Übergewicht verloren die Teilnehmenden mit Semaglutid plus Cagrilintid nach 20 Wochen bis zu 17,1 % ihres Gewichts, mit Semaglutid plus Placebo 9,8 %</w:t>
      </w:r>
      <w:r>
        <w:rPr>
          <w:rStyle w:val="FootnoteReference"/>
        </w:rPr>
        <w:footnoteReference w:id="661"/>
      </w:r>
      <w:r>
        <w:t xml:space="preserve">. Cagrilintid veränderte die Blutspiegel von Semaglutid nicht.</w:t>
      </w:r>
    </w:p>
    <w:p>
      <w:pPr>
        <w:pStyle w:val="BodyText"/>
      </w:pPr>
      <w:r>
        <w:t xml:space="preserve">Eine kleine Phase-2-Studie bei 92 Menschen mit Typ-2-Diabetes verglich CagriSema direkt mit beiden Einzelsubstanzen</w:t>
      </w:r>
      <w:r>
        <w:rPr>
          <w:rStyle w:val="FootnoteReference"/>
        </w:rPr>
        <w:footnoteReference w:id="662"/>
      </w:r>
      <w:r>
        <w:t xml:space="preserve">. Nach 32 Wochen betrug die Gewichtsabnahme 15,6 % mit CagriSema, 5,1 % mit Semaglutid und 8,1 % mit Cagrilintid. Beim HbA1c war CagriSema mit −2,2 Prozentpunkten Semaglutid (−1,8) nicht statistisch überlegen.</w:t>
      </w:r>
    </w:p>
    <w:bookmarkEnd w:id="663"/>
    <w:bookmarkStart w:id="671" w:name="cagrisema-phase-3-redefine-und-reimagine"/>
    <w:p>
      <w:pPr>
        <w:pStyle w:val="Heading4"/>
      </w:pPr>
      <w:r>
        <w:t xml:space="preserve">CagriSema: Phase 3 (REDEFINE und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REDEFINE 1 (Garvey 2025), PMID 40544433</w:t>
            </w:r>
          </w:p>
        </w:tc>
        <w:tc>
          <w:tcPr/>
          <w:p>
            <w:pPr>
              <w:pStyle w:val="Compact"/>
              <w:jc w:val="left"/>
            </w:pPr>
            <w:r>
              <w:t xml:space="preserve">3.417 Erwachsene mit Übergewicht/Adipositas ohne Diabetes; gegen Placebo und Einzelsubstanzen</w:t>
            </w:r>
          </w:p>
        </w:tc>
        <w:tc>
          <w:tcPr/>
          <w:p>
            <w:pPr>
              <w:pStyle w:val="Compact"/>
              <w:jc w:val="left"/>
            </w:pPr>
            <w:r>
              <w:t xml:space="preserve">68 Wochen</w:t>
            </w:r>
          </w:p>
        </w:tc>
        <w:tc>
          <w:tcPr/>
          <w:p>
            <w:pPr>
              <w:pStyle w:val="Compact"/>
              <w:jc w:val="left"/>
            </w:pPr>
            <w:r>
              <w:t xml:space="preserve">−20,4 % Gewicht vs. −3,0 %</w:t>
            </w:r>
          </w:p>
        </w:tc>
      </w:tr>
      <w:tr>
        <w:tc>
          <w:tcPr/>
          <w:p>
            <w:pPr>
              <w:pStyle w:val="Compact"/>
              <w:jc w:val="left"/>
            </w:pPr>
            <w:r>
              <w:t xml:space="preserve">REDEFINE 2 (Davies 2025), PMID 40544432</w:t>
            </w:r>
          </w:p>
        </w:tc>
        <w:tc>
          <w:tcPr/>
          <w:p>
            <w:pPr>
              <w:pStyle w:val="Compact"/>
              <w:jc w:val="left"/>
            </w:pPr>
            <w:r>
              <w:t xml:space="preserve">1.206 Erwachsene mit Adipositas und Typ-2-Diabetes, gegen Placebo</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REDEFINE 5 (Yamauchi 2026), PMID 42009015</w:t>
            </w:r>
          </w:p>
        </w:tc>
        <w:tc>
          <w:tcPr/>
          <w:p>
            <w:pPr>
              <w:pStyle w:val="Compact"/>
              <w:jc w:val="left"/>
            </w:pPr>
            <w:r>
              <w:t xml:space="preserve">331 Erwachsene in Japan und Taiwan, gegen Semaglutid</w:t>
            </w:r>
          </w:p>
        </w:tc>
        <w:tc>
          <w:tcPr/>
          <w:p>
            <w:pPr>
              <w:pStyle w:val="Compact"/>
              <w:jc w:val="left"/>
            </w:pPr>
            <w:r>
              <w:t xml:space="preserve">68 Wochen</w:t>
            </w:r>
          </w:p>
        </w:tc>
        <w:tc>
          <w:tcPr/>
          <w:p>
            <w:pPr>
              <w:pStyle w:val="Compact"/>
              <w:jc w:val="left"/>
            </w:pPr>
            <w:r>
              <w:t xml:space="preserve">−18,4 % vs. −11,9 % (Semaglutid)</w:t>
            </w:r>
          </w:p>
        </w:tc>
      </w:tr>
      <w:tr>
        <w:tc>
          <w:tcPr/>
          <w:p>
            <w:pPr>
              <w:pStyle w:val="Compact"/>
              <w:jc w:val="left"/>
            </w:pPr>
            <w:r>
              <w:t xml:space="preserve">REIMAGINE 1 (Aroda 2026), PMID 42251860</w:t>
            </w:r>
          </w:p>
        </w:tc>
        <w:tc>
          <w:tcPr/>
          <w:p>
            <w:pPr>
              <w:pStyle w:val="Compact"/>
              <w:jc w:val="left"/>
            </w:pPr>
            <w:r>
              <w:t xml:space="preserve">189 Erwachsene mit Typ-2-Diabetes ohne Medikamente, gegen Placebo</w:t>
            </w:r>
          </w:p>
        </w:tc>
        <w:tc>
          <w:tcPr/>
          <w:p>
            <w:pPr>
              <w:pStyle w:val="Compact"/>
              <w:jc w:val="left"/>
            </w:pPr>
            <w:r>
              <w:t xml:space="preserve">40 Wochen</w:t>
            </w:r>
          </w:p>
        </w:tc>
        <w:tc>
          <w:tcPr/>
          <w:p>
            <w:pPr>
              <w:pStyle w:val="Compact"/>
              <w:jc w:val="left"/>
            </w:pPr>
            <w:r>
              <w:t xml:space="preserve">HbA1c −1,8 vs. −0,1; Gewicht −13,8 % vs. −1,4 %</w:t>
            </w:r>
          </w:p>
        </w:tc>
      </w:tr>
      <w:tr>
        <w:tc>
          <w:tcPr/>
          <w:p>
            <w:pPr>
              <w:pStyle w:val="Compact"/>
              <w:jc w:val="left"/>
            </w:pPr>
            <w:r>
              <w:t xml:space="preserve">REIMAGINE 2 (Buse 2026), PMID 42251859</w:t>
            </w:r>
          </w:p>
        </w:tc>
        <w:tc>
          <w:tcPr/>
          <w:p>
            <w:pPr>
              <w:pStyle w:val="Compact"/>
              <w:jc w:val="left"/>
            </w:pPr>
            <w:r>
              <w:t xml:space="preserve">2.713 Erwachsene mit Typ-2-Diabetes, gegen Semaglutid, Cagrilintid und Placebo</w:t>
            </w:r>
          </w:p>
        </w:tc>
        <w:tc>
          <w:tcPr/>
          <w:p>
            <w:pPr>
              <w:pStyle w:val="Compact"/>
              <w:jc w:val="left"/>
            </w:pPr>
            <w:r>
              <w:t xml:space="preserve">68 Wochen</w:t>
            </w:r>
          </w:p>
        </w:tc>
        <w:tc>
          <w:tcPr/>
          <w:p>
            <w:pPr>
              <w:pStyle w:val="Compact"/>
              <w:jc w:val="left"/>
            </w:pPr>
            <w:r>
              <w:t xml:space="preserve">HbA1c −1,91 vs. −1,75 (Semaglutid 2,4 mg)</w:t>
            </w:r>
          </w:p>
        </w:tc>
      </w:tr>
      <w:tr>
        <w:tc>
          <w:tcPr/>
          <w:p>
            <w:pPr>
              <w:pStyle w:val="Compact"/>
              <w:jc w:val="left"/>
            </w:pPr>
            <w:r>
              <w:t xml:space="preserve">REIMAGINE 3 (Rosenstock 2026), PMID 42251856</w:t>
            </w:r>
          </w:p>
        </w:tc>
        <w:tc>
          <w:tcPr/>
          <w:p>
            <w:pPr>
              <w:pStyle w:val="Compact"/>
              <w:jc w:val="left"/>
            </w:pPr>
            <w:r>
              <w:t xml:space="preserve">274 Erwachsene mit Typ-2-Diabetes und Basalinsulin, gegen Placebo</w:t>
            </w:r>
          </w:p>
        </w:tc>
        <w:tc>
          <w:tcPr/>
          <w:p>
            <w:pPr>
              <w:pStyle w:val="Compact"/>
              <w:jc w:val="left"/>
            </w:pPr>
            <w:r>
              <w:t xml:space="preserve">40 Wochen</w:t>
            </w:r>
          </w:p>
        </w:tc>
        <w:tc>
          <w:tcPr/>
          <w:p>
            <w:pPr>
              <w:pStyle w:val="Compact"/>
              <w:jc w:val="left"/>
            </w:pPr>
            <w:r>
              <w:t xml:space="preserve">HbA1c −2,33 vs. −0,66; Gewicht −10 bis −12 %</w:t>
            </w:r>
          </w:p>
        </w:tc>
      </w:tr>
    </w:tbl>
    <w:p>
      <w:pPr>
        <w:pStyle w:val="BodyText"/>
      </w:pPr>
      <w:r>
        <w:rPr>
          <w:bCs/>
          <w:b/>
        </w:rPr>
        <w:t xml:space="preserve">REDEFINE 1</w:t>
      </w:r>
      <w:r>
        <w:rPr>
          <w:rStyle w:val="FootnoteReference"/>
        </w:rPr>
        <w:footnoteReference w:id="664"/>
      </w:r>
      <w:r>
        <w:t xml:space="preserve"> </w:t>
      </w:r>
      <w:r>
        <w:t xml:space="preserve">ist die Hauptstudie. Bei 3.417 Erwachsenen ohne Diabetes verringerte sich das Körpergewicht nach 68 Wochen um durchschnittlich 20,4 % gegenüber 3,0 % unter Placebo. Die Studie enthielt auch kleinere Gruppen mit Semaglutid allein und Cagrilintid allein. In einer Nachauswertung erreichten 30,3 % unter CagriSema, 19,1 % unter Semaglutid, 9,0 % unter Cagrilintid und 3,3 % unter Placebo sowohl einen BMI unter 27 als auch ein günstiges Verhältnis von Taille zu Körpergröße</w:t>
      </w:r>
      <w:r>
        <w:rPr>
          <w:rStyle w:val="FootnoteReference"/>
        </w:rPr>
        <w:footnoteReference w:id="665"/>
      </w:r>
      <w:r>
        <w:t xml:space="preserve">. Der systolische Blutdruck sank unter CagriSema um 10,9 mmHg (Placebo −2,8)</w:t>
      </w:r>
      <w:r>
        <w:rPr>
          <w:rStyle w:val="FootnoteReference"/>
        </w:rPr>
        <w:footnoteReference w:id="666"/>
      </w:r>
      <w:r>
        <w:t xml:space="preserve">.</w:t>
      </w:r>
    </w:p>
    <w:p>
      <w:pPr>
        <w:pStyle w:val="BodyText"/>
      </w:pPr>
      <w:r>
        <w:t xml:space="preserve">Zur Einordnung: Die erreichten 20,4 % liegen in der Größenordnung von Tirzepatid in SURMOUNT-1 (20,9 % nach 72 Wochen in der höchsten Dosis). Ein solcher Quervergleich zwischen verschiedenen Studien ist nur eine grobe Orientierung; der direkte Vergleich steht noch aus (siehe unten).</w:t>
      </w:r>
    </w:p>
    <w:p>
      <w:pPr>
        <w:pStyle w:val="BodyText"/>
      </w:pPr>
      <w:r>
        <w:rPr>
          <w:bCs/>
          <w:b/>
        </w:rPr>
        <w:t xml:space="preserve">REDEFINE 2</w:t>
      </w:r>
      <w:r>
        <w:rPr>
          <w:rStyle w:val="FootnoteReference"/>
        </w:rPr>
        <w:footnoteReference w:id="667"/>
      </w:r>
      <w:r>
        <w:t xml:space="preserve"> </w:t>
      </w:r>
      <w:r>
        <w:t xml:space="preserve">bestätigte das Muster bei Menschen mit Typ-2-Diabetes: −13,7 % gegenüber −3,4 %. 73,5 % erreichten einen HbA1c-Wert von höchstens 6,5 % (Placebo 15,9 %).</w:t>
      </w:r>
    </w:p>
    <w:p>
      <w:pPr>
        <w:pStyle w:val="BodyText"/>
      </w:pPr>
      <w:r>
        <w:rPr>
          <w:bCs/>
          <w:b/>
        </w:rPr>
        <w:t xml:space="preserve">REDEFINE 5</w:t>
      </w:r>
      <w:r>
        <w:rPr>
          <w:rStyle w:val="FootnoteReference"/>
        </w:rPr>
        <w:footnoteReference w:id="668"/>
      </w:r>
      <w:r>
        <w:t xml:space="preserve"> </w:t>
      </w:r>
      <w:r>
        <w:t xml:space="preserve">ist die erste veröffentlichte verblindete Phase-3-Studie im direkten Vergleich mit Semaglutid 2,4 mg: In Japan und Taiwan verloren die Teilnehmenden 18,4 % mit CagriSema gegenüber 11,9 % mit Semaglutid allein. Magen-Darm-Beschwerden waren mit 53 % gegenüber 51 % ähnlich häufig.</w:t>
      </w:r>
    </w:p>
    <w:p>
      <w:pPr>
        <w:pStyle w:val="BodyText"/>
      </w:pPr>
      <w:r>
        <w:rPr>
          <w:bCs/>
          <w:b/>
        </w:rPr>
        <w:t xml:space="preserve">REIMAGINE 2</w:t>
      </w:r>
      <w:r>
        <w:rPr>
          <w:rStyle w:val="FootnoteReference"/>
        </w:rPr>
        <w:footnoteReference w:id="669"/>
      </w:r>
      <w:r>
        <w:t xml:space="preserve"> </w:t>
      </w:r>
      <w:r>
        <w:t xml:space="preserve">zeigte bei Typ-2-Diabetes, dass CagriSema den HbA1c-Wert nur geringfügig stärker senkt als Semaglutid 2,4 mg allein (−1,91 vs. −1,75 Prozentpunkte). Der Zusatznutzen von Cagrilintid liegt also vor allem beim Gewicht, kaum beim Blutzucker.</w:t>
      </w:r>
    </w:p>
    <w:p>
      <w:pPr>
        <w:pStyle w:val="BodyText"/>
      </w:pPr>
      <w:r>
        <w:t xml:space="preserve">Die direkte Vergleichsstudie gegen Tirzepatid bei Adipositas (REDEFINE 4, NCT06131437) sowie zwei Vergleichsstudien gegen Tirzepatid bei Typ-2-Diabetes</w:t>
      </w:r>
      <w:r>
        <w:rPr>
          <w:rStyle w:val="FootnoteReference"/>
        </w:rPr>
        <w:footnoteReference w:id="670"/>
      </w:r>
      <w:r>
        <w:t xml:space="preserve"> </w:t>
      </w:r>
      <w:r>
        <w:t xml:space="preserve">sind laut Register abgeschlossen; begutachtete Veröffentlichungen lagen bei der Recherche noch nicht vor.</w:t>
      </w:r>
    </w:p>
    <w:bookmarkEnd w:id="671"/>
    <w:bookmarkEnd w:id="672"/>
    <w:bookmarkStart w:id="677" w:name="tier--und-laborstudien-8"/>
    <w:p>
      <w:pPr>
        <w:pStyle w:val="Heading3"/>
      </w:pPr>
      <w:r>
        <w:t xml:space="preserve">Tier- und Laborstudien</w:t>
      </w:r>
    </w:p>
    <w:p>
      <w:pPr>
        <w:pStyle w:val="FirstParagraph"/>
      </w:pPr>
      <w:r>
        <w:t xml:space="preserve">Strukturbiologische Untersuchungen zeigen, wie Cagrilintid an Amylin- und Calcitonin-Rezeptoren bindet</w:t>
      </w:r>
      <w:r>
        <w:rPr>
          <w:rStyle w:val="FootnoteReference"/>
        </w:rPr>
        <w:footnoteReference w:id="673"/>
      </w:r>
      <w:r>
        <w:t xml:space="preserve">. Bei Mäusen ohne die Amylin-Rezeptor-Untertypen 1 und 3 war die Wirkung stark abgeschwächt</w:t>
      </w:r>
      <w:r>
        <w:rPr>
          <w:rStyle w:val="FootnoteReference"/>
        </w:rPr>
        <w:footnoteReference w:id="674"/>
      </w:r>
      <w:r>
        <w:t xml:space="preserve">. Bei Ratten senkte CagriSema die Nahrungsaufnahme um 39 %; nach Berechnung der Autorinnen und Autoren ging etwa ein Drittel des Gewichtsverlusts darauf zurück, dass der Energieverbrauch nicht im üblichen Maß absank</w:t>
      </w:r>
      <w:r>
        <w:rPr>
          <w:rStyle w:val="FootnoteReference"/>
        </w:rPr>
        <w:footnoteReference w:id="675"/>
      </w:r>
      <w:r>
        <w:t xml:space="preserve">. In einer weiteren Rattenstudie verstärkte die Kombination von Cagrilintid mit Retatrutid den Gewichtsverlust</w:t>
      </w:r>
      <w:r>
        <w:rPr>
          <w:rStyle w:val="FootnoteReference"/>
        </w:rPr>
        <w:footnoteReference w:id="676"/>
      </w:r>
      <w:r>
        <w:t xml:space="preserve"> </w:t>
      </w:r>
      <w:r>
        <w:t xml:space="preserve">– ein Hinweis, dass Amylin-Wirkstoffe künftig auch mit anderen Inkretin-Medikamenten kombiniert werden könnten. Alle diese Ergebnisse stammen aus Tierversuchen.</w:t>
      </w:r>
    </w:p>
    <w:bookmarkEnd w:id="677"/>
    <w:bookmarkStart w:id="685" w:name="risiken-und-nebenwirkungen-8"/>
    <w:p>
      <w:pPr>
        <w:pStyle w:val="Heading3"/>
      </w:pPr>
      <w:r>
        <w:t xml:space="preserve">Risiken und Nebenwirkungen</w:t>
      </w:r>
    </w:p>
    <w:p>
      <w:pPr>
        <w:pStyle w:val="FirstParagraph"/>
      </w:pPr>
      <w:r>
        <w:rPr>
          <w:bCs/>
          <w:b/>
        </w:rPr>
        <w:t xml:space="preserve">Belegt aus Studien:</w:t>
      </w:r>
    </w:p>
    <w:p>
      <w:pPr>
        <w:numPr>
          <w:ilvl w:val="0"/>
          <w:numId w:val="1082"/>
        </w:numPr>
        <w:pStyle w:val="Compact"/>
      </w:pPr>
      <w:r>
        <w:rPr>
          <w:bCs/>
          <w:b/>
        </w:rPr>
        <w:t xml:space="preserve">Magen-Darm-Beschwerden</w:t>
      </w:r>
      <w:r>
        <w:t xml:space="preserve"> </w:t>
      </w:r>
      <w:r>
        <w:t xml:space="preserve">– Übelkeit, Erbrechen, Durchfall, Verstopfung, Bauchschmerzen – betrafen in REDEFINE 1 79,6 % unter CagriSema gegenüber 39,9 % unter Placebo; sie waren meist vorübergehend und leicht bis mittelschwer</w:t>
      </w:r>
      <w:r>
        <w:rPr>
          <w:rStyle w:val="FootnoteReference"/>
        </w:rPr>
        <w:footnoteReference w:id="678"/>
      </w:r>
      <w:r>
        <w:t xml:space="preserve">. In REDEFINE 2 waren es 72,5 % gegenüber 34,4 %</w:t>
      </w:r>
      <w:r>
        <w:rPr>
          <w:rStyle w:val="FootnoteReference"/>
        </w:rPr>
        <w:footnoteReference w:id="679"/>
      </w:r>
      <w:r>
        <w:t xml:space="preserve">.</w:t>
      </w:r>
    </w:p>
    <w:p>
      <w:pPr>
        <w:numPr>
          <w:ilvl w:val="0"/>
          <w:numId w:val="1082"/>
        </w:numPr>
        <w:pStyle w:val="Compact"/>
      </w:pPr>
      <w:r>
        <w:rPr>
          <w:bCs/>
          <w:b/>
        </w:rPr>
        <w:t xml:space="preserve">Unterzuckerung:</w:t>
      </w:r>
      <w:r>
        <w:t xml:space="preserve"> </w:t>
      </w:r>
      <w:r>
        <w:t xml:space="preserve">In REIMAGINE 3 traten trotz gleichzeitiger Insulinbehandlung keine schweren Unterzuckerungen auf</w:t>
      </w:r>
      <w:r>
        <w:rPr>
          <w:rStyle w:val="FootnoteReference"/>
        </w:rPr>
        <w:footnoteReference w:id="680"/>
      </w:r>
      <w:r>
        <w:t xml:space="preserve">. Bei Kombination mit Insulin oder Sulfonylharnstoffen bleibt das Risiko aber grundsätzlich bestehen.</w:t>
      </w:r>
    </w:p>
    <w:p>
      <w:pPr>
        <w:numPr>
          <w:ilvl w:val="0"/>
          <w:numId w:val="1082"/>
        </w:numPr>
        <w:pStyle w:val="Compact"/>
      </w:pPr>
      <w:r>
        <w:rPr>
          <w:bCs/>
          <w:b/>
        </w:rPr>
        <w:t xml:space="preserve">Herzrhythmus:</w:t>
      </w:r>
      <w:r>
        <w:t xml:space="preserve"> </w:t>
      </w:r>
      <w:r>
        <w:t xml:space="preserve">In einer eigenen Studie mit 105 gesunden Personen verlängerte Cagrilintid die QT-Zeit im EKG nicht in klinisch relevantem Ausmaß</w:t>
      </w:r>
      <w:r>
        <w:rPr>
          <w:rStyle w:val="FootnoteReference"/>
        </w:rPr>
        <w:footnoteReference w:id="681"/>
      </w:r>
      <w:r>
        <w:t xml:space="preserve">.</w:t>
      </w:r>
    </w:p>
    <w:p>
      <w:pPr>
        <w:numPr>
          <w:ilvl w:val="0"/>
          <w:numId w:val="1082"/>
        </w:numPr>
        <w:pStyle w:val="Compact"/>
      </w:pPr>
      <w:r>
        <w:rPr>
          <w:bCs/>
          <w:b/>
        </w:rPr>
        <w:t xml:space="preserve">Nieren- und Leberfunktion:</w:t>
      </w:r>
      <w:r>
        <w:t xml:space="preserve"> </w:t>
      </w:r>
      <w:r>
        <w:t xml:space="preserve">Die Blutspiegel von Cagrilintid veränderten sich bei eingeschränkter Nieren- oder Leberfunktion nicht wesentlich</w:t>
      </w:r>
      <w:r>
        <w:rPr>
          <w:rStyle w:val="FootnoteReference"/>
        </w:rPr>
        <w:footnoteReference w:id="682"/>
      </w:r>
      <w:r>
        <w:t xml:space="preserve">.</w:t>
      </w:r>
    </w:p>
    <w:p>
      <w:pPr>
        <w:pStyle w:val="FirstParagraph"/>
      </w:pPr>
      <w:r>
        <w:rPr>
          <w:bCs/>
          <w:b/>
        </w:rPr>
        <w:t xml:space="preserve">Theoretisch oder noch nicht ausreichend untersucht:</w:t>
      </w:r>
      <w:r>
        <w:t xml:space="preserve"> </w:t>
      </w:r>
      <w:r>
        <w:t xml:space="preserve">Der Calcitonin-Rezeptor kommt auch in Knochen vor; wie sich die Dauerstimulation auf den Knochenstoffwechsel auswirkt, wird derzeit untersucht</w:t>
      </w:r>
      <w:r>
        <w:rPr>
          <w:rStyle w:val="FootnoteReference"/>
        </w:rPr>
        <w:footnoteReference w:id="683"/>
      </w:r>
      <w:r>
        <w:t xml:space="preserve">. Ebenso ungeklärt ist, ob die Kombination den Verlust von Muskelmasse beeinflusst</w:t>
      </w:r>
      <w:r>
        <w:rPr>
          <w:rStyle w:val="FootnoteReference"/>
        </w:rPr>
        <w:footnoteReference w:id="684"/>
      </w:r>
      <w:r>
        <w:t xml:space="preserve">. Zu den Klassenrisiken von Semaglutid (Gallenblase, Bauchspeicheldrüse, Schilddrüsen-C-Zellen im Tierversuch) siehe das Kapitel Semaglutid.</w:t>
      </w:r>
    </w:p>
    <w:bookmarkEnd w:id="685"/>
    <w:bookmarkStart w:id="686" w:name="rechtslage-8"/>
    <w:p>
      <w:pPr>
        <w:pStyle w:val="Heading3"/>
      </w:pPr>
      <w:r>
        <w:t xml:space="preserve">Rechtslage</w:t>
      </w:r>
    </w:p>
    <w:p>
      <w:pPr>
        <w:numPr>
          <w:ilvl w:val="0"/>
          <w:numId w:val="1083"/>
        </w:numPr>
        <w:pStyle w:val="Compact"/>
      </w:pPr>
      <w:r>
        <w:rPr>
          <w:bCs/>
          <w:b/>
        </w:rPr>
        <w:t xml:space="preserve">EU / Österreich / Deutschland:</w:t>
      </w:r>
      <w:r>
        <w:t xml:space="preserve"> </w:t>
      </w:r>
      <w:r>
        <w:t xml:space="preserve">weder Cagrilintid noch CagriSema sind zugelassen; Anwendung nur in Studien. Graumarktangebote von „Cagrilintide“ sind keine Arzneimittel und nicht geprüft.</w:t>
      </w:r>
    </w:p>
    <w:p>
      <w:pPr>
        <w:numPr>
          <w:ilvl w:val="0"/>
          <w:numId w:val="1083"/>
        </w:numPr>
        <w:pStyle w:val="Compact"/>
      </w:pPr>
      <w:r>
        <w:rPr>
          <w:bCs/>
          <w:b/>
        </w:rPr>
        <w:t xml:space="preserve">USA:</w:t>
      </w:r>
      <w:r>
        <w:t xml:space="preserve"> </w:t>
      </w:r>
      <w:r>
        <w:t xml:space="preserve">nicht zugelassen (Stand Oktober 2026, bitte aktuell prüfen).</w:t>
      </w:r>
    </w:p>
    <w:p>
      <w:pPr>
        <w:numPr>
          <w:ilvl w:val="0"/>
          <w:numId w:val="1083"/>
        </w:numPr>
        <w:pStyle w:val="Compact"/>
      </w:pPr>
      <w:r>
        <w:rPr>
          <w:bCs/>
          <w:b/>
        </w:rPr>
        <w:t xml:space="preserve">Sport:</w:t>
      </w:r>
      <w:r>
        <w:t xml:space="preserve"> </w:t>
      </w:r>
      <w:r>
        <w:t xml:space="preserve">WADA-Klasse S0 (nicht zugelassen), Stand 2026, bitte aktuell prüfen.</w:t>
      </w:r>
    </w:p>
    <w:bookmarkEnd w:id="686"/>
    <w:bookmarkStart w:id="697" w:name="laufende-studien-und-ausblick-8"/>
    <w:p>
      <w:pPr>
        <w:pStyle w:val="Heading3"/>
      </w:pPr>
      <w:r>
        <w:t xml:space="preserve">Laufende Studien und Ausblick</w:t>
      </w:r>
    </w:p>
    <w:p>
      <w:pPr>
        <w:pStyle w:val="FirstParagraph"/>
      </w:pPr>
      <w:r>
        <w:rPr>
          <w:bCs/>
          <w:b/>
        </w:rPr>
        <w:t xml:space="preserve">Gesichert (registrierte Studien, Stand Oktober 2026):</w:t>
      </w:r>
    </w:p>
    <w:p>
      <w:pPr>
        <w:numPr>
          <w:ilvl w:val="0"/>
          <w:numId w:val="1084"/>
        </w:numPr>
        <w:pStyle w:val="Compact"/>
      </w:pPr>
      <w:r>
        <w:rPr>
          <w:bCs/>
          <w:b/>
        </w:rPr>
        <w:t xml:space="preserve">REDEFINE 3</w:t>
      </w:r>
      <w:r>
        <w:rPr>
          <w:rStyle w:val="FootnoteReference"/>
        </w:rPr>
        <w:footnoteReference w:id="687"/>
      </w:r>
      <w:r>
        <w:t xml:space="preserve">: Herz-Kreislauf-Endpunktstudie mit 7.076 randomisierten Menschen mit bestehender Herz-Kreislauf-Erkrankung und Übergewicht; geplantes Ende 2027. Design und Ausgangsdaten sind veröffentlicht</w:t>
      </w:r>
      <w:r>
        <w:rPr>
          <w:rStyle w:val="FootnoteReference"/>
        </w:rPr>
        <w:footnoteReference w:id="688"/>
      </w:r>
      <w:r>
        <w:t xml:space="preserve">.</w:t>
      </w:r>
    </w:p>
    <w:p>
      <w:pPr>
        <w:numPr>
          <w:ilvl w:val="0"/>
          <w:numId w:val="1084"/>
        </w:numPr>
        <w:pStyle w:val="Compact"/>
      </w:pPr>
      <w:r>
        <w:rPr>
          <w:bCs/>
          <w:b/>
        </w:rPr>
        <w:t xml:space="preserve">Vergleiche gegen Tirzepatid</w:t>
      </w:r>
      <w:r>
        <w:rPr>
          <w:rStyle w:val="FootnoteReference"/>
        </w:rPr>
        <w:footnoteReference w:id="689"/>
      </w:r>
      <w:r>
        <w:t xml:space="preserve">: abgeschlossen, Veröffentlichung ausstehend.</w:t>
      </w:r>
    </w:p>
    <w:p>
      <w:pPr>
        <w:numPr>
          <w:ilvl w:val="0"/>
          <w:numId w:val="1084"/>
        </w:numPr>
        <w:pStyle w:val="Compact"/>
      </w:pPr>
      <w:r>
        <w:rPr>
          <w:bCs/>
          <w:b/>
        </w:rPr>
        <w:t xml:space="preserve">Höhere CagriSema-Dosen</w:t>
      </w:r>
      <w:r>
        <w:t xml:space="preserve"> </w:t>
      </w:r>
      <w:r>
        <w:t xml:space="preserve">gegen Semaglutid</w:t>
      </w:r>
      <w:r>
        <w:rPr>
          <w:rStyle w:val="FootnoteReference"/>
        </w:rPr>
        <w:footnoteReference w:id="690"/>
      </w:r>
      <w:r>
        <w:t xml:space="preserve"> </w:t>
      </w:r>
      <w:r>
        <w:t xml:space="preserve">und Langzeitstudie zum Gewichtserhalt</w:t>
      </w:r>
      <w:r>
        <w:rPr>
          <w:rStyle w:val="FootnoteReference"/>
        </w:rPr>
        <w:footnoteReference w:id="691"/>
      </w:r>
      <w:r>
        <w:t xml:space="preserve">.</w:t>
      </w:r>
    </w:p>
    <w:p>
      <w:pPr>
        <w:numPr>
          <w:ilvl w:val="0"/>
          <w:numId w:val="1084"/>
        </w:numPr>
        <w:pStyle w:val="Compact"/>
      </w:pPr>
      <w:r>
        <w:rPr>
          <w:bCs/>
          <w:b/>
        </w:rPr>
        <w:t xml:space="preserve">Kinder und Jugendliche</w:t>
      </w:r>
      <w:r>
        <w:rPr>
          <w:rStyle w:val="FootnoteReference"/>
        </w:rPr>
        <w:footnoteReference w:id="692"/>
      </w:r>
      <w:r>
        <w:t xml:space="preserve"> </w:t>
      </w:r>
      <w:r>
        <w:t xml:space="preserve">sowie Cagrilintid allein</w:t>
      </w:r>
      <w:r>
        <w:rPr>
          <w:rStyle w:val="FootnoteReference"/>
        </w:rPr>
        <w:footnoteReference w:id="693"/>
      </w:r>
      <w:r>
        <w:t xml:space="preserve">.</w:t>
      </w:r>
    </w:p>
    <w:p>
      <w:pPr>
        <w:numPr>
          <w:ilvl w:val="0"/>
          <w:numId w:val="1084"/>
        </w:numPr>
        <w:pStyle w:val="Compact"/>
      </w:pPr>
      <w:r>
        <w:t xml:space="preserve">Kleinere Studien zu Knochen</w:t>
      </w:r>
      <w:r>
        <w:rPr>
          <w:rStyle w:val="FootnoteReference"/>
        </w:rPr>
        <w:footnoteReference w:id="694"/>
      </w:r>
      <w:r>
        <w:t xml:space="preserve">, Muskeln</w:t>
      </w:r>
      <w:r>
        <w:rPr>
          <w:rStyle w:val="FootnoteReference"/>
        </w:rPr>
        <w:footnoteReference w:id="695"/>
      </w:r>
      <w:r>
        <w:t xml:space="preserve"> </w:t>
      </w:r>
      <w:r>
        <w:t xml:space="preserve">und zu Menschen, die GLP-1-Medikamente nicht vertragen</w:t>
      </w:r>
      <w:r>
        <w:rPr>
          <w:rStyle w:val="FootnoteReference"/>
        </w:rPr>
        <w:footnoteReference w:id="696"/>
      </w:r>
      <w:r>
        <w:t xml:space="preserve">.</w:t>
      </w:r>
    </w:p>
    <w:p>
      <w:pPr>
        <w:pStyle w:val="FirstParagraph"/>
      </w:pPr>
      <w:r>
        <w:rPr>
          <w:bCs/>
          <w:b/>
        </w:rPr>
        <w:t xml:space="preserve">Einschätzung:</w:t>
      </w:r>
      <w:r>
        <w:t xml:space="preserve"> </w:t>
      </w:r>
      <w:r>
        <w:t xml:space="preserve">CagriSema dürfte als erste Amylin-GLP-1-Kombination auf den Markt kommen. Ob sie sich gegen Tirzepatid und die kommenden Dreifach-Agonisten durchsetzt, hängt von den Vergleichsstudien und der Verträglichkeit ab. Der wissenschaftlich interessantere Aspekt ist die Erweiterung des Werkzeugkastens: Amylin ist nach GLP-1, GIP und Glukagon der vierte Hormonweg, der für die Adipositasbehandlung erschlossen wird (siehe auch Amycretin).</w:t>
      </w:r>
    </w:p>
    <w:bookmarkEnd w:id="697"/>
    <w:bookmarkStart w:id="698" w:name="fazit-8"/>
    <w:p>
      <w:pPr>
        <w:pStyle w:val="Heading3"/>
      </w:pPr>
      <w:r>
        <w:t xml:space="preserve">Fazit</w:t>
      </w:r>
    </w:p>
    <w:p>
      <w:pPr>
        <w:pStyle w:val="FirstParagraph"/>
      </w:pPr>
      <w:r>
        <w:t xml:space="preserve">Cagrilintid ist ein lang wirksames Amylin-Analogon, das allein das Gewicht in Phase 2 um bis zu 10,8 % senkte. In Kombination mit Semaglutid (CagriSema) erreichte es in REDEFINE 1 nach 68 Wochen einen Gewichtsverlust von 20,4 % und war in Ostasien Semaglutid allein deutlich überlegen (18,4 % vs. 11,9 %). Magen-Darm-Beschwerden betreffen etwa vier von fünf Behandelten. CagriSema ist noch nicht zugelassen; Daten zu Herz-Kreislauf-Ereignissen und zum direkten Vergleich mit Tirzepatid stehen aus.</w:t>
      </w:r>
    </w:p>
    <w:bookmarkEnd w:id="698"/>
    <w:bookmarkEnd w:id="699"/>
    <w:bookmarkStart w:id="728" w:name="amycretin-zenagamtid"/>
    <w:p>
      <w:pPr>
        <w:pStyle w:val="Heading2"/>
      </w:pPr>
      <w:r>
        <w:t xml:space="preserve">Amycretin (Zenagamtid)</w:t>
      </w:r>
    </w:p>
    <w:bookmarkStart w:id="700" w:name="steckbrief-9"/>
    <w:p>
      <w:pPr>
        <w:pStyle w:val="Heading3"/>
      </w:pPr>
      <w:r>
        <w:t xml:space="preserve">Steckbrief</w:t>
      </w:r>
    </w:p>
    <w:p>
      <w:pPr>
        <w:numPr>
          <w:ilvl w:val="0"/>
          <w:numId w:val="1085"/>
        </w:numPr>
        <w:pStyle w:val="Compact"/>
      </w:pPr>
      <w:r>
        <w:rPr>
          <w:bCs/>
          <w:b/>
        </w:rPr>
        <w:t xml:space="preserve">Art/Struktur:</w:t>
      </w:r>
      <w:r>
        <w:t xml:space="preserve"> </w:t>
      </w:r>
      <w:r>
        <w:t xml:space="preserve">synthetisches Peptid, das in einem einzigen Molekül GLP-1- und Amylin-Wirkung vereint („unimolekular“). Seit 2026 trägt es den internationalen Freinamen</w:t>
      </w:r>
      <w:r>
        <w:t xml:space="preserve"> </w:t>
      </w:r>
      <w:r>
        <w:rPr>
          <w:bCs/>
          <w:b/>
        </w:rPr>
        <w:t xml:space="preserve">Zenagamtid</w:t>
      </w:r>
      <w:r>
        <w:t xml:space="preserve"> </w:t>
      </w:r>
      <w:r>
        <w:t xml:space="preserve">(englisch zenagamtide); Entwicklungscode NNC0487-0111. Es wird in zwei Formen entwickelt: als wöchentliche Spritze und als tägliche Tablette.</w:t>
      </w:r>
    </w:p>
    <w:p>
      <w:pPr>
        <w:numPr>
          <w:ilvl w:val="0"/>
          <w:numId w:val="1085"/>
        </w:numPr>
        <w:pStyle w:val="Compact"/>
      </w:pPr>
      <w:r>
        <w:rPr>
          <w:bCs/>
          <w:b/>
        </w:rPr>
        <w:t xml:space="preserve">Herkunft:</w:t>
      </w:r>
      <w:r>
        <w:t xml:space="preserve"> </w:t>
      </w:r>
      <w:r>
        <w:t xml:space="preserve">entwickelt von Novo Nordisk.</w:t>
      </w:r>
    </w:p>
    <w:p>
      <w:pPr>
        <w:numPr>
          <w:ilvl w:val="0"/>
          <w:numId w:val="1085"/>
        </w:numPr>
        <w:pStyle w:val="Compact"/>
      </w:pPr>
      <w:r>
        <w:rPr>
          <w:bCs/>
          <w:b/>
        </w:rPr>
        <w:t xml:space="preserve">Wirkprinzip:</w:t>
      </w:r>
      <w:r>
        <w:t xml:space="preserve"> </w:t>
      </w:r>
      <w:r>
        <w:t xml:space="preserve">Agonist an GLP-1-, Amylin- und Calcitonin-Rezeptoren.</w:t>
      </w:r>
    </w:p>
    <w:p>
      <w:pPr>
        <w:numPr>
          <w:ilvl w:val="0"/>
          <w:numId w:val="1085"/>
        </w:numPr>
        <w:pStyle w:val="Compact"/>
      </w:pPr>
      <w:r>
        <w:rPr>
          <w:bCs/>
          <w:b/>
        </w:rPr>
        <w:t xml:space="preserve">Zulassung EU:</w:t>
      </w:r>
      <w:r>
        <w:t xml:space="preserve"> </w:t>
      </w:r>
      <w:r>
        <w:t xml:space="preserve">nein.</w:t>
      </w:r>
    </w:p>
    <w:p>
      <w:pPr>
        <w:numPr>
          <w:ilvl w:val="0"/>
          <w:numId w:val="1085"/>
        </w:numPr>
        <w:pStyle w:val="Compact"/>
      </w:pPr>
      <w:r>
        <w:rPr>
          <w:bCs/>
          <w:b/>
        </w:rPr>
        <w:t xml:space="preserve">Zulassung USA:</w:t>
      </w:r>
      <w:r>
        <w:t xml:space="preserve"> </w:t>
      </w:r>
      <w:r>
        <w:t xml:space="preserve">nein.</w:t>
      </w:r>
    </w:p>
    <w:p>
      <w:pPr>
        <w:numPr>
          <w:ilvl w:val="0"/>
          <w:numId w:val="1085"/>
        </w:numPr>
        <w:pStyle w:val="Compact"/>
      </w:pPr>
      <w:r>
        <w:rPr>
          <w:bCs/>
          <w:b/>
        </w:rPr>
        <w:t xml:space="preserve">WADA:</w:t>
      </w:r>
      <w:r>
        <w:t xml:space="preserve"> </w:t>
      </w:r>
      <w:r>
        <w:t xml:space="preserve">als nicht zugelassene Substanz unter S0 verboten.</w:t>
      </w:r>
    </w:p>
    <w:p>
      <w:pPr>
        <w:numPr>
          <w:ilvl w:val="0"/>
          <w:numId w:val="1085"/>
        </w:numPr>
        <w:pStyle w:val="Compact"/>
      </w:pPr>
      <w:r>
        <w:rPr>
          <w:bCs/>
          <w:b/>
        </w:rPr>
        <w:t xml:space="preserve">Evidenzstufe:</w:t>
      </w:r>
      <w:r>
        <w:t xml:space="preserve"> </w:t>
      </w:r>
      <w:r>
        <w:rPr>
          <w:bCs/>
          <w:b/>
        </w:rPr>
        <w:t xml:space="preserve">B</w:t>
      </w:r>
      <w:r>
        <w:t xml:space="preserve"> </w:t>
      </w:r>
      <w:r>
        <w:t xml:space="preserve">– randomisierte Phase-1- und Phase-2-Studien veröffentlicht; Phase 3 hat 2026 begonnen.</w:t>
      </w:r>
    </w:p>
    <w:bookmarkEnd w:id="700"/>
    <w:bookmarkStart w:id="702" w:name="wie-es-wirken-soll-9"/>
    <w:p>
      <w:pPr>
        <w:pStyle w:val="Heading3"/>
      </w:pPr>
      <w:r>
        <w:t xml:space="preserve">Wie es wirken soll</w:t>
      </w:r>
    </w:p>
    <w:p>
      <w:pPr>
        <w:pStyle w:val="FirstParagraph"/>
      </w:pPr>
      <w:r>
        <w:t xml:space="preserve">CagriSema (siehe vorheriges Kapitel) kombiniert zwei getrennte Wirkstoffe – das Amylin-Analogon Cagrilintid und den GLP-1-Agonisten Semaglutid – in einer Spritze. Amycretin geht einen Schritt weiter: Ein einziges Peptid aktiviert beide Rezeptorsysteme. Das vereinfacht Herstellung und Dosierung und ermöglicht im Prinzip eine Tablettenform, wie es sie mit oralem Semaglutid bereits gibt.</w:t>
      </w:r>
    </w:p>
    <w:p>
      <w:pPr>
        <w:pStyle w:val="BodyText"/>
      </w:pPr>
      <w:r>
        <w:t xml:space="preserve">GLP-1 und Amylin fördern beide das Sättigungsgefühl, verlangsamen die Magenentleerung und dämpfen die Glukagon-Ausschüttung, wirken aber über verschiedene Rezeptoren und Nervenbahnen im Hirnstamm. In Zellversuchen aktivierte Amycretin menschliche, Maus- und Ratten-Rezeptoren für GLP-1, Amylin und Calcitonin. Bei Ratten mit ernährungsbedingter Adipositas verringerte es über 21 Tage die Energieaufnahme um 47 % und das Körpergewicht um 18 %, während der Energieverbrauch erhalten blieb; die Insulinempfindlichkeit verbesserte sich, und die Leberverfettung ging zurück</w:t>
      </w:r>
      <w:r>
        <w:rPr>
          <w:rStyle w:val="FootnoteReference"/>
        </w:rPr>
        <w:footnoteReference w:id="701"/>
      </w:r>
      <w:r>
        <w:t xml:space="preserve">. Das sind Tierdaten.</w:t>
      </w:r>
    </w:p>
    <w:bookmarkEnd w:id="702"/>
    <w:bookmarkStart w:id="710" w:name="studien-am-menschen-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4 Humanstudien. Die automatische Registerabfrage unter dem Namen „amycretin“ fand nur einen Eintrag; unter dem neuen Namen Zenagamtid und dem Entwicklungscode NNC0487-0111 sind auf ClinicalTrials.gov jedoch rund 30 Studien registriert, darunter das 2026 gestartete Phase-3-Programm</w:t>
      </w:r>
      <w:r>
        <w:t xml:space="preserve"> </w:t>
      </w:r>
      <w:r>
        <w:rPr>
          <w:bCs/>
          <w:b/>
        </w:rPr>
        <w:t xml:space="preserve">AMAZE</w:t>
      </w:r>
      <w:r>
        <w:t xml:space="preserve"> </w:t>
      </w:r>
      <w:r>
        <w:t xml:space="preserve">(Gewicht) und</w:t>
      </w:r>
      <w:r>
        <w:t xml:space="preserve"> </w:t>
      </w:r>
      <w:r>
        <w:rPr>
          <w:bCs/>
          <w:b/>
        </w:rPr>
        <w:t xml:space="preserve">AMBITION</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Tablette (Gasiorek 2025), PMID 40550229</w:t>
            </w:r>
          </w:p>
        </w:tc>
        <w:tc>
          <w:tcPr/>
          <w:p>
            <w:pPr>
              <w:pStyle w:val="Compact"/>
              <w:jc w:val="left"/>
            </w:pPr>
            <w:r>
              <w:t xml:space="preserve">144 Erwachsene mit Übergewicht/Adipositas, gegen Placebo</w:t>
            </w:r>
          </w:p>
        </w:tc>
        <w:tc>
          <w:tcPr/>
          <w:p>
            <w:pPr>
              <w:pStyle w:val="Compact"/>
              <w:jc w:val="left"/>
            </w:pPr>
            <w:r>
              <w:t xml:space="preserve">bis 12 Wochen</w:t>
            </w:r>
          </w:p>
        </w:tc>
        <w:tc>
          <w:tcPr/>
          <w:p>
            <w:pPr>
              <w:pStyle w:val="Compact"/>
              <w:jc w:val="left"/>
            </w:pPr>
            <w:r>
              <w:t xml:space="preserve">Sicherheit; Nebenwirkungen dosisabhängig, alle leicht bis mittelschwer</w:t>
            </w:r>
          </w:p>
        </w:tc>
      </w:tr>
      <w:tr>
        <w:tc>
          <w:tcPr/>
          <w:p>
            <w:pPr>
              <w:pStyle w:val="Compact"/>
              <w:jc w:val="left"/>
            </w:pPr>
            <w:r>
              <w:t xml:space="preserve">Phase 1b/2a, Spritze (Dahl 2025), PMID 40550231</w:t>
            </w:r>
          </w:p>
        </w:tc>
        <w:tc>
          <w:tcPr/>
          <w:p>
            <w:pPr>
              <w:pStyle w:val="Compact"/>
              <w:jc w:val="left"/>
            </w:pPr>
            <w:r>
              <w:t xml:space="preserve">125 Erwachsene mit Übergewicht/Adipositas, gegen Placebo</w:t>
            </w:r>
          </w:p>
        </w:tc>
        <w:tc>
          <w:tcPr/>
          <w:p>
            <w:pPr>
              <w:pStyle w:val="Compact"/>
              <w:jc w:val="left"/>
            </w:pPr>
            <w:r>
              <w:t xml:space="preserve">bis 36 Wochen</w:t>
            </w:r>
          </w:p>
        </w:tc>
        <w:tc>
          <w:tcPr/>
          <w:p>
            <w:pPr>
              <w:pStyle w:val="Compact"/>
              <w:jc w:val="left"/>
            </w:pPr>
            <w:r>
              <w:t xml:space="preserve">bis −24,3 % Gewicht vs. −1,1 %</w:t>
            </w:r>
          </w:p>
        </w:tc>
      </w:tr>
      <w:tr>
        <w:tc>
          <w:tcPr/>
          <w:p>
            <w:pPr>
              <w:pStyle w:val="Compact"/>
              <w:jc w:val="left"/>
            </w:pPr>
            <w:r>
              <w:t xml:space="preserve">Phase 2, Tablette (Mora 2026), PMID 42532079</w:t>
            </w:r>
          </w:p>
        </w:tc>
        <w:tc>
          <w:tcPr/>
          <w:p>
            <w:pPr>
              <w:pStyle w:val="Compact"/>
              <w:jc w:val="left"/>
            </w:pPr>
            <w:r>
              <w:t xml:space="preserve">186 Erwachsene mit Typ-2-Diabetes, gegen Placebo</w:t>
            </w:r>
          </w:p>
        </w:tc>
        <w:tc>
          <w:tcPr/>
          <w:p>
            <w:pPr>
              <w:pStyle w:val="Compact"/>
              <w:jc w:val="left"/>
            </w:pPr>
            <w:r>
              <w:t xml:space="preserve">36 Wochen</w:t>
            </w:r>
          </w:p>
        </w:tc>
        <w:tc>
          <w:tcPr/>
          <w:p>
            <w:pPr>
              <w:pStyle w:val="Compact"/>
              <w:jc w:val="left"/>
            </w:pPr>
            <w:r>
              <w:t xml:space="preserve">HbA1c −0,9 bis −1,4</w:t>
            </w:r>
          </w:p>
        </w:tc>
      </w:tr>
      <w:tr>
        <w:tc>
          <w:tcPr/>
          <w:p>
            <w:pPr>
              <w:pStyle w:val="Compact"/>
              <w:jc w:val="left"/>
            </w:pPr>
            <w:r>
              <w:t xml:space="preserve">Phase 2, Spritze (Mora 2026), PMID 42532080</w:t>
            </w:r>
          </w:p>
        </w:tc>
        <w:tc>
          <w:tcPr/>
          <w:p>
            <w:pPr>
              <w:pStyle w:val="Compact"/>
              <w:jc w:val="left"/>
            </w:pPr>
            <w:r>
              <w:t xml:space="preserve">262 Erwachsene mit Typ-2-Diabetes, gegen Placebo</w:t>
            </w:r>
          </w:p>
        </w:tc>
        <w:tc>
          <w:tcPr/>
          <w:p>
            <w:pPr>
              <w:pStyle w:val="Compact"/>
              <w:jc w:val="left"/>
            </w:pPr>
            <w:r>
              <w:t xml:space="preserve">36 Wochen</w:t>
            </w:r>
          </w:p>
        </w:tc>
        <w:tc>
          <w:tcPr/>
          <w:p>
            <w:pPr>
              <w:pStyle w:val="Compact"/>
              <w:jc w:val="left"/>
            </w:pPr>
            <w:r>
              <w:t xml:space="preserve">HbA1c −0,9 bis −1,7</w:t>
            </w:r>
          </w:p>
        </w:tc>
      </w:tr>
    </w:tbl>
    <w:bookmarkStart w:id="704" w:name="tablettenform-erste-studie-am-menschen"/>
    <w:p>
      <w:pPr>
        <w:pStyle w:val="Heading4"/>
      </w:pPr>
      <w:r>
        <w:t xml:space="preserve">Tablettenform: erste Studie am Menschen</w:t>
      </w:r>
    </w:p>
    <w:p>
      <w:pPr>
        <w:pStyle w:val="FirstParagraph"/>
      </w:pPr>
      <w:r>
        <w:t xml:space="preserve">Die erste Studie am Menschen prüfte Amycretin als Tablette</w:t>
      </w:r>
      <w:r>
        <w:rPr>
          <w:rStyle w:val="FootnoteReference"/>
        </w:rPr>
        <w:footnoteReference w:id="703"/>
      </w:r>
      <w:r>
        <w:t xml:space="preserve">. 144 Erwachsene mit Übergewicht oder Adipositas erhielten Einzel- oder Mehrfachdosen über bis zu zwölf Wochen. 62 % berichteten über mindestens ein unerwünschtes Ereignis; alle waren leicht oder mittelschwer und nahmen mit der Dosis zu. Etwa die Hälfte der Ereignisse betraf den Magen-Darm-Trakt. Die Blutspiegel stiegen proportional zur Dosis. Die Gewichtsdaten waren nur ein untergeordneter, explorativer Endpunkt dieser Sicherheitsstudie.</w:t>
      </w:r>
    </w:p>
    <w:bookmarkEnd w:id="704"/>
    <w:bookmarkStart w:id="706" w:name="spritzenform-phase-1b2a"/>
    <w:p>
      <w:pPr>
        <w:pStyle w:val="Heading4"/>
      </w:pPr>
      <w:r>
        <w:t xml:space="preserve">Spritzenform: Phase 1b/2a</w:t>
      </w:r>
    </w:p>
    <w:p>
      <w:pPr>
        <w:pStyle w:val="FirstParagraph"/>
      </w:pPr>
      <w:r>
        <w:t xml:space="preserve">In der Studie mit der wöchentlichen Spritze</w:t>
      </w:r>
      <w:r>
        <w:rPr>
          <w:rStyle w:val="FootnoteReference"/>
        </w:rPr>
        <w:footnoteReference w:id="705"/>
      </w:r>
      <w:r>
        <w:t xml:space="preserve"> </w:t>
      </w:r>
      <w:r>
        <w:t xml:space="preserve">erhielten 125 Personen Amycretin oder Placebo in mehreren Studienteilen mit unterschiedlichen Zieldosen und Behandlungsdauern. Der Gewichtsverlust war für eine frühe Studie bemerkenswert:</w:t>
      </w:r>
    </w:p>
    <w:p>
      <w:pPr>
        <w:numPr>
          <w:ilvl w:val="0"/>
          <w:numId w:val="1086"/>
        </w:numPr>
        <w:pStyle w:val="Compact"/>
      </w:pPr>
      <w:r>
        <w:t xml:space="preserve">höchste Dosis, 36 Wochen: −24,3 % gegenüber −1,1 % unter Placebo</w:t>
      </w:r>
    </w:p>
    <w:p>
      <w:pPr>
        <w:numPr>
          <w:ilvl w:val="0"/>
          <w:numId w:val="1086"/>
        </w:numPr>
        <w:pStyle w:val="Compact"/>
      </w:pPr>
      <w:r>
        <w:t xml:space="preserve">zweithöchste Dosis, 36 Wochen: −22,0 % gegenüber +1,9 %</w:t>
      </w:r>
    </w:p>
    <w:p>
      <w:pPr>
        <w:numPr>
          <w:ilvl w:val="0"/>
          <w:numId w:val="1086"/>
        </w:numPr>
        <w:pStyle w:val="Compact"/>
      </w:pPr>
      <w:r>
        <w:t xml:space="preserve">mittlere Dosis, 28 Wochen: −16,2 % gegenüber +2,3 %</w:t>
      </w:r>
    </w:p>
    <w:p>
      <w:pPr>
        <w:numPr>
          <w:ilvl w:val="0"/>
          <w:numId w:val="1086"/>
        </w:numPr>
        <w:pStyle w:val="Compact"/>
      </w:pPr>
      <w:r>
        <w:t xml:space="preserve">niedrige Dosis, 20 Wochen: −9,7 % gegenüber +2,0 %</w:t>
      </w:r>
    </w:p>
    <w:p>
      <w:pPr>
        <w:pStyle w:val="FirstParagraph"/>
      </w:pPr>
      <w:r>
        <w:t xml:space="preserve">Diese Zahlen sind mit Vorsicht zu lesen: Die Gruppen waren klein, die Studie fand an einem einzigen Zentrum statt, und die Autorinnen und Autoren berichten selbst, dass viele Teilnehmende die Studie vorzeitig verließen – zu einem großen Teil aus Gründen, die nicht mit Nebenwirkungen zusammenhingen. Ein Gewichtsverlust von über 20 % nach 36 Wochen ist ein starkes Signal, aber noch keine belastbare Schätzung für die breite Anwendung.</w:t>
      </w:r>
    </w:p>
    <w:bookmarkEnd w:id="706"/>
    <w:bookmarkStart w:id="709" w:name="typ-2-diabetes-zwei-phase-2-studien"/>
    <w:p>
      <w:pPr>
        <w:pStyle w:val="Heading4"/>
      </w:pPr>
      <w:r>
        <w:t xml:space="preserve">Typ-2-Diabetes: zwei Phase-2-Studien</w:t>
      </w:r>
    </w:p>
    <w:p>
      <w:pPr>
        <w:pStyle w:val="FirstParagraph"/>
      </w:pPr>
      <w:r>
        <w:t xml:space="preserve">2026 erschienen zwei parallele Dosisfindungsstudien bei Menschen mit Typ-2-Diabetes, die Metformin (mit oder ohne SGLT2-Hemmer) einnahmen:</w:t>
      </w:r>
    </w:p>
    <w:p>
      <w:pPr>
        <w:numPr>
          <w:ilvl w:val="0"/>
          <w:numId w:val="1087"/>
        </w:numPr>
        <w:pStyle w:val="Compact"/>
      </w:pPr>
      <w:r>
        <w:rPr>
          <w:bCs/>
          <w:b/>
        </w:rPr>
        <w:t xml:space="preserve">Tablette</w:t>
      </w:r>
      <w:r>
        <w:rPr>
          <w:rStyle w:val="FootnoteReference"/>
        </w:rPr>
        <w:footnoteReference w:id="707"/>
      </w:r>
      <w:r>
        <w:t xml:space="preserve">: Nach 36 Wochen sank der HbA1c-Wert um 0,9 bis 1,4 Prozentpunkte (Ausgangswert rund 8 %). Magen-Darm-Beschwerden traten bei 26–47 % auf (Placebo 23 %). Schwere unerwünschte Ereignisse betrafen 4 % unter Zenagamtid und niemanden unter Placebo.</w:t>
      </w:r>
    </w:p>
    <w:p>
      <w:pPr>
        <w:numPr>
          <w:ilvl w:val="0"/>
          <w:numId w:val="1087"/>
        </w:numPr>
        <w:pStyle w:val="Compact"/>
      </w:pPr>
      <w:r>
        <w:rPr>
          <w:bCs/>
          <w:b/>
        </w:rPr>
        <w:t xml:space="preserve">Spritze</w:t>
      </w:r>
      <w:r>
        <w:rPr>
          <w:rStyle w:val="FootnoteReference"/>
        </w:rPr>
        <w:footnoteReference w:id="708"/>
      </w:r>
      <w:r>
        <w:t xml:space="preserve">: Der HbA1c-Wert sank je nach Dosis um 0,9 bis 1,7 Prozentpunkte. Schwere unerwünschte Ereignisse traten bei 8 % der Teilnehmenden auf, über alle Dosisgruppen und Placebo verteilt.</w:t>
      </w:r>
    </w:p>
    <w:p>
      <w:pPr>
        <w:pStyle w:val="FirstParagraph"/>
      </w:pPr>
      <w:r>
        <w:t xml:space="preserve">Die Gewichtsergebnisse dieser Diabetesstudien sind in den Zusammenfassungen nicht beziffert und werden hier deshalb nicht genannt.</w:t>
      </w:r>
    </w:p>
    <w:bookmarkEnd w:id="709"/>
    <w:bookmarkEnd w:id="710"/>
    <w:bookmarkStart w:id="712" w:name="tier--und-laborstudien-9"/>
    <w:p>
      <w:pPr>
        <w:pStyle w:val="Heading3"/>
      </w:pPr>
      <w:r>
        <w:t xml:space="preserve">Tier- und Laborstudien</w:t>
      </w:r>
    </w:p>
    <w:p>
      <w:pPr>
        <w:pStyle w:val="FirstParagraph"/>
      </w:pPr>
      <w:r>
        <w:t xml:space="preserve">Die vorklinischen Daten stammen vom Hersteller</w:t>
      </w:r>
      <w:r>
        <w:rPr>
          <w:rStyle w:val="FootnoteReference"/>
        </w:rPr>
        <w:footnoteReference w:id="711"/>
      </w:r>
      <w:r>
        <w:t xml:space="preserve">: Rezeptoraktivierung in Zellkulturen, Gewichtsverlust und verbesserte Insulinempfindlichkeit bei übergewichtigen Ratten, weniger Leberverfettung und eine Anreicherung in appetitregulierenden Hirnregionen von Mäusen. Unabhängige Tierstudien liegen kaum vor.</w:t>
      </w:r>
    </w:p>
    <w:bookmarkEnd w:id="712"/>
    <w:bookmarkStart w:id="717" w:name="risiken-und-nebenwirkungen-9"/>
    <w:p>
      <w:pPr>
        <w:pStyle w:val="Heading3"/>
      </w:pPr>
      <w:r>
        <w:t xml:space="preserve">Risiken und Nebenwirkungen</w:t>
      </w:r>
    </w:p>
    <w:p>
      <w:pPr>
        <w:pStyle w:val="FirstParagraph"/>
      </w:pPr>
      <w:r>
        <w:rPr>
          <w:bCs/>
          <w:b/>
        </w:rPr>
        <w:t xml:space="preserve">Belegt aus Studien:</w:t>
      </w:r>
    </w:p>
    <w:p>
      <w:pPr>
        <w:numPr>
          <w:ilvl w:val="0"/>
          <w:numId w:val="1088"/>
        </w:numPr>
        <w:pStyle w:val="Compact"/>
      </w:pPr>
      <w:r>
        <w:rPr>
          <w:bCs/>
          <w:b/>
        </w:rPr>
        <w:t xml:space="preserve">Magen-Darm-Beschwerden</w:t>
      </w:r>
      <w:r>
        <w:t xml:space="preserve"> </w:t>
      </w:r>
      <w:r>
        <w:t xml:space="preserve">sind die häufigsten Nebenwirkungen, in den frühen Studien bei der Mehrheit der Behandelten; sie waren meist leicht bis mittelschwer und dosisabhängig</w:t>
      </w:r>
      <w:r>
        <w:rPr>
          <w:rStyle w:val="FootnoteReference"/>
        </w:rPr>
        <w:footnoteReference w:id="713"/>
      </w:r>
      <w:r>
        <w:t xml:space="preserve">.</w:t>
      </w:r>
    </w:p>
    <w:p>
      <w:pPr>
        <w:numPr>
          <w:ilvl w:val="0"/>
          <w:numId w:val="1088"/>
        </w:numPr>
        <w:pStyle w:val="Compact"/>
      </w:pPr>
      <w:r>
        <w:rPr>
          <w:bCs/>
          <w:b/>
        </w:rPr>
        <w:t xml:space="preserve">Schwere unerwünschte Ereignisse</w:t>
      </w:r>
      <w:r>
        <w:t xml:space="preserve"> </w:t>
      </w:r>
      <w:r>
        <w:t xml:space="preserve">waren in den Phase-2-Studien selten; in der Tablettenstudie traten sie nur unter Zenagamtid auf (4 % vs. 0 %), in der Spritzenstudie gleichmäßig verteilt</w:t>
      </w:r>
      <w:r>
        <w:rPr>
          <w:rStyle w:val="FootnoteReference"/>
        </w:rPr>
        <w:footnoteReference w:id="714"/>
      </w:r>
      <w:r>
        <w:t xml:space="preserve">.</w:t>
      </w:r>
    </w:p>
    <w:p>
      <w:pPr>
        <w:numPr>
          <w:ilvl w:val="0"/>
          <w:numId w:val="1088"/>
        </w:numPr>
        <w:pStyle w:val="Compact"/>
      </w:pPr>
      <w:r>
        <w:rPr>
          <w:bCs/>
          <w:b/>
        </w:rPr>
        <w:t xml:space="preserve">Nierenfunktion:</w:t>
      </w:r>
      <w:r>
        <w:t xml:space="preserve"> </w:t>
      </w:r>
      <w:r>
        <w:t xml:space="preserve">Bei eingeschränkter Nierenfunktion bis hin zum terminalen Nierenversagen veränderten sich die Blutspiegel nach einer Einzeldosis nicht klinisch relevant</w:t>
      </w:r>
      <w:r>
        <w:rPr>
          <w:rStyle w:val="FootnoteReference"/>
        </w:rPr>
        <w:footnoteReference w:id="715"/>
      </w:r>
      <w:r>
        <w:t xml:space="preserve">.</w:t>
      </w:r>
    </w:p>
    <w:p>
      <w:pPr>
        <w:pStyle w:val="FirstParagraph"/>
      </w:pPr>
      <w:r>
        <w:rPr>
          <w:bCs/>
          <w:b/>
        </w:rPr>
        <w:t xml:space="preserve">Noch offen:</w:t>
      </w:r>
      <w:r>
        <w:t xml:space="preserve"> </w:t>
      </w:r>
      <w:r>
        <w:t xml:space="preserve">Langzeitsicherheit, Wirkung auf Knochen (Calcitonin-Rezeptor), Muskelmasse und Herz-Kreislauf-System. Für die Klassenrisiken der GLP-1-Medikamente (Gallenblase, Bauchspeicheldrüse) gibt es noch zu wenige Behandlungsjahre.</w:t>
      </w:r>
    </w:p>
    <w:p>
      <w:pPr>
        <w:pStyle w:val="BodyText"/>
      </w:pPr>
      <w:r>
        <w:rPr>
          <w:bCs/>
          <w:b/>
        </w:rPr>
        <w:t xml:space="preserve">Graumarkt:</w:t>
      </w:r>
      <w:r>
        <w:t xml:space="preserve"> </w:t>
      </w:r>
      <w:r>
        <w:t xml:space="preserve">Schon vor Beginn der Phase 3 wird Zenagamtid im Internet als „Research Peptide“ angeboten. Ein Bericht in der Fachzeitschrift JAMA beschreibt einen wachsenden Schwarzmarkt für die beiden nicht zugelassenen Wirkstoffe Retatrutid und Zenagamtid und die damit verbundenen Risiken</w:t>
      </w:r>
      <w:r>
        <w:rPr>
          <w:rStyle w:val="FootnoteReference"/>
        </w:rPr>
        <w:footnoteReference w:id="716"/>
      </w:r>
      <w:r>
        <w:t xml:space="preserve">. Wer solche Produkte verwendet, kennt weder Inhalt noch Reinheit noch eine erprobte Dosierung (siehe Teil I und Teil IV).</w:t>
      </w:r>
    </w:p>
    <w:bookmarkEnd w:id="717"/>
    <w:bookmarkStart w:id="718" w:name="rechtslage-9"/>
    <w:p>
      <w:pPr>
        <w:pStyle w:val="Heading3"/>
      </w:pPr>
      <w:r>
        <w:t xml:space="preserve">Rechtslage</w:t>
      </w:r>
    </w:p>
    <w:p>
      <w:pPr>
        <w:numPr>
          <w:ilvl w:val="0"/>
          <w:numId w:val="1089"/>
        </w:numPr>
        <w:pStyle w:val="Compact"/>
      </w:pPr>
      <w:r>
        <w:rPr>
          <w:bCs/>
          <w:b/>
        </w:rPr>
        <w:t xml:space="preserve">EU / Österreich / Deutschland:</w:t>
      </w:r>
      <w:r>
        <w:t xml:space="preserve"> </w:t>
      </w:r>
      <w:r>
        <w:t xml:space="preserve">nicht zugelassen; Anwendung nur in klinischen Studien.</w:t>
      </w:r>
    </w:p>
    <w:p>
      <w:pPr>
        <w:numPr>
          <w:ilvl w:val="0"/>
          <w:numId w:val="1089"/>
        </w:numPr>
        <w:pStyle w:val="Compact"/>
      </w:pPr>
      <w:r>
        <w:rPr>
          <w:bCs/>
          <w:b/>
        </w:rPr>
        <w:t xml:space="preserve">USA:</w:t>
      </w:r>
      <w:r>
        <w:t xml:space="preserve"> </w:t>
      </w:r>
      <w:r>
        <w:t xml:space="preserve">nicht zugelassen.</w:t>
      </w:r>
    </w:p>
    <w:p>
      <w:pPr>
        <w:numPr>
          <w:ilvl w:val="0"/>
          <w:numId w:val="1089"/>
        </w:numPr>
        <w:pStyle w:val="Compact"/>
      </w:pPr>
      <w:r>
        <w:rPr>
          <w:bCs/>
          <w:b/>
        </w:rPr>
        <w:t xml:space="preserve">Sport:</w:t>
      </w:r>
      <w:r>
        <w:t xml:space="preserve"> </w:t>
      </w:r>
      <w:r>
        <w:t xml:space="preserve">WADA-Klasse S0 (nicht zugelassene Substanz), Stand 2026, bitte aktuell prüfen.</w:t>
      </w:r>
    </w:p>
    <w:bookmarkEnd w:id="718"/>
    <w:bookmarkStart w:id="726" w:name="laufende-studien-und-ausblick-9"/>
    <w:p>
      <w:pPr>
        <w:pStyle w:val="Heading3"/>
      </w:pPr>
      <w:r>
        <w:t xml:space="preserve">Laufende Studien und Ausblick</w:t>
      </w:r>
    </w:p>
    <w:p>
      <w:pPr>
        <w:pStyle w:val="FirstParagraph"/>
      </w:pPr>
      <w:r>
        <w:rPr>
          <w:bCs/>
          <w:b/>
        </w:rPr>
        <w:t xml:space="preserve">Gesichert (registrierte Studien, Stand Oktober 2026):</w:t>
      </w:r>
    </w:p>
    <w:p>
      <w:pPr>
        <w:numPr>
          <w:ilvl w:val="0"/>
          <w:numId w:val="1090"/>
        </w:numPr>
        <w:pStyle w:val="Compact"/>
      </w:pPr>
      <w:r>
        <w:rPr>
          <w:bCs/>
          <w:b/>
        </w:rPr>
        <w:t xml:space="preserve">AMAZE 1</w:t>
      </w:r>
      <w:r>
        <w:rPr>
          <w:rStyle w:val="FootnoteReference"/>
        </w:rPr>
        <w:footnoteReference w:id="719"/>
      </w:r>
      <w:r>
        <w:t xml:space="preserve">: Phase 3 mit 1.150 Erwachsenen mit Übergewicht/Adipositas, Spritzenform.</w:t>
      </w:r>
    </w:p>
    <w:p>
      <w:pPr>
        <w:numPr>
          <w:ilvl w:val="0"/>
          <w:numId w:val="1090"/>
        </w:numPr>
        <w:pStyle w:val="Compact"/>
      </w:pPr>
      <w:r>
        <w:rPr>
          <w:bCs/>
          <w:b/>
        </w:rPr>
        <w:t xml:space="preserve">AMAZE 2</w:t>
      </w:r>
      <w:r>
        <w:rPr>
          <w:rStyle w:val="FootnoteReference"/>
        </w:rPr>
        <w:footnoteReference w:id="720"/>
      </w:r>
      <w:r>
        <w:t xml:space="preserve">: Übergewicht mit Typ-2-Diabetes.</w:t>
      </w:r>
    </w:p>
    <w:p>
      <w:pPr>
        <w:numPr>
          <w:ilvl w:val="0"/>
          <w:numId w:val="1090"/>
        </w:numPr>
        <w:pStyle w:val="Compact"/>
      </w:pPr>
      <w:r>
        <w:rPr>
          <w:bCs/>
          <w:b/>
        </w:rPr>
        <w:t xml:space="preserve">AMAZE 3 und 4</w:t>
      </w:r>
      <w:r>
        <w:rPr>
          <w:rStyle w:val="FootnoteReference"/>
        </w:rPr>
        <w:footnoteReference w:id="721"/>
      </w:r>
      <w:r>
        <w:t xml:space="preserve">: Schlafapnoe ohne bzw. mit Atemmaskentherapie.</w:t>
      </w:r>
    </w:p>
    <w:p>
      <w:pPr>
        <w:numPr>
          <w:ilvl w:val="0"/>
          <w:numId w:val="1090"/>
        </w:numPr>
        <w:pStyle w:val="Compact"/>
      </w:pPr>
      <w:r>
        <w:rPr>
          <w:bCs/>
          <w:b/>
        </w:rPr>
        <w:t xml:space="preserve">AMAZE 6</w:t>
      </w:r>
      <w:r>
        <w:rPr>
          <w:rStyle w:val="FootnoteReference"/>
        </w:rPr>
        <w:footnoteReference w:id="722"/>
      </w:r>
      <w:r>
        <w:t xml:space="preserve"> </w:t>
      </w:r>
      <w:r>
        <w:t xml:space="preserve">und eine weitere Studie</w:t>
      </w:r>
      <w:r>
        <w:rPr>
          <w:rStyle w:val="FootnoteReference"/>
        </w:rPr>
        <w:footnoteReference w:id="723"/>
      </w:r>
      <w:r>
        <w:t xml:space="preserve">: Kniearthrose.</w:t>
      </w:r>
    </w:p>
    <w:p>
      <w:pPr>
        <w:numPr>
          <w:ilvl w:val="0"/>
          <w:numId w:val="1090"/>
        </w:numPr>
        <w:pStyle w:val="Compact"/>
      </w:pPr>
      <w:r>
        <w:rPr>
          <w:bCs/>
          <w:b/>
        </w:rPr>
        <w:t xml:space="preserve">AMAZE 9</w:t>
      </w:r>
      <w:r>
        <w:rPr>
          <w:rStyle w:val="FootnoteReference"/>
        </w:rPr>
        <w:footnoteReference w:id="724"/>
      </w:r>
      <w:r>
        <w:t xml:space="preserve">: Tablettenform bei Übergewicht.</w:t>
      </w:r>
    </w:p>
    <w:p>
      <w:pPr>
        <w:numPr>
          <w:ilvl w:val="0"/>
          <w:numId w:val="1090"/>
        </w:numPr>
        <w:pStyle w:val="Compact"/>
      </w:pPr>
      <w:r>
        <w:rPr>
          <w:bCs/>
          <w:b/>
        </w:rPr>
        <w:t xml:space="preserve">AMAZE 12</w:t>
      </w:r>
      <w:r>
        <w:rPr>
          <w:rStyle w:val="FootnoteReference"/>
        </w:rPr>
        <w:footnoteReference w:id="725"/>
      </w:r>
      <w:r>
        <w:t xml:space="preserve">: Gewichtserhalt nach Abnahme.</w:t>
      </w:r>
    </w:p>
    <w:p>
      <w:pPr>
        <w:numPr>
          <w:ilvl w:val="0"/>
          <w:numId w:val="1090"/>
        </w:numPr>
        <w:pStyle w:val="Compact"/>
      </w:pPr>
      <w:r>
        <w:t xml:space="preserve">Vergleich mit Semaglutid (NCT07668414; bei Typ-2-Diabetes NCT07400107) und mit Insulin glargin bei Typ-2-Diabetes (NCT07797335, AMBITION 7).</w:t>
      </w:r>
    </w:p>
    <w:p>
      <w:pPr>
        <w:numPr>
          <w:ilvl w:val="0"/>
          <w:numId w:val="1090"/>
        </w:numPr>
        <w:pStyle w:val="Compact"/>
      </w:pPr>
      <w:r>
        <w:t xml:space="preserve">Endpunktstudien: Herzinsuffizienz mit Adipositas (NCT07567001, 5.610 Teilnehmende) und Herz-Kreislauf-Ereignisse bei Arteriosklerose (NCT07861100, 8.500 Teilnehmende geplant).</w:t>
      </w:r>
    </w:p>
    <w:p>
      <w:pPr>
        <w:pStyle w:val="FirstParagraph"/>
      </w:pPr>
      <w:r>
        <w:rPr>
          <w:bCs/>
          <w:b/>
        </w:rPr>
        <w:t xml:space="preserve">Einschätzung:</w:t>
      </w:r>
      <w:r>
        <w:t xml:space="preserve"> </w:t>
      </w:r>
      <w:r>
        <w:t xml:space="preserve">Novo Nordisk setzt mit diesem breiten Phase-3-Programm erkennbar darauf, Amycretin/Zenagamtid zum Nachfolger von Semaglutid zu machen. Ergebnisse der ersten Phase-3-Studien sind frühestens 2027 zu erwarten, eine Zulassung kaum vor 2028. Ob die beeindruckenden Zahlen der kleinen Phase-1b/2a-Studie in großen Studien Bestand haben, ist offen.</w:t>
      </w:r>
    </w:p>
    <w:bookmarkEnd w:id="726"/>
    <w:bookmarkStart w:id="727" w:name="fazit-9"/>
    <w:p>
      <w:pPr>
        <w:pStyle w:val="Heading3"/>
      </w:pPr>
      <w:r>
        <w:t xml:space="preserve">Fazit</w:t>
      </w:r>
    </w:p>
    <w:p>
      <w:pPr>
        <w:pStyle w:val="FirstParagraph"/>
      </w:pPr>
      <w:r>
        <w:t xml:space="preserve">Amycretin – seit 2026 Zenagamtid – ist ein einzelnes Peptid, das GLP-1- und Amylin-Rezeptoren gleichzeitig aktiviert, und wird als Spritze und als Tablette entwickelt. In einer kleinen Phase-1b/2a-Studie sank das Gewicht nach 36 Wochen um bis zu 24,3 %; in Phase-2-Studien bei Typ-2-Diabetes sank der HbA1c-Wert um bis zu 1,7 Prozentpunkte. Die häufigsten Nebenwirkungen betreffen den Magen-Darm-Trakt. Die Phase-3-Studien haben 2026 begonnen; bis zu einer möglichen Zulassung ist Zenagamtid ein reines Prüfpräparat, und Graumarktware ist kein Ersatz.</w:t>
      </w:r>
    </w:p>
    <w:bookmarkEnd w:id="727"/>
    <w:bookmarkEnd w:id="728"/>
    <w:bookmarkStart w:id="760" w:name="maridebart-cafraglutid-maritide"/>
    <w:p>
      <w:pPr>
        <w:pStyle w:val="Heading2"/>
      </w:pPr>
      <w:r>
        <w:t xml:space="preserve">Maridebart Cafraglutid (MariTide)</w:t>
      </w:r>
    </w:p>
    <w:bookmarkStart w:id="729" w:name="steckbrief-10"/>
    <w:p>
      <w:pPr>
        <w:pStyle w:val="Heading3"/>
      </w:pPr>
      <w:r>
        <w:t xml:space="preserve">Steckbrief</w:t>
      </w:r>
    </w:p>
    <w:p>
      <w:pPr>
        <w:numPr>
          <w:ilvl w:val="0"/>
          <w:numId w:val="1091"/>
        </w:numPr>
        <w:pStyle w:val="Compact"/>
      </w:pPr>
      <w:r>
        <w:rPr>
          <w:bCs/>
          <w:b/>
        </w:rPr>
        <w:t xml:space="preserve">Art/Struktur:</w:t>
      </w:r>
      <w:r>
        <w:t xml:space="preserve"> </w:t>
      </w:r>
      <w:r>
        <w:t xml:space="preserve">ein sogenanntes Antikörper-Peptid-Konjugat. Ein vollständig menschlicher monoklonaler Antikörper ist über kurze Aminosäure-Verbindungsstücke mit zwei GLP-1-ähnlichen Peptiden verknüpft. Streng genommen ist MariTide also kein reines Peptid, sondern ein Hybrid aus Antikörper und Peptid. Entwicklungscode AMG 133, Kurzname MariTide.</w:t>
      </w:r>
    </w:p>
    <w:p>
      <w:pPr>
        <w:numPr>
          <w:ilvl w:val="0"/>
          <w:numId w:val="1091"/>
        </w:numPr>
        <w:pStyle w:val="Compact"/>
      </w:pPr>
      <w:r>
        <w:rPr>
          <w:bCs/>
          <w:b/>
        </w:rPr>
        <w:t xml:space="preserve">Herkunft:</w:t>
      </w:r>
      <w:r>
        <w:t xml:space="preserve"> </w:t>
      </w:r>
      <w:r>
        <w:t xml:space="preserve">entwickelt von Amgen.</w:t>
      </w:r>
    </w:p>
    <w:p>
      <w:pPr>
        <w:numPr>
          <w:ilvl w:val="0"/>
          <w:numId w:val="1091"/>
        </w:numPr>
        <w:pStyle w:val="Compact"/>
      </w:pPr>
      <w:r>
        <w:rPr>
          <w:bCs/>
          <w:b/>
        </w:rPr>
        <w:t xml:space="preserve">Wirkprinzip:</w:t>
      </w:r>
      <w:r>
        <w:t xml:space="preserve"> </w:t>
      </w:r>
      <w:r>
        <w:t xml:space="preserve">Der GLP-1-Anteil</w:t>
      </w:r>
      <w:r>
        <w:t xml:space="preserve"> </w:t>
      </w:r>
      <w:r>
        <w:rPr>
          <w:bCs/>
          <w:b/>
        </w:rPr>
        <w:t xml:space="preserve">aktiviert</w:t>
      </w:r>
      <w:r>
        <w:t xml:space="preserve"> </w:t>
      </w:r>
      <w:r>
        <w:t xml:space="preserve">den GLP-1-Rezeptor, der Antikörper</w:t>
      </w:r>
      <w:r>
        <w:t xml:space="preserve"> </w:t>
      </w:r>
      <w:r>
        <w:rPr>
          <w:bCs/>
          <w:b/>
        </w:rPr>
        <w:t xml:space="preserve">blockiert</w:t>
      </w:r>
      <w:r>
        <w:t xml:space="preserve"> </w:t>
      </w:r>
      <w:r>
        <w:t xml:space="preserve">den GIP-Rezeptor (GIPR-Antagonist). Das ist das Gegenteil von Tirzepatid, das den GIP-Rezeptor aktiviert.</w:t>
      </w:r>
    </w:p>
    <w:p>
      <w:pPr>
        <w:numPr>
          <w:ilvl w:val="0"/>
          <w:numId w:val="1091"/>
        </w:numPr>
        <w:pStyle w:val="Compact"/>
      </w:pPr>
      <w:r>
        <w:rPr>
          <w:bCs/>
          <w:b/>
        </w:rPr>
        <w:t xml:space="preserve">Besonderheit:</w:t>
      </w:r>
      <w:r>
        <w:t xml:space="preserve"> </w:t>
      </w:r>
      <w:r>
        <w:t xml:space="preserve">Durch den Antikörper-Anteil wirkt MariTide sehr lange; untersucht wird eine Gabe alle vier Wochen oder seltener.</w:t>
      </w:r>
    </w:p>
    <w:p>
      <w:pPr>
        <w:numPr>
          <w:ilvl w:val="0"/>
          <w:numId w:val="1091"/>
        </w:numPr>
        <w:pStyle w:val="Compact"/>
      </w:pPr>
      <w:r>
        <w:rPr>
          <w:bCs/>
          <w:b/>
        </w:rPr>
        <w:t xml:space="preserve">Zulassung EU / USA:</w:t>
      </w:r>
      <w:r>
        <w:t xml:space="preserve"> </w:t>
      </w:r>
      <w:r>
        <w:t xml:space="preserve">nein (Stand Oktober 2026).</w:t>
      </w:r>
    </w:p>
    <w:p>
      <w:pPr>
        <w:numPr>
          <w:ilvl w:val="0"/>
          <w:numId w:val="1091"/>
        </w:numPr>
        <w:pStyle w:val="Compact"/>
      </w:pPr>
      <w:r>
        <w:rPr>
          <w:bCs/>
          <w:b/>
        </w:rPr>
        <w:t xml:space="preserve">WADA:</w:t>
      </w:r>
      <w:r>
        <w:t xml:space="preserve"> </w:t>
      </w:r>
      <w:r>
        <w:t xml:space="preserve">als nicht zugelassene Substanz unter S0 verboten.</w:t>
      </w:r>
    </w:p>
    <w:p>
      <w:pPr>
        <w:numPr>
          <w:ilvl w:val="0"/>
          <w:numId w:val="1091"/>
        </w:numPr>
        <w:pStyle w:val="Compact"/>
      </w:pPr>
      <w:r>
        <w:rPr>
          <w:bCs/>
          <w:b/>
        </w:rPr>
        <w:t xml:space="preserve">Evidenzstufe:</w:t>
      </w:r>
      <w:r>
        <w:t xml:space="preserve"> </w:t>
      </w:r>
      <w:r>
        <w:rPr>
          <w:bCs/>
          <w:b/>
        </w:rPr>
        <w:t xml:space="preserve">B</w:t>
      </w:r>
      <w:r>
        <w:t xml:space="preserve"> </w:t>
      </w:r>
      <w:r>
        <w:t xml:space="preserve">– eine große randomisierte Phase-2-Studie, Phase 3 läuft.</w:t>
      </w:r>
    </w:p>
    <w:bookmarkEnd w:id="729"/>
    <w:bookmarkStart w:id="733" w:name="wie-es-wirken-soll-10"/>
    <w:p>
      <w:pPr>
        <w:pStyle w:val="Heading3"/>
      </w:pPr>
      <w:r>
        <w:t xml:space="preserve">Wie es wirken soll</w:t>
      </w:r>
    </w:p>
    <w:p>
      <w:pPr>
        <w:pStyle w:val="FirstParagraph"/>
      </w:pPr>
      <w:r>
        <w:t xml:space="preserve">Bei GIP gibt es ein bemerkenswertes Paradox. Tirzepatid</w:t>
      </w:r>
      <w:r>
        <w:t xml:space="preserve"> </w:t>
      </w:r>
      <w:r>
        <w:rPr>
          <w:iCs/>
          <w:i/>
        </w:rPr>
        <w:t xml:space="preserve">aktiviert</w:t>
      </w:r>
      <w:r>
        <w:t xml:space="preserve"> </w:t>
      </w:r>
      <w:r>
        <w:t xml:space="preserve">den GIP-Rezeptor und erreicht damit zusammen mit GLP-1 einen starken Gewichtsverlust. Gleichzeitig zeigten genetische Studien und Mausversuche, dass auch das</w:t>
      </w:r>
      <w:r>
        <w:t xml:space="preserve"> </w:t>
      </w:r>
      <w:r>
        <w:rPr>
          <w:iCs/>
          <w:i/>
        </w:rPr>
        <w:t xml:space="preserve">Blockieren</w:t>
      </w:r>
      <w:r>
        <w:t xml:space="preserve"> </w:t>
      </w:r>
      <w:r>
        <w:t xml:space="preserve">des GIP-Rezeptors vor Übergewicht schützen kann. Eine mögliche Erklärung: Eine Daueraktivierung des Rezeptors führt dazu, dass die Zelle ihn abschaltet – im Endeffekt ähnelt sie dann einer Blockade. Endgültig geklärt ist das nicht; eine Vergleichsstudie an Mäusen fand, dass beide Ansätze bei Übergewicht Nahrungsaufnahme und Gewicht senkten, sich aber in ihren Stoffwechselwirkungen unterschieden: Der GIP-Agonist verbesserte die Glukosetoleranz, der Antagonist verringerte eher die Insulinempfindlichkeit</w:t>
      </w:r>
      <w:r>
        <w:rPr>
          <w:rStyle w:val="FootnoteReference"/>
        </w:rPr>
        <w:footnoteReference w:id="730"/>
      </w:r>
      <w:r>
        <w:t xml:space="preserve">.</w:t>
      </w:r>
    </w:p>
    <w:p>
      <w:pPr>
        <w:pStyle w:val="BodyText"/>
      </w:pPr>
      <w:r>
        <w:t xml:space="preserve">Amgen setzt auf die Blockade. Der Antikörper gegen den GIP-Rezeptor sorgt gleichzeitig dafür, dass das Molekül sehr lange im Blut bleibt – Antikörper werden langsam abgebaut. Bei übergewichtigen Mäusen und Affen senkte AMG 133 das Körpergewicht und verbesserte Stoffwechselwerte</w:t>
      </w:r>
      <w:r>
        <w:rPr>
          <w:rStyle w:val="FootnoteReference"/>
        </w:rPr>
        <w:footnoteReference w:id="731"/>
      </w:r>
      <w:r>
        <w:t xml:space="preserve">. Die chemische Entwicklung bis zum fertigen Molekül ist 2026 beschrieben worden</w:t>
      </w:r>
      <w:r>
        <w:rPr>
          <w:rStyle w:val="FootnoteReference"/>
        </w:rPr>
        <w:footnoteReference w:id="732"/>
      </w:r>
      <w:r>
        <w:t xml:space="preserve">.</w:t>
      </w:r>
    </w:p>
    <w:bookmarkEnd w:id="733"/>
    <w:bookmarkStart w:id="738" w:name="studien-am-menschen-1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 Humanstudien: eine Phase-1- und eine Phase-2-Studie. Auf ClinicalTrials.gov waren 28 Studien registriert, darunter das Phase-3-Programm</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(Véniant 2024), PMID 38316982</w:t>
            </w:r>
          </w:p>
        </w:tc>
        <w:tc>
          <w:tcPr/>
          <w:p>
            <w:pPr>
              <w:pStyle w:val="Compact"/>
              <w:jc w:val="left"/>
            </w:pPr>
            <w:r>
              <w:t xml:space="preserve">Erwachsene mit Adipositas, Einzel- und Mehrfachdosen gegen Placebo</w:t>
            </w:r>
          </w:p>
        </w:tc>
        <w:tc>
          <w:tcPr/>
          <w:p>
            <w:pPr>
              <w:pStyle w:val="Compact"/>
              <w:jc w:val="left"/>
            </w:pPr>
            <w:r>
              <w:t xml:space="preserve">Einzel- und Mehrfachgabe mit Nachbeobachtung</w:t>
            </w:r>
          </w:p>
        </w:tc>
        <w:tc>
          <w:tcPr/>
          <w:p>
            <w:pPr>
              <w:pStyle w:val="Compact"/>
              <w:jc w:val="left"/>
            </w:pPr>
            <w:r>
              <w:t xml:space="preserve">dosisabhängiger Gewichtsverlust, bis 150 Tage nach letzter Dosis anhaltend</w:t>
            </w:r>
          </w:p>
        </w:tc>
      </w:tr>
      <w:tr>
        <w:tc>
          <w:tcPr/>
          <w:p>
            <w:pPr>
              <w:pStyle w:val="Compact"/>
              <w:jc w:val="left"/>
            </w:pPr>
            <w:r>
              <w:t xml:space="preserve">Phase 2 (Jastreboff 2025), PMID 40549887</w:t>
            </w:r>
          </w:p>
        </w:tc>
        <w:tc>
          <w:tcPr/>
          <w:p>
            <w:pPr>
              <w:pStyle w:val="Compact"/>
              <w:jc w:val="left"/>
            </w:pPr>
            <w:r>
              <w:t xml:space="preserve">592 Erwachsene mit Adipositas, mit oder ohne Typ-2-Diabetes; gegen Placebo</w:t>
            </w:r>
          </w:p>
        </w:tc>
        <w:tc>
          <w:tcPr/>
          <w:p>
            <w:pPr>
              <w:pStyle w:val="Compact"/>
              <w:jc w:val="left"/>
            </w:pPr>
            <w:r>
              <w:t xml:space="preserve">52 Wochen</w:t>
            </w:r>
          </w:p>
        </w:tc>
        <w:tc>
          <w:tcPr/>
          <w:p>
            <w:pPr>
              <w:pStyle w:val="Compact"/>
              <w:jc w:val="left"/>
            </w:pPr>
            <w:r>
              <w:t xml:space="preserve">ohne Diabetes −12,3 bis −16,2 % vs. −2,5 %; mit Diabetes −8,4 bis −12,3 % vs. −1,7 %</w:t>
            </w:r>
          </w:p>
        </w:tc>
      </w:tr>
    </w:tbl>
    <w:bookmarkStart w:id="735" w:name="phase-1"/>
    <w:p>
      <w:pPr>
        <w:pStyle w:val="Heading4"/>
      </w:pPr>
      <w:r>
        <w:t xml:space="preserve">Phase 1</w:t>
      </w:r>
    </w:p>
    <w:p>
      <w:pPr>
        <w:pStyle w:val="FirstParagraph"/>
      </w:pPr>
      <w:r>
        <w:t xml:space="preserve">In der ersten Studie am Menschen</w:t>
      </w:r>
      <w:r>
        <w:rPr>
          <w:rStyle w:val="FootnoteReference"/>
        </w:rPr>
        <w:footnoteReference w:id="734"/>
      </w:r>
      <w:r>
        <w:t xml:space="preserve"> </w:t>
      </w:r>
      <w:r>
        <w:t xml:space="preserve">zeigte AMG 133 einen dosisabhängigen Gewichtsverlust bei akzeptabler Verträglichkeit. Auffällig war die lange Wirkdauer: In den Gruppen mit Mehrfachgabe hielt der Gewichtsverlust bis zu 150 Tage nach der letzten Dosis an.</w:t>
      </w:r>
    </w:p>
    <w:bookmarkEnd w:id="735"/>
    <w:bookmarkStart w:id="737" w:name="phase-2"/>
    <w:p>
      <w:pPr>
        <w:pStyle w:val="Heading4"/>
      </w:pPr>
      <w:r>
        <w:t xml:space="preserve">Phase 2</w:t>
      </w:r>
    </w:p>
    <w:p>
      <w:pPr>
        <w:pStyle w:val="FirstParagraph"/>
      </w:pPr>
      <w:r>
        <w:t xml:space="preserve">Die Phase-2-Studie</w:t>
      </w:r>
      <w:r>
        <w:rPr>
          <w:rStyle w:val="FootnoteReference"/>
        </w:rPr>
        <w:footnoteReference w:id="736"/>
      </w:r>
      <w:r>
        <w:t xml:space="preserve"> </w:t>
      </w:r>
      <w:r>
        <w:t xml:space="preserve">war breit angelegt: elf Gruppen in zwei Kohorten mit verschiedenen Dosen, Dosierintervallen (alle vier oder acht Wochen) und mit oder ohne langsame Aufdosierung.</w:t>
      </w:r>
    </w:p>
    <w:p>
      <w:pPr>
        <w:numPr>
          <w:ilvl w:val="0"/>
          <w:numId w:val="1092"/>
        </w:numPr>
        <w:pStyle w:val="Compact"/>
      </w:pPr>
      <w:r>
        <w:rPr>
          <w:bCs/>
          <w:b/>
        </w:rPr>
        <w:t xml:space="preserve">Ohne Diabetes</w:t>
      </w:r>
      <w:r>
        <w:t xml:space="preserve"> </w:t>
      </w:r>
      <w:r>
        <w:t xml:space="preserve">(465 Teilnehmende, mittlerer BMI 37,9): Nach 52 Wochen betrug der Gewichtsverlust je nach Gruppe 12,3 bis 16,2 %, unter Placebo 2,5 %. Diese Auswertung berücksichtigt alle Teilnehmenden unabhängig von Behandlungsabbrüchen.</w:t>
      </w:r>
    </w:p>
    <w:p>
      <w:pPr>
        <w:numPr>
          <w:ilvl w:val="0"/>
          <w:numId w:val="1092"/>
        </w:numPr>
        <w:pStyle w:val="Compact"/>
      </w:pPr>
      <w:r>
        <w:rPr>
          <w:bCs/>
          <w:b/>
        </w:rPr>
        <w:t xml:space="preserve">Mit Typ-2-Diabetes</w:t>
      </w:r>
      <w:r>
        <w:t xml:space="preserve"> </w:t>
      </w:r>
      <w:r>
        <w:t xml:space="preserve">(127 Teilnehmende): Gewichtsverlust 8,4 bis 12,3 % gegenüber 1,7 %; der HbA1c-Wert sank um 1,2 bis 1,6 Prozentpunkte (Placebo +0,1).</w:t>
      </w:r>
    </w:p>
    <w:p>
      <w:pPr>
        <w:pStyle w:val="FirstParagraph"/>
      </w:pPr>
      <w:r>
        <w:t xml:space="preserve">Magen-Darm-Nebenwirkungen waren häufig, aber seltener, wenn mit einer niedrigeren Dosis begonnen und langsam gesteigert wurde. Unerwartete Sicherheitssignale traten laut den Autorinnen und Autoren nicht auf. Ein Gewichtsverlust von rund 16 % nach einem Jahr liegt im Bereich von Semaglutid, aber unter dem von Tirzepatid. Der mögliche Vorteil von MariTide ist daher weniger das Ausmaß der Abnahme als die seltene Gabe.</w:t>
      </w:r>
    </w:p>
    <w:bookmarkEnd w:id="737"/>
    <w:bookmarkEnd w:id="738"/>
    <w:bookmarkStart w:id="741" w:name="tier--und-laborstudien-10"/>
    <w:p>
      <w:pPr>
        <w:pStyle w:val="Heading3"/>
      </w:pPr>
      <w:r>
        <w:t xml:space="preserve">Tier- und Laborstudien</w:t>
      </w:r>
    </w:p>
    <w:p>
      <w:pPr>
        <w:pStyle w:val="FirstParagraph"/>
      </w:pPr>
      <w:r>
        <w:t xml:space="preserve">In Zellsystemen wurde bestätigt, dass AMG 133 den GIP-Rezeptor blockiert und den GLP-1-Rezeptor aktiviert. Bei übergewichtigen Mäusen und Javaneraffen verringerte es das Körpergewicht und verbesserte Stoffwechselmarker</w:t>
      </w:r>
      <w:r>
        <w:rPr>
          <w:rStyle w:val="FootnoteReference"/>
        </w:rPr>
        <w:footnoteReference w:id="739"/>
      </w:r>
      <w:r>
        <w:t xml:space="preserve">. Vergleichende Mausstudien zur GIP-Blockade gegenüber GIP-Aktivierung zeigen unterschiedliche Effekte auf Insulinempfindlichkeit und Fettgewebe</w:t>
      </w:r>
      <w:r>
        <w:rPr>
          <w:rStyle w:val="FootnoteReference"/>
        </w:rPr>
        <w:footnoteReference w:id="740"/>
      </w:r>
      <w:r>
        <w:t xml:space="preserve">. Alle diese Befunde stammen aus Tierversuchen.</w:t>
      </w:r>
    </w:p>
    <w:bookmarkEnd w:id="741"/>
    <w:bookmarkStart w:id="745" w:name="risiken-und-nebenwirkungen-10"/>
    <w:p>
      <w:pPr>
        <w:pStyle w:val="Heading3"/>
      </w:pPr>
      <w:r>
        <w:t xml:space="preserve">Risiken und Nebenwirkungen</w:t>
      </w:r>
    </w:p>
    <w:p>
      <w:pPr>
        <w:pStyle w:val="FirstParagraph"/>
      </w:pPr>
      <w:r>
        <w:rPr>
          <w:bCs/>
          <w:b/>
        </w:rPr>
        <w:t xml:space="preserve">Belegt aus Studien:</w:t>
      </w:r>
    </w:p>
    <w:p>
      <w:pPr>
        <w:numPr>
          <w:ilvl w:val="0"/>
          <w:numId w:val="1093"/>
        </w:numPr>
        <w:pStyle w:val="Compact"/>
      </w:pPr>
      <w:r>
        <w:rPr>
          <w:bCs/>
          <w:b/>
        </w:rPr>
        <w:t xml:space="preserve">Magen-Darm-Beschwerden</w:t>
      </w:r>
      <w:r>
        <w:t xml:space="preserve"> </w:t>
      </w:r>
      <w:r>
        <w:t xml:space="preserve">(Übelkeit, Erbrechen) waren in der Phase-2-Studie häufig, vor allem bei hoher Startdosis ohne Aufdosierung</w:t>
      </w:r>
      <w:r>
        <w:rPr>
          <w:rStyle w:val="FootnoteReference"/>
        </w:rPr>
        <w:footnoteReference w:id="742"/>
      </w:r>
      <w:r>
        <w:t xml:space="preserve">. Genaue Prozentangaben sind in der Zusammenfassung nicht enthalten.</w:t>
      </w:r>
    </w:p>
    <w:p>
      <w:pPr>
        <w:pStyle w:val="FirstParagraph"/>
      </w:pPr>
      <w:r>
        <w:rPr>
          <w:bCs/>
          <w:b/>
        </w:rPr>
        <w:t xml:space="preserve">Spezifische offene Fragen:</w:t>
      </w:r>
    </w:p>
    <w:p>
      <w:pPr>
        <w:numPr>
          <w:ilvl w:val="0"/>
          <w:numId w:val="1094"/>
        </w:numPr>
        <w:pStyle w:val="Compact"/>
      </w:pPr>
      <w:r>
        <w:rPr>
          <w:bCs/>
          <w:b/>
        </w:rPr>
        <w:t xml:space="preserve">Lange Wirkdauer:</w:t>
      </w:r>
      <w:r>
        <w:t xml:space="preserve"> </w:t>
      </w:r>
      <w:r>
        <w:t xml:space="preserve">Was bei vielen Patientinnen und Patienten als Vorteil gilt, ist bei Nebenwirkungen ein Nachteil: Ein Medikament, das monatelang im Körper bleibt, lässt sich nicht rasch absetzen. In der Phase-1-Studie hielt die Wirkung bis zu 150 Tage nach der letzten Dosis an</w:t>
      </w:r>
      <w:r>
        <w:rPr>
          <w:rStyle w:val="FootnoteReference"/>
        </w:rPr>
        <w:footnoteReference w:id="743"/>
      </w:r>
      <w:r>
        <w:t xml:space="preserve">. Das ist etwa bei einer ungeplanten Schwangerschaft oder vor Operationen relevant.</w:t>
      </w:r>
    </w:p>
    <w:p>
      <w:pPr>
        <w:numPr>
          <w:ilvl w:val="0"/>
          <w:numId w:val="1094"/>
        </w:numPr>
        <w:pStyle w:val="Compact"/>
      </w:pPr>
      <w:r>
        <w:rPr>
          <w:bCs/>
          <w:b/>
        </w:rPr>
        <w:t xml:space="preserve">GIP-Blockade:</w:t>
      </w:r>
      <w:r>
        <w:t xml:space="preserve"> </w:t>
      </w:r>
      <w:r>
        <w:t xml:space="preserve">Welche Langzeitfolgen eine dauerhafte Blockade des GIP-Rezeptors hat – etwa auf Knochen, Fettgewebe oder Insulinempfindlichkeit –, ist beim Menschen unbekannt. In Mausstudien verringerte ein GIP-Antagonist die Insulinempfindlichkeit im Vergleich zu Kontrolltieren mit gleicher Futtermenge</w:t>
      </w:r>
      <w:r>
        <w:rPr>
          <w:rStyle w:val="FootnoteReference"/>
        </w:rPr>
        <w:footnoteReference w:id="744"/>
      </w:r>
      <w:r>
        <w:t xml:space="preserve">.</w:t>
      </w:r>
    </w:p>
    <w:p>
      <w:pPr>
        <w:numPr>
          <w:ilvl w:val="0"/>
          <w:numId w:val="1094"/>
        </w:numPr>
        <w:pStyle w:val="Compact"/>
      </w:pPr>
      <w:r>
        <w:rPr>
          <w:bCs/>
          <w:b/>
        </w:rPr>
        <w:t xml:space="preserve">Antikörperbildung:</w:t>
      </w:r>
      <w:r>
        <w:t xml:space="preserve"> </w:t>
      </w:r>
      <w:r>
        <w:t xml:space="preserve">Bei Antikörper-basierten Medikamenten kann das Immunsystem Antikörper gegen das Medikament bilden. Daten dazu aus großen Studien stehen aus.</w:t>
      </w:r>
    </w:p>
    <w:p>
      <w:pPr>
        <w:numPr>
          <w:ilvl w:val="0"/>
          <w:numId w:val="1094"/>
        </w:numPr>
        <w:pStyle w:val="Compact"/>
      </w:pPr>
      <w:r>
        <w:t xml:space="preserve">Die bekannten Klassenrisiken der GLP-1-Medikamente (Gallenblase, Bauchspeicheldrüse) sind für MariTide noch nicht ausreichend untersucht.</w:t>
      </w:r>
    </w:p>
    <w:bookmarkEnd w:id="745"/>
    <w:bookmarkStart w:id="746" w:name="rechtslage-10"/>
    <w:p>
      <w:pPr>
        <w:pStyle w:val="Heading3"/>
      </w:pPr>
      <w:r>
        <w:t xml:space="preserve">Rechtslage</w:t>
      </w:r>
    </w:p>
    <w:p>
      <w:pPr>
        <w:numPr>
          <w:ilvl w:val="0"/>
          <w:numId w:val="1095"/>
        </w:numPr>
        <w:pStyle w:val="Compact"/>
      </w:pPr>
      <w:r>
        <w:rPr>
          <w:bCs/>
          <w:b/>
        </w:rPr>
        <w:t xml:space="preserve">EU / Österreich / Deutschland:</w:t>
      </w:r>
      <w:r>
        <w:t xml:space="preserve"> </w:t>
      </w:r>
      <w:r>
        <w:t xml:space="preserve">nicht zugelassen; Anwendung nur in klinischen Studien. Da es sich um ein komplexes biotechnologisches Produkt handelt, ist eine Nachahmung auf dem Graumarkt deutlich schwieriger als bei kleinen Peptiden.</w:t>
      </w:r>
    </w:p>
    <w:p>
      <w:pPr>
        <w:numPr>
          <w:ilvl w:val="0"/>
          <w:numId w:val="1095"/>
        </w:numPr>
        <w:pStyle w:val="Compact"/>
      </w:pPr>
      <w:r>
        <w:rPr>
          <w:bCs/>
          <w:b/>
        </w:rPr>
        <w:t xml:space="preserve">USA:</w:t>
      </w:r>
      <w:r>
        <w:t xml:space="preserve"> </w:t>
      </w:r>
      <w:r>
        <w:t xml:space="preserve">nicht zugelassen.</w:t>
      </w:r>
    </w:p>
    <w:p>
      <w:pPr>
        <w:numPr>
          <w:ilvl w:val="0"/>
          <w:numId w:val="1095"/>
        </w:numPr>
        <w:pStyle w:val="Compact"/>
      </w:pPr>
      <w:r>
        <w:rPr>
          <w:bCs/>
          <w:b/>
        </w:rPr>
        <w:t xml:space="preserve">Sport:</w:t>
      </w:r>
      <w:r>
        <w:t xml:space="preserve"> </w:t>
      </w:r>
      <w:r>
        <w:t xml:space="preserve">WADA-Klasse S0 (nicht zugelassene Substanz), Stand 2026, bitte aktuell prüfen.</w:t>
      </w:r>
    </w:p>
    <w:bookmarkEnd w:id="746"/>
    <w:bookmarkStart w:id="758" w:name="laufende-studien-und-ausblick-10"/>
    <w:p>
      <w:pPr>
        <w:pStyle w:val="Heading3"/>
      </w:pPr>
      <w:r>
        <w:t xml:space="preserve">Laufende Studien und Ausblick</w:t>
      </w:r>
    </w:p>
    <w:p>
      <w:pPr>
        <w:pStyle w:val="FirstParagraph"/>
      </w:pPr>
      <w:r>
        <w:rPr>
          <w:bCs/>
          <w:b/>
        </w:rPr>
        <w:t xml:space="preserve">Gesichert (registrierte Studien, Stand Oktober 2026):</w:t>
      </w:r>
    </w:p>
    <w:p>
      <w:pPr>
        <w:numPr>
          <w:ilvl w:val="0"/>
          <w:numId w:val="1096"/>
        </w:numPr>
        <w:pStyle w:val="Compact"/>
      </w:pPr>
      <w:r>
        <w:rPr>
          <w:bCs/>
          <w:b/>
        </w:rPr>
        <w:t xml:space="preserve">Gewichtsmanagement ohne Diabetes</w:t>
      </w:r>
      <w:r>
        <w:rPr>
          <w:rStyle w:val="FootnoteReference"/>
        </w:rPr>
        <w:footnoteReference w:id="747"/>
      </w:r>
      <w:r>
        <w:t xml:space="preserve">: Phase 3 mit 3.853 Teilnehmenden, geplantes Ende 2027.</w:t>
      </w:r>
    </w:p>
    <w:p>
      <w:pPr>
        <w:numPr>
          <w:ilvl w:val="0"/>
          <w:numId w:val="1096"/>
        </w:numPr>
        <w:pStyle w:val="Compact"/>
      </w:pPr>
      <w:r>
        <w:rPr>
          <w:bCs/>
          <w:b/>
        </w:rPr>
        <w:t xml:space="preserve">Gewichtsmanagement mit Typ-2-Diabetes</w:t>
      </w:r>
      <w:r>
        <w:rPr>
          <w:rStyle w:val="FootnoteReference"/>
        </w:rPr>
        <w:footnoteReference w:id="748"/>
      </w:r>
      <w:r>
        <w:t xml:space="preserve">: Phase 3 mit 1.105 Teilnehmenden.</w:t>
      </w:r>
    </w:p>
    <w:p>
      <w:pPr>
        <w:numPr>
          <w:ilvl w:val="0"/>
          <w:numId w:val="1096"/>
        </w:numPr>
        <w:pStyle w:val="Compact"/>
      </w:pPr>
      <w:r>
        <w:rPr>
          <w:bCs/>
          <w:b/>
        </w:rPr>
        <w:t xml:space="preserve">Herz-Kreislauf-Endpunktstudie</w:t>
      </w:r>
      <w:r>
        <w:rPr>
          <w:rStyle w:val="FootnoteReference"/>
        </w:rPr>
        <w:footnoteReference w:id="749"/>
      </w:r>
      <w:r>
        <w:t xml:space="preserve"> </w:t>
      </w:r>
      <w:r>
        <w:t xml:space="preserve">mit 12.800 Teilnehmenden und</w:t>
      </w:r>
      <w:r>
        <w:t xml:space="preserve"> </w:t>
      </w:r>
      <w:r>
        <w:rPr>
          <w:bCs/>
          <w:b/>
        </w:rPr>
        <w:t xml:space="preserve">Herzinsuffizienz-Studie</w:t>
      </w:r>
      <w:r>
        <w:rPr>
          <w:rStyle w:val="FootnoteReference"/>
        </w:rPr>
        <w:footnoteReference w:id="750"/>
      </w:r>
      <w:r>
        <w:t xml:space="preserve"> </w:t>
      </w:r>
      <w:r>
        <w:t xml:space="preserve">mit 5.056 Teilnehmenden, jeweils bis 2030.</w:t>
      </w:r>
    </w:p>
    <w:p>
      <w:pPr>
        <w:numPr>
          <w:ilvl w:val="0"/>
          <w:numId w:val="1096"/>
        </w:numPr>
        <w:pStyle w:val="Compact"/>
      </w:pPr>
      <w:r>
        <w:rPr>
          <w:bCs/>
          <w:b/>
        </w:rPr>
        <w:t xml:space="preserve">Schlafapnoe</w:t>
      </w:r>
      <w:r>
        <w:t xml:space="preserve"> </w:t>
      </w:r>
      <w:r>
        <w:t xml:space="preserve">ohne und mit Atemmaske</w:t>
      </w:r>
      <w:r>
        <w:rPr>
          <w:rStyle w:val="FootnoteReference"/>
        </w:rPr>
        <w:footnoteReference w:id="751"/>
      </w:r>
      <w:r>
        <w:t xml:space="preserve">.</w:t>
      </w:r>
    </w:p>
    <w:p>
      <w:pPr>
        <w:numPr>
          <w:ilvl w:val="0"/>
          <w:numId w:val="1096"/>
        </w:numPr>
        <w:pStyle w:val="Compact"/>
      </w:pPr>
      <w:r>
        <w:rPr>
          <w:bCs/>
          <w:b/>
        </w:rPr>
        <w:t xml:space="preserve">Vergleich mit Semaglutid</w:t>
      </w:r>
      <w:r>
        <w:t xml:space="preserve"> </w:t>
      </w:r>
      <w:r>
        <w:t xml:space="preserve">bei Typ-2-Diabetes</w:t>
      </w:r>
      <w:r>
        <w:rPr>
          <w:rStyle w:val="FootnoteReference"/>
        </w:rPr>
        <w:footnoteReference w:id="752"/>
      </w:r>
      <w:r>
        <w:t xml:space="preserve">, Umstieg von anderen GLP-1-Medikamenten</w:t>
      </w:r>
      <w:r>
        <w:rPr>
          <w:rStyle w:val="FootnoteReference"/>
        </w:rPr>
        <w:footnoteReference w:id="753"/>
      </w:r>
      <w:r>
        <w:t xml:space="preserve">, Japan</w:t>
      </w:r>
      <w:r>
        <w:rPr>
          <w:rStyle w:val="FootnoteReference"/>
        </w:rPr>
        <w:footnoteReference w:id="754"/>
      </w:r>
      <w:r>
        <w:t xml:space="preserve">, Fettleber (NCT07441252, Phase 2).</w:t>
      </w:r>
    </w:p>
    <w:p>
      <w:pPr>
        <w:numPr>
          <w:ilvl w:val="0"/>
          <w:numId w:val="1096"/>
        </w:numPr>
        <w:pStyle w:val="Compact"/>
      </w:pPr>
      <w:r>
        <w:t xml:space="preserve">Phase-1-Studien zu Magenentleerung</w:t>
      </w:r>
      <w:r>
        <w:rPr>
          <w:rStyle w:val="FootnoteReference"/>
        </w:rPr>
        <w:footnoteReference w:id="755"/>
      </w:r>
      <w:r>
        <w:t xml:space="preserve">, Herzrhythmus</w:t>
      </w:r>
      <w:r>
        <w:rPr>
          <w:rStyle w:val="FootnoteReference"/>
        </w:rPr>
        <w:footnoteReference w:id="756"/>
      </w:r>
      <w:r>
        <w:t xml:space="preserve"> </w:t>
      </w:r>
      <w:r>
        <w:t xml:space="preserve">und Wechselwirkungen mit der Pille</w:t>
      </w:r>
      <w:r>
        <w:rPr>
          <w:rStyle w:val="FootnoteReference"/>
        </w:rPr>
        <w:footnoteReference w:id="757"/>
      </w:r>
      <w:r>
        <w:t xml:space="preserve">.</w:t>
      </w:r>
    </w:p>
    <w:p>
      <w:pPr>
        <w:pStyle w:val="FirstParagraph"/>
      </w:pPr>
      <w:r>
        <w:rPr>
          <w:bCs/>
          <w:b/>
        </w:rPr>
        <w:t xml:space="preserve">Einschätzung:</w:t>
      </w:r>
      <w:r>
        <w:t xml:space="preserve"> </w:t>
      </w:r>
      <w:r>
        <w:t xml:space="preserve">MariTide steht für ein anderes Konzept als die Tirzepatid-Familie – weniger Spritzen statt maximaler Gewichtsabnahme. Für Menschen, die eine Dauerbehandlung brauchen, könnte eine monatliche oder noch seltenere Gabe die Therapietreue verbessern. Ob das Konzept der GIP-Blockade langfristig sicher ist, müssen die großen Phase-3-Studien zeigen. Eine Zulassung ist frühestens ab 2028 realistisch.</w:t>
      </w:r>
    </w:p>
    <w:bookmarkEnd w:id="758"/>
    <w:bookmarkStart w:id="759" w:name="fazit-10"/>
    <w:p>
      <w:pPr>
        <w:pStyle w:val="Heading3"/>
      </w:pPr>
      <w:r>
        <w:t xml:space="preserve">Fazit</w:t>
      </w:r>
    </w:p>
    <w:p>
      <w:pPr>
        <w:pStyle w:val="FirstParagraph"/>
      </w:pPr>
      <w:r>
        <w:t xml:space="preserve">Maridebart Cafraglutid ist ein Antikörper-Peptid-Konjugat, das den GLP-1-Rezeptor aktiviert und den GIP-Rezeptor blockiert, und wird nur einmal im Monat oder seltener gegeben. In der Phase-2-Studie sank das Körpergewicht nach 52 Wochen um bis zu 16,2 % ohne und um bis zu 12,3 % mit Typ-2-Diabetes. Magen-Darm-Beschwerden sind häufig und hängen stark von der Aufdosierung ab; die lange Wirkdauer ist Vorteil und Risiko zugleich. Das Phase-3-Programm mit Endpunktstudien zu Herz-Kreislauf-Erkrankungen und Herzinsuffizienz läuft.</w:t>
      </w:r>
    </w:p>
    <w:bookmarkEnd w:id="759"/>
    <w:bookmarkEnd w:id="760"/>
    <w:bookmarkStart w:id="792" w:name="pramlintid"/>
    <w:p>
      <w:pPr>
        <w:pStyle w:val="Heading2"/>
      </w:pPr>
      <w:r>
        <w:t xml:space="preserve">Pramlintid</w:t>
      </w:r>
    </w:p>
    <w:bookmarkStart w:id="761" w:name="steckbrief-11"/>
    <w:p>
      <w:pPr>
        <w:pStyle w:val="Heading3"/>
      </w:pPr>
      <w:r>
        <w:t xml:space="preserve">Steckbrief</w:t>
      </w:r>
    </w:p>
    <w:p>
      <w:pPr>
        <w:numPr>
          <w:ilvl w:val="0"/>
          <w:numId w:val="1097"/>
        </w:numPr>
        <w:pStyle w:val="Compact"/>
      </w:pPr>
      <w:r>
        <w:rPr>
          <w:bCs/>
          <w:b/>
        </w:rPr>
        <w:t xml:space="preserve">Art/Struktur:</w:t>
      </w:r>
      <w:r>
        <w:t xml:space="preserve"> </w:t>
      </w:r>
      <w:r>
        <w:t xml:space="preserve">synthetisches Analogon des menschlichen Hormons Amylin aus 37 Aminosäuren. An drei Stellen wurden Aminosäuren ausgetauscht (nach dem Vorbild des Ratten-Amylins), damit das Molekül nicht wie natürliches menschliches Amylin verklumpt. Es wirkt nur kurz und wird vor den Hauptmahlzeiten gespritzt.</w:t>
      </w:r>
    </w:p>
    <w:p>
      <w:pPr>
        <w:numPr>
          <w:ilvl w:val="0"/>
          <w:numId w:val="1097"/>
        </w:numPr>
        <w:pStyle w:val="Compact"/>
      </w:pPr>
      <w:r>
        <w:rPr>
          <w:bCs/>
          <w:b/>
        </w:rPr>
        <w:t xml:space="preserve">Herkunft:</w:t>
      </w:r>
      <w:r>
        <w:t xml:space="preserve"> </w:t>
      </w:r>
      <w:r>
        <w:t xml:space="preserve">entwickelt von Amylin Pharmaceuticals; heute Teil des Portfolios von AstraZeneca. Handelsname in den USA: Symlin.</w:t>
      </w:r>
    </w:p>
    <w:p>
      <w:pPr>
        <w:numPr>
          <w:ilvl w:val="0"/>
          <w:numId w:val="1097"/>
        </w:numPr>
        <w:pStyle w:val="Compact"/>
      </w:pPr>
      <w:r>
        <w:rPr>
          <w:bCs/>
          <w:b/>
        </w:rPr>
        <w:t xml:space="preserve">Wirkprinzip:</w:t>
      </w:r>
      <w:r>
        <w:t xml:space="preserve"> </w:t>
      </w:r>
      <w:r>
        <w:t xml:space="preserve">Agonist an Amylin-Rezeptoren – verlangsamt die Magenentleerung, dämpft die Glukagon-Ausschüttung nach dem Essen und fördert das Sättigungsgefühl.</w:t>
      </w:r>
    </w:p>
    <w:p>
      <w:pPr>
        <w:numPr>
          <w:ilvl w:val="0"/>
          <w:numId w:val="1097"/>
        </w:numPr>
        <w:pStyle w:val="Compact"/>
      </w:pPr>
      <w:r>
        <w:rPr>
          <w:bCs/>
          <w:b/>
        </w:rPr>
        <w:t xml:space="preserve">Zulassung EU:</w:t>
      </w:r>
      <w:r>
        <w:t xml:space="preserve"> </w:t>
      </w:r>
      <w:r>
        <w:t xml:space="preserve">nein – Pramlintid wurde in der EU nie zugelassen.</w:t>
      </w:r>
    </w:p>
    <w:p>
      <w:pPr>
        <w:numPr>
          <w:ilvl w:val="0"/>
          <w:numId w:val="1097"/>
        </w:numPr>
        <w:pStyle w:val="Compact"/>
      </w:pPr>
      <w:r>
        <w:rPr>
          <w:bCs/>
          <w:b/>
        </w:rPr>
        <w:t xml:space="preserve">Zulassung USA:</w:t>
      </w:r>
      <w:r>
        <w:t xml:space="preserve"> </w:t>
      </w:r>
      <w:r>
        <w:t xml:space="preserve">ja, seit 2005 als Zusatz zu Mahlzeiteninsulin bei Typ-1- und Typ-2-Diabetes.</w:t>
      </w:r>
    </w:p>
    <w:p>
      <w:pPr>
        <w:numPr>
          <w:ilvl w:val="0"/>
          <w:numId w:val="1097"/>
        </w:numPr>
        <w:pStyle w:val="Compact"/>
      </w:pPr>
      <w:r>
        <w:rPr>
          <w:bCs/>
          <w:b/>
        </w:rPr>
        <w:t xml:space="preserve">WADA:</w:t>
      </w:r>
      <w:r>
        <w:t xml:space="preserve"> </w:t>
      </w:r>
      <w:r>
        <w:t xml:space="preserve">nicht namentlich gelistet; wegen der US-Zulassung fällt es nicht unter S0.</w:t>
      </w:r>
    </w:p>
    <w:p>
      <w:pPr>
        <w:numPr>
          <w:ilvl w:val="0"/>
          <w:numId w:val="1097"/>
        </w:numPr>
        <w:pStyle w:val="Compact"/>
      </w:pPr>
      <w:r>
        <w:rPr>
          <w:bCs/>
          <w:b/>
        </w:rPr>
        <w:t xml:space="preserve">Evidenzstufe:</w:t>
      </w:r>
      <w:r>
        <w:t xml:space="preserve"> </w:t>
      </w:r>
      <w:r>
        <w:rPr>
          <w:bCs/>
          <w:b/>
        </w:rPr>
        <w:t xml:space="preserve">A</w:t>
      </w:r>
      <w:r>
        <w:t xml:space="preserve"> </w:t>
      </w:r>
      <w:r>
        <w:t xml:space="preserve">– mehrere große randomisierte Studien, Zulassung in den USA.</w:t>
      </w:r>
    </w:p>
    <w:bookmarkEnd w:id="761"/>
    <w:bookmarkStart w:id="763" w:name="wie-es-wirken-soll-11"/>
    <w:p>
      <w:pPr>
        <w:pStyle w:val="Heading3"/>
      </w:pPr>
      <w:r>
        <w:t xml:space="preserve">Wie es wirken soll</w:t>
      </w:r>
    </w:p>
    <w:p>
      <w:pPr>
        <w:pStyle w:val="FirstParagraph"/>
      </w:pPr>
      <w:r>
        <w:t xml:space="preserve">Die Betazellen der Bauchspeicheldrüse schütten nicht nur Insulin aus, sondern im selben Takt auch Amylin. Bei Typ-1-Diabetes sind die Betazellen zerstört – es fehlen also beide Hormone, ersetzt wird in der Regel aber nur Insulin. Auch bei fortgeschrittenem Typ-2-Diabetes ist die Amylin-Ausschüttung vermindert.</w:t>
      </w:r>
    </w:p>
    <w:p>
      <w:pPr>
        <w:pStyle w:val="BodyText"/>
      </w:pPr>
      <w:r>
        <w:t xml:space="preserve">Amylin wirkt nach dem Essen in drei Richtungen: Es verlangsamt die Magenentleerung, sodass der Zucker langsamer ins Blut gelangt; es dämpft die Glukagon-Ausschüttung, die bei Diabetes nach Mahlzeiten oft unpassend hoch ist; und es fördert über den Hirnstamm das Sättigungsgefühl. Pramlintid sollte diese fehlende Wirkung ersetzen und so die Blutzuckerspitzen nach dem Essen glätten. Dass es die Magenentleerung verzögert, wurde unter anderem in einer kleinen Studie mit zwölf Menschen mit Typ-1- und Typ-2-Diabetes gezeigt: Die Zeit, bis die Hälfte einer festen Mahlzeit den Magen verlassen hatte, verlängerte sich von 91 auf 268 bis 329 Minuten</w:t>
      </w:r>
      <w:r>
        <w:rPr>
          <w:rStyle w:val="FootnoteReference"/>
        </w:rPr>
        <w:footnoteReference w:id="762"/>
      </w:r>
      <w:r>
        <w:t xml:space="preserve">.</w:t>
      </w:r>
    </w:p>
    <w:p>
      <w:pPr>
        <w:pStyle w:val="BodyText"/>
      </w:pPr>
      <w:r>
        <w:t xml:space="preserve">Pramlintid ist historisch wichtig: Es war das erste Amylin-Medikament und gilt als Vorläufer der heutigen lang wirksamen Amylin-Wirkstoffe wie Cagrilintid und Amycretin (siehe dort). Sein großer praktischer Nachteil ist die kurze Wirkdauer, die mehrere Spritzen pro Tag erfordert.</w:t>
      </w:r>
    </w:p>
    <w:bookmarkEnd w:id="763"/>
    <w:bookmarkStart w:id="778" w:name="studien-am-menschen-1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76 Humanstudien, überwiegend aus den Jahren 1996 bis 2010, sowie einige Meta-Analysen. Auf ClinicalTrials.gov waren 64 Studien registriert, fast alle abgeschlossen; neue Studien betreffen vor allem „künstliche Bauchspeicheldrüsen“ und die Migräneforschung.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Whitehouse 2002, PMID 11919132</w:t>
            </w:r>
          </w:p>
        </w:tc>
        <w:tc>
          <w:tcPr/>
          <w:p>
            <w:pPr>
              <w:pStyle w:val="Compact"/>
              <w:jc w:val="left"/>
            </w:pPr>
            <w:r>
              <w:t xml:space="preserve">480 Erwachsene mit Typ-1-Diabetes, gegen Placebo</w:t>
            </w:r>
          </w:p>
        </w:tc>
        <w:tc>
          <w:tcPr/>
          <w:p>
            <w:pPr>
              <w:pStyle w:val="Compact"/>
              <w:jc w:val="left"/>
            </w:pPr>
            <w:r>
              <w:t xml:space="preserve">52 Wochen (+1 Jahr offen)</w:t>
            </w:r>
          </w:p>
        </w:tc>
        <w:tc>
          <w:tcPr/>
          <w:p>
            <w:pPr>
              <w:pStyle w:val="Compact"/>
              <w:jc w:val="left"/>
            </w:pPr>
            <w:r>
              <w:t xml:space="preserve">HbA1c −0,67 vs. −0,16 nach 13 Wochen; Gewichtsabnahme statt -zunahme</w:t>
            </w:r>
          </w:p>
        </w:tc>
      </w:tr>
      <w:tr>
        <w:tc>
          <w:tcPr/>
          <w:p>
            <w:pPr>
              <w:pStyle w:val="Compact"/>
              <w:jc w:val="left"/>
            </w:pPr>
            <w:r>
              <w:t xml:space="preserve">Ratner 2004, PMID 15498087</w:t>
            </w:r>
          </w:p>
        </w:tc>
        <w:tc>
          <w:tcPr/>
          <w:p>
            <w:pPr>
              <w:pStyle w:val="Compact"/>
              <w:jc w:val="left"/>
            </w:pPr>
            <w:r>
              <w:t xml:space="preserve">651 Erwachsene mit Typ-1-Diabetes, gegen Placebo</w:t>
            </w:r>
          </w:p>
        </w:tc>
        <w:tc>
          <w:tcPr/>
          <w:p>
            <w:pPr>
              <w:pStyle w:val="Compact"/>
              <w:jc w:val="left"/>
            </w:pPr>
            <w:r>
              <w:t xml:space="preserve">52 Wochen</w:t>
            </w:r>
          </w:p>
        </w:tc>
        <w:tc>
          <w:tcPr/>
          <w:p>
            <w:pPr>
              <w:pStyle w:val="Compact"/>
              <w:jc w:val="left"/>
            </w:pPr>
            <w:r>
              <w:t xml:space="preserve">HbA1c −0,29 bis −0,34 vs. −0,04; Gewicht −0,4 kg vs. +0,8 kg</w:t>
            </w:r>
          </w:p>
        </w:tc>
      </w:tr>
      <w:tr>
        <w:tc>
          <w:tcPr/>
          <w:p>
            <w:pPr>
              <w:pStyle w:val="Compact"/>
              <w:jc w:val="left"/>
            </w:pPr>
            <w:r>
              <w:t xml:space="preserve">Hollander 2003, PMID 12610038</w:t>
            </w:r>
          </w:p>
        </w:tc>
        <w:tc>
          <w:tcPr/>
          <w:p>
            <w:pPr>
              <w:pStyle w:val="Compact"/>
              <w:jc w:val="left"/>
            </w:pPr>
            <w:r>
              <w:t xml:space="preserve">656 Erwachsene mit insulinbehandeltem Typ-2-Diabetes, gegen Placebo</w:t>
            </w:r>
          </w:p>
        </w:tc>
        <w:tc>
          <w:tcPr/>
          <w:p>
            <w:pPr>
              <w:pStyle w:val="Compact"/>
              <w:jc w:val="left"/>
            </w:pPr>
            <w:r>
              <w:t xml:space="preserve">52 Wochen</w:t>
            </w:r>
          </w:p>
        </w:tc>
        <w:tc>
          <w:tcPr/>
          <w:p>
            <w:pPr>
              <w:pStyle w:val="Compact"/>
              <w:jc w:val="left"/>
            </w:pPr>
            <w:r>
              <w:t xml:space="preserve">HbA1c −0,62 (Woche 52); Gewicht −1,4 kg vs. +0,7 kg</w:t>
            </w:r>
          </w:p>
        </w:tc>
      </w:tr>
      <w:tr>
        <w:tc>
          <w:tcPr/>
          <w:p>
            <w:pPr>
              <w:pStyle w:val="Compact"/>
              <w:jc w:val="left"/>
            </w:pPr>
            <w:r>
              <w:t xml:space="preserve">Edelman 2006, PMID 17003291</w:t>
            </w:r>
          </w:p>
        </w:tc>
        <w:tc>
          <w:tcPr/>
          <w:p>
            <w:pPr>
              <w:pStyle w:val="Compact"/>
              <w:jc w:val="left"/>
            </w:pPr>
            <w:r>
              <w:t xml:space="preserve">296 Erwachsene mit Typ-1-Diabetes, intensivierte Insulintherapie</w:t>
            </w:r>
          </w:p>
        </w:tc>
        <w:tc>
          <w:tcPr/>
          <w:p>
            <w:pPr>
              <w:pStyle w:val="Compact"/>
              <w:jc w:val="left"/>
            </w:pPr>
            <w:r>
              <w:t xml:space="preserve">29 Wochen</w:t>
            </w:r>
          </w:p>
        </w:tc>
        <w:tc>
          <w:tcPr/>
          <w:p>
            <w:pPr>
              <w:pStyle w:val="Compact"/>
              <w:jc w:val="left"/>
            </w:pPr>
            <w:r>
              <w:t xml:space="preserve">HbA1c gleich (−0,5 beide); Gewicht −1,3 vs. +1,2 kg; Insulin −28 %</w:t>
            </w:r>
          </w:p>
        </w:tc>
      </w:tr>
      <w:tr>
        <w:tc>
          <w:tcPr/>
          <w:p>
            <w:pPr>
              <w:pStyle w:val="Compact"/>
              <w:jc w:val="left"/>
            </w:pPr>
            <w:r>
              <w:t xml:space="preserve">Riddle 2007, PMID 17698615</w:t>
            </w:r>
          </w:p>
        </w:tc>
        <w:tc>
          <w:tcPr/>
          <w:p>
            <w:pPr>
              <w:pStyle w:val="Compact"/>
              <w:jc w:val="left"/>
            </w:pPr>
            <w:r>
              <w:t xml:space="preserve">212 Erwachsene mit Typ-2-Diabetes und Basalinsulin, gegen Placebo</w:t>
            </w:r>
          </w:p>
        </w:tc>
        <w:tc>
          <w:tcPr/>
          <w:p>
            <w:pPr>
              <w:pStyle w:val="Compact"/>
              <w:jc w:val="left"/>
            </w:pPr>
            <w:r>
              <w:t xml:space="preserve">16 Wochen</w:t>
            </w:r>
          </w:p>
        </w:tc>
        <w:tc>
          <w:tcPr/>
          <w:p>
            <w:pPr>
              <w:pStyle w:val="Compact"/>
              <w:jc w:val="left"/>
            </w:pPr>
            <w:r>
              <w:t xml:space="preserve">HbA1c −0,70 vs. −0,36; Gewicht −1,6 vs. +0,7 kg</w:t>
            </w:r>
          </w:p>
        </w:tc>
      </w:tr>
      <w:tr>
        <w:tc>
          <w:tcPr/>
          <w:p>
            <w:pPr>
              <w:pStyle w:val="Compact"/>
              <w:jc w:val="left"/>
            </w:pPr>
            <w:r>
              <w:t xml:space="preserve">Smith 2008, PMID 18753666</w:t>
            </w:r>
          </w:p>
        </w:tc>
        <w:tc>
          <w:tcPr/>
          <w:p>
            <w:pPr>
              <w:pStyle w:val="Compact"/>
              <w:jc w:val="left"/>
            </w:pPr>
            <w:r>
              <w:t xml:space="preserve">411 Erwachsene mit Adipositas, mit Lebensstilprogramm</w:t>
            </w:r>
          </w:p>
        </w:tc>
        <w:tc>
          <w:tcPr/>
          <w:p>
            <w:pPr>
              <w:pStyle w:val="Compact"/>
              <w:jc w:val="left"/>
            </w:pPr>
            <w:r>
              <w:t xml:space="preserve">4 Monate (+8 Monate)</w:t>
            </w:r>
          </w:p>
        </w:tc>
        <w:tc>
          <w:tcPr/>
          <w:p>
            <w:pPr>
              <w:pStyle w:val="Compact"/>
              <w:jc w:val="left"/>
            </w:pPr>
            <w:r>
              <w:t xml:space="preserve">nach 12 Monaten placebobereinigt bis −7,2 kg</w:t>
            </w:r>
          </w:p>
        </w:tc>
      </w:tr>
    </w:tbl>
    <w:bookmarkStart w:id="765" w:name="typ-1-diabetes"/>
    <w:p>
      <w:pPr>
        <w:pStyle w:val="Heading4"/>
      </w:pPr>
      <w:r>
        <w:t xml:space="preserve">Typ-1-Diabetes</w:t>
      </w:r>
    </w:p>
    <w:p>
      <w:pPr>
        <w:pStyle w:val="FirstParagraph"/>
      </w:pPr>
      <w:r>
        <w:t xml:space="preserve">Die großen Zulassungsstudien liefen über ein Jahr. In der Studie von Whitehouse (2002, PMID 11919132) mit 480 Menschen mit Typ-1-Diabetes sank der HbA1c-Wert nach 13 Wochen um 0,67 Prozentpunkte gegenüber 0,16 unter Placebo; der Unterschied blieb bis Woche 52 statistisch signifikant. Die Teilnehmenden nahmen im Mittel ab statt zu, die Gesamtrate schwerer Unterzuckerungen war nicht erhöht. In der Studie von Ratner (2004, PMID 15498087) mit 651 Teilnehmenden war der Effekt kleiner: −0,29 bzw. −0,34 Prozentpunkte gegenüber −0,04.</w:t>
      </w:r>
    </w:p>
    <w:p>
      <w:pPr>
        <w:pStyle w:val="BodyText"/>
      </w:pPr>
      <w:r>
        <w:t xml:space="preserve">Diese Effekte sind bescheiden. Eine Netzwerk-Meta-Analyse aller Zusatzmedikamente bei Typ-1-Diabetes mit 58 Studien bewertete die Vertrauenswürdigkeit der Evidenz überwiegend als mäßig bis sehr niedrig und fand, dass Pramlintid – wie GLP-1-Agonisten und Metformin – Übelkeit häufiger macht</w:t>
      </w:r>
      <w:r>
        <w:rPr>
          <w:rStyle w:val="FootnoteReference"/>
        </w:rPr>
        <w:footnoteReference w:id="764"/>
      </w:r>
      <w:r>
        <w:t xml:space="preserve">.</w:t>
      </w:r>
    </w:p>
    <w:p>
      <w:pPr>
        <w:pStyle w:val="BodyText"/>
      </w:pPr>
      <w:r>
        <w:t xml:space="preserve">Eine wichtige Lehre lieferte die Studie von Edelman (2006, PMID 17003291): Wenn zu Beginn der Pramlintid-Behandlung die Mahlzeiteninsulindosis vorsorglich um 30 bis 50 % gesenkt wurde, war der HbA1c-Wert nach 29 Wochen in beiden Gruppen gleich gesunken (je −0,5). Unter Pramlintid waren aber die Blutzuckerspitzen nach dem Essen kleiner, das Gewicht sank um 1,3 kg (Placebo +1,2 kg), und es wurde 28 % weniger Insulin benötigt. Übelkeit trat bei 63 % auf (Placebo 36 %).</w:t>
      </w:r>
    </w:p>
    <w:bookmarkEnd w:id="765"/>
    <w:bookmarkStart w:id="769" w:name="typ-2-diabetes"/>
    <w:p>
      <w:pPr>
        <w:pStyle w:val="Heading4"/>
      </w:pPr>
      <w:r>
        <w:t xml:space="preserve">Typ-2-Diabetes</w:t>
      </w:r>
    </w:p>
    <w:p>
      <w:pPr>
        <w:pStyle w:val="FirstParagraph"/>
      </w:pPr>
      <w:r>
        <w:t xml:space="preserve">Bei insulinbehandeltem Typ-2-Diabetes senkte Pramlintid den HbA1c-Wert nach einem Jahr um 0,62 Prozentpunkte, mit einer Gewichtsabnahme von 1,4 kg gegenüber 0,7 kg Zunahme unter Placebo</w:t>
      </w:r>
      <w:r>
        <w:rPr>
          <w:rStyle w:val="FootnoteReference"/>
        </w:rPr>
        <w:footnoteReference w:id="766"/>
      </w:r>
      <w:r>
        <w:t xml:space="preserve">. Als Zusatz zu Basalinsulin war es in einer offenen Studie mit 113 Teilnehmenden ähnlich wirksam wie ein schnell wirkendes Mahlzeiteninsulin, führte aber nicht zu Gewichtszunahme (0,0 kg vs. +4,7 kg) und zu weniger leichten bis mittelschweren Unterzuckerungen; dafür klagten 21 % über Übelkeit</w:t>
      </w:r>
      <w:r>
        <w:rPr>
          <w:rStyle w:val="FootnoteReference"/>
        </w:rPr>
        <w:footnoteReference w:id="767"/>
      </w:r>
      <w:r>
        <w:t xml:space="preserve">.</w:t>
      </w:r>
    </w:p>
    <w:p>
      <w:pPr>
        <w:pStyle w:val="BodyText"/>
      </w:pPr>
      <w:r>
        <w:t xml:space="preserve">Eine Meta-Analyse von acht randomisierten Studien ergab bei Typ-2-Diabetes eine HbA1c-Senkung um 0,33 Prozentpunkte und einen Gewichtsverlust von 2,57 kg gegenüber Kontrolle; Übelkeit trat 1,8-mal häufiger auf</w:t>
      </w:r>
      <w:r>
        <w:rPr>
          <w:rStyle w:val="FootnoteReference"/>
        </w:rPr>
        <w:footnoteReference w:id="768"/>
      </w:r>
      <w:r>
        <w:t xml:space="preserve">.</w:t>
      </w:r>
    </w:p>
    <w:bookmarkEnd w:id="769"/>
    <w:bookmarkStart w:id="773" w:name="adipositas"/>
    <w:p>
      <w:pPr>
        <w:pStyle w:val="Heading4"/>
      </w:pPr>
      <w:r>
        <w:t xml:space="preserve">Adipositas</w:t>
      </w:r>
    </w:p>
    <w:p>
      <w:pPr>
        <w:pStyle w:val="FirstParagraph"/>
      </w:pPr>
      <w:r>
        <w:t xml:space="preserve">Zwischen 2005 und 2010 wurde Pramlintid auch als Abnehmmedikament geprüft. In einer 16-wöchigen Studie mit 204 Menschen mit Adipositas betrug der placebobereinigte Gewichtsverlust 3,7 %</w:t>
      </w:r>
      <w:r>
        <w:rPr>
          <w:rStyle w:val="FootnoteReference"/>
        </w:rPr>
        <w:footnoteReference w:id="770"/>
      </w:r>
      <w:r>
        <w:t xml:space="preserve">. Kombiniert mit einem Lebensstilprogramm hielten fast alle Dosisgruppen ihren Gewichtsverlust über zwölf Monate; placebobereinigt waren es bis zu 7,2 kg bzw. 6,8 %</w:t>
      </w:r>
      <w:r>
        <w:rPr>
          <w:rStyle w:val="FootnoteReference"/>
        </w:rPr>
        <w:footnoteReference w:id="771"/>
      </w:r>
      <w:r>
        <w:t xml:space="preserve">. Eine Kombination mit Metreleptin (einem Leptin-Analogon) erreichte nach 20 Wochen 12,7 % Gewichtsverlust gegenüber 8,4 % mit Pramlintid allein</w:t>
      </w:r>
      <w:r>
        <w:rPr>
          <w:rStyle w:val="FootnoteReference"/>
        </w:rPr>
        <w:footnoteReference w:id="772"/>
      </w:r>
      <w:r>
        <w:t xml:space="preserve">. Diese Entwicklung wurde nicht bis zur Zulassung fortgeführt.</w:t>
      </w:r>
    </w:p>
    <w:bookmarkEnd w:id="773"/>
    <w:bookmarkStart w:id="777" w:name="X01dcb93c3d38b031098fb5d63f533f26118fec6"/>
    <w:p>
      <w:pPr>
        <w:pStyle w:val="Heading4"/>
      </w:pPr>
      <w:r>
        <w:t xml:space="preserve">Neuere Anwendungen: künstliche Bauchspeicheldrüse</w:t>
      </w:r>
    </w:p>
    <w:p>
      <w:pPr>
        <w:pStyle w:val="FirstParagraph"/>
      </w:pPr>
      <w:r>
        <w:t xml:space="preserve">Seit etwa 2015 erlebt Pramlintid eine kleine Renaissance in der Forschung zu automatisierten Insulinpumpensystemen. In einer randomisierten Crossover-Studie stieg die Zeit im Zielbereich mit einem System, das neben schnell wirkendem Insulin auch Pramlintid abgibt, von 74 % auf 84 %</w:t>
      </w:r>
      <w:r>
        <w:rPr>
          <w:rStyle w:val="FootnoteReference"/>
        </w:rPr>
        <w:footnoteReference w:id="774"/>
      </w:r>
      <w:r>
        <w:t xml:space="preserve">. Eine kleine Pilotstudie untersuchte, ob ein solches System das Kohlenhydratzählen überflüssig machen kann; die Unterschiede zur Standardbehandlung waren nicht statistisch signifikant</w:t>
      </w:r>
      <w:r>
        <w:rPr>
          <w:rStyle w:val="FootnoteReference"/>
        </w:rPr>
        <w:footnoteReference w:id="775"/>
      </w:r>
      <w:r>
        <w:t xml:space="preserve">. Eine feste Mischung aus Pramlintid und einem Insulin (ADO09) führte in einer 16-wöchigen Studie mit 80 Menschen mit Typ-1-Diabetes zu 2,1 kg mehr Gewichtsverlust als Insulin lispro, bei unverändertem HbA1c</w:t>
      </w:r>
      <w:r>
        <w:rPr>
          <w:rStyle w:val="FootnoteReference"/>
        </w:rPr>
        <w:footnoteReference w:id="776"/>
      </w:r>
      <w:r>
        <w:t xml:space="preserve">.</w:t>
      </w:r>
    </w:p>
    <w:bookmarkEnd w:id="777"/>
    <w:bookmarkEnd w:id="778"/>
    <w:bookmarkStart w:id="780" w:name="tier--und-laborstudien-11"/>
    <w:p>
      <w:pPr>
        <w:pStyle w:val="Heading3"/>
      </w:pPr>
      <w:r>
        <w:t xml:space="preserve">Tier- und Laborstudien</w:t>
      </w:r>
    </w:p>
    <w:p>
      <w:pPr>
        <w:pStyle w:val="FirstParagraph"/>
      </w:pPr>
      <w:r>
        <w:t xml:space="preserve">Die Grundlagen der Amylin-Forschung stammen aus Tier- und Laborstudien, die hier nicht im Einzelnen dargestellt werden. Bei Nagetieren führte die Kombination von Amylin und Leptin zu einem überadditiven Gewichtsverlust (in Ravussin 2009, PMID 19521351, als Ausgangspunkt beschrieben). In Mausmodellen löste Amylin, ähnlich wie das Migräne-Botenstoff-Peptid CGRP, Überempfindlichkeit und Lichtscheu aus</w:t>
      </w:r>
      <w:r>
        <w:rPr>
          <w:rStyle w:val="FootnoteReference"/>
        </w:rPr>
        <w:footnoteReference w:id="779"/>
      </w:r>
      <w:r>
        <w:t xml:space="preserve">.</w:t>
      </w:r>
    </w:p>
    <w:bookmarkEnd w:id="780"/>
    <w:bookmarkStart w:id="784" w:name="risiken-und-nebenwirkungen-11"/>
    <w:p>
      <w:pPr>
        <w:pStyle w:val="Heading3"/>
      </w:pPr>
      <w:r>
        <w:t xml:space="preserve">Risiken und Nebenwirkungen</w:t>
      </w:r>
    </w:p>
    <w:p>
      <w:pPr>
        <w:pStyle w:val="FirstParagraph"/>
      </w:pPr>
      <w:r>
        <w:rPr>
          <w:bCs/>
          <w:b/>
        </w:rPr>
        <w:t xml:space="preserve">Belegt aus Studien:</w:t>
      </w:r>
    </w:p>
    <w:p>
      <w:pPr>
        <w:numPr>
          <w:ilvl w:val="0"/>
          <w:numId w:val="1098"/>
        </w:numPr>
        <w:pStyle w:val="Compact"/>
      </w:pPr>
      <w:r>
        <w:rPr>
          <w:bCs/>
          <w:b/>
        </w:rPr>
        <w:t xml:space="preserve">Übelkeit</w:t>
      </w:r>
      <w:r>
        <w:t xml:space="preserve"> </w:t>
      </w:r>
      <w:r>
        <w:t xml:space="preserve">ist die häufigste Nebenwirkung, vor allem in den ersten Wochen; je nach Studie zwischen 9 % und 63 %</w:t>
      </w:r>
      <w:r>
        <w:rPr>
          <w:rStyle w:val="FootnoteReference"/>
        </w:rPr>
        <w:footnoteReference w:id="781"/>
      </w:r>
      <w:r>
        <w:t xml:space="preserve">.</w:t>
      </w:r>
    </w:p>
    <w:p>
      <w:pPr>
        <w:numPr>
          <w:ilvl w:val="0"/>
          <w:numId w:val="1098"/>
        </w:numPr>
        <w:pStyle w:val="Compact"/>
      </w:pPr>
      <w:r>
        <w:rPr>
          <w:bCs/>
          <w:b/>
        </w:rPr>
        <w:t xml:space="preserve">Schwere Unterzuckerung</w:t>
      </w:r>
      <w:r>
        <w:t xml:space="preserve"> </w:t>
      </w:r>
      <w:r>
        <w:t xml:space="preserve">ist das wichtigste Risiko. Pramlintid selbst senkt den Blutzucker kaum, verstärkt aber die Wirkung des gleichzeitig gespritzten Insulins, weil der Zucker aus der Mahlzeit verzögert ankommt. In der Studie von Edelman traten schwere Unterzuckerungen unter Pramlintid häufiger auf als unter Placebo (0,57 vs. 0,30 Ereignisse pro Patientenjahr), insbesondere bei Teilnehmenden, die auf einer niedrigen Dosis blieben</w:t>
      </w:r>
      <w:r>
        <w:rPr>
          <w:rStyle w:val="FootnoteReference"/>
        </w:rPr>
        <w:footnoteReference w:id="782"/>
      </w:r>
      <w:r>
        <w:t xml:space="preserve">. In den USA trägt das Medikament deshalb einen deutlichen Warnhinweis; vor Behandlungsbeginn wird eine Reduktion der Mahlzeiteninsulindosis vorgesehen – Details regelt die Fachinformation, die Umsetzung gehört in ärztliche Hände.</w:t>
      </w:r>
    </w:p>
    <w:p>
      <w:pPr>
        <w:numPr>
          <w:ilvl w:val="0"/>
          <w:numId w:val="1098"/>
        </w:numPr>
        <w:pStyle w:val="Compact"/>
      </w:pPr>
      <w:r>
        <w:rPr>
          <w:bCs/>
          <w:b/>
        </w:rPr>
        <w:t xml:space="preserve">Kopfschmerzen und Migräne:</w:t>
      </w:r>
      <w:r>
        <w:t xml:space="preserve"> </w:t>
      </w:r>
      <w:r>
        <w:t xml:space="preserve">In einer experimentellen Studie mit 36 Menschen mit Migräne bekamen nach einer Pramlintid-Infusion 88 % Kopfschmerzen und 41 % eine migräneartige Attacke</w:t>
      </w:r>
      <w:r>
        <w:rPr>
          <w:rStyle w:val="FootnoteReference"/>
        </w:rPr>
        <w:footnoteReference w:id="783"/>
      </w:r>
      <w:r>
        <w:t xml:space="preserve">. Diese Studie verwendete eine Infusion zu Forschungszwecken; sie zeigt aber, dass Amylin-Rezeptoren bei Migräne eine Rolle spielen. Für die neuen, lang wirksamen Amylin-Medikamente ist dieser Befund ebenfalls relevant.</w:t>
      </w:r>
    </w:p>
    <w:p>
      <w:pPr>
        <w:numPr>
          <w:ilvl w:val="0"/>
          <w:numId w:val="1098"/>
        </w:numPr>
        <w:pStyle w:val="Compact"/>
      </w:pPr>
      <w:r>
        <w:rPr>
          <w:bCs/>
          <w:b/>
        </w:rPr>
        <w:t xml:space="preserve">Wechselwirkungen:</w:t>
      </w:r>
      <w:r>
        <w:t xml:space="preserve"> </w:t>
      </w:r>
      <w:r>
        <w:t xml:space="preserve">Da Pramlintid die Magenentleerung verzögert, können Tabletten, deren rascher Wirkeintritt wichtig ist, verzögert aufgenommen werden (Fachinformation).</w:t>
      </w:r>
    </w:p>
    <w:bookmarkEnd w:id="784"/>
    <w:bookmarkStart w:id="785" w:name="rechtslage-11"/>
    <w:p>
      <w:pPr>
        <w:pStyle w:val="Heading3"/>
      </w:pPr>
      <w:r>
        <w:t xml:space="preserve">Rechtslage</w:t>
      </w:r>
    </w:p>
    <w:p>
      <w:pPr>
        <w:numPr>
          <w:ilvl w:val="0"/>
          <w:numId w:val="1099"/>
        </w:numPr>
        <w:pStyle w:val="Compact"/>
      </w:pPr>
      <w:r>
        <w:rPr>
          <w:bCs/>
          <w:b/>
        </w:rPr>
        <w:t xml:space="preserve">EU / Österreich / Deutschland:</w:t>
      </w:r>
      <w:r>
        <w:t xml:space="preserve"> </w:t>
      </w:r>
      <w:r>
        <w:t xml:space="preserve">nicht zugelassen. Pramlintid ist in Europa nur über Einzelimport für bestimmte Patientinnen und Patienten denkbar und spielt praktisch keine Rolle.</w:t>
      </w:r>
    </w:p>
    <w:p>
      <w:pPr>
        <w:numPr>
          <w:ilvl w:val="0"/>
          <w:numId w:val="1099"/>
        </w:numPr>
        <w:pStyle w:val="Compact"/>
      </w:pPr>
      <w:r>
        <w:rPr>
          <w:bCs/>
          <w:b/>
        </w:rPr>
        <w:t xml:space="preserve">USA:</w:t>
      </w:r>
      <w:r>
        <w:t xml:space="preserve"> </w:t>
      </w:r>
      <w:r>
        <w:t xml:space="preserve">zugelassen seit 2005 (Symlin) als Zusatz zu Mahlzeiteninsulin bei Typ-1- und Typ-2-Diabetes; verschreibungspflichtig. Für Adipositas ohne Diabetes ist es nicht zugelassen.</w:t>
      </w:r>
    </w:p>
    <w:p>
      <w:pPr>
        <w:numPr>
          <w:ilvl w:val="0"/>
          <w:numId w:val="1099"/>
        </w:numPr>
        <w:pStyle w:val="Compact"/>
      </w:pPr>
      <w:r>
        <w:rPr>
          <w:bCs/>
          <w:b/>
        </w:rPr>
        <w:t xml:space="preserve">Sport:</w:t>
      </w:r>
      <w:r>
        <w:t xml:space="preserve"> </w:t>
      </w:r>
      <w:r>
        <w:t xml:space="preserve">nicht auf der WADA-Liste genannt (Stand 2026, bitte aktuell prüfen).</w:t>
      </w:r>
    </w:p>
    <w:bookmarkEnd w:id="785"/>
    <w:bookmarkStart w:id="790" w:name="laufende-studien-und-ausblick-11"/>
    <w:p>
      <w:pPr>
        <w:pStyle w:val="Heading3"/>
      </w:pPr>
      <w:r>
        <w:t xml:space="preserve">Laufende Studien und Ausblick</w:t>
      </w:r>
    </w:p>
    <w:p>
      <w:pPr>
        <w:pStyle w:val="FirstParagraph"/>
      </w:pPr>
      <w:r>
        <w:rPr>
          <w:bCs/>
          <w:b/>
        </w:rPr>
        <w:t xml:space="preserve">Gesichert (registrierte Studien, Stand Oktober 2026):</w:t>
      </w:r>
      <w:r>
        <w:t xml:space="preserve"> </w:t>
      </w:r>
      <w:r>
        <w:t xml:space="preserve">Neue Studien mit Pramlintid sind überwiegend kleine Grundlagenstudien, etwa zur Rolle von Amylin bei Migräne ohne Aura</w:t>
      </w:r>
      <w:r>
        <w:rPr>
          <w:rStyle w:val="FootnoteReference"/>
        </w:rPr>
        <w:footnoteReference w:id="786"/>
      </w:r>
      <w:r>
        <w:t xml:space="preserve">, bei Kopfschmerzen nach Kopfverletzungen</w:t>
      </w:r>
      <w:r>
        <w:rPr>
          <w:rStyle w:val="FootnoteReference"/>
        </w:rPr>
        <w:footnoteReference w:id="787"/>
      </w:r>
      <w:r>
        <w:t xml:space="preserve"> </w:t>
      </w:r>
      <w:r>
        <w:t xml:space="preserve">und zur Sättigung</w:t>
      </w:r>
      <w:r>
        <w:rPr>
          <w:rStyle w:val="FootnoteReference"/>
        </w:rPr>
        <w:footnoteReference w:id="788"/>
      </w:r>
      <w:r>
        <w:t xml:space="preserve">. Die Autorinnen und Autoren der Pilotstudie zur Pramlintid-Insulinpumpe kündigen eine größere Studie an</w:t>
      </w:r>
      <w:r>
        <w:rPr>
          <w:rStyle w:val="FootnoteReference"/>
        </w:rPr>
        <w:footnoteReference w:id="789"/>
      </w:r>
      <w:r>
        <w:t xml:space="preserve">.</w:t>
      </w:r>
    </w:p>
    <w:p>
      <w:pPr>
        <w:pStyle w:val="BodyText"/>
      </w:pPr>
      <w:r>
        <w:rPr>
          <w:bCs/>
          <w:b/>
        </w:rPr>
        <w:t xml:space="preserve">Einschätzung:</w:t>
      </w:r>
      <w:r>
        <w:t xml:space="preserve"> </w:t>
      </w:r>
      <w:r>
        <w:t xml:space="preserve">Als Medikament ist Pramlintid ein Nischenprodukt geblieben – zu viele Spritzen, zu viel Übelkeit, zu geringer Effekt auf den HbA1c-Wert. Seine wichtigste Rolle dürfte es als Wegbereiter spielen: Die lang wirksamen Amylin-Analoga der neuen Generation (Cagrilintid, Amycretin, Eloralintid und andere) bauen auf seinen Erfahrungen auf. In der Forschung zu Systemen mit zwei Hormonen bei Typ-1-Diabetes könnte es eine kleine Rolle behalten.</w:t>
      </w:r>
    </w:p>
    <w:bookmarkEnd w:id="790"/>
    <w:bookmarkStart w:id="791" w:name="fazit-11"/>
    <w:p>
      <w:pPr>
        <w:pStyle w:val="Heading3"/>
      </w:pPr>
      <w:r>
        <w:t xml:space="preserve">Fazit</w:t>
      </w:r>
    </w:p>
    <w:p>
      <w:pPr>
        <w:pStyle w:val="FirstParagraph"/>
      </w:pPr>
      <w:r>
        <w:t xml:space="preserve">Pramlintid ist das erste Amylin-Medikament und seit 2005 in den USA, nicht aber in der EU, als Zusatz zu Insulin zugelassen. In großen Studien senkte es den HbA1c-Wert nur um etwa 0,3 bis 0,7 Prozentpunkte, verhinderte aber die insulintypische Gewichtszunahme und glättete die Blutzuckerspitzen nach Mahlzeiten. Übelkeit ist häufig, und in Kombination mit Insulin besteht ein relevantes Risiko schwerer Unterzuckerungen. Heute ist Pramlintid vor allem als Vorläufer der neuen lang wirksamen Amylin-Medikamente von Bedeutung.</w:t>
      </w:r>
    </w:p>
    <w:bookmarkEnd w:id="791"/>
    <w:bookmarkEnd w:id="792"/>
    <w:bookmarkStart w:id="829" w:name="setmelanotid"/>
    <w:p>
      <w:pPr>
        <w:pStyle w:val="Heading2"/>
      </w:pPr>
      <w:r>
        <w:t xml:space="preserve">Setmelanotid</w:t>
      </w:r>
    </w:p>
    <w:bookmarkStart w:id="794" w:name="steckbrief-12"/>
    <w:p>
      <w:pPr>
        <w:pStyle w:val="Heading3"/>
      </w:pPr>
      <w:r>
        <w:t xml:space="preserve">Steckbrief</w:t>
      </w:r>
    </w:p>
    <w:p>
      <w:pPr>
        <w:numPr>
          <w:ilvl w:val="0"/>
          <w:numId w:val="1100"/>
        </w:numPr>
        <w:pStyle w:val="Compact"/>
      </w:pPr>
      <w:r>
        <w:rPr>
          <w:bCs/>
          <w:b/>
        </w:rPr>
        <w:t xml:space="preserve">Art/Struktur:</w:t>
      </w:r>
      <w:r>
        <w:t xml:space="preserve"> </w:t>
      </w:r>
      <w:r>
        <w:t xml:space="preserve">kleines, ringförmig geschlossenes (zyklisches) synthetisches Peptid, das den körpereigenen Botenstoff Alpha-MSH nachahmt. Einmal tägliche Gabe unter die Haut. Früherer Entwicklungscode RM-493.</w:t>
      </w:r>
    </w:p>
    <w:p>
      <w:pPr>
        <w:numPr>
          <w:ilvl w:val="0"/>
          <w:numId w:val="1100"/>
        </w:numPr>
        <w:pStyle w:val="Compact"/>
      </w:pPr>
      <w:r>
        <w:rPr>
          <w:bCs/>
          <w:b/>
        </w:rPr>
        <w:t xml:space="preserve">Herkunft:</w:t>
      </w:r>
      <w:r>
        <w:t xml:space="preserve"> </w:t>
      </w:r>
      <w:r>
        <w:t xml:space="preserve">entwickelt von Rhythm Pharmaceuticals; Handelsname Imcivree.</w:t>
      </w:r>
    </w:p>
    <w:p>
      <w:pPr>
        <w:numPr>
          <w:ilvl w:val="0"/>
          <w:numId w:val="1100"/>
        </w:numPr>
        <w:pStyle w:val="Compact"/>
      </w:pPr>
      <w:r>
        <w:rPr>
          <w:bCs/>
          <w:b/>
        </w:rPr>
        <w:t xml:space="preserve">Wirkprinzip:</w:t>
      </w:r>
      <w:r>
        <w:t xml:space="preserve"> </w:t>
      </w:r>
      <w:r>
        <w:t xml:space="preserve">Agonist am Melanocortin-4-Rezeptor (MC4R) im Hypothalamus, einer zentralen Schaltstelle für Hunger und Sättigung.</w:t>
      </w:r>
    </w:p>
    <w:p>
      <w:pPr>
        <w:numPr>
          <w:ilvl w:val="0"/>
          <w:numId w:val="1100"/>
        </w:numPr>
        <w:pStyle w:val="Compact"/>
      </w:pPr>
      <w:r>
        <w:rPr>
          <w:bCs/>
          <w:b/>
        </w:rPr>
        <w:t xml:space="preserve">Zulassung EU:</w:t>
      </w:r>
      <w:r>
        <w:t xml:space="preserve"> </w:t>
      </w:r>
      <w:r>
        <w:t xml:space="preserve">ja (Imcivree) für Adipositas bei genetisch bestätigtem POMC-, PCSK1- oder Leptinrezeptor-Mangel sowie beim Bardet-Biedl-Syndrom.</w:t>
      </w:r>
    </w:p>
    <w:p>
      <w:pPr>
        <w:numPr>
          <w:ilvl w:val="0"/>
          <w:numId w:val="1100"/>
        </w:numPr>
        <w:pStyle w:val="Compact"/>
      </w:pPr>
      <w:r>
        <w:rPr>
          <w:bCs/>
          <w:b/>
        </w:rPr>
        <w:t xml:space="preserve">Zulassung USA:</w:t>
      </w:r>
      <w:r>
        <w:t xml:space="preserve"> </w:t>
      </w:r>
      <w:r>
        <w:t xml:space="preserve">ja (Imcivree), erstmals 2020, für dieselben seltenen genetischen Formen</w:t>
      </w:r>
      <w:r>
        <w:rPr>
          <w:rStyle w:val="FootnoteReference"/>
        </w:rPr>
        <w:footnoteReference w:id="793"/>
      </w:r>
      <w:r>
        <w:t xml:space="preserve">.</w:t>
      </w:r>
    </w:p>
    <w:p>
      <w:pPr>
        <w:numPr>
          <w:ilvl w:val="0"/>
          <w:numId w:val="1100"/>
        </w:numPr>
        <w:pStyle w:val="Compact"/>
      </w:pPr>
      <w:r>
        <w:rPr>
          <w:bCs/>
          <w:b/>
        </w:rPr>
        <w:t xml:space="preserve">WADA:</w:t>
      </w:r>
      <w:r>
        <w:t xml:space="preserve"> </w:t>
      </w:r>
      <w:r>
        <w:t xml:space="preserve">nicht namentlich gelistet; als zugelassenes Arzneimittel nicht unter S0.</w:t>
      </w:r>
    </w:p>
    <w:p>
      <w:pPr>
        <w:numPr>
          <w:ilvl w:val="0"/>
          <w:numId w:val="1100"/>
        </w:numPr>
        <w:pStyle w:val="Compact"/>
      </w:pPr>
      <w:r>
        <w:rPr>
          <w:bCs/>
          <w:b/>
        </w:rPr>
        <w:t xml:space="preserve">Evidenzstufe:</w:t>
      </w:r>
      <w:r>
        <w:t xml:space="preserve"> </w:t>
      </w:r>
      <w:r>
        <w:rPr>
          <w:bCs/>
          <w:b/>
        </w:rPr>
        <w:t xml:space="preserve">A</w:t>
      </w:r>
      <w:r>
        <w:t xml:space="preserve"> </w:t>
      </w:r>
      <w:r>
        <w:t xml:space="preserve">– Zulassung auf Basis von Phase-3-Studien; wegen der Seltenheit der Erkrankungen sind die Studien jedoch klein und teilweise unkontrolliert.</w:t>
      </w:r>
    </w:p>
    <w:bookmarkEnd w:id="794"/>
    <w:bookmarkStart w:id="795" w:name="wie-es-wirken-soll-12"/>
    <w:p>
      <w:pPr>
        <w:pStyle w:val="Heading3"/>
      </w:pPr>
      <w:r>
        <w:t xml:space="preserve">Wie es wirken soll</w:t>
      </w:r>
    </w:p>
    <w:p>
      <w:pPr>
        <w:pStyle w:val="FirstParagraph"/>
      </w:pPr>
      <w:r>
        <w:t xml:space="preserve">Setmelanotid unterscheidet sich grundlegend von allen anderen Wirkstoffen dieses Teils. Es ist kein allgemeines Abnehmmedikament, sondern eine gezielte Behandlung für Menschen, bei denen eine bestimmte Signalkette im Gehirn defekt ist.</w:t>
      </w:r>
    </w:p>
    <w:p>
      <w:pPr>
        <w:pStyle w:val="BodyText"/>
      </w:pPr>
      <w:r>
        <w:t xml:space="preserve">Diese Kette heißt Leptin-Melanocortin-Signalweg. Vereinfacht: Das Fettgewebe schüttet das Hormon Leptin aus. Leptin wirkt im Hypothalamus auf Nervenzellen, die aus einem Vorläufermolekül namens POMC den Botenstoff Alpha-MSH herstellen. Für diese Herstellung braucht es ein Enzym namens PCSK1. Alpha-MSH aktiviert schließlich den MC4-Rezeptor – und das Signal lautet: „Genug gegessen.“</w:t>
      </w:r>
    </w:p>
    <w:p>
      <w:pPr>
        <w:pStyle w:val="BodyText"/>
      </w:pPr>
      <w:r>
        <w:t xml:space="preserve">Fällt eines dieser Glieder durch eine angeborene Genveränderung aus, entsteht ein quälender, unstillbarer Hunger (Hyperphagie), der schon im Kleinkindalter zu schwerer Adipositas führt. Diät und Bewegung allein können dagegen wenig ausrichten. Setmelanotid setzt am Ende der Kette an und aktiviert den MC4-Rezeptor direkt – es überbrückt sozusagen die defekten Glieder davor.</w:t>
      </w:r>
    </w:p>
    <w:p>
      <w:pPr>
        <w:pStyle w:val="BodyText"/>
      </w:pPr>
      <w:r>
        <w:t xml:space="preserve">Setmelanotid wirkt außerdem am eng verwandten Melanocortin-1-Rezeptor in der Haut. Das erklärt die häufigste Nebenwirkung: eine Bräunung der Haut (siehe unten) – und es verbindet Setmelanotid mit den Bräunungspeptiden wie Melanotan II und Afamelanotid (Teil II, Gruppe E).</w:t>
      </w:r>
    </w:p>
    <w:bookmarkEnd w:id="795"/>
    <w:bookmarkStart w:id="811" w:name="studien-am-menschen-1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Auf ClinicalTrials.gov waren 27 Studien registriert. Wegen der Seltenheit der Zielerkrankungen umfassen die Studien oft nur 10 bis 40 Teilnehmende; die größte veröffentlichte randomisierte Studie (zur hypothalamischen Adipositas) schloss 120 Personen ein.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Kühnen 2016, PMID 27468060</w:t>
            </w:r>
          </w:p>
        </w:tc>
        <w:tc>
          <w:tcPr/>
          <w:p>
            <w:pPr>
              <w:pStyle w:val="Compact"/>
              <w:jc w:val="left"/>
            </w:pPr>
            <w:r>
              <w:t xml:space="preserve">2 Personen mit POMC-Mangel, offen</w:t>
            </w:r>
          </w:p>
        </w:tc>
        <w:tc>
          <w:tcPr/>
          <w:p>
            <w:pPr>
              <w:pStyle w:val="Compact"/>
              <w:jc w:val="left"/>
            </w:pPr>
            <w:r>
              <w:t xml:space="preserve">12 bzw. 42 Wochen</w:t>
            </w:r>
          </w:p>
        </w:tc>
        <w:tc>
          <w:tcPr/>
          <w:p>
            <w:pPr>
              <w:pStyle w:val="Compact"/>
              <w:jc w:val="left"/>
            </w:pPr>
            <w:r>
              <w:t xml:space="preserve">−20,5 kg bzw. −51,0 kg; weniger Hunger</w:t>
            </w:r>
          </w:p>
        </w:tc>
      </w:tr>
      <w:tr>
        <w:tc>
          <w:tcPr/>
          <w:p>
            <w:pPr>
              <w:pStyle w:val="Compact"/>
              <w:jc w:val="left"/>
            </w:pPr>
            <w:r>
              <w:t xml:space="preserve">Clément 2020 (POMC/LEPR), PMID 33137293</w:t>
            </w:r>
          </w:p>
        </w:tc>
        <w:tc>
          <w:tcPr/>
          <w:p>
            <w:pPr>
              <w:pStyle w:val="Compact"/>
              <w:jc w:val="left"/>
            </w:pPr>
            <w:r>
              <w:t xml:space="preserve">10 Personen mit POMC- und 11 mit LEPR-Mangel; einarmig, mit Absetzphase</w:t>
            </w:r>
          </w:p>
        </w:tc>
        <w:tc>
          <w:tcPr/>
          <w:p>
            <w:pPr>
              <w:pStyle w:val="Compact"/>
              <w:jc w:val="left"/>
            </w:pPr>
            <w:r>
              <w:t xml:space="preserve">etwa 1 Jahr</w:t>
            </w:r>
          </w:p>
        </w:tc>
        <w:tc>
          <w:tcPr/>
          <w:p>
            <w:pPr>
              <w:pStyle w:val="Compact"/>
              <w:jc w:val="left"/>
            </w:pPr>
            <w:r>
              <w:t xml:space="preserve">≥10 % Gewichtsverlust bei 80 % (POMC) bzw. 45 % (LEPR)</w:t>
            </w:r>
          </w:p>
        </w:tc>
      </w:tr>
      <w:tr>
        <w:tc>
          <w:tcPr/>
          <w:p>
            <w:pPr>
              <w:pStyle w:val="Compact"/>
              <w:jc w:val="left"/>
            </w:pPr>
            <w:r>
              <w:t xml:space="preserve">Haqq 2022 (BBS/Alström), PMID 36356613</w:t>
            </w:r>
          </w:p>
        </w:tc>
        <w:tc>
          <w:tcPr/>
          <w:p>
            <w:pPr>
              <w:pStyle w:val="Compact"/>
              <w:jc w:val="left"/>
            </w:pPr>
            <w:r>
              <w:t xml:space="preserve">38 Personen mit Bardet-Biedl- oder Alström-Syndrom; 14 Wochen gegen Placebo, dann offen</w:t>
            </w:r>
          </w:p>
        </w:tc>
        <w:tc>
          <w:tcPr/>
          <w:p>
            <w:pPr>
              <w:pStyle w:val="Compact"/>
              <w:jc w:val="left"/>
            </w:pPr>
            <w:r>
              <w:t xml:space="preserve">66 Wochen</w:t>
            </w:r>
          </w:p>
        </w:tc>
        <w:tc>
          <w:tcPr/>
          <w:p>
            <w:pPr>
              <w:pStyle w:val="Compact"/>
              <w:jc w:val="left"/>
            </w:pPr>
            <w:r>
              <w:t xml:space="preserve">≥10 % Gewichtsverlust bei 32,3 % der BBS-Patienten ab 12 Jahren</w:t>
            </w:r>
          </w:p>
        </w:tc>
      </w:tr>
      <w:tr>
        <w:tc>
          <w:tcPr/>
          <w:p>
            <w:pPr>
              <w:pStyle w:val="Compact"/>
              <w:jc w:val="left"/>
            </w:pPr>
            <w:r>
              <w:t xml:space="preserve">VENTURE (Argente 2025), PMID 39549719</w:t>
            </w:r>
          </w:p>
        </w:tc>
        <w:tc>
          <w:tcPr/>
          <w:p>
            <w:pPr>
              <w:pStyle w:val="Compact"/>
              <w:jc w:val="left"/>
            </w:pPr>
            <w:r>
              <w:t xml:space="preserve">12 Kinder von 2 bis 5 Jahren, offen</w:t>
            </w:r>
          </w:p>
        </w:tc>
        <w:tc>
          <w:tcPr/>
          <w:p>
            <w:pPr>
              <w:pStyle w:val="Compact"/>
              <w:jc w:val="left"/>
            </w:pPr>
            <w:r>
              <w:t xml:space="preserve">52 Wochen</w:t>
            </w:r>
          </w:p>
        </w:tc>
        <w:tc>
          <w:tcPr/>
          <w:p>
            <w:pPr>
              <w:pStyle w:val="Compact"/>
              <w:jc w:val="left"/>
            </w:pPr>
            <w:r>
              <w:t xml:space="preserve">BMI −18 % im Mittel</w:t>
            </w:r>
          </w:p>
        </w:tc>
      </w:tr>
      <w:tr>
        <w:tc>
          <w:tcPr/>
          <w:p>
            <w:pPr>
              <w:pStyle w:val="Compact"/>
              <w:jc w:val="left"/>
            </w:pPr>
            <w:r>
              <w:t xml:space="preserve">Roth 2024 (hypothalamische Adipositas), PMID 38697184</w:t>
            </w:r>
          </w:p>
        </w:tc>
        <w:tc>
          <w:tcPr/>
          <w:p>
            <w:pPr>
              <w:pStyle w:val="Compact"/>
              <w:jc w:val="left"/>
            </w:pPr>
            <w:r>
              <w:t xml:space="preserve">18 Personen, offen</w:t>
            </w:r>
          </w:p>
        </w:tc>
        <w:tc>
          <w:tcPr/>
          <w:p>
            <w:pPr>
              <w:pStyle w:val="Compact"/>
              <w:jc w:val="left"/>
            </w:pPr>
            <w:r>
              <w:t xml:space="preserve">16 Wochen</w:t>
            </w:r>
          </w:p>
        </w:tc>
        <w:tc>
          <w:tcPr/>
          <w:p>
            <w:pPr>
              <w:pStyle w:val="Compact"/>
              <w:jc w:val="left"/>
            </w:pPr>
            <w:r>
              <w:t xml:space="preserve">BMI −15 % im Mittel</w:t>
            </w:r>
          </w:p>
        </w:tc>
      </w:tr>
      <w:tr>
        <w:tc>
          <w:tcPr/>
          <w:p>
            <w:pPr>
              <w:pStyle w:val="Compact"/>
              <w:jc w:val="left"/>
            </w:pPr>
            <w:r>
              <w:t xml:space="preserve">TRANSCEND (Miller 2026), PMID 42418774</w:t>
            </w:r>
          </w:p>
        </w:tc>
        <w:tc>
          <w:tcPr/>
          <w:p>
            <w:pPr>
              <w:pStyle w:val="Compact"/>
              <w:jc w:val="left"/>
            </w:pPr>
            <w:r>
              <w:t xml:space="preserve">120 Personen mit erworbener hypothalamischer Adipositas, gegen Placebo</w:t>
            </w:r>
          </w:p>
        </w:tc>
        <w:tc>
          <w:tcPr/>
          <w:p>
            <w:pPr>
              <w:pStyle w:val="Compact"/>
              <w:jc w:val="left"/>
            </w:pPr>
            <w:r>
              <w:t xml:space="preserve">52 Wochen</w:t>
            </w:r>
          </w:p>
        </w:tc>
        <w:tc>
          <w:tcPr/>
          <w:p>
            <w:pPr>
              <w:pStyle w:val="Compact"/>
              <w:jc w:val="left"/>
            </w:pPr>
            <w:r>
              <w:t xml:space="preserve">BMI −16,5 % vs. +3,3 %</w:t>
            </w:r>
          </w:p>
        </w:tc>
      </w:tr>
    </w:tbl>
    <w:bookmarkStart w:id="799" w:name="pomc--pcsk1--und-leptinrezeptor-mangel"/>
    <w:p>
      <w:pPr>
        <w:pStyle w:val="Heading4"/>
      </w:pPr>
      <w:r>
        <w:t xml:space="preserve">POMC-, PCSK1- und Leptinrezeptor-Mangel</w:t>
      </w:r>
    </w:p>
    <w:p>
      <w:pPr>
        <w:pStyle w:val="FirstParagraph"/>
      </w:pPr>
      <w:r>
        <w:t xml:space="preserve">Die ersten Berichte waren Einzelfälle: Zwei Patientinnen bzw. Patienten mit POMC-Mangel verloren in einer von Ärztinnen und Ärzten initiierten Studie 51,0 kg nach 42 Wochen bzw. 20,5 kg nach 12 Wochen, und ihr Hunger ließ dauerhaft nach</w:t>
      </w:r>
      <w:r>
        <w:rPr>
          <w:rStyle w:val="FootnoteReference"/>
        </w:rPr>
        <w:footnoteReference w:id="796"/>
      </w:r>
      <w:r>
        <w:t xml:space="preserve">. Ähnliches wurde für drei Personen mit Leptinrezeptor-Mangel beschrieben</w:t>
      </w:r>
      <w:r>
        <w:rPr>
          <w:rStyle w:val="FootnoteReference"/>
        </w:rPr>
        <w:footnoteReference w:id="797"/>
      </w:r>
      <w:r>
        <w:t xml:space="preserve">.</w:t>
      </w:r>
    </w:p>
    <w:p>
      <w:pPr>
        <w:pStyle w:val="BodyText"/>
      </w:pPr>
      <w:r>
        <w:t xml:space="preserve">Die Zulassungsstudien</w:t>
      </w:r>
      <w:r>
        <w:rPr>
          <w:rStyle w:val="FootnoteReference"/>
        </w:rPr>
        <w:footnoteReference w:id="798"/>
      </w:r>
      <w:r>
        <w:t xml:space="preserve"> </w:t>
      </w:r>
      <w:r>
        <w:t xml:space="preserve">waren einarmig – es gab also keine durchgehende Placebogruppe –, enthielten aber eine kurze verblindete Absetzphase. Nach etwa einem Jahr hatten 8 von 10 Personen mit POMC-Mangel und 5 von 11 mit Leptinrezeptor-Mangel mindestens 10 % ihres Gewichts verloren. Der Hunger auf einer Skala von 0 bis 10 ging um 27,1 % bzw. 43,7 % zurück. Für so seltene Erkrankungen sind kleine, unkontrollierte Studien oft das einzig Machbare. Bei einer Erkrankung, bei der ohne Behandlung praktisch keine Gewichtsabnahme zu erwarten ist, sind die Ergebnisse dennoch aussagekräftig.</w:t>
      </w:r>
    </w:p>
    <w:bookmarkEnd w:id="799"/>
    <w:bookmarkStart w:id="802" w:name="bardet-biedl-syndrom"/>
    <w:p>
      <w:pPr>
        <w:pStyle w:val="Heading4"/>
      </w:pPr>
      <w:r>
        <w:t xml:space="preserve">Bardet-Biedl-Syndrom</w:t>
      </w:r>
    </w:p>
    <w:p>
      <w:pPr>
        <w:pStyle w:val="FirstParagraph"/>
      </w:pPr>
      <w:r>
        <w:t xml:space="preserve">Das Bardet-Biedl-Syndrom (BBS) ist eine seltene Erbkrankheit, bei der die feinen Zellfortsätze (Zilien) gestört sind; neben Netzhautschäden, Nierenproblemen und überzähligen Fingern oder Zehen gehören starker Hunger und Adipositas dazu. In der Phase-3-Studie</w:t>
      </w:r>
      <w:r>
        <w:rPr>
          <w:rStyle w:val="FootnoteReference"/>
        </w:rPr>
        <w:footnoteReference w:id="800"/>
      </w:r>
      <w:r>
        <w:t xml:space="preserve"> </w:t>
      </w:r>
      <w:r>
        <w:t xml:space="preserve">erreichten nach 52 Wochen 32,3 % der Personen mit BBS ab 12 Jahren einen Gewichtsverlust von mindestens 10 %. Beim verwandten Alström-Syndrom waren die Ergebnisse nicht eindeutig. Ein Vergleich mit einer passenden Kontrollgruppe aus einem BBS-Register ergab, dass 58,6 % der behandelten gegenüber 6,9 % der unbehandelten Patientinnen und Patienten das jeweilige Erfolgskriterium erreichten</w:t>
      </w:r>
      <w:r>
        <w:rPr>
          <w:rStyle w:val="FootnoteReference"/>
        </w:rPr>
        <w:footnoteReference w:id="801"/>
      </w:r>
      <w:r>
        <w:t xml:space="preserve"> </w:t>
      </w:r>
      <w:r>
        <w:t xml:space="preserve">– eine indirekte, aber hilfreiche Einordnung.</w:t>
      </w:r>
    </w:p>
    <w:bookmarkEnd w:id="802"/>
    <w:bookmarkStart w:id="804" w:name="kleinkinder"/>
    <w:p>
      <w:pPr>
        <w:pStyle w:val="Heading4"/>
      </w:pPr>
      <w:r>
        <w:t xml:space="preserve">Kleinkinder</w:t>
      </w:r>
    </w:p>
    <w:p>
      <w:pPr>
        <w:pStyle w:val="FirstParagraph"/>
      </w:pPr>
      <w:r>
        <w:t xml:space="preserve">In der offenen VENTURE-Studie mit 12 Kindern zwischen 2 und 5 Jahren sank der BMI nach einem Jahr im Mittel um 18 %: um 26 % bei POMC- oder Leptinrezeptor-Mangel und um 10 % bei BBS. 91 % der Betreuungspersonen berichteten, dass die Kinder weniger hungrig waren</w:t>
      </w:r>
      <w:r>
        <w:rPr>
          <w:rStyle w:val="FootnoteReference"/>
        </w:rPr>
        <w:footnoteReference w:id="803"/>
      </w:r>
      <w:r>
        <w:t xml:space="preserve">.</w:t>
      </w:r>
    </w:p>
    <w:bookmarkEnd w:id="804"/>
    <w:bookmarkStart w:id="807" w:name="hypothalamische-adipositas"/>
    <w:p>
      <w:pPr>
        <w:pStyle w:val="Heading4"/>
      </w:pPr>
      <w:r>
        <w:t xml:space="preserve">Hypothalamische Adipositas</w:t>
      </w:r>
    </w:p>
    <w:p>
      <w:pPr>
        <w:pStyle w:val="FirstParagraph"/>
      </w:pPr>
      <w:r>
        <w:t xml:space="preserve">Eine zweite, häufigere Zielgruppe sind Menschen, deren Hypothalamus durch einen Tumor (oft ein Kraniopharyngeom), eine Operation oder Bestrahlung geschädigt wurde. Sie entwickeln häufig eine schwer behandelbare Adipositas. Nach einer offenen Phase-2-Studie mit 18 Personen, in der der BMI nach 16 Wochen um durchschnittlich 15 % sank</w:t>
      </w:r>
      <w:r>
        <w:rPr>
          <w:rStyle w:val="FootnoteReference"/>
        </w:rPr>
        <w:footnoteReference w:id="805"/>
      </w:r>
      <w:r>
        <w:t xml:space="preserve">, folgte die randomisierte Phase-3-Studie TRANSCEND</w:t>
      </w:r>
      <w:r>
        <w:rPr>
          <w:rStyle w:val="FootnoteReference"/>
        </w:rPr>
        <w:footnoteReference w:id="806"/>
      </w:r>
      <w:r>
        <w:t xml:space="preserve">:</w:t>
      </w:r>
    </w:p>
    <w:p>
      <w:pPr>
        <w:numPr>
          <w:ilvl w:val="0"/>
          <w:numId w:val="1101"/>
        </w:numPr>
        <w:pStyle w:val="Compact"/>
      </w:pPr>
      <w:r>
        <w:t xml:space="preserve">120 Personen zwischen 4 und 66 Jahren, Verhältnis 2:1 Setmelanotid zu Placebo.</w:t>
      </w:r>
    </w:p>
    <w:p>
      <w:pPr>
        <w:numPr>
          <w:ilvl w:val="0"/>
          <w:numId w:val="1101"/>
        </w:numPr>
        <w:pStyle w:val="Compact"/>
      </w:pPr>
      <w:r>
        <w:t xml:space="preserve">Nach 52 Wochen: BMI −16,5 % unter Setmelanotid, +3,3 % unter Placebo.</w:t>
      </w:r>
    </w:p>
    <w:p>
      <w:pPr>
        <w:numPr>
          <w:ilvl w:val="0"/>
          <w:numId w:val="1101"/>
        </w:numPr>
        <w:pStyle w:val="Compact"/>
      </w:pPr>
      <w:r>
        <w:t xml:space="preserve">Hunger-Score: −2,73 gegenüber −1,45 Punkte.</w:t>
      </w:r>
    </w:p>
    <w:p>
      <w:pPr>
        <w:numPr>
          <w:ilvl w:val="0"/>
          <w:numId w:val="1101"/>
        </w:numPr>
        <w:pStyle w:val="Compact"/>
      </w:pPr>
      <w:r>
        <w:t xml:space="preserve">Schwere unerwünschte Ereignisse: 28 % gegenüber 8 %.</w:t>
      </w:r>
    </w:p>
    <w:bookmarkEnd w:id="807"/>
    <w:bookmarkStart w:id="810" w:name="häufigere-genetische-varianten"/>
    <w:p>
      <w:pPr>
        <w:pStyle w:val="Heading4"/>
      </w:pPr>
      <w:r>
        <w:t xml:space="preserve">Häufigere genetische Varianten</w:t>
      </w:r>
    </w:p>
    <w:p>
      <w:pPr>
        <w:pStyle w:val="FirstParagraph"/>
      </w:pPr>
      <w:r>
        <w:t xml:space="preserve">Weniger überzeugend sind die Daten bei Menschen mit nur einer veränderten Kopie des MC4R-Gens – einer der häufigsten genetischen Ursachen schwerer Adipositas. In einer kleinen 28-tägigen Studie verloren solche Personen zwar Gewicht, aber deutlich weniger als Personen mit POMC-Defekten</w:t>
      </w:r>
      <w:r>
        <w:rPr>
          <w:rStyle w:val="FootnoteReference"/>
        </w:rPr>
        <w:footnoteReference w:id="808"/>
      </w:r>
      <w:r>
        <w:t xml:space="preserve">. Die größere Phase-3-Studie EMANATE zu verschiedenen Varianten im MC4R-Signalweg ist laut Register abgeschlossen</w:t>
      </w:r>
      <w:r>
        <w:rPr>
          <w:rStyle w:val="FootnoteReference"/>
        </w:rPr>
        <w:footnoteReference w:id="809"/>
      </w:r>
      <w:r>
        <w:t xml:space="preserve">; eine begutachtete Veröffentlichung lag bei der Recherche noch nicht vor.</w:t>
      </w:r>
    </w:p>
    <w:bookmarkEnd w:id="810"/>
    <w:bookmarkEnd w:id="811"/>
    <w:bookmarkStart w:id="813" w:name="tier--und-laborstudien-12"/>
    <w:p>
      <w:pPr>
        <w:pStyle w:val="Heading3"/>
      </w:pPr>
      <w:r>
        <w:t xml:space="preserve">Tier- und Laborstudien</w:t>
      </w:r>
    </w:p>
    <w:p>
      <w:pPr>
        <w:pStyle w:val="FirstParagraph"/>
      </w:pPr>
      <w:r>
        <w:t xml:space="preserve">In Zellversuchen ist Setmelanotid am MC4-Rezeptor deutlich wirksamer als das körpereigene Alpha-MSH und kann einen Teil defekter Rezeptorvarianten teilweise wieder aktivieren. Bei normalen Nagetieren führte es zu Gewichtsverlust, bei Mäusen ganz ohne MC4-Rezeptor dagegen nicht</w:t>
      </w:r>
      <w:r>
        <w:rPr>
          <w:rStyle w:val="FootnoteReference"/>
        </w:rPr>
        <w:footnoteReference w:id="812"/>
      </w:r>
      <w:r>
        <w:t xml:space="preserve">. Das bestätigt, dass die Wirkung tatsächlich über diesen Rezeptor läuft.</w:t>
      </w:r>
    </w:p>
    <w:bookmarkEnd w:id="813"/>
    <w:bookmarkStart w:id="819" w:name="risiken-und-nebenwirkungen-12"/>
    <w:p>
      <w:pPr>
        <w:pStyle w:val="Heading3"/>
      </w:pPr>
      <w:r>
        <w:t xml:space="preserve">Risiken und Nebenwirkungen</w:t>
      </w:r>
    </w:p>
    <w:p>
      <w:pPr>
        <w:pStyle w:val="FirstParagraph"/>
      </w:pPr>
      <w:r>
        <w:rPr>
          <w:bCs/>
          <w:b/>
        </w:rPr>
        <w:t xml:space="preserve">Belegt aus Studien:</w:t>
      </w:r>
    </w:p>
    <w:p>
      <w:pPr>
        <w:numPr>
          <w:ilvl w:val="0"/>
          <w:numId w:val="1102"/>
        </w:numPr>
        <w:pStyle w:val="Compact"/>
      </w:pPr>
      <w:r>
        <w:rPr>
          <w:bCs/>
          <w:b/>
        </w:rPr>
        <w:t xml:space="preserve">Hautreaktionen an der Einstichstelle</w:t>
      </w:r>
      <w:r>
        <w:t xml:space="preserve"> </w:t>
      </w:r>
      <w:r>
        <w:t xml:space="preserve">(Rötung, Schwellung): In einer Meta-Analyse von sieben Studien mit 185 Personen bei 96 %</w:t>
      </w:r>
      <w:r>
        <w:rPr>
          <w:rStyle w:val="FootnoteReference"/>
        </w:rPr>
        <w:footnoteReference w:id="814"/>
      </w:r>
      <w:r>
        <w:t xml:space="preserve">.</w:t>
      </w:r>
    </w:p>
    <w:p>
      <w:pPr>
        <w:numPr>
          <w:ilvl w:val="0"/>
          <w:numId w:val="1102"/>
        </w:numPr>
        <w:pStyle w:val="Compact"/>
      </w:pPr>
      <w:r>
        <w:rPr>
          <w:bCs/>
          <w:b/>
        </w:rPr>
        <w:t xml:space="preserve">Dunklere Haut (Hyperpigmentierung):</w:t>
      </w:r>
      <w:r>
        <w:t xml:space="preserve"> </w:t>
      </w:r>
      <w:r>
        <w:t xml:space="preserve">bei 62 % in derselben Meta-Analyse. Über die Wirkung am Melanocortin-1-Rezeptor bräunt die Haut, Lippen und Muttermale werden dunkler, rote Haare können sich braun färben. In einer Beobachtung über bis zu 46 Monate stabilisierte sich die Bräunung mit der Zeit; bösartige Hautveränderungen traten nicht auf</w:t>
      </w:r>
      <w:r>
        <w:rPr>
          <w:rStyle w:val="FootnoteReference"/>
        </w:rPr>
        <w:footnoteReference w:id="815"/>
      </w:r>
      <w:r>
        <w:t xml:space="preserve">. Fachleute empfehlen regelmäßige Hautuntersuchungen.</w:t>
      </w:r>
    </w:p>
    <w:p>
      <w:pPr>
        <w:numPr>
          <w:ilvl w:val="0"/>
          <w:numId w:val="1102"/>
        </w:numPr>
        <w:pStyle w:val="Compact"/>
      </w:pPr>
      <w:r>
        <w:rPr>
          <w:bCs/>
          <w:b/>
        </w:rPr>
        <w:t xml:space="preserve">Übelkeit und Erbrechen:</w:t>
      </w:r>
      <w:r>
        <w:t xml:space="preserve"> </w:t>
      </w:r>
      <w:r>
        <w:t xml:space="preserve">bei 36 % bzw. 26 %; Durchfall bei 21 %</w:t>
      </w:r>
      <w:r>
        <w:rPr>
          <w:rStyle w:val="FootnoteReference"/>
        </w:rPr>
        <w:footnoteReference w:id="816"/>
      </w:r>
      <w:r>
        <w:t xml:space="preserve">.</w:t>
      </w:r>
    </w:p>
    <w:p>
      <w:pPr>
        <w:numPr>
          <w:ilvl w:val="0"/>
          <w:numId w:val="1102"/>
        </w:numPr>
        <w:pStyle w:val="Compact"/>
      </w:pPr>
      <w:r>
        <w:rPr>
          <w:bCs/>
          <w:b/>
        </w:rPr>
        <w:t xml:space="preserve">Schwere unerwünschte Ereignisse:</w:t>
      </w:r>
      <w:r>
        <w:t xml:space="preserve"> </w:t>
      </w:r>
      <w:r>
        <w:t xml:space="preserve">In TRANSCEND häufiger unter Setmelanotid (28 % vs. 8 %)</w:t>
      </w:r>
      <w:r>
        <w:rPr>
          <w:rStyle w:val="FootnoteReference"/>
        </w:rPr>
        <w:footnoteReference w:id="817"/>
      </w:r>
      <w:r>
        <w:t xml:space="preserve">; die Zusammenfassung schlüsselt sie nicht im Einzelnen auf.</w:t>
      </w:r>
    </w:p>
    <w:p>
      <w:pPr>
        <w:numPr>
          <w:ilvl w:val="0"/>
          <w:numId w:val="1102"/>
        </w:numPr>
        <w:pStyle w:val="Compact"/>
      </w:pPr>
      <w:r>
        <w:t xml:space="preserve">In der BBS-Studie wurden als schwere Ereignisse unter anderem Suizidgedanken berichtet, die nicht als behandlungsbedingt eingestuft wurden</w:t>
      </w:r>
      <w:r>
        <w:rPr>
          <w:rStyle w:val="FootnoteReference"/>
        </w:rPr>
        <w:footnoteReference w:id="818"/>
      </w:r>
      <w:r>
        <w:t xml:space="preserve">. Die Fachinformation enthält Hinweise zu Depression und Suizidgedanken sowie zu spontanen Erektionen bei Männern.</w:t>
      </w:r>
    </w:p>
    <w:p>
      <w:pPr>
        <w:pStyle w:val="FirstParagraph"/>
      </w:pPr>
      <w:r>
        <w:rPr>
          <w:bCs/>
          <w:b/>
        </w:rPr>
        <w:t xml:space="preserve">Theoretisch:</w:t>
      </w:r>
      <w:r>
        <w:t xml:space="preserve"> </w:t>
      </w:r>
      <w:r>
        <w:t xml:space="preserve">Ob die anhaltende Stimulation der Pigmentzellen langfristig das Hautkrebsrisiko beeinflusst, ist nicht geklärt; bisherige Beobachtungen über einige Jahre zeigen kein Signal.</w:t>
      </w:r>
    </w:p>
    <w:p>
      <w:pPr>
        <w:pStyle w:val="BodyText"/>
      </w:pPr>
      <w:r>
        <w:rPr>
          <w:bCs/>
          <w:b/>
        </w:rPr>
        <w:t xml:space="preserve">Missbrauchspotenzial:</w:t>
      </w:r>
      <w:r>
        <w:t xml:space="preserve"> </w:t>
      </w:r>
      <w:r>
        <w:t xml:space="preserve">Wegen der Bräunungswirkung wird Setmelanotid in Internetforen gelegentlich mit Melanotan II in Verbindung gebracht. Es ist für Menschen ohne nachgewiesenen genetischen Defekt kein geeignetes Abnehmmittel und dafür nicht untersucht.</w:t>
      </w:r>
    </w:p>
    <w:bookmarkEnd w:id="819"/>
    <w:bookmarkStart w:id="820" w:name="rechtslage-12"/>
    <w:p>
      <w:pPr>
        <w:pStyle w:val="Heading3"/>
      </w:pPr>
      <w:r>
        <w:t xml:space="preserve">Rechtslage</w:t>
      </w:r>
    </w:p>
    <w:p>
      <w:pPr>
        <w:numPr>
          <w:ilvl w:val="0"/>
          <w:numId w:val="1103"/>
        </w:numPr>
        <w:pStyle w:val="Compact"/>
      </w:pPr>
      <w:r>
        <w:rPr>
          <w:bCs/>
          <w:b/>
        </w:rPr>
        <w:t xml:space="preserve">EU / Österreich / Deutschland:</w:t>
      </w:r>
      <w:r>
        <w:t xml:space="preserve"> </w:t>
      </w:r>
      <w:r>
        <w:t xml:space="preserve">zugelassen (Imcivree), verschreibungspflichtig, nur für genetisch bestätigte Formen (POMC-, PCSK1-, Leptinrezeptor-Mangel, Bardet-Biedl-Syndrom). Die Diagnose erfordert eine genetische Untersuchung; Einleitung und Überwachung gehören in spezialisierte Zentren. Details zur Erweiterung auf hypothalamische Adipositas:</w:t>
      </w:r>
    </w:p>
    <w:p>
      <w:pPr>
        <w:numPr>
          <w:ilvl w:val="0"/>
          <w:numId w:val="1103"/>
        </w:numPr>
        <w:pStyle w:val="Compact"/>
      </w:pPr>
      <w:r>
        <w:rPr>
          <w:bCs/>
          <w:b/>
        </w:rPr>
        <w:t xml:space="preserve">USA:</w:t>
      </w:r>
      <w:r>
        <w:t xml:space="preserve"> </w:t>
      </w:r>
      <w:r>
        <w:t xml:space="preserve">zugelassen seit 2020 (POMC, PCSK1, LEPR), später erweitert auf das Bardet-Biedl-Syndrom und auf jüngere Kinder; ein Antrag für hypothalamische Adipositas wurde auf Grundlage von TRANSCEND gestellt.</w:t>
      </w:r>
    </w:p>
    <w:p>
      <w:pPr>
        <w:numPr>
          <w:ilvl w:val="0"/>
          <w:numId w:val="1103"/>
        </w:numPr>
        <w:pStyle w:val="Compact"/>
      </w:pPr>
      <w:r>
        <w:rPr>
          <w:bCs/>
          <w:b/>
        </w:rPr>
        <w:t xml:space="preserve">Sport:</w:t>
      </w:r>
      <w:r>
        <w:t xml:space="preserve"> </w:t>
      </w:r>
      <w:r>
        <w:t xml:space="preserve">nicht auf der WADA-Liste genannt (Stand 2026, bitte aktuell prüfen).</w:t>
      </w:r>
    </w:p>
    <w:bookmarkEnd w:id="820"/>
    <w:bookmarkStart w:id="827" w:name="laufende-studien-und-ausblick-12"/>
    <w:p>
      <w:pPr>
        <w:pStyle w:val="Heading3"/>
      </w:pPr>
      <w:r>
        <w:t xml:space="preserve">Laufende Studien und Ausblick</w:t>
      </w:r>
    </w:p>
    <w:p>
      <w:pPr>
        <w:pStyle w:val="FirstParagraph"/>
      </w:pPr>
      <w:r>
        <w:rPr>
          <w:bCs/>
          <w:b/>
        </w:rPr>
        <w:t xml:space="preserve">Gesichert (registrierte Studien, Stand Oktober 2026):</w:t>
      </w:r>
    </w:p>
    <w:p>
      <w:pPr>
        <w:numPr>
          <w:ilvl w:val="0"/>
          <w:numId w:val="1104"/>
        </w:numPr>
        <w:pStyle w:val="Compact"/>
      </w:pPr>
      <w:r>
        <w:rPr>
          <w:bCs/>
          <w:b/>
        </w:rPr>
        <w:t xml:space="preserve">TRANSCEND</w:t>
      </w:r>
      <w:r>
        <w:rPr>
          <w:rStyle w:val="FootnoteReference"/>
        </w:rPr>
        <w:footnoteReference w:id="821"/>
      </w:r>
      <w:r>
        <w:t xml:space="preserve"> </w:t>
      </w:r>
      <w:r>
        <w:t xml:space="preserve">läuft in einer Verlängerung weiter; eine Teilstudie untersucht angeborene hypothalamische Adipositas</w:t>
      </w:r>
      <w:r>
        <w:rPr>
          <w:rStyle w:val="FootnoteReference"/>
        </w:rPr>
        <w:footnoteReference w:id="822"/>
      </w:r>
      <w:r>
        <w:t xml:space="preserve">.</w:t>
      </w:r>
    </w:p>
    <w:p>
      <w:pPr>
        <w:numPr>
          <w:ilvl w:val="0"/>
          <w:numId w:val="1104"/>
        </w:numPr>
        <w:pStyle w:val="Compact"/>
      </w:pPr>
      <w:r>
        <w:rPr>
          <w:bCs/>
          <w:b/>
        </w:rPr>
        <w:t xml:space="preserve">Prader-Willi-Syndrom</w:t>
      </w:r>
      <w:r>
        <w:rPr>
          <w:rStyle w:val="FootnoteReference"/>
        </w:rPr>
        <w:footnoteReference w:id="823"/>
      </w:r>
      <w:r>
        <w:t xml:space="preserve">: Phase 2 mit 18 Teilnehmenden.</w:t>
      </w:r>
    </w:p>
    <w:p>
      <w:pPr>
        <w:numPr>
          <w:ilvl w:val="0"/>
          <w:numId w:val="1104"/>
        </w:numPr>
        <w:pStyle w:val="Compact"/>
      </w:pPr>
      <w:r>
        <w:rPr>
          <w:bCs/>
          <w:b/>
        </w:rPr>
        <w:t xml:space="preserve">Langzeitbeobachtung</w:t>
      </w:r>
      <w:r>
        <w:t xml:space="preserve"> </w:t>
      </w:r>
      <w:r>
        <w:t xml:space="preserve">bei BBS und schwerer genetischer Adipositas in der Praxis</w:t>
      </w:r>
      <w:r>
        <w:rPr>
          <w:rStyle w:val="FootnoteReference"/>
        </w:rPr>
        <w:footnoteReference w:id="824"/>
      </w:r>
      <w:r>
        <w:t xml:space="preserve">.</w:t>
      </w:r>
    </w:p>
    <w:p>
      <w:pPr>
        <w:numPr>
          <w:ilvl w:val="0"/>
          <w:numId w:val="1104"/>
        </w:numPr>
        <w:pStyle w:val="Compact"/>
      </w:pPr>
      <w:r>
        <w:rPr>
          <w:bCs/>
          <w:b/>
        </w:rPr>
        <w:t xml:space="preserve">EMANATE</w:t>
      </w:r>
      <w:r>
        <w:rPr>
          <w:rStyle w:val="FootnoteReference"/>
        </w:rPr>
        <w:footnoteReference w:id="825"/>
      </w:r>
      <w:r>
        <w:t xml:space="preserve"> </w:t>
      </w:r>
      <w:r>
        <w:t xml:space="preserve">und</w:t>
      </w:r>
      <w:r>
        <w:t xml:space="preserve"> </w:t>
      </w:r>
      <w:r>
        <w:rPr>
          <w:bCs/>
          <w:b/>
        </w:rPr>
        <w:t xml:space="preserve">DAYBREAK</w:t>
      </w:r>
      <w:r>
        <w:rPr>
          <w:rStyle w:val="FootnoteReference"/>
        </w:rPr>
        <w:footnoteReference w:id="826"/>
      </w:r>
      <w:r>
        <w:t xml:space="preserve"> </w:t>
      </w:r>
      <w:r>
        <w:t xml:space="preserve">zu weiteren Genvarianten: abgeschlossen, Veröffentlichung ausstehend.</w:t>
      </w:r>
    </w:p>
    <w:p>
      <w:pPr>
        <w:pStyle w:val="FirstParagraph"/>
      </w:pPr>
      <w:r>
        <w:rPr>
          <w:bCs/>
          <w:b/>
        </w:rPr>
        <w:t xml:space="preserve">Einschätzung:</w:t>
      </w:r>
      <w:r>
        <w:t xml:space="preserve"> </w:t>
      </w:r>
      <w:r>
        <w:t xml:space="preserve">Setmelanotid hat gezeigt, dass Präzisionsmedizin bei Adipositas möglich ist: Wer die Ursache kennt, kann gezielt behandeln. Die Zielgruppe bleibt klein; mit der hypothalamischen Adipositas könnte sie sich aber deutlich erweitern. Für die große Mehrheit der Menschen mit Adipositas, bei denen kein solcher Gendefekt vorliegt, sind GLP-1-basierte Medikamente wirksamer und besser untersucht.</w:t>
      </w:r>
    </w:p>
    <w:bookmarkEnd w:id="827"/>
    <w:bookmarkStart w:id="828" w:name="fazit-12"/>
    <w:p>
      <w:pPr>
        <w:pStyle w:val="Heading3"/>
      </w:pPr>
      <w:r>
        <w:t xml:space="preserve">Fazit</w:t>
      </w:r>
    </w:p>
    <w:p>
      <w:pPr>
        <w:pStyle w:val="FirstParagraph"/>
      </w:pPr>
      <w:r>
        <w:t xml:space="preserve">Setmelanotid ist ein kleines zyklisches Peptid, das den MC4-Rezeptor im Gehirn aktiviert und so defekte Glieder des Leptin-Melanocortin-Signalwegs überbrückt. In kleinen Zulassungsstudien verloren 80 % der Menschen mit POMC-Mangel und 45 % mit Leptinrezeptor-Mangel mindestens 10 % ihres Gewichts; bei hypothalamischer Adipositas sank der BMI nach einem Jahr um 16,5 % gegenüber einem Anstieg unter Placebo. Fast alle Behandelten bekommen Hautreaktionen an der Einstichstelle, die Mehrheit eine dunklere Haut. Setmelanotid ist in der EU und den USA für seltene genetische Adipositasformen zugelassen und kein Medikament für die allgemeine Gewichtsabnahme.</w:t>
      </w:r>
    </w:p>
    <w:bookmarkEnd w:id="828"/>
    <w:bookmarkEnd w:id="829"/>
    <w:bookmarkStart w:id="854" w:name="aod-9604"/>
    <w:p>
      <w:pPr>
        <w:pStyle w:val="Heading2"/>
      </w:pPr>
      <w:r>
        <w:t xml:space="preserve">AOD-9604</w:t>
      </w:r>
    </w:p>
    <w:bookmarkStart w:id="831" w:name="steckbrief-13"/>
    <w:p>
      <w:pPr>
        <w:pStyle w:val="Heading3"/>
      </w:pPr>
      <w:r>
        <w:t xml:space="preserve">Steckbrief</w:t>
      </w:r>
    </w:p>
    <w:p>
      <w:pPr>
        <w:numPr>
          <w:ilvl w:val="0"/>
          <w:numId w:val="1105"/>
        </w:numPr>
        <w:pStyle w:val="Compact"/>
      </w:pPr>
      <w:r>
        <w:rPr>
          <w:bCs/>
          <w:b/>
        </w:rPr>
        <w:t xml:space="preserve">Art/Struktur:</w:t>
      </w:r>
      <w:r>
        <w:t xml:space="preserve"> </w:t>
      </w:r>
      <w:r>
        <w:t xml:space="preserve">synthetisches Peptid aus dem hinteren Ende (C-Terminus) des menschlichen Wachstumshormons: die Aminosäuren 177 bis 191, ergänzt um ein zusätzliches Tyrosin am Anfang</w:t>
      </w:r>
      <w:r>
        <w:rPr>
          <w:rStyle w:val="FootnoteReference"/>
        </w:rPr>
        <w:footnoteReference w:id="830"/>
      </w:r>
      <w:r>
        <w:t xml:space="preserve">. Im Internet oft unter Bezeichnungen wie „hGH Fragment 176-191“ oder „Frag 176-191“ angeboten. Der Name steht für „Anti-Obesity Drug 9604“.</w:t>
      </w:r>
    </w:p>
    <w:p>
      <w:pPr>
        <w:numPr>
          <w:ilvl w:val="0"/>
          <w:numId w:val="1105"/>
        </w:numPr>
        <w:pStyle w:val="Compact"/>
      </w:pPr>
      <w:r>
        <w:rPr>
          <w:bCs/>
          <w:b/>
        </w:rPr>
        <w:t xml:space="preserve">Herkunft:</w:t>
      </w:r>
      <w:r>
        <w:t xml:space="preserve"> </w:t>
      </w:r>
      <w:r>
        <w:t xml:space="preserve">in den 1990er-Jahren an der Monash University in Melbourne entwickelt und vom australischen Unternehmen Metabolic Pharmaceuticals als Abnehmmedikament verfolgt.</w:t>
      </w:r>
    </w:p>
    <w:p>
      <w:pPr>
        <w:numPr>
          <w:ilvl w:val="0"/>
          <w:numId w:val="1105"/>
        </w:numPr>
        <w:pStyle w:val="Compact"/>
      </w:pPr>
      <w:r>
        <w:rPr>
          <w:bCs/>
          <w:b/>
        </w:rPr>
        <w:t xml:space="preserve">Wirkprinzip (Hypothese):</w:t>
      </w:r>
      <w:r>
        <w:t xml:space="preserve"> </w:t>
      </w:r>
      <w:r>
        <w:t xml:space="preserve">soll die fettabbauende Wirkung des Wachstumshormons nachahmen, ohne dessen Wirkung auf Blutzucker und Wachstum.</w:t>
      </w:r>
    </w:p>
    <w:p>
      <w:pPr>
        <w:numPr>
          <w:ilvl w:val="0"/>
          <w:numId w:val="1105"/>
        </w:numPr>
        <w:pStyle w:val="Compact"/>
      </w:pPr>
      <w:r>
        <w:rPr>
          <w:bCs/>
          <w:b/>
        </w:rPr>
        <w:t xml:space="preserve">Zulassung EU / USA:</w:t>
      </w:r>
      <w:r>
        <w:t xml:space="preserve"> </w:t>
      </w:r>
      <w:r>
        <w:t xml:space="preserve">nein. Die Entwicklung als Arzneimittel wurde nach Phase-2-Studien eingestellt.</w:t>
      </w:r>
    </w:p>
    <w:p>
      <w:pPr>
        <w:numPr>
          <w:ilvl w:val="0"/>
          <w:numId w:val="1105"/>
        </w:numPr>
        <w:pStyle w:val="Compact"/>
      </w:pPr>
      <w:r>
        <w:rPr>
          <w:bCs/>
          <w:b/>
        </w:rPr>
        <w:t xml:space="preserve">WADA:</w:t>
      </w:r>
      <w:r>
        <w:t xml:space="preserve"> </w:t>
      </w:r>
      <w:r>
        <w:t xml:space="preserve">verboten – Wachstumshormon-Fragmente wie AOD-9604 sind auf der Verbotsliste in der Klasse S2 ausdrücklich genannt.</w:t>
      </w:r>
    </w:p>
    <w:p>
      <w:pPr>
        <w:numPr>
          <w:ilvl w:val="0"/>
          <w:numId w:val="1105"/>
        </w:numPr>
        <w:pStyle w:val="Compact"/>
      </w:pPr>
      <w:r>
        <w:rPr>
          <w:bCs/>
          <w:b/>
        </w:rPr>
        <w:t xml:space="preserve">Evidenzstufe:</w:t>
      </w:r>
      <w:r>
        <w:t xml:space="preserve"> </w:t>
      </w:r>
      <w:r>
        <w:rPr>
          <w:bCs/>
          <w:b/>
        </w:rPr>
        <w:t xml:space="preserve">D</w:t>
      </w:r>
      <w:r>
        <w:t xml:space="preserve"> </w:t>
      </w:r>
      <w:r>
        <w:t xml:space="preserve">– keine in PubMed auffindbaren veröffentlichten Ergebnisse von Studien am Menschen; Daten aus Tier- und Laborstudien.</w:t>
      </w:r>
    </w:p>
    <w:bookmarkEnd w:id="831"/>
    <w:bookmarkStart w:id="835" w:name="wie-es-wirken-soll-13"/>
    <w:p>
      <w:pPr>
        <w:pStyle w:val="Heading3"/>
      </w:pPr>
      <w:r>
        <w:t xml:space="preserve">Wie es wirken soll</w:t>
      </w:r>
    </w:p>
    <w:p>
      <w:pPr>
        <w:pStyle w:val="FirstParagraph"/>
      </w:pPr>
      <w:r>
        <w:t xml:space="preserve">Das Wachstumshormon (hGH) hat viele Wirkungen: Es fördert das Längenwachstum, wirkt auf Muskeln und Knochen, regt die Fettverbrennung an – und erhöht den Blutzucker, indem es die Insulinwirkung abschwächt. Schon in den 1970er- und 1980er-Jahren untersuchten Forschende an Tieren, ob einzelne Abschnitte des Hormons unterschiedliche Teilwirkungen tragen. Bemerkenswert: In einer Studie an Ratten lösten chemisch veränderte Versionen genau dieses Abschnitts (Aminosäuren 177 bis 191) einen erhöhten Blutzucker und eine Insulinresistenz aus</w:t>
      </w:r>
      <w:r>
        <w:rPr>
          <w:rStyle w:val="FootnoteReference"/>
        </w:rPr>
        <w:footnoteReference w:id="832"/>
      </w:r>
      <w:r>
        <w:t xml:space="preserve"> </w:t>
      </w:r>
      <w:r>
        <w:t xml:space="preserve">– also gerade die Wirkung, die AOD-9604 später vermeiden sollte. Die Ergebnisse hängen offenbar stark von der genauen chemischen Form des Peptids ab.</w:t>
      </w:r>
    </w:p>
    <w:p>
      <w:pPr>
        <w:pStyle w:val="BodyText"/>
      </w:pPr>
      <w:r>
        <w:t xml:space="preserve">Die Idee hinter AOD-9604: Ein kurzes Stück vom Ende des Hormons soll nur die fettabbauende Wirkung behalten. Laboruntersuchungen zeigten, dass AOD-9604 nicht an den Wachstumshormon-Rezeptor bindet und dort auch keine Zellteilung anregt</w:t>
      </w:r>
      <w:r>
        <w:rPr>
          <w:rStyle w:val="FootnoteReference"/>
        </w:rPr>
        <w:footnoteReference w:id="833"/>
      </w:r>
      <w:r>
        <w:t xml:space="preserve">. Es wäre also kein „kleines Wachstumshormon“, sondern ein Molekül mit einem eigenen, noch nicht vollständig verstandenen Wirkmechanismus. In Versuchen an Mäusen ohne Beta-3-Adrenozeptor (einem wichtigen Rezeptor für den Fettabbau) blieb die gewichtssenkende Langzeitwirkung aus; die Autorinnen und Autoren schlossen daraus, dass der Rezeptor beteiligt, aber nicht der direkte Angriffspunkt ist</w:t>
      </w:r>
      <w:r>
        <w:rPr>
          <w:rStyle w:val="FootnoteReference"/>
        </w:rPr>
        <w:footnoteReference w:id="834"/>
      </w:r>
      <w:r>
        <w:t xml:space="preserve">.</w:t>
      </w:r>
    </w:p>
    <w:bookmarkEnd w:id="835"/>
    <w:bookmarkStart w:id="837" w:name="studien-am-menschen-1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veröffentlichte Humanstudie. Auf ClinicalTrials.gov ist unter „AOD9604“ bzw. „AOD-9604“ keine Studie registriert.</w:t>
      </w:r>
    </w:p>
    <w:p>
      <w:pPr>
        <w:pStyle w:val="BodyText"/>
      </w:pPr>
      <w:r>
        <w:t xml:space="preserve">Das bedeutet nicht, dass AOD-9604 nie an Menschen getestet wurde. Übersichtsarbeiten aus den Jahren 2004 bis 2006 berichten, dass sich AOD-9604 in Phase-2-Studien zur Behandlung der Adipositas befand</w:t>
      </w:r>
      <w:r>
        <w:rPr>
          <w:rStyle w:val="FootnoteReference"/>
        </w:rPr>
        <w:footnoteReference w:id="836"/>
      </w:r>
      <w:r>
        <w:t xml:space="preserve">. Die Ergebnisse dieser Studien wurden jedoch nicht in einer begutachteten, in PubMed erfassten Fachzeitschrift veröffentlicht. Nach öffentlich zugänglichen Informationen stellte der Entwickler das Abnehmprogramm in der zweiten Hälfte der 2000er-Jahre ein, weil sich kein ausreichender Effekt zeigte. Da diese Angaben nicht aus einer überprüfbaren Studienveröffentlichung stammen, nennt dieses Buch dazu keine Zahlen.</w:t>
      </w:r>
    </w:p>
    <w:p>
      <w:pPr>
        <w:pStyle w:val="BodyText"/>
      </w:pPr>
      <w:r>
        <w:t xml:space="preserve">Für Leserinnen und Leser heißt das: Wer heute AOD-9604 als Abnehm- oder „Fatburner“-Peptid angeboten bekommt, kann sich auf keine veröffentlichte Studie am Menschen berufen, die eine Wirkung belegt.</w:t>
      </w:r>
    </w:p>
    <w:bookmarkEnd w:id="837"/>
    <w:bookmarkStart w:id="842" w:name="tier--und-laborstudien-13"/>
    <w:p>
      <w:pPr>
        <w:pStyle w:val="Heading3"/>
      </w:pPr>
      <w:r>
        <w:t xml:space="preserve">Tier- und Laborstudien</w:t>
      </w:r>
    </w:p>
    <w:p>
      <w:pPr>
        <w:pStyle w:val="FirstParagraph"/>
      </w:pPr>
      <w:r>
        <w:t xml:space="preserve">Alle folgenden Ergebnisse stammen aus Tierversuchen oder Laboruntersuchungen:</w:t>
      </w:r>
    </w:p>
    <w:p>
      <w:pPr>
        <w:numPr>
          <w:ilvl w:val="0"/>
          <w:numId w:val="1106"/>
        </w:numPr>
        <w:pStyle w:val="Compact"/>
      </w:pPr>
      <w:r>
        <w:rPr>
          <w:bCs/>
          <w:b/>
        </w:rPr>
        <w:t xml:space="preserve">Bei übergewichtigen Ratten</w:t>
      </w:r>
      <w:r>
        <w:t xml:space="preserve"> </w:t>
      </w:r>
      <w:r>
        <w:t xml:space="preserve">(Zucker-Ratten) verringerte AOD-9604, über 19 Tage über das Futter gegeben, die Gewichtszunahme um mehr als die Hälfte; das Fettgewebe zeigte eine höhere Fettabbau-Aktivität. Anders als bei vollständigem Wachstumshormon verschlechterte sich die Insulinempfindlichkeit nicht</w:t>
      </w:r>
      <w:r>
        <w:rPr>
          <w:rStyle w:val="FootnoteReference"/>
        </w:rPr>
        <w:footnoteReference w:id="838"/>
      </w:r>
      <w:r>
        <w:t xml:space="preserve">.</w:t>
      </w:r>
    </w:p>
    <w:p>
      <w:pPr>
        <w:numPr>
          <w:ilvl w:val="0"/>
          <w:numId w:val="1106"/>
        </w:numPr>
        <w:pStyle w:val="Compact"/>
      </w:pPr>
      <w:r>
        <w:rPr>
          <w:bCs/>
          <w:b/>
        </w:rPr>
        <w:t xml:space="preserve">Bei übergewichtigen Mäusen</w:t>
      </w:r>
      <w:r>
        <w:t xml:space="preserve"> </w:t>
      </w:r>
      <w:r>
        <w:t xml:space="preserve">verringerten sowohl Wachstumshormon als auch AOD-9604 über 14 Tage die Gewichtszunahme und steigerten die Fettverbrennung. Im Gegensatz zum Wachstumshormon löste AOD-9604 keinen erhöhten Blutzucker aus</w:t>
      </w:r>
      <w:r>
        <w:rPr>
          <w:rStyle w:val="FootnoteReference"/>
        </w:rPr>
        <w:footnoteReference w:id="839"/>
      </w:r>
      <w:r>
        <w:t xml:space="preserve">.</w:t>
      </w:r>
    </w:p>
    <w:p>
      <w:pPr>
        <w:numPr>
          <w:ilvl w:val="0"/>
          <w:numId w:val="1106"/>
        </w:numPr>
        <w:pStyle w:val="Compact"/>
      </w:pPr>
      <w:r>
        <w:rPr>
          <w:bCs/>
          <w:b/>
        </w:rPr>
        <w:t xml:space="preserve">Ältere Vorarbeiten</w:t>
      </w:r>
      <w:r>
        <w:t xml:space="preserve"> </w:t>
      </w:r>
      <w:r>
        <w:t xml:space="preserve">an Mäusen mit dem verwandten Peptid hGH 177–191 zeigten eine geringere Zunahme von Körpergewicht und Fettgewebe</w:t>
      </w:r>
      <w:r>
        <w:rPr>
          <w:rStyle w:val="FootnoteReference"/>
        </w:rPr>
        <w:footnoteReference w:id="840"/>
      </w:r>
      <w:r>
        <w:t xml:space="preserve">.</w:t>
      </w:r>
    </w:p>
    <w:p>
      <w:pPr>
        <w:numPr>
          <w:ilvl w:val="0"/>
          <w:numId w:val="1106"/>
        </w:numPr>
        <w:pStyle w:val="Compact"/>
      </w:pPr>
      <w:r>
        <w:rPr>
          <w:bCs/>
          <w:b/>
        </w:rPr>
        <w:t xml:space="preserve">Bei Kaninchen</w:t>
      </w:r>
      <w:r>
        <w:t xml:space="preserve"> </w:t>
      </w:r>
      <w:r>
        <w:t xml:space="preserve">mit künstlich ausgelöster Kniearthrose verbesserten Injektionen von AOD-9604 in das Gelenk – allein oder zusammen mit Hyaluronsäure – den Knorpelzustand</w:t>
      </w:r>
      <w:r>
        <w:rPr>
          <w:rStyle w:val="FootnoteReference"/>
        </w:rPr>
        <w:footnoteReference w:id="841"/>
      </w:r>
      <w:r>
        <w:t xml:space="preserve">. Dieser Befund wird im Internet häufig als Beleg für eine „gelenkregenerierende“ Wirkung beim Menschen angeführt; eine solche Studie am Menschen gibt es nicht.</w:t>
      </w:r>
    </w:p>
    <w:p>
      <w:pPr>
        <w:pStyle w:val="FirstParagraph"/>
      </w:pPr>
      <w:r>
        <w:t xml:space="preserve">Die Tierstudien sind klein, teilweise älter und überwiegend aus dem Umfeld der Entwickler.</w:t>
      </w:r>
    </w:p>
    <w:bookmarkEnd w:id="842"/>
    <w:bookmarkStart w:id="848" w:name="risiken-und-nebenwirkungen-13"/>
    <w:p>
      <w:pPr>
        <w:pStyle w:val="Heading3"/>
      </w:pPr>
      <w:r>
        <w:t xml:space="preserve">Risiken und Nebenwirkungen</w:t>
      </w:r>
    </w:p>
    <w:p>
      <w:pPr>
        <w:pStyle w:val="FirstParagraph"/>
      </w:pPr>
      <w:r>
        <w:rPr>
          <w:bCs/>
          <w:b/>
        </w:rPr>
        <w:t xml:space="preserve">Belegt:</w:t>
      </w:r>
      <w:r>
        <w:t xml:space="preserve"> </w:t>
      </w:r>
      <w:r>
        <w:t xml:space="preserve">Mangels veröffentlichter Humanstudien gibt es keine belastbaren Daten zu Nebenwirkungen beim Menschen.</w:t>
      </w:r>
    </w:p>
    <w:p>
      <w:pPr>
        <w:pStyle w:val="BodyText"/>
      </w:pPr>
      <w:r>
        <w:rPr>
          <w:bCs/>
          <w:b/>
        </w:rPr>
        <w:t xml:space="preserve">Aus Analysen von Graumarkt-Produkten und der Dopingkontrolle:</w:t>
      </w:r>
    </w:p>
    <w:p>
      <w:pPr>
        <w:numPr>
          <w:ilvl w:val="0"/>
          <w:numId w:val="1107"/>
        </w:numPr>
        <w:pStyle w:val="Compact"/>
      </w:pPr>
      <w:r>
        <w:t xml:space="preserve">AOD-9604 wird seit Jahren über Internetseiten angeboten und wurde in beschlagnahmten Fläschchen gefunden, unter anderem in den USA</w:t>
      </w:r>
      <w:r>
        <w:rPr>
          <w:rStyle w:val="FootnoteReference"/>
        </w:rPr>
        <w:footnoteReference w:id="843"/>
      </w:r>
      <w:r>
        <w:t xml:space="preserve"> </w:t>
      </w:r>
      <w:r>
        <w:t xml:space="preserve">und in Belgien, wo Behörden unbekannte Peptidpräparate untersuchten</w:t>
      </w:r>
      <w:r>
        <w:rPr>
          <w:rStyle w:val="FootnoteReference"/>
        </w:rPr>
        <w:footnoteReference w:id="844"/>
      </w:r>
      <w:r>
        <w:t xml:space="preserve">.</w:t>
      </w:r>
    </w:p>
    <w:p>
      <w:pPr>
        <w:numPr>
          <w:ilvl w:val="0"/>
          <w:numId w:val="1107"/>
        </w:numPr>
        <w:pStyle w:val="Compact"/>
      </w:pPr>
      <w:r>
        <w:t xml:space="preserve">Übersichtsarbeiten zu Peptiden im Sport und Graumarkt betonen, dass für AOD-9604 und ähnliche Wirkstoffe kaum belastbare Sicherheitsdaten am Menschen vorliegen und Zusammensetzung, Dosis und Reinheit der Produkte unsicher sind</w:t>
      </w:r>
      <w:r>
        <w:rPr>
          <w:rStyle w:val="FootnoteReference"/>
        </w:rPr>
        <w:footnoteReference w:id="845"/>
      </w:r>
      <w:r>
        <w:t xml:space="preserve">. Eine weitere Übersicht weist auf falsch deklarierte oder verunreinigte Produkte im unregulierten Handel hin</w:t>
      </w:r>
      <w:r>
        <w:rPr>
          <w:rStyle w:val="FootnoteReference"/>
        </w:rPr>
        <w:footnoteReference w:id="846"/>
      </w:r>
      <w:r>
        <w:t xml:space="preserve">.</w:t>
      </w:r>
    </w:p>
    <w:p>
      <w:pPr>
        <w:pStyle w:val="FirstParagraph"/>
      </w:pPr>
      <w:r>
        <w:rPr>
          <w:bCs/>
          <w:b/>
        </w:rPr>
        <w:t xml:space="preserve">Theoretisch:</w:t>
      </w:r>
      <w:r>
        <w:t xml:space="preserve"> </w:t>
      </w:r>
      <w:r>
        <w:t xml:space="preserve">Bei jedem Injektionsprodukt aus nicht kontrollierter Herstellung bestehen Risiken durch Verunreinigungen, Bakterien oder falsche Inhaltsstoffe (siehe Teil I und Teil IV). Ob AOD-9604 – wie Wachstumshormon – langfristig Stoffwechsel oder Zellwachstum beeinflusst, ist beim Menschen nicht untersucht. Die Labordaten sprechen gegen eine direkte Wirkung am Wachstumshormon-Rezeptor</w:t>
      </w:r>
      <w:r>
        <w:rPr>
          <w:rStyle w:val="FootnoteReference"/>
        </w:rPr>
        <w:footnoteReference w:id="847"/>
      </w:r>
      <w:r>
        <w:t xml:space="preserve">.</w:t>
      </w:r>
    </w:p>
    <w:bookmarkEnd w:id="848"/>
    <w:bookmarkStart w:id="851" w:name="rechtslage-13"/>
    <w:p>
      <w:pPr>
        <w:pStyle w:val="Heading3"/>
      </w:pPr>
      <w:r>
        <w:t xml:space="preserve">Rechtslage</w:t>
      </w:r>
    </w:p>
    <w:p>
      <w:pPr>
        <w:numPr>
          <w:ilvl w:val="0"/>
          <w:numId w:val="1108"/>
        </w:numPr>
        <w:pStyle w:val="Compact"/>
      </w:pPr>
      <w:r>
        <w:rPr>
          <w:bCs/>
          <w:b/>
        </w:rPr>
        <w:t xml:space="preserve">EU / Österreich / Deutschland:</w:t>
      </w:r>
      <w:r>
        <w:t xml:space="preserve"> </w:t>
      </w:r>
      <w:r>
        <w:t xml:space="preserve">nicht als Arzneimittel zugelassen. Produkte, die zur Anwendung am Menschen angeboten werden, sind arzneimittelrechtlich nicht verkehrsfähig; „for research use only“-Hinweise ändern daran nichts.</w:t>
      </w:r>
    </w:p>
    <w:p>
      <w:pPr>
        <w:numPr>
          <w:ilvl w:val="0"/>
          <w:numId w:val="1108"/>
        </w:numPr>
        <w:pStyle w:val="Compact"/>
      </w:pPr>
      <w:r>
        <w:rPr>
          <w:bCs/>
          <w:b/>
        </w:rPr>
        <w:t xml:space="preserve">USA:</w:t>
      </w:r>
      <w:r>
        <w:t xml:space="preserve"> </w:t>
      </w:r>
      <w:r>
        <w:t xml:space="preserve">nicht als Arzneimittel zugelassen. Die FDA hat AOD-9604 in die Liste der Substanzen aufgenommen, die wegen Sicherheitsbedenken nicht ohne Weiteres von Apotheken zu Arzneimitteln verarbeitet werden dürfen.</w:t>
      </w:r>
    </w:p>
    <w:p>
      <w:pPr>
        <w:numPr>
          <w:ilvl w:val="0"/>
          <w:numId w:val="1108"/>
        </w:numPr>
        <w:pStyle w:val="Compact"/>
      </w:pPr>
      <w:r>
        <w:rPr>
          <w:bCs/>
          <w:b/>
        </w:rPr>
        <w:t xml:space="preserve">Sport:</w:t>
      </w:r>
      <w:r>
        <w:t xml:space="preserve"> </w:t>
      </w:r>
      <w:r>
        <w:t xml:space="preserve">ausdrücklich verboten (WADA-Verbotsliste, Klasse S2 – Peptidhormone, Wachstumsfaktoren und verwandte Substanzen; Wachstumshormon-Fragmente). Bekannt wurde AOD-9604 einem breiteren Publikum durch den Dopingskandal um den australischen Football-Club Essendon im Jahr 2013. Für Dopingkontrollen wurden spezifische Nachweisverfahren im Urin entwickelt</w:t>
      </w:r>
      <w:r>
        <w:rPr>
          <w:rStyle w:val="FootnoteReference"/>
        </w:rPr>
        <w:footnoteReference w:id="849"/>
      </w:r>
      <w:r>
        <w:t xml:space="preserve">. Der übliche Wachstumshormon-Test wird durch AOD-9604 nicht beeinflusst</w:t>
      </w:r>
      <w:r>
        <w:rPr>
          <w:rStyle w:val="FootnoteReference"/>
        </w:rPr>
        <w:footnoteReference w:id="850"/>
      </w:r>
      <w:r>
        <w:t xml:space="preserve"> </w:t>
      </w:r>
      <w:r>
        <w:t xml:space="preserve">– das Fragment muss also gezielt gesucht werden. Stand 2026, bitte aktuell prüfen.</w:t>
      </w:r>
    </w:p>
    <w:bookmarkEnd w:id="851"/>
    <w:bookmarkStart w:id="852" w:name="laufende-studien-und-ausblick-13"/>
    <w:p>
      <w:pPr>
        <w:pStyle w:val="Heading3"/>
      </w:pPr>
      <w:r>
        <w:t xml:space="preserve">Laufende Studien und Ausblick</w:t>
      </w:r>
    </w:p>
    <w:p>
      <w:pPr>
        <w:pStyle w:val="FirstParagraph"/>
      </w:pPr>
      <w:r>
        <w:rPr>
          <w:bCs/>
          <w:b/>
        </w:rPr>
        <w:t xml:space="preserve">Gesichert:</w:t>
      </w:r>
      <w:r>
        <w:t xml:space="preserve"> </w:t>
      </w:r>
      <w:r>
        <w:t xml:space="preserve">Auf ClinicalTrials.gov ist keine laufende Studie zu AOD-9604 registriert (Abfrage Oktober 2026).</w:t>
      </w:r>
    </w:p>
    <w:p>
      <w:pPr>
        <w:pStyle w:val="BodyText"/>
      </w:pPr>
      <w:r>
        <w:rPr>
          <w:bCs/>
          <w:b/>
        </w:rPr>
        <w:t xml:space="preserve">Einschätzung:</w:t>
      </w:r>
      <w:r>
        <w:t xml:space="preserve"> </w:t>
      </w:r>
      <w:r>
        <w:t xml:space="preserve">Es gibt keinen erkennbaren Weg, auf dem AOD-9604 in absehbarer Zeit zu einem zugelassenen Medikament werden könnte. Mit den GLP-1-basierten Wirkstoffen existieren heute Abnehmmedikamente mit großer, gut dokumentierter Wirksamkeit; ein Peptid, dessen eigene Entwicklung als Abnehmmittel nicht erfolgreich war, dürfte kaum neues Investoreninteresse wecken. AOD-9604 wird daher voraussichtlich ein Graumarkt-Produkt bleiben.</w:t>
      </w:r>
    </w:p>
    <w:bookmarkEnd w:id="852"/>
    <w:bookmarkStart w:id="853" w:name="fazit-13"/>
    <w:p>
      <w:pPr>
        <w:pStyle w:val="Heading3"/>
      </w:pPr>
      <w:r>
        <w:t xml:space="preserve">Fazit</w:t>
      </w:r>
    </w:p>
    <w:p>
      <w:pPr>
        <w:pStyle w:val="FirstParagraph"/>
      </w:pPr>
      <w:r>
        <w:t xml:space="preserve">AOD-9604 ist ein kurzes Stück des Wachstumshormons, das bei Ratten und Mäusen den Fettabbau anregte, ohne den Blutzucker zu erhöhen. Studien am Menschen wurden zwar in den 2000er-Jahren durchgeführt, ihre Ergebnisse sind aber nicht in begutachteten Fachzeitschriften veröffentlicht, und die Entwicklung als Abnehmmedikament wurde eingestellt. Belastbare Daten zu Wirkung und Sicherheit beim Menschen fehlen daher vollständig. AOD-9604 ist nirgends als Arzneimittel zugelassen und im Sport ausdrücklich verboten.</w:t>
      </w:r>
    </w:p>
    <w:bookmarkEnd w:id="853"/>
    <w:bookmarkEnd w:id="854"/>
    <w:bookmarkStart w:id="891" w:name="orforglipron-zum-vergleich"/>
    <w:p>
      <w:pPr>
        <w:pStyle w:val="Heading2"/>
      </w:pPr>
      <w:r>
        <w:t xml:space="preserve">Orforglipron (zum Vergleich)</w:t>
      </w:r>
    </w:p>
    <w:bookmarkStart w:id="855" w:name="steckbrief-14"/>
    <w:p>
      <w:pPr>
        <w:pStyle w:val="Heading3"/>
      </w:pPr>
      <w:r>
        <w:t xml:space="preserve">Steckbrief</w:t>
      </w:r>
    </w:p>
    <w:p>
      <w:pPr>
        <w:numPr>
          <w:ilvl w:val="0"/>
          <w:numId w:val="1109"/>
        </w:numPr>
        <w:pStyle w:val="Compact"/>
      </w:pPr>
      <w:r>
        <w:rPr>
          <w:bCs/>
          <w:b/>
        </w:rPr>
        <w:t xml:space="preserve">Art/Struktur:</w:t>
      </w:r>
      <w:r>
        <w:t xml:space="preserve"> </w:t>
      </w:r>
      <w:r>
        <w:rPr>
          <w:bCs/>
          <w:b/>
        </w:rPr>
        <w:t xml:space="preserve">kein Peptid</w:t>
      </w:r>
      <w:r>
        <w:t xml:space="preserve">, sondern ein kleines, chemisch hergestelltes Molekül („small molecule“), das am GLP-1-Rezeptor wie ein Peptid wirkt. Entwicklungscode LY3502970. Einmal tägliche Einnahme als Tablette bzw. Kapsel.</w:t>
      </w:r>
    </w:p>
    <w:p>
      <w:pPr>
        <w:numPr>
          <w:ilvl w:val="0"/>
          <w:numId w:val="1109"/>
        </w:numPr>
        <w:pStyle w:val="Compact"/>
      </w:pPr>
      <w:r>
        <w:rPr>
          <w:bCs/>
          <w:b/>
        </w:rPr>
        <w:t xml:space="preserve">Herkunft:</w:t>
      </w:r>
      <w:r>
        <w:t xml:space="preserve"> </w:t>
      </w:r>
      <w:r>
        <w:t xml:space="preserve">ursprünglich von Chugai Pharmaceutical entdeckt, von Eli Lilly lizenziert und entwickelt.</w:t>
      </w:r>
    </w:p>
    <w:p>
      <w:pPr>
        <w:numPr>
          <w:ilvl w:val="0"/>
          <w:numId w:val="1109"/>
        </w:numPr>
        <w:pStyle w:val="Compact"/>
      </w:pPr>
      <w:r>
        <w:rPr>
          <w:bCs/>
          <w:b/>
        </w:rPr>
        <w:t xml:space="preserve">Wirkprinzip:</w:t>
      </w:r>
      <w:r>
        <w:t xml:space="preserve"> </w:t>
      </w:r>
      <w:r>
        <w:t xml:space="preserve">Agonist am GLP-1-Rezeptor – derselbe Angriffspunkt wie bei Semaglutid oder Liraglutid, aber mit einer völlig anderen chemischen Struktur.</w:t>
      </w:r>
    </w:p>
    <w:p>
      <w:pPr>
        <w:numPr>
          <w:ilvl w:val="0"/>
          <w:numId w:val="1109"/>
        </w:numPr>
        <w:pStyle w:val="Compact"/>
      </w:pPr>
      <w:r>
        <w:rPr>
          <w:bCs/>
          <w:b/>
        </w:rPr>
        <w:t xml:space="preserve">Zulassung EU / USA:</w:t>
      </w:r>
      <w:r>
        <w:t xml:space="preserve"> </w:t>
      </w:r>
      <w:r>
        <w:t xml:space="preserve">nach dem Stand der Recherche für dieses Buch (Oktober 2026) nicht als zugelassen erfasst; Zulassungsanträge sind auf Grundlage der Phase-3-Studien gestellt worden bzw. angekündigt – bitte aktuell prüfen.</w:t>
      </w:r>
    </w:p>
    <w:p>
      <w:pPr>
        <w:numPr>
          <w:ilvl w:val="0"/>
          <w:numId w:val="1109"/>
        </w:numPr>
        <w:pStyle w:val="Compact"/>
      </w:pPr>
      <w:r>
        <w:rPr>
          <w:bCs/>
          <w:b/>
        </w:rPr>
        <w:t xml:space="preserve">WADA:</w:t>
      </w:r>
      <w:r>
        <w:t xml:space="preserve"> </w:t>
      </w:r>
      <w:r>
        <w:t xml:space="preserve">nicht namentlich gelistet; solange nirgends zugelassen, unter S0 verboten.</w:t>
      </w:r>
    </w:p>
    <w:p>
      <w:pPr>
        <w:numPr>
          <w:ilvl w:val="0"/>
          <w:numId w:val="1109"/>
        </w:numPr>
        <w:pStyle w:val="Compact"/>
      </w:pPr>
      <w:r>
        <w:rPr>
          <w:bCs/>
          <w:b/>
        </w:rPr>
        <w:t xml:space="preserve">Evidenzstufe:</w:t>
      </w:r>
      <w:r>
        <w:t xml:space="preserve"> </w:t>
      </w:r>
      <w:r>
        <w:rPr>
          <w:bCs/>
          <w:b/>
        </w:rPr>
        <w:t xml:space="preserve">A</w:t>
      </w:r>
      <w:r>
        <w:t xml:space="preserve"> </w:t>
      </w:r>
      <w:r>
        <w:t xml:space="preserve">nach Datenlage (mehrere große Phase-3-Studien inklusive Herz-Kreislauf-Sicherheitsstudie); die formale Zulassung steht noch aus bzw. ist zu prüfen.</w:t>
      </w:r>
    </w:p>
    <w:bookmarkEnd w:id="855"/>
    <w:bookmarkStart w:id="857" w:name="X82dbc472d8c57b425c1330acc7c92ebd581963b"/>
    <w:p>
      <w:pPr>
        <w:pStyle w:val="Heading3"/>
      </w:pPr>
      <w:r>
        <w:t xml:space="preserve">Warum dieses Kapitel in einem Peptid-Buch steht</w:t>
      </w:r>
    </w:p>
    <w:p>
      <w:pPr>
        <w:pStyle w:val="FirstParagraph"/>
      </w:pPr>
      <w:r>
        <w:t xml:space="preserve">Alle GLP-1-Medikamente bis 2025 waren Peptide. Peptide werden im Magen-Darm-Trakt größtenteils verdaut und kaum aufgenommen – deshalb müssen sie gespritzt werden. Die einzige Ausnahme, Semaglutid als Tablette, braucht einen Hilfsstoff, der die Aufnahme durch die Magenschleimhaut erleichtert, und strenge Einnahmeregeln: nüchtern, mit wenig Wasser und mit Abstand vor dem Frühstück (siehe Kapitel Semaglutid und Teil I zur Frage, wie Peptide in den Körper kommen).</w:t>
      </w:r>
    </w:p>
    <w:p>
      <w:pPr>
        <w:pStyle w:val="BodyText"/>
      </w:pPr>
      <w:r>
        <w:t xml:space="preserve">Orforglipron umgeht dieses Problem grundsätzlich: Als kleines Molekül wird es wie eine herkömmliche Tablette aus dem Darm aufgenommen. Es kann laut den Studien ohne Rücksicht auf Mahlzeiten oder Wassermenge eingenommen werden</w:t>
      </w:r>
      <w:r>
        <w:rPr>
          <w:rStyle w:val="FootnoteReference"/>
        </w:rPr>
        <w:footnoteReference w:id="856"/>
      </w:r>
      <w:r>
        <w:t xml:space="preserve">. Orforglipron ist damit der wichtigste Vergleichsfall für die Frage, ob die Zukunft der Abnehmmedikamente überhaupt bei Peptiden liegt (siehe Teil V).</w:t>
      </w:r>
    </w:p>
    <w:bookmarkEnd w:id="857"/>
    <w:bookmarkStart w:id="859" w:name="wie-es-wirken-soll-14"/>
    <w:p>
      <w:pPr>
        <w:pStyle w:val="Heading3"/>
      </w:pPr>
      <w:r>
        <w:t xml:space="preserve">Wie es wirken soll</w:t>
      </w:r>
    </w:p>
    <w:p>
      <w:pPr>
        <w:pStyle w:val="FirstParagraph"/>
      </w:pPr>
      <w:r>
        <w:t xml:space="preserve">Orforglipron bindet an den GLP-1-Rezeptor und löst ähnliche Effekte aus wie die Peptid-Agonisten: weniger Appetit, verzögerte Magenentleerung, blutzuckerabhängig mehr Insulin. Es aktiviert nur den GLP-1-Rezeptor, nicht GIP- oder Glukagon-Rezeptoren. Untersuchungen bei Menschen mit Typ-2-Diabetes zeigten Verbesserungen von Markern der Betazellfunktion und der Insulinempfindlichkeit</w:t>
      </w:r>
      <w:r>
        <w:rPr>
          <w:rStyle w:val="FootnoteReference"/>
        </w:rPr>
        <w:footnoteReference w:id="858"/>
      </w:r>
      <w:r>
        <w:t xml:space="preserve">.</w:t>
      </w:r>
    </w:p>
    <w:bookmarkEnd w:id="859"/>
    <w:bookmarkStart w:id="870" w:name="studien-am-menschen-1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20 Humanstudien. Auf ClinicalTrials.gov waren 53 Studien registriert. Die Zulassungsprogramme heißen</w:t>
      </w:r>
      <w:r>
        <w:t xml:space="preserve"> </w:t>
      </w:r>
      <w:r>
        <w:rPr>
          <w:bCs/>
          <w:b/>
        </w:rPr>
        <w:t xml:space="preserve">ATTAIN</w:t>
      </w:r>
      <w:r>
        <w:t xml:space="preserve"> </w:t>
      </w:r>
      <w:r>
        <w:t xml:space="preserve">(Adipositas) und</w:t>
      </w:r>
      <w:r>
        <w:t xml:space="preserve"> </w:t>
      </w:r>
      <w:r>
        <w:rPr>
          <w:bCs/>
          <w:b/>
        </w:rPr>
        <w:t xml:space="preserve">ACHIEVE</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(Wharton 2023), PMID 37351564</w:t>
            </w:r>
          </w:p>
        </w:tc>
        <w:tc>
          <w:tcPr/>
          <w:p>
            <w:pPr>
              <w:pStyle w:val="Compact"/>
              <w:jc w:val="left"/>
            </w:pPr>
            <w:r>
              <w:t xml:space="preserve">272 Erwachsene ohne Diabetes, gegen Placebo</w:t>
            </w:r>
          </w:p>
        </w:tc>
        <w:tc>
          <w:tcPr/>
          <w:p>
            <w:pPr>
              <w:pStyle w:val="Compact"/>
              <w:jc w:val="left"/>
            </w:pPr>
            <w:r>
              <w:t xml:space="preserve">36 Wochen</w:t>
            </w:r>
          </w:p>
        </w:tc>
        <w:tc>
          <w:tcPr/>
          <w:p>
            <w:pPr>
              <w:pStyle w:val="Compact"/>
              <w:jc w:val="left"/>
            </w:pPr>
            <w:r>
              <w:t xml:space="preserve">−9,4 bis −14,7 % Gewicht vs. −2,3 %</w:t>
            </w:r>
          </w:p>
        </w:tc>
      </w:tr>
      <w:tr>
        <w:tc>
          <w:tcPr/>
          <w:p>
            <w:pPr>
              <w:pStyle w:val="Compact"/>
              <w:jc w:val="left"/>
            </w:pPr>
            <w:r>
              <w:t xml:space="preserve">ATTAIN-1 (Wharton 2025), PMID 40960239</w:t>
            </w:r>
          </w:p>
        </w:tc>
        <w:tc>
          <w:tcPr/>
          <w:p>
            <w:pPr>
              <w:pStyle w:val="Compact"/>
              <w:jc w:val="left"/>
            </w:pPr>
            <w:r>
              <w:t xml:space="preserve">3.127 Erwachsene mit Adipositas ohne Diabetes, gegen Placebo</w:t>
            </w:r>
          </w:p>
        </w:tc>
        <w:tc>
          <w:tcPr/>
          <w:p>
            <w:pPr>
              <w:pStyle w:val="Compact"/>
              <w:jc w:val="left"/>
            </w:pPr>
            <w:r>
              <w:t xml:space="preserve">72 Wochen</w:t>
            </w:r>
          </w:p>
        </w:tc>
        <w:tc>
          <w:tcPr/>
          <w:p>
            <w:pPr>
              <w:pStyle w:val="Compact"/>
              <w:jc w:val="left"/>
            </w:pPr>
            <w:r>
              <w:t xml:space="preserve">−7,5 / −8,4 / −11,2 % vs. −2,1 %</w:t>
            </w:r>
          </w:p>
        </w:tc>
      </w:tr>
      <w:tr>
        <w:tc>
          <w:tcPr/>
          <w:p>
            <w:pPr>
              <w:pStyle w:val="Compact"/>
              <w:jc w:val="left"/>
            </w:pPr>
            <w:r>
              <w:t xml:space="preserve">ATTAIN-2 (Horn 2026), PMID 41275875</w:t>
            </w:r>
          </w:p>
        </w:tc>
        <w:tc>
          <w:tcPr/>
          <w:p>
            <w:pPr>
              <w:pStyle w:val="Compact"/>
              <w:jc w:val="left"/>
            </w:pPr>
            <w:r>
              <w:t xml:space="preserve">1.613 Erwachsene mit Adipositas und Typ-2-Diabetes</w:t>
            </w:r>
          </w:p>
        </w:tc>
        <w:tc>
          <w:tcPr/>
          <w:p>
            <w:pPr>
              <w:pStyle w:val="Compact"/>
              <w:jc w:val="left"/>
            </w:pPr>
            <w:r>
              <w:t xml:space="preserve">72 Wochen</w:t>
            </w:r>
          </w:p>
        </w:tc>
        <w:tc>
          <w:tcPr/>
          <w:p>
            <w:pPr>
              <w:pStyle w:val="Compact"/>
              <w:jc w:val="left"/>
            </w:pPr>
            <w:r>
              <w:t xml:space="preserve">−5,1 / −7,0 / −9,6 % vs. −2,5 %</w:t>
            </w:r>
          </w:p>
        </w:tc>
      </w:tr>
      <w:tr>
        <w:tc>
          <w:tcPr/>
          <w:p>
            <w:pPr>
              <w:pStyle w:val="Compact"/>
              <w:jc w:val="left"/>
            </w:pPr>
            <w:r>
              <w:t xml:space="preserve">ATTAIN-MAINTAIN (Aronne 2026), PMID 42120723</w:t>
            </w:r>
          </w:p>
        </w:tc>
        <w:tc>
          <w:tcPr/>
          <w:p>
            <w:pPr>
              <w:pStyle w:val="Compact"/>
              <w:jc w:val="left"/>
            </w:pPr>
            <w:r>
              <w:t xml:space="preserve">376 Erwachsene nach Tirzepatid oder Semaglutid, Umstieg vs. Placebo</w:t>
            </w:r>
          </w:p>
        </w:tc>
        <w:tc>
          <w:tcPr/>
          <w:p>
            <w:pPr>
              <w:pStyle w:val="Compact"/>
              <w:jc w:val="left"/>
            </w:pPr>
            <w:r>
              <w:t xml:space="preserve">52 Wochen</w:t>
            </w:r>
          </w:p>
        </w:tc>
        <w:tc>
          <w:tcPr/>
          <w:p>
            <w:pPr>
              <w:pStyle w:val="Compact"/>
              <w:jc w:val="left"/>
            </w:pPr>
            <w:r>
              <w:t xml:space="preserve">74,7 % bzw. 79,3 % des Gewichtsverlusts gehalten (Placebo 49,2 % bzw. 37,6 %)</w:t>
            </w:r>
          </w:p>
        </w:tc>
      </w:tr>
      <w:tr>
        <w:tc>
          <w:tcPr/>
          <w:p>
            <w:pPr>
              <w:pStyle w:val="Compact"/>
              <w:jc w:val="left"/>
            </w:pPr>
            <w:r>
              <w:t xml:space="preserve">ACHIEVE-1 (Rosenstock 2025), PMID 40544435</w:t>
            </w:r>
          </w:p>
        </w:tc>
        <w:tc>
          <w:tcPr/>
          <w:p>
            <w:pPr>
              <w:pStyle w:val="Compact"/>
              <w:jc w:val="left"/>
            </w:pPr>
            <w:r>
              <w:t xml:space="preserve">559 Erwachsene mit frühem Typ-2-Diabetes</w:t>
            </w:r>
          </w:p>
        </w:tc>
        <w:tc>
          <w:tcPr/>
          <w:p>
            <w:pPr>
              <w:pStyle w:val="Compact"/>
              <w:jc w:val="left"/>
            </w:pPr>
            <w:r>
              <w:t xml:space="preserve">40 Wochen</w:t>
            </w:r>
          </w:p>
        </w:tc>
        <w:tc>
          <w:tcPr/>
          <w:p>
            <w:pPr>
              <w:pStyle w:val="Compact"/>
              <w:jc w:val="left"/>
            </w:pPr>
            <w:r>
              <w:t xml:space="preserve">HbA1c −1,24 bis −1,48 vs. −0,41</w:t>
            </w:r>
          </w:p>
        </w:tc>
      </w:tr>
      <w:tr>
        <w:tc>
          <w:tcPr/>
          <w:p>
            <w:pPr>
              <w:pStyle w:val="Compact"/>
              <w:jc w:val="left"/>
            </w:pPr>
            <w:r>
              <w:t xml:space="preserve">ACHIEVE-3 (Rosenstock 2026), PMID 41765029</w:t>
            </w:r>
          </w:p>
        </w:tc>
        <w:tc>
          <w:tcPr/>
          <w:p>
            <w:pPr>
              <w:pStyle w:val="Compact"/>
              <w:jc w:val="left"/>
            </w:pPr>
            <w:r>
              <w:t xml:space="preserve">1.698 Erwachsene mit Typ-2-Diabetes, offen gegen Semaglutid-Tablette</w:t>
            </w:r>
          </w:p>
        </w:tc>
        <w:tc>
          <w:tcPr/>
          <w:p>
            <w:pPr>
              <w:pStyle w:val="Compact"/>
              <w:jc w:val="left"/>
            </w:pPr>
            <w:r>
              <w:t xml:space="preserve">52 Wochen</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Erwachsene mit Typ-2-Diabetes und hohem Herz-Kreislauf-Risiko, gegen Insulin glargin</w:t>
            </w:r>
          </w:p>
        </w:tc>
        <w:tc>
          <w:tcPr/>
          <w:p>
            <w:pPr>
              <w:pStyle w:val="Compact"/>
              <w:jc w:val="left"/>
            </w:pPr>
            <w:r>
              <w:t xml:space="preserve">median 2 Jahre</w:t>
            </w:r>
          </w:p>
        </w:tc>
        <w:tc>
          <w:tcPr/>
          <w:p>
            <w:pPr>
              <w:pStyle w:val="Compact"/>
              <w:jc w:val="left"/>
            </w:pPr>
            <w:r>
              <w:t xml:space="preserve">MACE-4: 4,2 % vs. 5,0 % (nicht unterlegen)</w:t>
            </w:r>
          </w:p>
        </w:tc>
      </w:tr>
    </w:tbl>
    <w:bookmarkStart w:id="864" w:name="adipositas-attain"/>
    <w:p>
      <w:pPr>
        <w:pStyle w:val="Heading4"/>
      </w:pPr>
      <w:r>
        <w:t xml:space="preserve">Adipositas: ATTAIN</w:t>
      </w:r>
    </w:p>
    <w:p>
      <w:pPr>
        <w:pStyle w:val="FirstParagraph"/>
      </w:pPr>
      <w:r>
        <w:rPr>
          <w:bCs/>
          <w:b/>
        </w:rPr>
        <w:t xml:space="preserve">ATTAIN-1</w:t>
      </w:r>
      <w:r>
        <w:rPr>
          <w:rStyle w:val="FootnoteReference"/>
        </w:rPr>
        <w:footnoteReference w:id="860"/>
      </w:r>
      <w:r>
        <w:t xml:space="preserve"> </w:t>
      </w:r>
      <w:r>
        <w:t xml:space="preserve">ist die Hauptstudie. Nach 72 Wochen verloren die 3.127 Teilnehmenden in der höchsten Dosis im Mittel 11,2 % ihres Gewichts, unter Placebo 2,1 %. In der höchsten Dosis erreichten 54,6 % mindestens 10 % und 18,4 % mindestens 20 % Gewichtsverlust. Wegen Nebenwirkungen brachen 5,3 bis 10,3 % ab (Placebo 2,7 %).</w:t>
      </w:r>
    </w:p>
    <w:p>
      <w:pPr>
        <w:pStyle w:val="BodyText"/>
      </w:pPr>
      <w:r>
        <w:t xml:space="preserve">Zur Einordnung: Das ist deutlich weniger als mit gespritztem Semaglutid oder Tirzepatid in deren Zulassungsstudien und weniger, als die Phase-2-Studie mit bis zu 14,7 % nach 36 Wochen hatte erwarten lassen</w:t>
      </w:r>
      <w:r>
        <w:rPr>
          <w:rStyle w:val="FootnoteReference"/>
        </w:rPr>
        <w:footnoteReference w:id="861"/>
      </w:r>
      <w:r>
        <w:t xml:space="preserve">. Quervergleiche zwischen Studien sind allerdings nur eine grobe Orientierung.</w:t>
      </w:r>
    </w:p>
    <w:p>
      <w:pPr>
        <w:pStyle w:val="BodyText"/>
      </w:pPr>
      <w:r>
        <w:rPr>
          <w:bCs/>
          <w:b/>
        </w:rPr>
        <w:t xml:space="preserve">ATTAIN-2</w:t>
      </w:r>
      <w:r>
        <w:rPr>
          <w:rStyle w:val="FootnoteReference"/>
        </w:rPr>
        <w:footnoteReference w:id="862"/>
      </w:r>
      <w:r>
        <w:t xml:space="preserve"> </w:t>
      </w:r>
      <w:r>
        <w:t xml:space="preserve">zeigte bei Menschen mit Typ-2-Diabetes einen Gewichtsverlust von bis zu 9,6 % gegenüber 2,5 % unter Placebo.</w:t>
      </w:r>
    </w:p>
    <w:p>
      <w:pPr>
        <w:pStyle w:val="BodyText"/>
      </w:pPr>
      <w:r>
        <w:rPr>
          <w:bCs/>
          <w:b/>
        </w:rPr>
        <w:t xml:space="preserve">ATTAIN-MAINTAIN</w:t>
      </w:r>
      <w:r>
        <w:rPr>
          <w:rStyle w:val="FootnoteReference"/>
        </w:rPr>
        <w:footnoteReference w:id="863"/>
      </w:r>
      <w:r>
        <w:t xml:space="preserve"> </w:t>
      </w:r>
      <w:r>
        <w:t xml:space="preserve">ist für die Praxis besonders interessant. Teilnehmende, die zuvor in der SURMOUNT-5-Studie mit gespritztem Tirzepatid oder Semaglutid abgenommen hatten, wechselten auf Orforglipron oder Placebo. Nach 52 Wochen hielten die vormals mit Tirzepatid Behandelten mit Orforglipron 74,7 % ihres Gewichtsverlusts (Placebo 49,2 %), die vormals mit Semaglutid Behandelten 79,3 % (Placebo 37,6 %). Eine Vergleichsgruppe, die die Spritze einfach weiter erhielt, gab es nicht – die Autorinnen und Autoren nennen das selbst als Einschränkung. Das Konzept „mit der Spritze abnehmen, mit der Tablette halten“ wird damit erstmals belegt, aber noch nicht gegen die Alternative „Spritze fortsetzen“ geprüft.</w:t>
      </w:r>
    </w:p>
    <w:bookmarkEnd w:id="864"/>
    <w:bookmarkStart w:id="869" w:name="typ-2-diabetes-achieve"/>
    <w:p>
      <w:pPr>
        <w:pStyle w:val="Heading4"/>
      </w:pPr>
      <w:r>
        <w:t xml:space="preserve">Typ-2-Diabetes: ACHIEVE</w:t>
      </w:r>
    </w:p>
    <w:p>
      <w:pPr>
        <w:numPr>
          <w:ilvl w:val="0"/>
          <w:numId w:val="1110"/>
        </w:numPr>
        <w:pStyle w:val="Compact"/>
      </w:pPr>
      <w:r>
        <w:rPr>
          <w:bCs/>
          <w:b/>
        </w:rPr>
        <w:t xml:space="preserve">ACHIEVE-1</w:t>
      </w:r>
      <w:r>
        <w:rPr>
          <w:rStyle w:val="FootnoteReference"/>
        </w:rPr>
        <w:footnoteReference w:id="865"/>
      </w:r>
      <w:r>
        <w:t xml:space="preserve">: Bei frühem Typ-2-Diabetes ohne andere Medikamente sank der HbA1c-Wert nach 40 Wochen um bis zu 1,48 Prozentpunkte (Placebo −0,41), das Gewicht um bis zu 7,6 %. Schwere Unterzuckerungen traten nicht auf.</w:t>
      </w:r>
    </w:p>
    <w:p>
      <w:pPr>
        <w:numPr>
          <w:ilvl w:val="0"/>
          <w:numId w:val="1110"/>
        </w:numPr>
        <w:pStyle w:val="Compact"/>
      </w:pPr>
      <w:r>
        <w:rPr>
          <w:bCs/>
          <w:b/>
        </w:rPr>
        <w:t xml:space="preserve">ACHIEVE-2</w:t>
      </w:r>
      <w:r>
        <w:rPr>
          <w:rStyle w:val="FootnoteReference"/>
        </w:rPr>
        <w:footnoteReference w:id="866"/>
      </w:r>
      <w:r>
        <w:t xml:space="preserve">: Gegen den SGLT2-Hemmer Dapagliflozin war Orforglipron beim HbA1c nicht unterlegen und in allen Dosen stärker (bis −1,56 vs. −0,81 Prozentpunkte).</w:t>
      </w:r>
    </w:p>
    <w:p>
      <w:pPr>
        <w:numPr>
          <w:ilvl w:val="0"/>
          <w:numId w:val="1110"/>
        </w:numPr>
        <w:pStyle w:val="Compact"/>
      </w:pPr>
      <w:r>
        <w:rPr>
          <w:bCs/>
          <w:b/>
        </w:rPr>
        <w:t xml:space="preserve">ACHIEVE-3</w:t>
      </w:r>
      <w:r>
        <w:rPr>
          <w:rStyle w:val="FootnoteReference"/>
        </w:rPr>
        <w:footnoteReference w:id="867"/>
      </w:r>
      <w:r>
        <w:t xml:space="preserve">: Im direkten Vergleich mit der Semaglutid-Tablette senkte Orforglipron den HbA1c-Wert stärker (−1,91 vs. −1,47 Prozentpunkte in den jeweils höheren Dosen). Die Studie war offen, also nicht verblindet. Magen-Darm-Beschwerden waren unter Orforglipron häufiger (58–59 % vs. 37–45 %), ebenso Abbrüche wegen Nebenwirkungen (9–10 % vs. 4–5 %).</w:t>
      </w:r>
    </w:p>
    <w:p>
      <w:pPr>
        <w:numPr>
          <w:ilvl w:val="0"/>
          <w:numId w:val="1110"/>
        </w:numPr>
        <w:pStyle w:val="Compact"/>
      </w:pPr>
      <w:r>
        <w:rPr>
          <w:bCs/>
          <w:b/>
        </w:rPr>
        <w:t xml:space="preserve">ACHIEVE-4</w:t>
      </w:r>
      <w:r>
        <w:rPr>
          <w:rStyle w:val="FootnoteReference"/>
        </w:rPr>
        <w:footnoteReference w:id="868"/>
      </w:r>
      <w:r>
        <w:t xml:space="preserve">: die Herz-Kreislauf-Sicherheitsstudie (siehe unten).</w:t>
      </w:r>
    </w:p>
    <w:bookmarkEnd w:id="869"/>
    <w:bookmarkEnd w:id="870"/>
    <w:bookmarkStart w:id="872" w:name="tier--und-laborstudien-14"/>
    <w:p>
      <w:pPr>
        <w:pStyle w:val="Heading3"/>
      </w:pPr>
      <w:r>
        <w:t xml:space="preserve">Tier- und Laborstudien</w:t>
      </w:r>
    </w:p>
    <w:p>
      <w:pPr>
        <w:pStyle w:val="FirstParagraph"/>
      </w:pPr>
      <w:r>
        <w:t xml:space="preserve">Für dieses Vergleichskapitel werden die präklinischen Daten nicht im Einzelnen dargestellt. Wichtig ist ein pharmakologischer Unterschied: Als kleines Molekül wird Orforglipron über Leberenzyme abgebaut. Deshalb wurden zahlreiche Studien zu Wechselwirkungen mit anderen Medikamenten durchgeführt, etwa mit Clarithromycin, Ciclosporin, Carbamazepin oder Chinidin</w:t>
      </w:r>
      <w:r>
        <w:rPr>
          <w:rStyle w:val="FootnoteReference"/>
        </w:rPr>
        <w:footnoteReference w:id="871"/>
      </w:r>
      <w:r>
        <w:t xml:space="preserve">. Peptid-Agonisten werden dagegen wie Eiweiße abgebaut und haben kaum solche Wechselwirkungen.</w:t>
      </w:r>
    </w:p>
    <w:bookmarkEnd w:id="872"/>
    <w:bookmarkStart w:id="880" w:name="risiken-und-nebenwirkungen-14"/>
    <w:p>
      <w:pPr>
        <w:pStyle w:val="Heading3"/>
      </w:pPr>
      <w:r>
        <w:t xml:space="preserve">Risiken und Nebenwirkungen</w:t>
      </w:r>
    </w:p>
    <w:p>
      <w:pPr>
        <w:pStyle w:val="FirstParagraph"/>
      </w:pPr>
      <w:r>
        <w:rPr>
          <w:bCs/>
          <w:b/>
        </w:rPr>
        <w:t xml:space="preserve">Belegt aus Studien:</w:t>
      </w:r>
    </w:p>
    <w:p>
      <w:pPr>
        <w:numPr>
          <w:ilvl w:val="0"/>
          <w:numId w:val="1111"/>
        </w:numPr>
        <w:pStyle w:val="Compact"/>
      </w:pPr>
      <w:r>
        <w:rPr>
          <w:bCs/>
          <w:b/>
        </w:rPr>
        <w:t xml:space="preserve">Magen-Darm-Beschwerden</w:t>
      </w:r>
      <w:r>
        <w:t xml:space="preserve"> </w:t>
      </w:r>
      <w:r>
        <w:t xml:space="preserve">wie bei allen GLP-1-Agonisten, überwiegend leicht bis mittelschwer und während der Aufdosierung. In ACHIEVE-4 berichteten 62,1 % unter Orforglipron gegenüber 14,2 % unter Insulin glargin über Magen-Darm-Beschwerden</w:t>
      </w:r>
      <w:r>
        <w:rPr>
          <w:rStyle w:val="FootnoteReference"/>
        </w:rPr>
        <w:footnoteReference w:id="873"/>
      </w:r>
      <w:r>
        <w:t xml:space="preserve">.</w:t>
      </w:r>
    </w:p>
    <w:p>
      <w:pPr>
        <w:numPr>
          <w:ilvl w:val="0"/>
          <w:numId w:val="1111"/>
        </w:numPr>
        <w:pStyle w:val="Compact"/>
      </w:pPr>
      <w:r>
        <w:rPr>
          <w:bCs/>
          <w:b/>
        </w:rPr>
        <w:t xml:space="preserve">Abbrüche wegen Nebenwirkungen:</w:t>
      </w:r>
      <w:r>
        <w:t xml:space="preserve"> </w:t>
      </w:r>
      <w:r>
        <w:t xml:space="preserve">in ATTAIN-1 bis 10,3 %</w:t>
      </w:r>
      <w:r>
        <w:rPr>
          <w:rStyle w:val="FootnoteReference"/>
        </w:rPr>
        <w:footnoteReference w:id="874"/>
      </w:r>
      <w:r>
        <w:t xml:space="preserve">, im Vergleich zur Semaglutid-Tablette etwa doppelt so häufig</w:t>
      </w:r>
      <w:r>
        <w:rPr>
          <w:rStyle w:val="FootnoteReference"/>
        </w:rPr>
        <w:footnoteReference w:id="875"/>
      </w:r>
      <w:r>
        <w:t xml:space="preserve">.</w:t>
      </w:r>
    </w:p>
    <w:p>
      <w:pPr>
        <w:numPr>
          <w:ilvl w:val="0"/>
          <w:numId w:val="1111"/>
        </w:numPr>
        <w:pStyle w:val="Compact"/>
      </w:pPr>
      <w:r>
        <w:rPr>
          <w:bCs/>
          <w:b/>
        </w:rPr>
        <w:t xml:space="preserve">Puls:</w:t>
      </w:r>
      <w:r>
        <w:t xml:space="preserve"> </w:t>
      </w:r>
      <w:r>
        <w:t xml:space="preserve">In ACHIEVE-3 stieg die Herzfrequenz unter Orforglipron um 3,7 bis 4,7 Schläge pro Minute, unter der Semaglutid-Tablette um 1,0 bis 1,5</w:t>
      </w:r>
      <w:r>
        <w:rPr>
          <w:rStyle w:val="FootnoteReference"/>
        </w:rPr>
        <w:footnoteReference w:id="876"/>
      </w:r>
      <w:r>
        <w:t xml:space="preserve">.</w:t>
      </w:r>
    </w:p>
    <w:p>
      <w:pPr>
        <w:numPr>
          <w:ilvl w:val="0"/>
          <w:numId w:val="1111"/>
        </w:numPr>
        <w:pStyle w:val="Compact"/>
      </w:pPr>
      <w:r>
        <w:rPr>
          <w:bCs/>
          <w:b/>
        </w:rPr>
        <w:t xml:space="preserve">Herz-Kreislauf-Sicherheit:</w:t>
      </w:r>
      <w:r>
        <w:t xml:space="preserve"> </w:t>
      </w:r>
      <w:r>
        <w:t xml:space="preserve">In ACHIEVE-4 traten schwere Herz-Kreislauf-Ereignisse bei 4,2 % unter Orforglipron und 5,0 % unter Insulin glargin auf (Hazard Ratio 0,84; 95-%-KI 0,59–1,20) – Orforglipron war damit nicht unterlegen. Klinisch bedeutsame oder schwere Unterzuckerungen waren seltener (6,8 % vs. 19,2 %)</w:t>
      </w:r>
      <w:r>
        <w:rPr>
          <w:rStyle w:val="FootnoteReference"/>
        </w:rPr>
        <w:footnoteReference w:id="877"/>
      </w:r>
      <w:r>
        <w:t xml:space="preserve">. Ob Orforglipron wie einige Peptid-Agonisten Herz-Kreislauf-Ereignisse</w:t>
      </w:r>
      <w:r>
        <w:t xml:space="preserve"> </w:t>
      </w:r>
      <w:r>
        <w:rPr>
          <w:iCs/>
          <w:i/>
        </w:rPr>
        <w:t xml:space="preserve">verringert</w:t>
      </w:r>
      <w:r>
        <w:t xml:space="preserve">, soll eine eigene Endpunktstudie zeigen</w:t>
      </w:r>
      <w:r>
        <w:rPr>
          <w:rStyle w:val="FootnoteReference"/>
        </w:rPr>
        <w:footnoteReference w:id="878"/>
      </w:r>
      <w:r>
        <w:t xml:space="preserve">.</w:t>
      </w:r>
    </w:p>
    <w:p>
      <w:pPr>
        <w:numPr>
          <w:ilvl w:val="0"/>
          <w:numId w:val="1111"/>
        </w:numPr>
        <w:pStyle w:val="Compact"/>
      </w:pPr>
      <w:r>
        <w:rPr>
          <w:bCs/>
          <w:b/>
        </w:rPr>
        <w:t xml:space="preserve">Leber:</w:t>
      </w:r>
      <w:r>
        <w:t xml:space="preserve"> </w:t>
      </w:r>
      <w:r>
        <w:t xml:space="preserve">Bei kleinen GLP-1-Molekülen anderer Hersteller waren Leberwerterhöhungen ein Problem. Eine gepoolte Auswertung von sieben Phase-3-Studien mit 11.220 Teilnehmenden fand für Orforglipron keinen Fall eines arzneimittelbedingten Leberschadens; die Leberwerte sanken im Mittel sogar</w:t>
      </w:r>
      <w:r>
        <w:rPr>
          <w:rStyle w:val="FootnoteReference"/>
        </w:rPr>
        <w:footnoteReference w:id="879"/>
      </w:r>
      <w:r>
        <w:t xml:space="preserve">.</w:t>
      </w:r>
    </w:p>
    <w:bookmarkEnd w:id="880"/>
    <w:bookmarkStart w:id="881" w:name="rechtslage-14"/>
    <w:p>
      <w:pPr>
        <w:pStyle w:val="Heading3"/>
      </w:pPr>
      <w:r>
        <w:t xml:space="preserve">Rechtslage</w:t>
      </w:r>
    </w:p>
    <w:p>
      <w:pPr>
        <w:numPr>
          <w:ilvl w:val="0"/>
          <w:numId w:val="1112"/>
        </w:numPr>
        <w:pStyle w:val="Compact"/>
      </w:pPr>
      <w:r>
        <w:rPr>
          <w:bCs/>
          <w:b/>
        </w:rPr>
        <w:t xml:space="preserve">EU / Österreich / Deutschland:</w:t>
      </w:r>
      <w:r>
        <w:t xml:space="preserve"> </w:t>
      </w:r>
      <w:r>
        <w:t xml:space="preserve">Stand Oktober 2026 als nicht zugelassen erfasst; ein Zulassungsverfahren ist zu erwarten bzw. kann bereits laufen – bitte aktuell prüfen.</w:t>
      </w:r>
    </w:p>
    <w:p>
      <w:pPr>
        <w:numPr>
          <w:ilvl w:val="0"/>
          <w:numId w:val="1112"/>
        </w:numPr>
        <w:pStyle w:val="Compact"/>
      </w:pPr>
      <w:r>
        <w:rPr>
          <w:bCs/>
          <w:b/>
        </w:rPr>
        <w:t xml:space="preserve">USA:</w:t>
      </w:r>
      <w:r>
        <w:t xml:space="preserve"> </w:t>
      </w:r>
      <w:r>
        <w:t xml:space="preserve">Zulassungsanträge für Adipositas und Typ-2-Diabetes wurden auf Basis der ATTAIN- und ACHIEVE-Daten gestellt bzw. angekündigt; Stand der Entscheidung bitte aktuell prüfen.</w:t>
      </w:r>
    </w:p>
    <w:p>
      <w:pPr>
        <w:numPr>
          <w:ilvl w:val="0"/>
          <w:numId w:val="1112"/>
        </w:numPr>
        <w:pStyle w:val="Compact"/>
      </w:pPr>
      <w:r>
        <w:rPr>
          <w:bCs/>
          <w:b/>
        </w:rPr>
        <w:t xml:space="preserve">Sport:</w:t>
      </w:r>
      <w:r>
        <w:t xml:space="preserve"> </w:t>
      </w:r>
      <w:r>
        <w:t xml:space="preserve">solange nirgends zugelassen, WADA-Klasse S0 (Stand 2026, bitte aktuell prüfen).</w:t>
      </w:r>
    </w:p>
    <w:p>
      <w:pPr>
        <w:numPr>
          <w:ilvl w:val="0"/>
          <w:numId w:val="1112"/>
        </w:numPr>
        <w:pStyle w:val="Compact"/>
      </w:pPr>
      <w:r>
        <w:t xml:space="preserve">Nicht zugelassene „Orforglipron“-Angebote im Internet sind keine geprüften Arzneimittel.</w:t>
      </w:r>
    </w:p>
    <w:bookmarkEnd w:id="881"/>
    <w:bookmarkStart w:id="889" w:name="laufende-studien-und-ausblick-14"/>
    <w:p>
      <w:pPr>
        <w:pStyle w:val="Heading3"/>
      </w:pPr>
      <w:r>
        <w:t xml:space="preserve">Laufende Studien und Ausblick</w:t>
      </w:r>
    </w:p>
    <w:p>
      <w:pPr>
        <w:pStyle w:val="FirstParagraph"/>
      </w:pPr>
      <w:r>
        <w:rPr>
          <w:bCs/>
          <w:b/>
        </w:rPr>
        <w:t xml:space="preserve">Gesichert (registrierte Studien, Stand Oktober 2026):</w:t>
      </w:r>
    </w:p>
    <w:p>
      <w:pPr>
        <w:numPr>
          <w:ilvl w:val="0"/>
          <w:numId w:val="1113"/>
        </w:numPr>
        <w:pStyle w:val="Compact"/>
      </w:pPr>
      <w:r>
        <w:rPr>
          <w:bCs/>
          <w:b/>
        </w:rPr>
        <w:t xml:space="preserve">Herz-Kreislauf-Endpunktstudie</w:t>
      </w:r>
      <w:r>
        <w:t xml:space="preserve"> </w:t>
      </w:r>
      <w:r>
        <w:t xml:space="preserve">bei Arteriosklerose (NCT07241390, 7.140 Teilnehmende, bis 2031).</w:t>
      </w:r>
    </w:p>
    <w:p>
      <w:pPr>
        <w:numPr>
          <w:ilvl w:val="0"/>
          <w:numId w:val="1113"/>
        </w:numPr>
        <w:pStyle w:val="Compact"/>
      </w:pPr>
      <w:r>
        <w:rPr>
          <w:bCs/>
          <w:b/>
        </w:rPr>
        <w:t xml:space="preserve">Periphere arterielle Verschlusskrankheit</w:t>
      </w:r>
      <w:r>
        <w:rPr>
          <w:rStyle w:val="FootnoteReference"/>
        </w:rPr>
        <w:footnoteReference w:id="882"/>
      </w:r>
      <w:r>
        <w:t xml:space="preserve">,</w:t>
      </w:r>
      <w:r>
        <w:t xml:space="preserve"> </w:t>
      </w:r>
      <w:r>
        <w:rPr>
          <w:bCs/>
          <w:b/>
        </w:rPr>
        <w:t xml:space="preserve">Bluthochdruck</w:t>
      </w:r>
      <w:r>
        <w:rPr>
          <w:rStyle w:val="FootnoteReference"/>
        </w:rPr>
        <w:footnoteReference w:id="883"/>
      </w:r>
      <w:r>
        <w:t xml:space="preserve">,</w:t>
      </w:r>
      <w:r>
        <w:t xml:space="preserve"> </w:t>
      </w:r>
      <w:r>
        <w:rPr>
          <w:bCs/>
          <w:b/>
        </w:rPr>
        <w:t xml:space="preserve">Kniearthrose</w:t>
      </w:r>
      <w:r>
        <w:rPr>
          <w:rStyle w:val="FootnoteReference"/>
        </w:rPr>
        <w:footnoteReference w:id="884"/>
      </w:r>
      <w:r>
        <w:t xml:space="preserve">,</w:t>
      </w:r>
      <w:r>
        <w:t xml:space="preserve"> </w:t>
      </w:r>
      <w:r>
        <w:rPr>
          <w:bCs/>
          <w:b/>
        </w:rPr>
        <w:t xml:space="preserve">Belastungsinkontinenz</w:t>
      </w:r>
      <w:r>
        <w:t xml:space="preserve"> </w:t>
      </w:r>
      <w:r>
        <w:t xml:space="preserve">bei Frauen mit Adipositas</w:t>
      </w:r>
      <w:r>
        <w:rPr>
          <w:rStyle w:val="FootnoteReference"/>
        </w:rPr>
        <w:footnoteReference w:id="885"/>
      </w:r>
      <w:r>
        <w:t xml:space="preserve">.</w:t>
      </w:r>
    </w:p>
    <w:p>
      <w:pPr>
        <w:numPr>
          <w:ilvl w:val="0"/>
          <w:numId w:val="1113"/>
        </w:numPr>
        <w:pStyle w:val="Compact"/>
      </w:pPr>
      <w:r>
        <w:rPr>
          <w:bCs/>
          <w:b/>
        </w:rPr>
        <w:t xml:space="preserve">Jugendliche</w:t>
      </w:r>
      <w:r>
        <w:rPr>
          <w:rStyle w:val="FootnoteReference"/>
        </w:rPr>
        <w:footnoteReference w:id="886"/>
      </w:r>
      <w:r>
        <w:t xml:space="preserve"> </w:t>
      </w:r>
      <w:r>
        <w:t xml:space="preserve">und</w:t>
      </w:r>
      <w:r>
        <w:t xml:space="preserve"> </w:t>
      </w:r>
      <w:r>
        <w:rPr>
          <w:bCs/>
          <w:b/>
        </w:rPr>
        <w:t xml:space="preserve">Kinder mit Typ-2-Diabetes</w:t>
      </w:r>
      <w:r>
        <w:t xml:space="preserve"> </w:t>
      </w:r>
      <w:r>
        <w:t xml:space="preserve">im Vergleich zu Dulaglutid</w:t>
      </w:r>
      <w:r>
        <w:rPr>
          <w:rStyle w:val="FootnoteReference"/>
        </w:rPr>
        <w:footnoteReference w:id="887"/>
      </w:r>
      <w:r>
        <w:t xml:space="preserve">.</w:t>
      </w:r>
    </w:p>
    <w:p>
      <w:pPr>
        <w:numPr>
          <w:ilvl w:val="0"/>
          <w:numId w:val="1113"/>
        </w:numPr>
        <w:pStyle w:val="Compact"/>
      </w:pPr>
      <w:r>
        <w:t xml:space="preserve">Studie zur</w:t>
      </w:r>
      <w:r>
        <w:t xml:space="preserve"> </w:t>
      </w:r>
      <w:r>
        <w:rPr>
          <w:bCs/>
          <w:b/>
        </w:rPr>
        <w:t xml:space="preserve">Schlafapnoe</w:t>
      </w:r>
      <w:r>
        <w:rPr>
          <w:rStyle w:val="FootnoteReference"/>
        </w:rPr>
        <w:footnoteReference w:id="888"/>
      </w:r>
      <w:r>
        <w:t xml:space="preserve"> </w:t>
      </w:r>
      <w:r>
        <w:t xml:space="preserve">abgeschlossen, Veröffentlichung ausstehend.</w:t>
      </w:r>
    </w:p>
    <w:p>
      <w:pPr>
        <w:pStyle w:val="FirstParagraph"/>
      </w:pPr>
      <w:r>
        <w:rPr>
          <w:bCs/>
          <w:b/>
        </w:rPr>
        <w:t xml:space="preserve">Einschätzung:</w:t>
      </w:r>
      <w:r>
        <w:t xml:space="preserve"> </w:t>
      </w:r>
      <w:r>
        <w:t xml:space="preserve">Orforglipron wird voraussichtlich das erste breit verfügbare Nicht-Peptid-GLP-1-Medikament. Seine Stärke ist nicht die maximale Gewichtsabnahme – hier liegen die gespritzten Peptide vorn –, sondern die einfache Einnahme, die vermutlich günstigere Herstellung und die Eignung für die Dauerbehandlung nach einer Phase mit Spritzen. Für den Peptid-Markt bedeutet das eine ernsthafte Konkurrenz, besonders in der Langzeit- und Erhaltungstherapie (siehe Teil V).</w:t>
      </w:r>
    </w:p>
    <w:bookmarkEnd w:id="889"/>
    <w:bookmarkStart w:id="890" w:name="fazit-14"/>
    <w:p>
      <w:pPr>
        <w:pStyle w:val="Heading3"/>
      </w:pPr>
      <w:r>
        <w:t xml:space="preserve">Fazit</w:t>
      </w:r>
    </w:p>
    <w:p>
      <w:pPr>
        <w:pStyle w:val="FirstParagraph"/>
      </w:pPr>
      <w:r>
        <w:t xml:space="preserve">Orforglipron ist kein Peptid, sondern ein kleines Molekül, das als Tablette den GLP-1-Rezeptor aktiviert und ohne Einnahmeregeln geschluckt werden kann. In ATTAIN-1 sank das Gewicht nach 72 Wochen um bis zu 11,2 % – weniger als mit gespritztem Semaglutid oder Tirzepatid –, und nach dem Umstieg von einer Spritze hielten die Teilnehmenden rund drei Viertel ihres Gewichtsverlusts. Bei Typ-2-Diabetes senkte es den HbA1c-Wert stärker als die Semaglutid-Tablette und erwies sich gegenüber Insulin als herz-kreislauf-sicher. Magen-Darm-Beschwerden und Therapieabbrüche sind etwas häufiger als bei der Semaglutid-Tablette.</w:t>
      </w:r>
    </w:p>
    <w:bookmarkEnd w:id="890"/>
    <w:bookmarkEnd w:id="891"/>
    <w:bookmarkEnd w:id="892"/>
    <w:bookmarkStart w:id="1222" w:name="Xd0b78ee9a610b1dd0d145ab5a65bb7cfa2f243d"/>
    <w:p>
      <w:pPr>
        <w:pStyle w:val="Heading1"/>
      </w:pPr>
      <w:r>
        <w:t xml:space="preserve">Teil II · B – Heilung, Regeneration und Immunsystem</w:t>
      </w:r>
    </w:p>
    <w:p>
      <w:pPr>
        <w:pStyle w:val="FirstParagraph"/>
      </w:pPr>
      <w:r>
        <w:t xml:space="preserve">Die Peptide dieser Gruppe versprechen, was sich viele wünschen: schnellere Heilung von Sehnen und Muskeln, eine dichtere Darmwand, ein stärkeres Immunsystem, weniger Entzündung. In Online-Shops, Fitnessforen und Longevity-Kliniken gehören BPC-157, TB-500 und Thymosin Alpha-1 zu den meistverkauften „Forschungspeptiden“ überhaupt.</w:t>
      </w:r>
    </w:p>
    <w:bookmarkStart w:id="893" w:name="was-diese-peptide-verbindet"/>
    <w:p>
      <w:pPr>
        <w:pStyle w:val="Heading3"/>
      </w:pPr>
      <w:r>
        <w:t xml:space="preserve">Was diese Peptide verbindet</w:t>
      </w:r>
    </w:p>
    <w:p>
      <w:pPr>
        <w:pStyle w:val="FirstParagraph"/>
      </w:pPr>
      <w:r>
        <w:t xml:space="preserve">Alle acht Wirkstoffe sollen nicht ein einzelnes, klar messbares Ziel verändern – wie den Blutzucker oder das Körpergewicht –, sondern körpereigene Reparatur- und Abwehrvorgänge „anstoßen“ oder „normalisieren“. Das hat zwei Folgen, die sich durch alle Kapitel ziehen:</w:t>
      </w:r>
    </w:p>
    <w:p>
      <w:pPr>
        <w:numPr>
          <w:ilvl w:val="0"/>
          <w:numId w:val="1114"/>
        </w:numPr>
        <w:pStyle w:val="Compact"/>
      </w:pPr>
      <w:r>
        <w:rPr>
          <w:bCs/>
          <w:b/>
        </w:rPr>
        <w:t xml:space="preserve">Die Wirkung ist schwer zu messen.</w:t>
      </w:r>
      <w:r>
        <w:t xml:space="preserve"> </w:t>
      </w:r>
      <w:r>
        <w:t xml:space="preserve">Heilung, Schmerz und Immunfunktion schwanken stark, hängen von vielen Faktoren ab und sind anfällig für Placeboeffekte. Kleine Studien ohne Kontrollgruppe sind deshalb besonders wenig aussagekräftig.</w:t>
      </w:r>
    </w:p>
    <w:p>
      <w:pPr>
        <w:numPr>
          <w:ilvl w:val="0"/>
          <w:numId w:val="1114"/>
        </w:numPr>
        <w:pStyle w:val="Compact"/>
      </w:pPr>
      <w:r>
        <w:rPr>
          <w:bCs/>
          <w:b/>
        </w:rPr>
        <w:t xml:space="preserve">Plausibilität ersetzt oft Belege.</w:t>
      </w:r>
      <w:r>
        <w:t xml:space="preserve"> </w:t>
      </w:r>
      <w:r>
        <w:t xml:space="preserve">Fast alle Peptide dieser Gruppe stammen von körpereigenen Stoffen ab: aus Magensaft (BPC-157), Thymus (Thymosin Alpha-1, Thymalin), Hautabwehr (LL-37), dem Hormon Alpha-MSH (KPV) oder Erythropoietin (ARA-290). „Körpereigen“ klingt harmlos, sagt aber nichts über Nutzen und Sicherheit einer Gabe von außen in hoher Dosis.</w:t>
      </w:r>
    </w:p>
    <w:p>
      <w:pPr>
        <w:pStyle w:val="FirstParagraph"/>
      </w:pPr>
      <w:r>
        <w:t xml:space="preserve">Auffällig ist zudem ein wiederkehrendes Muster: Kleine frühe Studien wirken vielversprechend, größere und sorgfältiger verblindete Studien bestätigen sie nicht. Das zeigt sich bei Thymosin Alpha-1 in der Sepsis, bei Thymosin Beta-4 als Augentropfen, bei LL-37 an Beingeschwüren und bei Larazotid in der Zöliakie.</w:t>
      </w:r>
    </w:p>
    <w:bookmarkEnd w:id="893"/>
    <w:bookmarkStart w:id="894" w:name="die-gruppe-im-überblick"/>
    <w:p>
      <w:pPr>
        <w:pStyle w:val="Heading3"/>
      </w:pPr>
      <w:r>
        <w:t xml:space="preserve">Die Gruppe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w:t>
            </w:r>
          </w:p>
        </w:tc>
        <w:tc>
          <w:tcPr/>
          <w:p>
            <w:pPr>
              <w:pStyle w:val="Compact"/>
              <w:jc w:val="left"/>
            </w:pPr>
            <w:r>
              <w:t xml:space="preserve">Hunderte Tierstudien, fast alle aus einer Gruppe; am Menschen drei Mini-Pilotstudien</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w:t>
            </w:r>
          </w:p>
        </w:tc>
        <w:tc>
          <w:tcPr/>
          <w:p>
            <w:pPr>
              <w:pStyle w:val="Compact"/>
              <w:jc w:val="left"/>
            </w:pPr>
            <w:r>
              <w:t xml:space="preserve">Tβ4 in RCTs geprüft, große Augenstudien ohne klaren Nutzen; TB-500 nie am Menschen</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China u. a., nicht EU/USA</w:t>
            </w:r>
          </w:p>
        </w:tc>
        <w:tc>
          <w:tcPr/>
          <w:p>
            <w:pPr>
              <w:pStyle w:val="Compact"/>
              <w:jc w:val="left"/>
            </w:pPr>
            <w:r>
              <w:t xml:space="preserve">viele RCTs; große Sepsis-Studie ohne Unterschied zu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w:t>
            </w:r>
          </w:p>
        </w:tc>
        <w:tc>
          <w:tcPr/>
          <w:p>
            <w:pPr>
              <w:pStyle w:val="Compact"/>
              <w:jc w:val="left"/>
            </w:pPr>
            <w:r>
              <w:t xml:space="preserve">wirksam bei Mäusen mit Kolitis; keine Humanstudie</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w:t>
            </w:r>
          </w:p>
        </w:tc>
        <w:tc>
          <w:tcPr/>
          <w:p>
            <w:pPr>
              <w:pStyle w:val="Compact"/>
              <w:jc w:val="left"/>
            </w:pPr>
            <w:r>
              <w:t xml:space="preserve">körpereigenes Abwehrpeptid; Wundstudie mit 148 Personen ohne Vorteil</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w:t>
            </w:r>
          </w:p>
        </w:tc>
        <w:tc>
          <w:tcPr/>
          <w:p>
            <w:pPr>
              <w:pStyle w:val="Compact"/>
              <w:jc w:val="left"/>
            </w:pPr>
            <w:r>
              <w:t xml:space="preserve">kleine RCTs bei Nervenschäden durch Sarkoidose; seit 2015 keine neuen Studien</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Zöliakie-Kandidat; Phase 3 abgebrochen</w:t>
            </w:r>
          </w:p>
        </w:tc>
      </w:tr>
      <w:tr>
        <w:tc>
          <w:tcPr/>
          <w:p>
            <w:pPr>
              <w:pStyle w:val="Compact"/>
              <w:jc w:val="left"/>
            </w:pPr>
            <w:r>
              <w:t xml:space="preserve">Thymalin / Thymogen</w:t>
            </w:r>
          </w:p>
        </w:tc>
        <w:tc>
          <w:tcPr/>
          <w:p>
            <w:pPr>
              <w:pStyle w:val="Compact"/>
              <w:jc w:val="left"/>
            </w:pPr>
            <w:r>
              <w:t xml:space="preserve">C</w:t>
            </w:r>
          </w:p>
        </w:tc>
        <w:tc>
          <w:tcPr/>
          <w:p>
            <w:pPr>
              <w:pStyle w:val="Compact"/>
              <w:jc w:val="left"/>
            </w:pPr>
            <w:r>
              <w:t xml:space="preserve">Russland</w:t>
            </w:r>
          </w:p>
        </w:tc>
        <w:tc>
          <w:tcPr/>
          <w:p>
            <w:pPr>
              <w:pStyle w:val="Compact"/>
              <w:jc w:val="left"/>
            </w:pPr>
            <w:r>
              <w:t xml:space="preserve">fast nur russische Studien einer Schule, kaum randomisiert</w:t>
            </w:r>
          </w:p>
        </w:tc>
      </w:tr>
    </w:tbl>
    <w:p>
      <w:pPr>
        <w:pStyle w:val="BodyText"/>
      </w:pPr>
      <w:r>
        <w:t xml:space="preserve">Evidenzstufen:</w:t>
      </w:r>
      <w:r>
        <w:t xml:space="preserve"> </w:t>
      </w:r>
      <w:r>
        <w:rPr>
          <w:bCs/>
          <w:b/>
        </w:rPr>
        <w:t xml:space="preserve">A</w:t>
      </w:r>
      <w:r>
        <w:t xml:space="preserve"> </w:t>
      </w:r>
      <w:r>
        <w:t xml:space="preserve">mehrere große RCTs oder Zulassung ·</w:t>
      </w:r>
      <w:r>
        <w:t xml:space="preserve"> </w:t>
      </w:r>
      <w:r>
        <w:rPr>
          <w:bCs/>
          <w:b/>
        </w:rPr>
        <w:t xml:space="preserve">B</w:t>
      </w:r>
      <w:r>
        <w:t xml:space="preserve"> </w:t>
      </w:r>
      <w:r>
        <w:t xml:space="preserve">einzelne RCTs ·</w:t>
      </w:r>
      <w:r>
        <w:t xml:space="preserve"> </w:t>
      </w:r>
      <w:r>
        <w:rPr>
          <w:bCs/>
          <w:b/>
        </w:rPr>
        <w:t xml:space="preserve">C</w:t>
      </w:r>
      <w:r>
        <w:t xml:space="preserve"> </w:t>
      </w:r>
      <w:r>
        <w:t xml:space="preserve">nur kleine oder unkontrollierte Humanstudien ·</w:t>
      </w:r>
      <w:r>
        <w:t xml:space="preserve"> </w:t>
      </w:r>
      <w:r>
        <w:rPr>
          <w:bCs/>
          <w:b/>
        </w:rPr>
        <w:t xml:space="preserve">D</w:t>
      </w:r>
      <w:r>
        <w:t xml:space="preserve"> </w:t>
      </w:r>
      <w:r>
        <w:t xml:space="preserve">nur Tier- und Laborstudien. Zulassung bezieht sich auf die Zulassung als Arzneimittel, Stand 2026.</w:t>
      </w:r>
    </w:p>
    <w:p>
      <w:pPr>
        <w:pStyle w:val="BodyText"/>
      </w:pPr>
      <w:r>
        <w:t xml:space="preserve">Kein einziges Peptid dieser Gruppe ist in der EU oder den USA als Arzneimittel zugelassen. Die beiden Wirkstoffe mit Zulassungen außerhalb des Westens – Thymosin Alpha-1 und Thymalin – wurden auf Grundlage von Studien zugelassen, die heutigen Maßstäben nur teilweise standhalten.</w:t>
      </w:r>
    </w:p>
    <w:bookmarkEnd w:id="894"/>
    <w:bookmarkStart w:id="895" w:name="lesehinweis-1"/>
    <w:p>
      <w:pPr>
        <w:pStyle w:val="Heading3"/>
      </w:pPr>
      <w:r>
        <w:t xml:space="preserve">Lesehinweis</w:t>
      </w:r>
    </w:p>
    <w:p>
      <w:pPr>
        <w:pStyle w:val="FirstParagraph"/>
      </w:pPr>
      <w:r>
        <w:t xml:space="preserve">Die Kapitel folgen dem einheitlichen Aufbau dieses Buches. Achte bei dieser Gruppe besonders auf drei Unterscheidungen:</w:t>
      </w:r>
    </w:p>
    <w:p>
      <w:pPr>
        <w:numPr>
          <w:ilvl w:val="0"/>
          <w:numId w:val="1115"/>
        </w:numPr>
        <w:pStyle w:val="Compact"/>
      </w:pPr>
      <w:r>
        <w:rPr>
          <w:bCs/>
          <w:b/>
        </w:rPr>
        <w:t xml:space="preserve">Mensch oder Tier?</w:t>
      </w:r>
      <w:r>
        <w:t xml:space="preserve"> </w:t>
      </w:r>
      <w:r>
        <w:t xml:space="preserve">Bei BPC-157, KPV und TB-500 beruht fast alles, was im Internet behauptet wird, auf Versuchen an Ratten, Mäusen oder Zellkulturen. Die Kapitel kennzeichnen das jeweils ausdrücklich.</w:t>
      </w:r>
    </w:p>
    <w:p>
      <w:pPr>
        <w:numPr>
          <w:ilvl w:val="0"/>
          <w:numId w:val="1115"/>
        </w:numPr>
        <w:pStyle w:val="Compact"/>
      </w:pPr>
      <w:r>
        <w:rPr>
          <w:bCs/>
          <w:b/>
        </w:rPr>
        <w:t xml:space="preserve">Wirkstoff oder Messwert?</w:t>
      </w:r>
      <w:r>
        <w:t xml:space="preserve"> </w:t>
      </w:r>
      <w:r>
        <w:t xml:space="preserve">Bei LL-37 gibt es viele Studien, die den Stoff im Blut</w:t>
      </w:r>
      <w:r>
        <w:t xml:space="preserve"> </w:t>
      </w:r>
      <w:r>
        <w:rPr>
          <w:iCs/>
          <w:i/>
        </w:rPr>
        <w:t xml:space="preserve">messen</w:t>
      </w:r>
      <w:r>
        <w:t xml:space="preserve">, aber nur wenige, die ihn als Medikament</w:t>
      </w:r>
      <w:r>
        <w:t xml:space="preserve"> </w:t>
      </w:r>
      <w:r>
        <w:rPr>
          <w:iCs/>
          <w:i/>
        </w:rPr>
        <w:t xml:space="preserve">geben</w:t>
      </w:r>
      <w:r>
        <w:t xml:space="preserve">. Nur Letztere sagen etwas über eine Behandlung aus.</w:t>
      </w:r>
    </w:p>
    <w:p>
      <w:pPr>
        <w:numPr>
          <w:ilvl w:val="0"/>
          <w:numId w:val="1115"/>
        </w:numPr>
        <w:pStyle w:val="Compact"/>
      </w:pPr>
      <w:r>
        <w:rPr>
          <w:bCs/>
          <w:b/>
        </w:rPr>
        <w:t xml:space="preserve">Original oder Abkömmling?</w:t>
      </w:r>
      <w:r>
        <w:t xml:space="preserve"> </w:t>
      </w:r>
      <w:r>
        <w:t xml:space="preserve">TB-500 ist nicht Thymosin Beta-4, Thymogen nicht Thymalin, und das im Internet verkaufte Produkt ist nicht die in Studien verwendete Arzneiform.</w:t>
      </w:r>
    </w:p>
    <w:p>
      <w:pPr>
        <w:pStyle w:val="FirstParagraph"/>
      </w:pPr>
      <w:r>
        <w:t xml:space="preserve">Zwei Kapitel enthalten Hinweise zu Registereinträgen, deren Echtheit fraglich ist: Ein Sponsor hat bei ClinicalTrials.gov sowohl eine Phase-2-Studie zu BPC-157 als auch eine Studie zu TB-500 eingetragen, von denen sich eine selbst als „fiktives Beispiel“ bezeichnet. Auch ein Registereintrag ist also kein Beweis dafür, dass eine Studie tatsächlich stattfindet.</w:t>
      </w:r>
    </w:p>
    <w:p>
      <w:pPr>
        <w:pStyle w:val="BodyText"/>
      </w:pPr>
      <w:r>
        <w:t xml:space="preserve">Fragen zu Graumarkt-Produkten, Verunreinigungen und dem theoretischen Krebsrisiko durch Wachstums- und Gefäßsignale werden in Kapitel I.5 und in Teil IV ausführlicher und peptidübergreifend behandelt. Für Sportlerinnen und Sportler gilt: BPC-157, TB-500 und ARA-290 sind von der WADA ausdrücklich verboten; bei den übrigen solltest du vor jeder Anwendung deine nationale Anti-Doping-Agentur fragen.</w:t>
      </w:r>
    </w:p>
    <w:bookmarkEnd w:id="895"/>
    <w:bookmarkStart w:id="953" w:name="bpc-157"/>
    <w:p>
      <w:pPr>
        <w:pStyle w:val="Heading2"/>
      </w:pPr>
      <w:r>
        <w:t xml:space="preserve">BPC-157</w:t>
      </w:r>
    </w:p>
    <w:p>
      <w:pPr>
        <w:pStyle w:val="FirstParagraph"/>
      </w:pPr>
      <w:r>
        <w:t xml:space="preserve">Kaum ein Peptid wird im Internet so häufig gesucht, empfohlen und verkauft wie BPC-157. In Foren und Videos gilt es als Wundermittel für Sehnen, Bänder, Muskeln, Darm und sogar das Gehirn. Wer die Fachliteratur liest, findet tatsächlich weit über zweihundert Veröffentlichungen. Das Bild ändert sich aber, sobald man fragt, wie viele davon Menschen untersucht haben: Es sind nur eine Handvoll – klein, unkontrolliert und aus einer einzigen Privatpraxis. Dieses Kapitel ordnet ein, was belegt ist, was nur bei Ratten gezeigt wurde und wo die Risiken liegen.</w:t>
      </w:r>
    </w:p>
    <w:bookmarkStart w:id="897" w:name="steckbrief-15"/>
    <w:p>
      <w:pPr>
        <w:pStyle w:val="Heading3"/>
      </w:pPr>
      <w:r>
        <w:t xml:space="preserve">Steckbrief</w:t>
      </w:r>
    </w:p>
    <w:p>
      <w:pPr>
        <w:numPr>
          <w:ilvl w:val="0"/>
          <w:numId w:val="1116"/>
        </w:numPr>
        <w:pStyle w:val="Compact"/>
      </w:pPr>
      <w:r>
        <w:rPr>
          <w:bCs/>
          <w:b/>
        </w:rPr>
        <w:t xml:space="preserve">Art und Struktur:</w:t>
      </w:r>
      <w:r>
        <w:t xml:space="preserve"> </w:t>
      </w:r>
      <w:r>
        <w:t xml:space="preserve">synthetisches Peptid aus 15 Aminosäuren (Pentadecapeptid) mit der Sequenz GEPPPGKPADDAGLV</w:t>
      </w:r>
      <w:r>
        <w:rPr>
          <w:rStyle w:val="FootnoteReference"/>
        </w:rPr>
        <w:footnoteReference w:id="896"/>
      </w:r>
      <w:r>
        <w:t xml:space="preserve">.</w:t>
      </w:r>
    </w:p>
    <w:p>
      <w:pPr>
        <w:numPr>
          <w:ilvl w:val="0"/>
          <w:numId w:val="1116"/>
        </w:numPr>
        <w:pStyle w:val="Compact"/>
      </w:pPr>
      <w:r>
        <w:rPr>
          <w:bCs/>
          <w:b/>
        </w:rPr>
        <w:t xml:space="preserve">Herkunft:</w:t>
      </w:r>
      <w:r>
        <w:t xml:space="preserve"> </w:t>
      </w:r>
      <w:r>
        <w:t xml:space="preserve">abgeleitet von einem größeren Protein, das in den 1990er-Jahren aus menschlichem Magensaft beschrieben wurde („Body Protection Compound“, daher BPC). Das verkaufte BPC-157 ist ein Laborprodukt; ob die Sequenz in dieser Form im Körper vorkommt, ist nicht unabhängig gesichert.</w:t>
      </w:r>
    </w:p>
    <w:p>
      <w:pPr>
        <w:numPr>
          <w:ilvl w:val="0"/>
          <w:numId w:val="1116"/>
        </w:numPr>
        <w:pStyle w:val="Compact"/>
      </w:pPr>
      <w:r>
        <w:rPr>
          <w:bCs/>
          <w:b/>
        </w:rPr>
        <w:t xml:space="preserve">Frühere Entwicklungsnamen:</w:t>
      </w:r>
      <w:r>
        <w:t xml:space="preserve"> </w:t>
      </w:r>
      <w:r>
        <w:t xml:space="preserve">PL 14736, PL-10, PLD-116 (Firma Pliva, Kroatien), später „Bepecin“ bzw. PCO-02.</w:t>
      </w:r>
    </w:p>
    <w:p>
      <w:pPr>
        <w:numPr>
          <w:ilvl w:val="0"/>
          <w:numId w:val="1116"/>
        </w:numPr>
        <w:pStyle w:val="Compact"/>
      </w:pPr>
      <w:r>
        <w:rPr>
          <w:bCs/>
          <w:b/>
        </w:rPr>
        <w:t xml:space="preserve">Wirkprinzip (vermutet, aus Tierstudien):</w:t>
      </w:r>
      <w:r>
        <w:t xml:space="preserve"> </w:t>
      </w:r>
      <w:r>
        <w:t xml:space="preserve">Förderung der Gefäßneubildung (Angiogenese) über den VEGF-Rezeptor 2 und das Stickstoffmonoxid-System, Wirkung auf die Wanderung von Bindegewebszellen.</w:t>
      </w:r>
    </w:p>
    <w:p>
      <w:pPr>
        <w:numPr>
          <w:ilvl w:val="0"/>
          <w:numId w:val="1116"/>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von der FDA 2023 als Wirkstoff mit Sicherheitsbedenken für die Rezepturherstellung eingestuft (Kategorie 2).</w:t>
      </w:r>
    </w:p>
    <w:p>
      <w:pPr>
        <w:numPr>
          <w:ilvl w:val="0"/>
          <w:numId w:val="1116"/>
        </w:numPr>
        <w:pStyle w:val="Compact"/>
      </w:pPr>
      <w:r>
        <w:rPr>
          <w:bCs/>
          <w:b/>
        </w:rPr>
        <w:t xml:space="preserve">WADA:</w:t>
      </w:r>
      <w:r>
        <w:t xml:space="preserve"> </w:t>
      </w:r>
      <w:r>
        <w:t xml:space="preserve">verboten, Gruppe S0 „nicht zugelassene Substanzen“ (ausdrücklich genannt).</w:t>
      </w:r>
    </w:p>
    <w:p>
      <w:pPr>
        <w:numPr>
          <w:ilvl w:val="0"/>
          <w:numId w:val="1116"/>
        </w:numPr>
        <w:pStyle w:val="Compact"/>
      </w:pPr>
      <w:r>
        <w:rPr>
          <w:bCs/>
          <w:b/>
        </w:rPr>
        <w:t xml:space="preserve">Evidenzstufe: C</w:t>
      </w:r>
      <w:r>
        <w:t xml:space="preserve"> </w:t>
      </w:r>
      <w:r>
        <w:t xml:space="preserve">– nur drei sehr kleine, unkontrollierte Untersuchungen am Menschen mit zusammen rund 30 Personen; keine abgeschlossene randomisierte Studie.</w:t>
      </w:r>
    </w:p>
    <w:bookmarkEnd w:id="897"/>
    <w:bookmarkStart w:id="904" w:name="wie-es-wirken-soll-15"/>
    <w:p>
      <w:pPr>
        <w:pStyle w:val="Heading3"/>
      </w:pPr>
      <w:r>
        <w:t xml:space="preserve">Wie es wirken soll</w:t>
      </w:r>
    </w:p>
    <w:p>
      <w:pPr>
        <w:pStyle w:val="FirstParagraph"/>
      </w:pPr>
      <w:r>
        <w:t xml:space="preserve">Die Grundidee stammt aus der Magenforschung. Die Magenschleimhaut ist täglich Säure, Enzymen und Medikamenten wie Schmerzmitteln ausgesetzt und repariert sich dennoch erstaunlich schnell. Forschende in Zagreb vermuteten in den 1990er-Jahren, dass Schutzstoffe im Magensaft diese Fähigkeit vermitteln, und isolierten ein Peptid, das sie „Body Protection Compound“ nannten. BPC-157 ist ein kurzer Ausschnitt daraus.</w:t>
      </w:r>
    </w:p>
    <w:p>
      <w:pPr>
        <w:pStyle w:val="BodyText"/>
      </w:pPr>
      <w:r>
        <w:t xml:space="preserve">Ungewöhnlich ist, dass BPC-157 in Magensaft stabil bleibt. Die meisten Peptide werden dort rasch zerlegt. Daraus leiten Befürworter ab, dass es auch als Tablette wirken könnte – bewiesen ist das am Menschen nicht.</w:t>
      </w:r>
    </w:p>
    <w:p>
      <w:pPr>
        <w:pStyle w:val="BodyText"/>
      </w:pPr>
      <w:r>
        <w:t xml:space="preserve">Für die behauptete Wirkung werden vor allem drei Mechanismen diskutiert, die alle aus Tier- und Zellversuchen stammen:</w:t>
      </w:r>
    </w:p>
    <w:p>
      <w:pPr>
        <w:numPr>
          <w:ilvl w:val="0"/>
          <w:numId w:val="1117"/>
        </w:numPr>
        <w:pStyle w:val="Compact"/>
      </w:pPr>
      <w:r>
        <w:rPr>
          <w:bCs/>
          <w:b/>
        </w:rPr>
        <w:t xml:space="preserve">Gefäßneubildung:</w:t>
      </w:r>
      <w:r>
        <w:t xml:space="preserve"> </w:t>
      </w:r>
      <w:r>
        <w:t xml:space="preserve">In Zellkulturen menschlicher Gefäßinnenhautzellen erhöhte BPC-157 die Menge des VEGF-Rezeptors 2 (eines zentralen Schalters für das Wachstum neuer Blutgefäße) und aktivierte den nachgeschalteten Signalweg Akt-eNOS; bei Ratten mit abgebundener Beinarterie kehrte die Durchblutung schneller zurück</w:t>
      </w:r>
      <w:r>
        <w:rPr>
          <w:rStyle w:val="FootnoteReference"/>
        </w:rPr>
        <w:footnoteReference w:id="898"/>
      </w:r>
      <w:r>
        <w:t xml:space="preserve">. Eine Arbeit aus China beschrieb 2026 in Zellversuchen einen weiteren Weg über die Proteine FBXO22 und BACH1</w:t>
      </w:r>
      <w:r>
        <w:rPr>
          <w:rStyle w:val="FootnoteReference"/>
        </w:rPr>
        <w:footnoteReference w:id="899"/>
      </w:r>
      <w:r>
        <w:t xml:space="preserve">.</w:t>
      </w:r>
    </w:p>
    <w:p>
      <w:pPr>
        <w:numPr>
          <w:ilvl w:val="0"/>
          <w:numId w:val="1117"/>
        </w:numPr>
        <w:pStyle w:val="Compact"/>
      </w:pPr>
      <w:r>
        <w:rPr>
          <w:bCs/>
          <w:b/>
        </w:rPr>
        <w:t xml:space="preserve">Zellwanderung und Überleben:</w:t>
      </w:r>
      <w:r>
        <w:t xml:space="preserve"> </w:t>
      </w:r>
      <w:r>
        <w:t xml:space="preserve">In Kulturen von Sehnenzellen der Ratte beschleunigte BPC-157 das Auswachsen der Zellen aus Sehnenstückchen, verbesserte ihr Überleben unter oxidativem Stress und förderte ihre Wanderung; die Zellteilung selbst wurde nicht direkt gesteigert</w:t>
      </w:r>
      <w:r>
        <w:rPr>
          <w:rStyle w:val="FootnoteReference"/>
        </w:rPr>
        <w:footnoteReference w:id="900"/>
      </w:r>
      <w:r>
        <w:t xml:space="preserve">.</w:t>
      </w:r>
    </w:p>
    <w:p>
      <w:pPr>
        <w:numPr>
          <w:ilvl w:val="0"/>
          <w:numId w:val="1117"/>
        </w:numPr>
        <w:pStyle w:val="Compact"/>
      </w:pPr>
      <w:r>
        <w:rPr>
          <w:bCs/>
          <w:b/>
        </w:rPr>
        <w:t xml:space="preserve">Empfindlichkeit für Wachstumshormon:</w:t>
      </w:r>
      <w:r>
        <w:t xml:space="preserve"> </w:t>
      </w:r>
      <w:r>
        <w:t xml:space="preserve">In denselben Rattensehnenzellen erhöhte BPC-157 die Zahl der Wachstumshormon-Rezeptoren</w:t>
      </w:r>
      <w:r>
        <w:rPr>
          <w:rStyle w:val="FootnoteReference"/>
        </w:rPr>
        <w:footnoteReference w:id="901"/>
      </w:r>
      <w:r>
        <w:t xml:space="preserve">.</w:t>
      </w:r>
    </w:p>
    <w:p>
      <w:pPr>
        <w:pStyle w:val="FirstParagraph"/>
      </w:pPr>
      <w:r>
        <w:t xml:space="preserve">Hinzu kommt eine Vielzahl weiterer Effekte auf Stickstoffmonoxid, Blutgerinnung und Nervenbotenstoffe, die vor allem in Übersichtsarbeiten der Zagreber Gruppe beschrieben werden</w:t>
      </w:r>
      <w:r>
        <w:rPr>
          <w:rStyle w:val="FootnoteReference"/>
        </w:rPr>
        <w:footnoteReference w:id="902"/>
      </w:r>
      <w:r>
        <w:t xml:space="preserve">. Einen eindeutigen Rezeptor, an dem BPC-157 andockt, kennt man bis heute nicht.</w:t>
      </w:r>
    </w:p>
    <w:p>
      <w:pPr>
        <w:pStyle w:val="BodyText"/>
      </w:pPr>
      <w:r>
        <w:t xml:space="preserve">Auffällig ist ein Widerspruch, auf den eine pharmazeutische Übersicht hinweist: Im Tier hat BPC-157 eine Halbwertszeit von unter 30 Minuten, die beschriebenen Wirkungen sollen aber Stunden bis Tage anhalten</w:t>
      </w:r>
      <w:r>
        <w:rPr>
          <w:rStyle w:val="FootnoteReference"/>
        </w:rPr>
        <w:footnoteReference w:id="903"/>
      </w:r>
      <w:r>
        <w:t xml:space="preserve">. Wie das zusammenpasst, ist ungeklärt.</w:t>
      </w:r>
    </w:p>
    <w:bookmarkEnd w:id="904"/>
    <w:bookmarkStart w:id="917" w:name="studien-am-menschen-1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 in PubMed</w:t>
      </w:r>
      <w:r>
        <w:t xml:space="preserve"> </w:t>
      </w:r>
      <w:r>
        <w:rPr>
          <w:bCs/>
          <w:b/>
        </w:rPr>
        <w:t xml:space="preserve">keine</w:t>
      </w:r>
      <w:r>
        <w:t xml:space="preserve"> </w:t>
      </w:r>
      <w:r>
        <w:t xml:space="preserve">Studie, die die Filterkriterien für eine Humanstudie erfüllt (</w:t>
      </w:r>
      <w:r>
        <w:rPr>
          <w:rStyle w:val="VerbatimChar"/>
        </w:rPr>
        <w:t xml:space="preserve">humanstudien_alle</w:t>
      </w:r>
      <w:r>
        <w:t xml:space="preserve">: 0), und</w:t>
      </w:r>
      <w:r>
        <w:t xml:space="preserve"> </w:t>
      </w:r>
      <w:r>
        <w:rPr>
          <w:bCs/>
          <w:b/>
        </w:rPr>
        <w:t xml:space="preserve">4</w:t>
      </w:r>
      <w:r>
        <w:t xml:space="preserve"> </w:t>
      </w:r>
      <w:r>
        <w:t xml:space="preserve">Einträge im Studienregister ClinicalTrials.gov. Insgesamt verzeichnet PubMed für BPC-157 rund 230 Veröffentlichungen – fast ausschließlich Tierversuche, Laborarbeiten und Übersichtsartikel.</w:t>
      </w:r>
    </w:p>
    <w:p>
      <w:pPr>
        <w:pStyle w:val="BodyText"/>
      </w:pPr>
      <w:r>
        <w:t xml:space="preserve">Eine gezielte Nachsuche ergab drei kleine Untersuchungen am Menschen. Alle drei stammen von demselben Erstautor aus einer Privatpraxis in Florida und erschienen in einer Zeitschrift für Alternativmedizin. Eine im Jahr 2026 veröffentlichte systematische Übersichtsarbeit hat genau diese drei Arbeiten mit zusammen 30 Personen gefunden</w:t>
      </w:r>
      <w:r>
        <w:rPr>
          <w:rStyle w:val="FootnoteReference"/>
        </w:rPr>
        <w:footnoteReference w:id="905"/>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Kniegelenk (Lee 2021), PMID 34324435</w:t>
            </w:r>
          </w:p>
        </w:tc>
        <w:tc>
          <w:tcPr/>
          <w:p>
            <w:pPr>
              <w:pStyle w:val="Compact"/>
              <w:jc w:val="left"/>
            </w:pPr>
            <w:r>
              <w:t xml:space="preserve">16 Personen mit Knieschmerz verschiedener Ursache, rückblickende Aktenauswertung mit Telefonbefragung, keine Kontrollgruppe</w:t>
            </w:r>
          </w:p>
        </w:tc>
        <w:tc>
          <w:tcPr/>
          <w:p>
            <w:pPr>
              <w:pStyle w:val="Compact"/>
              <w:jc w:val="left"/>
            </w:pPr>
            <w:r>
              <w:t xml:space="preserve">Rückblick 6–12 Monate</w:t>
            </w:r>
          </w:p>
        </w:tc>
        <w:tc>
          <w:tcPr/>
          <w:p>
            <w:pPr>
              <w:pStyle w:val="Compact"/>
              <w:jc w:val="left"/>
            </w:pPr>
            <w:r>
              <w:t xml:space="preserve">14 von 16 berichteten Schmerzlinderung; 12 erhielten nur BPC-157, 4 zusätzlich Thymosin Beta-4</w:t>
            </w:r>
          </w:p>
        </w:tc>
      </w:tr>
      <w:tr>
        <w:tc>
          <w:tcPr/>
          <w:p>
            <w:pPr>
              <w:pStyle w:val="Compact"/>
              <w:jc w:val="left"/>
            </w:pPr>
            <w:r>
              <w:t xml:space="preserve">Interstitielle Zystitis (Lee 2024), PMID 39325560</w:t>
            </w:r>
          </w:p>
        </w:tc>
        <w:tc>
          <w:tcPr/>
          <w:p>
            <w:pPr>
              <w:pStyle w:val="Compact"/>
              <w:jc w:val="left"/>
            </w:pPr>
            <w:r>
              <w:t xml:space="preserve">12 Frauen mit chronischer Blasenschmerzerkrankung, Injektionen in die Blasenwand bei einer Blasenspiegelung, keine Kontrollgruppe</w:t>
            </w:r>
          </w:p>
        </w:tc>
        <w:tc>
          <w:tcPr/>
          <w:p>
            <w:pPr>
              <w:pStyle w:val="Compact"/>
              <w:jc w:val="left"/>
            </w:pPr>
            <w:r>
              <w:t xml:space="preserve">eine Behandlung</w:t>
            </w:r>
          </w:p>
        </w:tc>
        <w:tc>
          <w:tcPr/>
          <w:p>
            <w:pPr>
              <w:pStyle w:val="Compact"/>
              <w:jc w:val="left"/>
            </w:pPr>
            <w:r>
              <w:t xml:space="preserve">10 von 12 gaben vollständige, 2 überwiegende Besserung an; keine Nebenwirkungen berichtet</w:t>
            </w:r>
          </w:p>
        </w:tc>
      </w:tr>
      <w:tr>
        <w:tc>
          <w:tcPr/>
          <w:p>
            <w:pPr>
              <w:pStyle w:val="Compact"/>
              <w:jc w:val="left"/>
            </w:pPr>
            <w:r>
              <w:t xml:space="preserve">Infusion in die Vene (Lee 2025), PMID 40131143</w:t>
            </w:r>
          </w:p>
        </w:tc>
        <w:tc>
          <w:tcPr/>
          <w:p>
            <w:pPr>
              <w:pStyle w:val="Compact"/>
              <w:jc w:val="left"/>
            </w:pPr>
            <w:r>
              <w:t xml:space="preserve">2 Personen, Sicherheitsprüfung an zwei Tagen</w:t>
            </w:r>
          </w:p>
        </w:tc>
        <w:tc>
          <w:tcPr/>
          <w:p>
            <w:pPr>
              <w:pStyle w:val="Compact"/>
              <w:jc w:val="left"/>
            </w:pPr>
            <w:r>
              <w:t xml:space="preserve">3 Tage</w:t>
            </w:r>
          </w:p>
        </w:tc>
        <w:tc>
          <w:tcPr/>
          <w:p>
            <w:pPr>
              <w:pStyle w:val="Compact"/>
              <w:jc w:val="left"/>
            </w:pPr>
            <w:r>
              <w:t xml:space="preserve">keine messbaren Veränderungen der untersuchten Blutwerte, keine Beschwerden</w:t>
            </w:r>
          </w:p>
        </w:tc>
      </w:tr>
    </w:tbl>
    <w:bookmarkStart w:id="912" w:name="wie-aussagekräftig-sind-diese-daten"/>
    <w:p>
      <w:pPr>
        <w:pStyle w:val="Heading4"/>
      </w:pPr>
      <w:r>
        <w:t xml:space="preserve">Wie aussagekräftig sind diese Daten?</w:t>
      </w:r>
    </w:p>
    <w:p>
      <w:pPr>
        <w:pStyle w:val="FirstParagraph"/>
      </w:pPr>
      <w:r>
        <w:t xml:space="preserve">Kaum. Die Knie-Untersuchung war keine geplante Studie, sondern eine nachträgliche Telefonumfrage unter Patientinnen und Patienten, die die Behandlung bereits bezahlt hatten. Es gab keine Vergleichsgruppe, keine Verblindung, keine Messinstrumente für Funktion oder Lebensqualität und keine Bildgebung. Die Ursachen des Knieschmerzes reichten von Arthrose bis zu Meniskusrissen. Laut Abstract wurden keine standardisierten Fragebögen zur Funktion verwendet</w:t>
      </w:r>
      <w:r>
        <w:rPr>
          <w:rStyle w:val="FootnoteReference"/>
        </w:rPr>
        <w:footnoteReference w:id="906"/>
      </w:r>
      <w:r>
        <w:t xml:space="preserve">.</w:t>
      </w:r>
    </w:p>
    <w:p>
      <w:pPr>
        <w:pStyle w:val="BodyText"/>
      </w:pPr>
      <w:r>
        <w:t xml:space="preserve">Die Zystitis-Arbeit erfasste das Ergebnis mit einem einzigen globalen Fragebogen. Dass alle zwölf Frauen die bestmögliche Bewertung abgaben, ist für eine chronische, oft schwer behandelbare Erkrankung ungewöhnlich und ohne Kontrollgruppe nicht von einem Placeboeffekt oder dem natürlichen Schwanken der Beschwerden zu unterscheiden. Bemerkenswert ist zudem, dass das verwendete BPC-157 aus einer US-Rezepturapotheke stammte</w:t>
      </w:r>
      <w:r>
        <w:rPr>
          <w:rStyle w:val="FootnoteReference"/>
        </w:rPr>
        <w:footnoteReference w:id="907"/>
      </w:r>
      <w:r>
        <w:t xml:space="preserve">.</w:t>
      </w:r>
    </w:p>
    <w:p>
      <w:pPr>
        <w:pStyle w:val="BodyText"/>
      </w:pPr>
      <w:r>
        <w:t xml:space="preserve">Die Infusionsstudie umfasste zwei Personen, die BPC-157 schon vorher erhalten hatten. Aus zwei Personen lässt sich keine Aussage über Sicherheit ableiten – seltene oder verzögerte Nebenwirkungen bleiben so unsichtbar</w:t>
      </w:r>
      <w:r>
        <w:rPr>
          <w:rStyle w:val="FootnoteReference"/>
        </w:rPr>
        <w:footnoteReference w:id="908"/>
      </w:r>
      <w:r>
        <w:t xml:space="preserve">.</w:t>
      </w:r>
    </w:p>
    <w:p>
      <w:pPr>
        <w:pStyle w:val="BodyText"/>
      </w:pPr>
      <w:r>
        <w:t xml:space="preserve">Die systematische Übersicht bewertete die methodische Qualität aller drei Arbeiten als schlecht und die Vertrauenswürdigkeit der Evidenz nach dem GRADE-System als „sehr niedrig“. Ihr Fazit: BPC-157 sollte außerhalb ethisch genehmigter, hochwertiger klinischer Studien nicht am Menschen eingesetzt werden</w:t>
      </w:r>
      <w:r>
        <w:rPr>
          <w:rStyle w:val="FootnoteReference"/>
        </w:rPr>
        <w:footnoteReference w:id="909"/>
      </w:r>
      <w:r>
        <w:t xml:space="preserve">. Eine weitere systematische Übersicht aus der Sportorthopädie, die bis Juni 2024 suchte, fand unter 36 eingeschlossenen Arbeiten nur eine einzige klinische Studie</w:t>
      </w:r>
      <w:r>
        <w:rPr>
          <w:rStyle w:val="FootnoteReference"/>
        </w:rPr>
        <w:footnoteReference w:id="910"/>
      </w:r>
      <w:r>
        <w:t xml:space="preserve">. Mehrere aktuelle Übersichten aus Orthopädie und Sportmedizin kommen zum selben Schluss: Ein routinemäßiger Einsatz lässt sich derzeit nicht empfehlen</w:t>
      </w:r>
      <w:r>
        <w:rPr>
          <w:rStyle w:val="FootnoteReference"/>
        </w:rPr>
        <w:footnoteReference w:id="911"/>
      </w:r>
      <w:r>
        <w:t xml:space="preserve">.</w:t>
      </w:r>
    </w:p>
    <w:bookmarkEnd w:id="912"/>
    <w:bookmarkStart w:id="916" w:name="was-aus-früheren-firmenstudien-wurde"/>
    <w:p>
      <w:pPr>
        <w:pStyle w:val="Heading4"/>
      </w:pPr>
      <w:r>
        <w:t xml:space="preserve">Was aus früheren Firmenstudien wurde</w:t>
      </w:r>
    </w:p>
    <w:p>
      <w:pPr>
        <w:pStyle w:val="FirstParagraph"/>
      </w:pPr>
      <w:r>
        <w:t xml:space="preserve">In den 2000er-Jahren entwickelte das kroatische Pharmaunternehmen Pliva BPC-157 unter dem Code PL 14736 für chronisch-entzündliche Darmerkrankungen. Tierstudien jener Zeit vermerken, dass der Stoff „derzeit in klinischen Studien“ geprüft werde</w:t>
      </w:r>
      <w:r>
        <w:rPr>
          <w:rStyle w:val="FootnoteReference"/>
        </w:rPr>
        <w:footnoteReference w:id="913"/>
      </w:r>
      <w:r>
        <w:t xml:space="preserve">. Eine Übersichtsarbeit der Zagreber Gruppe erwähnt Studien bei Colitis ulcerosa und Multipler Sklerose</w:t>
      </w:r>
      <w:r>
        <w:rPr>
          <w:rStyle w:val="FootnoteReference"/>
        </w:rPr>
        <w:footnoteReference w:id="914"/>
      </w:r>
      <w:r>
        <w:t xml:space="preserve">. Vollständige Ergebnisse dieser Studien sind in PubMed nicht als Originalarbeit auffindbar. 2015 wurde zudem eine Phase-1-Studie mit Tabletten („Bepecin“, PCO-02) an 42 gesunden Freiwilligen registriert</w:t>
      </w:r>
      <w:r>
        <w:rPr>
          <w:rStyle w:val="FootnoteReference"/>
        </w:rPr>
        <w:footnoteReference w:id="915"/>
      </w:r>
      <w:r>
        <w:t xml:space="preserve">; ihr Status ist seit Jahren „unbekannt“, Ergebnisse wurden nicht veröffentlicht.</w:t>
      </w:r>
    </w:p>
    <w:p>
      <w:pPr>
        <w:pStyle w:val="BodyText"/>
      </w:pPr>
      <w:r>
        <w:t xml:space="preserve">Für Leserinnen und Leser heißt das: Wenn Webseiten behaupten, BPC-157 sei „in klinischen Studien sicher“ gewesen, beziehen sie sich auf Studien, deren Daten niemand unabhängig prüfen kann.</w:t>
      </w:r>
    </w:p>
    <w:bookmarkEnd w:id="916"/>
    <w:bookmarkEnd w:id="917"/>
    <w:bookmarkStart w:id="926" w:name="tier--und-laborstudien-15"/>
    <w:p>
      <w:pPr>
        <w:pStyle w:val="Heading3"/>
      </w:pPr>
      <w:r>
        <w:t xml:space="preserve">Tier- und Laborstudien</w:t>
      </w:r>
    </w:p>
    <w:p>
      <w:pPr>
        <w:pStyle w:val="FirstParagraph"/>
      </w:pPr>
      <w:r>
        <w:t xml:space="preserve">Die Präklinik ist der Grund, warum BPC-157 so bekannt wurde. Sie ist umfangreich, aber in ihrer Herkunft ungewöhnlich einseitig.</w:t>
      </w:r>
    </w:p>
    <w:bookmarkStart w:id="921" w:name="eine-forschungsgruppe-dominiert"/>
    <w:p>
      <w:pPr>
        <w:pStyle w:val="Heading4"/>
      </w:pPr>
      <w:r>
        <w:t xml:space="preserve">Eine Forschungsgruppe dominiert</w:t>
      </w:r>
    </w:p>
    <w:p>
      <w:pPr>
        <w:pStyle w:val="FirstParagraph"/>
      </w:pPr>
      <w:r>
        <w:t xml:space="preserve">Von den rund 230 Treffern in PubMed (Abfrage Oktober 2026) nennen etwa 175 den Zagreber Pharmakologen Predrag Sikirić als Autor – also rund drei Viertel. Eine Übersicht zur Sehnen- und Muskelheilung hielt fest, dass in zwei Jahrzehnten nur eine Handvoll Forschungsgruppen BPC-157 eingehend untersucht hat</w:t>
      </w:r>
      <w:r>
        <w:rPr>
          <w:rStyle w:val="FootnoteReference"/>
        </w:rPr>
        <w:footnoteReference w:id="918"/>
      </w:r>
      <w:r>
        <w:t xml:space="preserve">. Das ist für die Bewertung wichtig: Wissenschaftliche Ergebnisse gelten erst dann als belastbar, wenn unabhängige Gruppen sie wiederholen. Eine kritische Übersicht zu Durchblutungsstörungen bei Nagetieren aus dem Jahr 2026 bemängelt kurze Beobachtungszeiten, Einzeldosis-Versuche, unvollständig beschriebene Verzerrungsrisiken und fordert unabhängige, verblindete Wiederholungen</w:t>
      </w:r>
      <w:r>
        <w:rPr>
          <w:rStyle w:val="FootnoteReference"/>
        </w:rPr>
        <w:footnoteReference w:id="919"/>
      </w:r>
      <w:r>
        <w:t xml:space="preserve">. Eine kurze Stellungnahme in der Zeitschrift Inflammopharmacology setzte sich 2025 eigens mit einer langen Übersichtsarbeit dieser Gruppe auseinander</w:t>
      </w:r>
      <w:r>
        <w:rPr>
          <w:rStyle w:val="FootnoteReference"/>
        </w:rPr>
        <w:footnoteReference w:id="920"/>
      </w:r>
      <w:r>
        <w:t xml:space="preserve">.</w:t>
      </w:r>
    </w:p>
    <w:p>
      <w:pPr>
        <w:pStyle w:val="BodyText"/>
      </w:pPr>
      <w:r>
        <w:t xml:space="preserve">Unabhängige Arbeiten gibt es durchaus – vor allem aus Taiwan (Sehnenzellen, Gefäße), Südkorea und China –, sie sind aber deutlich seltener und überwiegend Labor- oder Zellversuche.</w:t>
      </w:r>
    </w:p>
    <w:bookmarkEnd w:id="921"/>
    <w:bookmarkStart w:id="922" w:name="überblick-nach-organsystem"/>
    <w:p>
      <w:pPr>
        <w:pStyle w:val="Heading4"/>
      </w:pPr>
      <w:r>
        <w:t xml:space="preserve">Überblick nach Organsystem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Bereich</w:t>
            </w:r>
          </w:p>
        </w:tc>
        <w:tc>
          <w:tcPr/>
          <w:p>
            <w:pPr>
              <w:pStyle w:val="Compact"/>
              <w:jc w:val="left"/>
            </w:pPr>
            <w:r>
              <w:t xml:space="preserve">Typisches Modell</w:t>
            </w:r>
          </w:p>
        </w:tc>
        <w:tc>
          <w:tcPr/>
          <w:p>
            <w:pPr>
              <w:pStyle w:val="Compact"/>
              <w:jc w:val="left"/>
            </w:pPr>
            <w:r>
              <w:t xml:space="preserve">Berichtetes Ergebnis</w:t>
            </w:r>
          </w:p>
        </w:tc>
        <w:tc>
          <w:tcPr/>
          <w:p>
            <w:pPr>
              <w:pStyle w:val="Compact"/>
              <w:jc w:val="left"/>
            </w:pPr>
            <w:r>
              <w:t xml:space="preserve">Beispiel</w:t>
            </w:r>
          </w:p>
        </w:tc>
      </w:tr>
      <w:tr>
        <w:tc>
          <w:tcPr/>
          <w:p>
            <w:pPr>
              <w:pStyle w:val="Compact"/>
              <w:jc w:val="left"/>
            </w:pPr>
            <w:r>
              <w:t xml:space="preserve">Sehne</w:t>
            </w:r>
          </w:p>
        </w:tc>
        <w:tc>
          <w:tcPr/>
          <w:p>
            <w:pPr>
              <w:pStyle w:val="Compact"/>
              <w:jc w:val="left"/>
            </w:pPr>
            <w:r>
              <w:t xml:space="preserve">durchtrennte Achillessehne bei Ratten</w:t>
            </w:r>
          </w:p>
        </w:tc>
        <w:tc>
          <w:tcPr/>
          <w:p>
            <w:pPr>
              <w:pStyle w:val="Compact"/>
              <w:jc w:val="left"/>
            </w:pPr>
            <w:r>
              <w:t xml:space="preserve">bessere Belastbarkeit, Funktion und Gewebestruktur</w:t>
            </w:r>
          </w:p>
        </w:tc>
        <w:tc>
          <w:tcPr/>
          <w:p>
            <w:pPr>
              <w:pStyle w:val="Compact"/>
              <w:jc w:val="left"/>
            </w:pPr>
            <w:r>
              <w:t xml:space="preserve">Staresinic 2003, PMID 14554208</w:t>
            </w:r>
          </w:p>
        </w:tc>
      </w:tr>
      <w:tr>
        <w:tc>
          <w:tcPr/>
          <w:p>
            <w:pPr>
              <w:pStyle w:val="Compact"/>
              <w:jc w:val="left"/>
            </w:pPr>
            <w:r>
              <w:t xml:space="preserve">Band</w:t>
            </w:r>
          </w:p>
        </w:tc>
        <w:tc>
          <w:tcPr/>
          <w:p>
            <w:pPr>
              <w:pStyle w:val="Compact"/>
              <w:jc w:val="left"/>
            </w:pPr>
            <w:r>
              <w:t xml:space="preserve">verletztes Kniebinnenband bei Ratten</w:t>
            </w:r>
          </w:p>
        </w:tc>
        <w:tc>
          <w:tcPr/>
          <w:p>
            <w:pPr>
              <w:pStyle w:val="Compact"/>
              <w:jc w:val="left"/>
            </w:pPr>
            <w:r>
              <w:t xml:space="preserve">bessere Heilung</w:t>
            </w:r>
          </w:p>
        </w:tc>
        <w:tc>
          <w:tcPr/>
          <w:p>
            <w:pPr>
              <w:pStyle w:val="Compact"/>
              <w:jc w:val="left"/>
            </w:pPr>
            <w:r>
              <w:t xml:space="preserve">Cerovecki 2010, PMID 20225319</w:t>
            </w:r>
          </w:p>
        </w:tc>
      </w:tr>
      <w:tr>
        <w:tc>
          <w:tcPr/>
          <w:p>
            <w:pPr>
              <w:pStyle w:val="Compact"/>
              <w:jc w:val="left"/>
            </w:pPr>
            <w:r>
              <w:t xml:space="preserve">Muskel</w:t>
            </w:r>
          </w:p>
        </w:tc>
        <w:tc>
          <w:tcPr/>
          <w:p>
            <w:pPr>
              <w:pStyle w:val="Compact"/>
              <w:jc w:val="left"/>
            </w:pPr>
            <w:r>
              <w:t xml:space="preserve">durchtrennter Oberschenkelmuskel bei Ratten</w:t>
            </w:r>
          </w:p>
        </w:tc>
        <w:tc>
          <w:tcPr/>
          <w:p>
            <w:pPr>
              <w:pStyle w:val="Compact"/>
              <w:jc w:val="left"/>
            </w:pPr>
            <w:r>
              <w:t xml:space="preserve">bessere Funktion</w:t>
            </w:r>
          </w:p>
        </w:tc>
        <w:tc>
          <w:tcPr/>
          <w:p>
            <w:pPr>
              <w:pStyle w:val="Compact"/>
              <w:jc w:val="left"/>
            </w:pPr>
            <w:r>
              <w:t xml:space="preserve">Staresinic 2006, PMID 16609979</w:t>
            </w:r>
          </w:p>
        </w:tc>
      </w:tr>
      <w:tr>
        <w:tc>
          <w:tcPr/>
          <w:p>
            <w:pPr>
              <w:pStyle w:val="Compact"/>
              <w:jc w:val="left"/>
            </w:pPr>
            <w:r>
              <w:t xml:space="preserve">Knochen</w:t>
            </w:r>
          </w:p>
        </w:tc>
        <w:tc>
          <w:tcPr/>
          <w:p>
            <w:pPr>
              <w:pStyle w:val="Compact"/>
              <w:jc w:val="left"/>
            </w:pPr>
            <w:r>
              <w:t xml:space="preserve">Knochendefekt bei Kaninchen</w:t>
            </w:r>
          </w:p>
        </w:tc>
        <w:tc>
          <w:tcPr/>
          <w:p>
            <w:pPr>
              <w:pStyle w:val="Compact"/>
              <w:jc w:val="left"/>
            </w:pPr>
            <w:r>
              <w:t xml:space="preserve">deutlich bessere Defektheilung im Röntgenbild und Gewebe</w:t>
            </w:r>
          </w:p>
        </w:tc>
        <w:tc>
          <w:tcPr/>
          <w:p>
            <w:pPr>
              <w:pStyle w:val="Compact"/>
              <w:jc w:val="left"/>
            </w:pPr>
            <w:r>
              <w:t xml:space="preserve">Sebecić 1999, PMID 10071911</w:t>
            </w:r>
          </w:p>
        </w:tc>
      </w:tr>
      <w:tr>
        <w:tc>
          <w:tcPr/>
          <w:p>
            <w:pPr>
              <w:pStyle w:val="Compact"/>
              <w:jc w:val="left"/>
            </w:pPr>
            <w:r>
              <w:t xml:space="preserve">Haut</w:t>
            </w:r>
          </w:p>
        </w:tc>
        <w:tc>
          <w:tcPr/>
          <w:p>
            <w:pPr>
              <w:pStyle w:val="Compact"/>
              <w:jc w:val="left"/>
            </w:pPr>
            <w:r>
              <w:t xml:space="preserve">Schnitt-, Brand- und diabetische Wunden bei Ratten</w:t>
            </w:r>
          </w:p>
        </w:tc>
        <w:tc>
          <w:tcPr/>
          <w:p>
            <w:pPr>
              <w:pStyle w:val="Compact"/>
              <w:jc w:val="left"/>
            </w:pPr>
            <w:r>
              <w:t xml:space="preserve">schnellere Wundheilung</w:t>
            </w:r>
          </w:p>
        </w:tc>
        <w:tc>
          <w:tcPr/>
          <w:p>
            <w:pPr>
              <w:pStyle w:val="Compact"/>
              <w:jc w:val="left"/>
            </w:pPr>
            <w:r>
              <w:t xml:space="preserve">Seiwerth 2021, PMID 34267654</w:t>
            </w:r>
          </w:p>
        </w:tc>
      </w:tr>
      <w:tr>
        <w:tc>
          <w:tcPr/>
          <w:p>
            <w:pPr>
              <w:pStyle w:val="Compact"/>
              <w:jc w:val="left"/>
            </w:pPr>
            <w:r>
              <w:t xml:space="preserve">Darm</w:t>
            </w:r>
          </w:p>
        </w:tc>
        <w:tc>
          <w:tcPr/>
          <w:p>
            <w:pPr>
              <w:pStyle w:val="Compact"/>
              <w:jc w:val="left"/>
            </w:pPr>
            <w:r>
              <w:t xml:space="preserve">Fisteln, Kolitis, Anastomosen bei Ratten</w:t>
            </w:r>
          </w:p>
        </w:tc>
        <w:tc>
          <w:tcPr/>
          <w:p>
            <w:pPr>
              <w:pStyle w:val="Compact"/>
              <w:jc w:val="left"/>
            </w:pPr>
            <w:r>
              <w:t xml:space="preserve">Heilung der Fisteln und Nähte</w:t>
            </w:r>
          </w:p>
        </w:tc>
        <w:tc>
          <w:tcPr/>
          <w:p>
            <w:pPr>
              <w:pStyle w:val="Compact"/>
              <w:jc w:val="left"/>
            </w:pPr>
            <w:r>
              <w:t xml:space="preserve">Sikiric 2020, PMID 32329684</w:t>
            </w:r>
          </w:p>
        </w:tc>
      </w:tr>
      <w:tr>
        <w:tc>
          <w:tcPr/>
          <w:p>
            <w:pPr>
              <w:pStyle w:val="Compact"/>
              <w:jc w:val="left"/>
            </w:pPr>
            <w:r>
              <w:t xml:space="preserve">Magen</w:t>
            </w:r>
          </w:p>
        </w:tc>
        <w:tc>
          <w:tcPr/>
          <w:p>
            <w:pPr>
              <w:pStyle w:val="Compact"/>
              <w:jc w:val="left"/>
            </w:pPr>
            <w:r>
              <w:t xml:space="preserve">Schäden durch Schmerzmittel und Alkohol</w:t>
            </w:r>
          </w:p>
        </w:tc>
        <w:tc>
          <w:tcPr/>
          <w:p>
            <w:pPr>
              <w:pStyle w:val="Compact"/>
              <w:jc w:val="left"/>
            </w:pPr>
            <w:r>
              <w:t xml:space="preserve">Schutz der Schleimhaut</w:t>
            </w:r>
          </w:p>
        </w:tc>
        <w:tc>
          <w:tcPr/>
          <w:p>
            <w:pPr>
              <w:pStyle w:val="Compact"/>
              <w:jc w:val="left"/>
            </w:pPr>
            <w:r>
              <w:t xml:space="preserve">Ilic 2011, PMID 21295044</w:t>
            </w:r>
          </w:p>
        </w:tc>
      </w:tr>
      <w:tr>
        <w:tc>
          <w:tcPr/>
          <w:p>
            <w:pPr>
              <w:pStyle w:val="Compact"/>
              <w:jc w:val="left"/>
            </w:pPr>
            <w:r>
              <w:t xml:space="preserve">Gefäße</w:t>
            </w:r>
          </w:p>
        </w:tc>
        <w:tc>
          <w:tcPr/>
          <w:p>
            <w:pPr>
              <w:pStyle w:val="Compact"/>
              <w:jc w:val="left"/>
            </w:pPr>
            <w:r>
              <w:t xml:space="preserve">abgebundene Arterien und Venen</w:t>
            </w:r>
          </w:p>
        </w:tc>
        <w:tc>
          <w:tcPr/>
          <w:p>
            <w:pPr>
              <w:pStyle w:val="Compact"/>
              <w:jc w:val="left"/>
            </w:pPr>
            <w:r>
              <w:t xml:space="preserve">Umgehungskreisläufe, bessere Durchblutung</w:t>
            </w:r>
          </w:p>
        </w:tc>
        <w:tc>
          <w:tcPr/>
          <w:p>
            <w:pPr>
              <w:pStyle w:val="Compact"/>
              <w:jc w:val="left"/>
            </w:pPr>
            <w:r>
              <w:t xml:space="preserve">Sikiric 2022, PMID 35125818</w:t>
            </w:r>
          </w:p>
        </w:tc>
      </w:tr>
    </w:tbl>
    <w:p>
      <w:pPr>
        <w:pStyle w:val="BodyText"/>
      </w:pPr>
      <w:r>
        <w:t xml:space="preserve">Hinzu kommen Arbeiten zu Gehirn, Auge, Herz, Blase, Vergiftungen und Stoffwechselentgleisungen – bei Ratten und Mäusen. Diese enorme Bandbreite wird von Befürwortern als Stärke gelesen. Aus methodischer Sicht ist sie eher ein Warnsignal: Ein Stoff, der in nahezu jedem getesteten Modell nahezu jede Störung bessert, verlangt besonders sorgfältige, unabhängige Überprüfung.</w:t>
      </w:r>
    </w:p>
    <w:bookmarkEnd w:id="922"/>
    <w:bookmarkStart w:id="925" w:name="pharmakokinetik-und-toxikologie"/>
    <w:p>
      <w:pPr>
        <w:pStyle w:val="Heading4"/>
      </w:pPr>
      <w:r>
        <w:t xml:space="preserve">Pharmakokinetik und Toxikologie</w:t>
      </w:r>
    </w:p>
    <w:p>
      <w:pPr>
        <w:pStyle w:val="FirstParagraph"/>
      </w:pPr>
      <w:r>
        <w:t xml:space="preserve">Eine chinesische Arbeitsgruppe untersuchte BPC-157 nach den üblichen Regeln der Arzneimittelentwicklung. Bei Ratten und Beagle-Hunden lag die Halbwertszeit des unveränderten Peptids unter 30 Minuten; nach Injektion in den Muskel gelangten bei Ratten etwa 14 bis 19 Prozent, bei Hunden 45 bis 51 Prozent in den Blutkreislauf. BPC-157 wurde rasch in kleine Bruchstücke und Aminosäuren zerlegt und über Urin und Galle ausgeschieden</w:t>
      </w:r>
      <w:r>
        <w:rPr>
          <w:rStyle w:val="FootnoteReference"/>
        </w:rPr>
        <w:footnoteReference w:id="923"/>
      </w:r>
      <w:r>
        <w:t xml:space="preserve">. In Toxizitätsprüfungen an Mäusen, Ratten, Kaninchen und Hunden fanden dieselben Forschenden keine schweren Schäden, keine Erbgutschädigung und keine Schädigung von Embryonen; bei Hunden sank unter der höchsten Dosis der Kreatininwert vorübergehend</w:t>
      </w:r>
      <w:r>
        <w:rPr>
          <w:rStyle w:val="FootnoteReference"/>
        </w:rPr>
        <w:footnoteReference w:id="924"/>
      </w:r>
      <w:r>
        <w:t xml:space="preserve">. Solche Tierdaten sind eine Voraussetzung für Studien am Menschen, ersetzen sie aber nicht.</w:t>
      </w:r>
    </w:p>
    <w:bookmarkEnd w:id="925"/>
    <w:bookmarkEnd w:id="926"/>
    <w:bookmarkStart w:id="939" w:name="risiken-und-nebenwirkungen-15"/>
    <w:p>
      <w:pPr>
        <w:pStyle w:val="Heading3"/>
      </w:pPr>
      <w:r>
        <w:t xml:space="preserve">Risiken und Nebenwirkungen</w:t>
      </w:r>
    </w:p>
    <w:bookmarkStart w:id="928" w:name="belegt"/>
    <w:p>
      <w:pPr>
        <w:pStyle w:val="Heading4"/>
      </w:pPr>
      <w:r>
        <w:t xml:space="preserve">Belegt</w:t>
      </w:r>
    </w:p>
    <w:p>
      <w:pPr>
        <w:pStyle w:val="FirstParagraph"/>
      </w:pPr>
      <w:r>
        <w:t xml:space="preserve">Belegte Nebenwirkungen beim Menschen gibt es praktisch nicht – aber nicht, weil BPC-157 nachweislich sicher wäre, sondern weil kaum jemand systematisch danach gesucht hat. Die drei Pilotuntersuchungen mit zusammen rund 30 Personen berichteten keine Nebenwirkungen</w:t>
      </w:r>
      <w:r>
        <w:rPr>
          <w:rStyle w:val="FootnoteReference"/>
        </w:rPr>
        <w:footnoteReference w:id="927"/>
      </w:r>
      <w:r>
        <w:t xml:space="preserve">. Mit 30 Personen lassen sich nur häufige, unmittelbar auftretende Probleme erkennen. Eine Nebenwirkung, die eine von tausend Personen betrifft, bliebe unsichtbar.</w:t>
      </w:r>
    </w:p>
    <w:bookmarkEnd w:id="928"/>
    <w:bookmarkStart w:id="932" w:name="Xaacd9de8633bde2e705cbe616a66f7383536040"/>
    <w:p>
      <w:pPr>
        <w:pStyle w:val="Heading4"/>
      </w:pPr>
      <w:r>
        <w:t xml:space="preserve">Theoretisch: Gefäßneubildung und Tumorwachstum</w:t>
      </w:r>
    </w:p>
    <w:p>
      <w:pPr>
        <w:pStyle w:val="FirstParagraph"/>
      </w:pPr>
      <w:r>
        <w:t xml:space="preserve">Das am häufigsten diskutierte theoretische Risiko folgt direkt aus dem vermuteten Wirkmechanismus. Wenn BPC-157 die Bildung neuer Blutgefäße fördert, könnte es – so die Sorge – auch die Blutversorgung bereits vorhandener, vielleicht noch unentdeckter Tumoren verbessern. Tumoren ab wenigen Millimetern Größe brauchen eigene Blutgefäße, um weiterzuwachsen. Deshalb sind Hemmstoffe des VEGF-Signalwegs etablierte Krebsmedikamente. Ein Stoff, der den VEGF-Rezeptor 2 in Zellkulturen hochreguliert</w:t>
      </w:r>
      <w:r>
        <w:rPr>
          <w:rStyle w:val="FootnoteReference"/>
        </w:rPr>
        <w:footnoteReference w:id="929"/>
      </w:r>
      <w:r>
        <w:t xml:space="preserve">, verdient hier Vorsicht. Mehrere Übersichten nennen krankhafte Gefäßneubildung und mögliche Krebsförderung ausdrücklich als ungeklärtes Risiko</w:t>
      </w:r>
      <w:r>
        <w:rPr>
          <w:rStyle w:val="FootnoteReference"/>
        </w:rPr>
        <w:footnoteReference w:id="930"/>
      </w:r>
      <w:r>
        <w:t xml:space="preserve">.</w:t>
      </w:r>
    </w:p>
    <w:p>
      <w:pPr>
        <w:pStyle w:val="BodyText"/>
      </w:pPr>
      <w:r>
        <w:t xml:space="preserve">Die Zagreber Gruppe widerspricht dem: BPC-157 steuere die Gefäßbildung, statt sie blind anzukurbeln, verhindere etwa an der Hornhaut des Auges eine krankhafte Gefäßeinsprossung und zeige in Tier- und Zellversuchen sogar Effekte gegen Tumoren</w:t>
      </w:r>
      <w:r>
        <w:rPr>
          <w:rStyle w:val="FootnoteReference"/>
        </w:rPr>
        <w:footnoteReference w:id="931"/>
      </w:r>
      <w:r>
        <w:t xml:space="preserve">. Diese Daten stammen wiederum überwiegend aus derselben Gruppe. Langzeitstudien zur Krebsentstehung (Karzinogenitätsstudien), wie sie für zugelassene Arzneimittel üblich sind, sind für BPC-157 nicht veröffentlicht. Die Frage ist damit offen – weder bestätigt noch widerlegt. Ausführlich behandelt Teil IV dieses Buches das Thema Wachstumssignale und Krebsrisiko.</w:t>
      </w:r>
    </w:p>
    <w:bookmarkEnd w:id="932"/>
    <w:bookmarkStart w:id="935" w:name="graumarkt-risiken"/>
    <w:p>
      <w:pPr>
        <w:pStyle w:val="Heading4"/>
      </w:pPr>
      <w:r>
        <w:t xml:space="preserve">Graumarkt-Risiken</w:t>
      </w:r>
    </w:p>
    <w:p>
      <w:pPr>
        <w:pStyle w:val="FirstParagraph"/>
      </w:pPr>
      <w:r>
        <w:t xml:space="preserve">Das größte praktische Risiko liegt vermutlich nicht im Wirkstoff selbst, sondern in den Produkten. BPC-157 wird überwiegend als „Research Chemical“ ohne Arzneimittelqualität verkauft. Übersichten nennen Verunreinigungen, falsche Konzentrationen, fehlende Sterilität und schwankende Herstellungsqualität als konkrete Gefahren</w:t>
      </w:r>
      <w:r>
        <w:rPr>
          <w:rStyle w:val="FootnoteReference"/>
        </w:rPr>
        <w:footnoteReference w:id="933"/>
      </w:r>
      <w:r>
        <w:t xml:space="preserve">. Schon 2017 beschrieb ein Anti-Doping-Labor BPC-157 aus beschlagnahmten Fläschchen</w:t>
      </w:r>
      <w:r>
        <w:rPr>
          <w:rStyle w:val="FootnoteReference"/>
        </w:rPr>
        <w:footnoteReference w:id="934"/>
      </w:r>
      <w:r>
        <w:t xml:space="preserve">. Bei Injektionen kommen Infektionsrisiken durch unsterile Lösungen hinzu. Kapitel I.5 und Teil IV behandeln Laboranalysen von Graumarkt-Peptiden ausführlich.</w:t>
      </w:r>
    </w:p>
    <w:bookmarkEnd w:id="935"/>
    <w:bookmarkStart w:id="938" w:name="weitere-offene-fragen"/>
    <w:p>
      <w:pPr>
        <w:pStyle w:val="Heading4"/>
      </w:pPr>
      <w:r>
        <w:t xml:space="preserve">Weitere offene Fragen</w:t>
      </w:r>
    </w:p>
    <w:p>
      <w:pPr>
        <w:numPr>
          <w:ilvl w:val="0"/>
          <w:numId w:val="1118"/>
        </w:numPr>
        <w:pStyle w:val="Compact"/>
      </w:pPr>
      <w:r>
        <w:rPr>
          <w:bCs/>
          <w:b/>
        </w:rPr>
        <w:t xml:space="preserve">Wechselwirkungen:</w:t>
      </w:r>
      <w:r>
        <w:t xml:space="preserve"> </w:t>
      </w:r>
      <w:r>
        <w:t xml:space="preserve">In Tierversuchen beeinflusste BPC-157 Blutgerinnung, Blutdruck und Botenstoffe des Nervensystems</w:t>
      </w:r>
      <w:r>
        <w:rPr>
          <w:rStyle w:val="FootnoteReference"/>
        </w:rPr>
        <w:footnoteReference w:id="936"/>
      </w:r>
      <w:r>
        <w:t xml:space="preserve">. Ob das beim Menschen für Personen mit Gerinnungshemmern, Herz-Kreislauf-Erkrankungen oder psychiatrischen Medikamenten relevant ist, weiß niemand.</w:t>
      </w:r>
    </w:p>
    <w:p>
      <w:pPr>
        <w:numPr>
          <w:ilvl w:val="0"/>
          <w:numId w:val="1118"/>
        </w:numPr>
        <w:pStyle w:val="Compact"/>
      </w:pPr>
      <w:r>
        <w:rPr>
          <w:bCs/>
          <w:b/>
        </w:rPr>
        <w:t xml:space="preserve">Schwangerschaft und Stillzeit, Kinder und Jugendliche:</w:t>
      </w:r>
      <w:r>
        <w:t xml:space="preserve"> </w:t>
      </w:r>
      <w:r>
        <w:t xml:space="preserve">keine Daten am Menschen.</w:t>
      </w:r>
    </w:p>
    <w:p>
      <w:pPr>
        <w:numPr>
          <w:ilvl w:val="0"/>
          <w:numId w:val="1118"/>
        </w:numPr>
        <w:pStyle w:val="Compact"/>
      </w:pPr>
      <w:r>
        <w:rPr>
          <w:bCs/>
          <w:b/>
        </w:rPr>
        <w:t xml:space="preserve">Placeboeffekt:</w:t>
      </w:r>
      <w:r>
        <w:t xml:space="preserve"> </w:t>
      </w:r>
      <w:r>
        <w:t xml:space="preserve">Eine sportmedizinische Übersicht weist darauf hin, dass soziale Medien den Placeboeffekt bei solchen Peptiden verstärken können</w:t>
      </w:r>
      <w:r>
        <w:rPr>
          <w:rStyle w:val="FootnoteReference"/>
        </w:rPr>
        <w:footnoteReference w:id="937"/>
      </w:r>
      <w:r>
        <w:t xml:space="preserve">. Persönliche Erfolgsberichte sind daher kein Wirksamkeitsnachweis.</w:t>
      </w:r>
    </w:p>
    <w:bookmarkEnd w:id="938"/>
    <w:bookmarkEnd w:id="939"/>
    <w:bookmarkStart w:id="943" w:name="rechtslage-15"/>
    <w:p>
      <w:pPr>
        <w:pStyle w:val="Heading3"/>
      </w:pPr>
      <w:r>
        <w:t xml:space="preserve">Rechtslage</w:t>
      </w:r>
    </w:p>
    <w:p>
      <w:pPr>
        <w:pStyle w:val="FirstParagraph"/>
      </w:pPr>
      <w:r>
        <w:rPr>
          <w:iCs/>
          <w:i/>
        </w:rPr>
        <w:t xml:space="preserve">Stand 2026, bitte aktuell prüfen.</w:t>
      </w:r>
    </w:p>
    <w:p>
      <w:pPr>
        <w:numPr>
          <w:ilvl w:val="0"/>
          <w:numId w:val="1119"/>
        </w:numPr>
        <w:pStyle w:val="Compact"/>
      </w:pPr>
      <w:r>
        <w:rPr>
          <w:bCs/>
          <w:b/>
        </w:rPr>
        <w:t xml:space="preserve">EU:</w:t>
      </w:r>
      <w:r>
        <w:t xml:space="preserve"> </w:t>
      </w:r>
      <w:r>
        <w:t xml:space="preserve">BPC-157 ist in keinem Mitgliedstaat als Arzneimittel zugelassen. Ein Stoff, der zur Behandlung von Krankheiten beim Menschen angeboten wird, gilt rechtlich als Arzneimittel; ohne Zulassung darf er nicht in Verkehr gebracht werden. Der Hinweis „nur für Forschungszwecke“ ändert daran nichts, wenn das Produkt erkennbar für die Anwendung am Menschen bestimmt ist.</w:t>
      </w:r>
    </w:p>
    <w:p>
      <w:pPr>
        <w:numPr>
          <w:ilvl w:val="0"/>
          <w:numId w:val="1119"/>
        </w:numPr>
        <w:pStyle w:val="Compact"/>
      </w:pPr>
      <w:r>
        <w:rPr>
          <w:bCs/>
          <w:b/>
        </w:rPr>
        <w:t xml:space="preserve">Deutschland und Österreich:</w:t>
      </w:r>
      <w:r>
        <w:t xml:space="preserve"> </w:t>
      </w:r>
      <w:r>
        <w:t xml:space="preserve">keine Zulassung, auch keine Rezepturgrundlage. Die Abgabe zur Anwendung am Menschen ist nach dem jeweiligen Arzneimittelgesetz unzulässig. Im Sport greifen zusätzlich die Anti-Doping-Regeln.</w:t>
      </w:r>
    </w:p>
    <w:p>
      <w:pPr>
        <w:numPr>
          <w:ilvl w:val="0"/>
          <w:numId w:val="1119"/>
        </w:numPr>
        <w:pStyle w:val="Compact"/>
      </w:pPr>
      <w:r>
        <w:rPr>
          <w:bCs/>
          <w:b/>
        </w:rPr>
        <w:t xml:space="preserve">USA:</w:t>
      </w:r>
      <w:r>
        <w:t xml:space="preserve"> </w:t>
      </w:r>
      <w:r>
        <w:t xml:space="preserve">keine FDA-Zulassung. Im Jahr 2023 ordnete die FDA BPC-157 unter den Ausgangsstoffen für die Rezepturherstellung (sogenanntes Compounding) der Kategorie 2 zu – Stoffe, bei denen erhebliche Sicherheitsbedenken bestehen. Rezepturapotheken dürfen es damit nach Auffassung der Behörde nicht verarbeiten. Die Einstufung von Peptiden wurde seither im Beratungsgremium der FDA für Rezepturherstellung (PCAC) und in Fachkreisen kontrovers diskutiert</w:t>
      </w:r>
      <w:r>
        <w:rPr>
          <w:rStyle w:val="FootnoteReference"/>
        </w:rPr>
        <w:footnoteReference w:id="940"/>
      </w:r>
      <w:r>
        <w:t xml:space="preserve">; Änderungen sind möglich.</w:t>
      </w:r>
    </w:p>
    <w:p>
      <w:pPr>
        <w:numPr>
          <w:ilvl w:val="0"/>
          <w:numId w:val="1119"/>
        </w:numPr>
        <w:pStyle w:val="Compact"/>
      </w:pPr>
      <w:r>
        <w:rPr>
          <w:bCs/>
          <w:b/>
        </w:rPr>
        <w:t xml:space="preserve">WADA:</w:t>
      </w:r>
      <w:r>
        <w:t xml:space="preserve"> </w:t>
      </w:r>
      <w:r>
        <w:t xml:space="preserve">BPC-157 steht seit 2022 namentlich in der Gruppe S0 (nicht zugelassene Substanzen) der Verbotsliste und ist damit im Wettkampf und außerhalb verboten. Eine Übersicht von 2025 gibt dazu abweichend an, BPC-157 sei derzeit nicht gelistet</w:t>
      </w:r>
      <w:r>
        <w:rPr>
          <w:rStyle w:val="FootnoteReference"/>
        </w:rPr>
        <w:footnoteReference w:id="941"/>
      </w:r>
      <w:r>
        <w:t xml:space="preserve"> </w:t>
      </w:r>
      <w:r>
        <w:t xml:space="preserve">– nach Kenntnis des Autors trifft das für die aktuelle Liste nicht zu. Anti-Doping-Labore haben Nachweisverfahren im Urin entwickelt</w:t>
      </w:r>
      <w:r>
        <w:rPr>
          <w:rStyle w:val="FootnoteReference"/>
        </w:rPr>
        <w:footnoteReference w:id="942"/>
      </w:r>
      <w:r>
        <w:t xml:space="preserve">.</w:t>
      </w:r>
    </w:p>
    <w:bookmarkEnd w:id="943"/>
    <w:bookmarkStart w:id="949" w:name="laufende-studien-und-ausblick-15"/>
    <w:p>
      <w:pPr>
        <w:pStyle w:val="Heading3"/>
      </w:pPr>
      <w:r>
        <w:t xml:space="preserve">Laufende Studien und Ausblick</w:t>
      </w:r>
    </w:p>
    <w:p>
      <w:pPr>
        <w:pStyle w:val="FirstParagraph"/>
      </w:pPr>
      <w:r>
        <w:t xml:space="preserve">Im Oktober 2026 sind bei ClinicalTrials.gov vier Studien mit BPC-157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NCT07437547</w:t>
            </w:r>
          </w:p>
        </w:tc>
        <w:tc>
          <w:tcPr/>
          <w:p>
            <w:pPr>
              <w:pStyle w:val="Compact"/>
              <w:jc w:val="left"/>
            </w:pPr>
            <w:r>
              <w:t xml:space="preserve">Phase 2, randomisiert, doppelblind, Placebo, geplant 120 Personen</w:t>
            </w:r>
          </w:p>
        </w:tc>
        <w:tc>
          <w:tcPr/>
          <w:p>
            <w:pPr>
              <w:pStyle w:val="Compact"/>
              <w:jc w:val="left"/>
            </w:pPr>
            <w:r>
              <w:t xml:space="preserve">laut Register rekrutierend seit Februar 2026; Echtheit fraglich (siehe Text)</w:t>
            </w:r>
          </w:p>
        </w:tc>
        <w:tc>
          <w:tcPr/>
          <w:p>
            <w:pPr>
              <w:pStyle w:val="Compact"/>
              <w:jc w:val="left"/>
            </w:pPr>
            <w:r>
              <w:t xml:space="preserve">akute Zerrung der hinteren Oberschenkelmuskulatur; Zeit bis zur Sportrückkehr, MRT-Befund</w:t>
            </w:r>
          </w:p>
        </w:tc>
      </w:tr>
      <w:tr>
        <w:tc>
          <w:tcPr/>
          <w:p>
            <w:pPr>
              <w:pStyle w:val="Compact"/>
              <w:jc w:val="left"/>
            </w:pPr>
            <w:r>
              <w:t xml:space="preserve">NCT07803250</w:t>
            </w:r>
          </w:p>
        </w:tc>
        <w:tc>
          <w:tcPr/>
          <w:p>
            <w:pPr>
              <w:pStyle w:val="Compact"/>
              <w:jc w:val="left"/>
            </w:pPr>
            <w:r>
              <w:t xml:space="preserve">Phase 1, randomisiert, geplant 30 Personen</w:t>
            </w:r>
          </w:p>
        </w:tc>
        <w:tc>
          <w:tcPr/>
          <w:p>
            <w:pPr>
              <w:pStyle w:val="Compact"/>
              <w:jc w:val="left"/>
            </w:pPr>
            <w:r>
              <w:t xml:space="preserve">noch nicht rekrutierend, Start geplant 2027</w:t>
            </w:r>
          </w:p>
        </w:tc>
        <w:tc>
          <w:tcPr/>
          <w:p>
            <w:pPr>
              <w:pStyle w:val="Compact"/>
              <w:jc w:val="left"/>
            </w:pPr>
            <w:r>
              <w:t xml:space="preserve">Heilung nach Rotatorenmanschetten-Operation (Schulter)</w:t>
            </w:r>
          </w:p>
        </w:tc>
      </w:tr>
      <w:tr>
        <w:tc>
          <w:tcPr/>
          <w:p>
            <w:pPr>
              <w:pStyle w:val="Compact"/>
              <w:jc w:val="left"/>
            </w:pPr>
            <w:r>
              <w:t xml:space="preserve">NCT07752381</w:t>
            </w:r>
          </w:p>
        </w:tc>
        <w:tc>
          <w:tcPr/>
          <w:p>
            <w:pPr>
              <w:pStyle w:val="Compact"/>
              <w:jc w:val="left"/>
            </w:pPr>
            <w:r>
              <w:t xml:space="preserve">eine Gruppe ohne Kontrolle, 40 Personen</w:t>
            </w:r>
          </w:p>
        </w:tc>
        <w:tc>
          <w:tcPr/>
          <w:p>
            <w:pPr>
              <w:pStyle w:val="Compact"/>
              <w:jc w:val="left"/>
            </w:pPr>
            <w:r>
              <w:t xml:space="preserve">abgeschlossen 2025, keine Ergebnisse im Register</w:t>
            </w:r>
          </w:p>
        </w:tc>
        <w:tc>
          <w:tcPr/>
          <w:p>
            <w:pPr>
              <w:pStyle w:val="Compact"/>
              <w:jc w:val="left"/>
            </w:pPr>
            <w:r>
              <w:t xml:space="preserve">Fruchtgummis eines Herstellers; Entzündungswerte und Selbsteinschätzung</w:t>
            </w:r>
          </w:p>
        </w:tc>
      </w:tr>
      <w:tr>
        <w:tc>
          <w:tcPr/>
          <w:p>
            <w:pPr>
              <w:pStyle w:val="Compact"/>
              <w:jc w:val="left"/>
            </w:pPr>
            <w:r>
              <w:t xml:space="preserve">NCT02637284</w:t>
            </w:r>
          </w:p>
        </w:tc>
        <w:tc>
          <w:tcPr/>
          <w:p>
            <w:pPr>
              <w:pStyle w:val="Compact"/>
              <w:jc w:val="left"/>
            </w:pPr>
            <w:r>
              <w:t xml:space="preserve">Phase 1, Tabletten, 42 Gesunde geplant</w:t>
            </w:r>
          </w:p>
        </w:tc>
        <w:tc>
          <w:tcPr/>
          <w:p>
            <w:pPr>
              <w:pStyle w:val="Compact"/>
              <w:jc w:val="left"/>
            </w:pPr>
            <w:r>
              <w:t xml:space="preserve">Status unbekannt seit 2016</w:t>
            </w:r>
          </w:p>
        </w:tc>
        <w:tc>
          <w:tcPr/>
          <w:p>
            <w:pPr>
              <w:pStyle w:val="Compact"/>
              <w:jc w:val="left"/>
            </w:pPr>
            <w:r>
              <w:t xml:space="preserve">Sicherheit und Pharmakokinetik</w:t>
            </w:r>
          </w:p>
        </w:tc>
      </w:tr>
    </w:tbl>
    <w:p>
      <w:pPr>
        <w:pStyle w:val="BodyText"/>
      </w:pPr>
      <w:r>
        <w:rPr>
          <w:bCs/>
          <w:b/>
        </w:rPr>
        <w:t xml:space="preserve">Gesichert</w:t>
      </w:r>
      <w:r>
        <w:t xml:space="preserve"> </w:t>
      </w:r>
      <w:r>
        <w:t xml:space="preserve">ist nur wenig. Auf dem Papier wäre die Phase-2-Studie zu Zerrungen der hinteren Oberschenkelmuskulatur</w:t>
      </w:r>
      <w:r>
        <w:rPr>
          <w:rStyle w:val="FootnoteReference"/>
        </w:rPr>
        <w:footnoteReference w:id="944"/>
      </w:r>
      <w:r>
        <w:t xml:space="preserve"> </w:t>
      </w:r>
      <w:r>
        <w:t xml:space="preserve">die erste randomisierte, placebokontrollierte Studie mit objektivem Endpunkt (MRT) und ausreichender Größe. Bei der Prüfung für dieses Buch fiel jedoch auf: Derselbe Sponsor („Hudson Biotech“) hat mit identischem Studienzentrum und identischer Kontaktperson einen zweiten Eintrag zu TB-500 angelegt</w:t>
      </w:r>
      <w:r>
        <w:rPr>
          <w:rStyle w:val="FootnoteReference"/>
        </w:rPr>
        <w:footnoteReference w:id="945"/>
      </w:r>
      <w:r>
        <w:t xml:space="preserve">, der sich in seiner eigenen Beschreibung ausdrücklich als „fiktives“ Beispiel eines Registereintrags bezeichnet. Ob die BPC-157-Studie tatsächlich durchgeführt wird, lässt sich deshalb nicht verlässlich sagen. ClinicalTrials.gov prüft Einträge nur formal, nicht inhaltlich – eine Registrierung allein beweist nicht, dass eine Studie stattfindet.</w:t>
      </w:r>
    </w:p>
    <w:p>
      <w:pPr>
        <w:pStyle w:val="BodyText"/>
      </w:pPr>
      <w:r>
        <w:t xml:space="preserve">Die Schulterstudie der University of Arkansas</w:t>
      </w:r>
      <w:r>
        <w:rPr>
          <w:rStyle w:val="FootnoteReference"/>
        </w:rPr>
        <w:footnoteReference w:id="946"/>
      </w:r>
      <w:r>
        <w:t xml:space="preserve"> </w:t>
      </w:r>
      <w:r>
        <w:t xml:space="preserve">ist randomisiert und verblindet, aber klein und hat noch nicht begonnen. Die Fruchtgummi-Studie eines Herstellers</w:t>
      </w:r>
      <w:r>
        <w:rPr>
          <w:rStyle w:val="FootnoteReference"/>
        </w:rPr>
        <w:footnoteReference w:id="947"/>
      </w:r>
      <w:r>
        <w:t xml:space="preserve"> </w:t>
      </w:r>
      <w:r>
        <w:t xml:space="preserve">hat keine Kontrollgruppe und misst überwiegend Selbstauskünfte; sie wird die offenen Fragen nicht beantworten.</w:t>
      </w:r>
    </w:p>
    <w:p>
      <w:pPr>
        <w:pStyle w:val="BodyText"/>
      </w:pPr>
      <w:r>
        <w:rPr>
          <w:bCs/>
          <w:b/>
        </w:rPr>
        <w:t xml:space="preserve">Einschätzung des Autors:</w:t>
      </w:r>
      <w:r>
        <w:t xml:space="preserve"> </w:t>
      </w:r>
      <w:r>
        <w:t xml:space="preserve">Vor 2028 sind keine belastbaren Wirksamkeitsdaten am Menschen zu erwarten. Selbst ein positives Ergebnis einer kleinen Pilotstudie wäre nur ein erster Hinweis – noch keine Grundlage für eine Zulassung, die mehrere größere Studien und Langzeitdaten zur Sicherheit erfordert. Ein negatives Ergebnis dürfte am Internet-Ruf des Peptids wenig ändern. Eine pharmazeutische Übersicht betont, dass es bis heute keine standardisierte, validierte Arzneiform gibt</w:t>
      </w:r>
      <w:r>
        <w:rPr>
          <w:rStyle w:val="FootnoteReference"/>
        </w:rPr>
        <w:footnoteReference w:id="948"/>
      </w:r>
      <w:r>
        <w:t xml:space="preserve"> </w:t>
      </w:r>
      <w:r>
        <w:t xml:space="preserve">– auch das muss vor einer Zulassung gelöst werden.</w:t>
      </w:r>
    </w:p>
    <w:bookmarkEnd w:id="949"/>
    <w:bookmarkStart w:id="952" w:name="fazit-15"/>
    <w:p>
      <w:pPr>
        <w:pStyle w:val="Heading3"/>
      </w:pPr>
      <w:r>
        <w:t xml:space="preserve">Fazit</w:t>
      </w:r>
    </w:p>
    <w:p>
      <w:pPr>
        <w:pStyle w:val="FirstParagraph"/>
      </w:pPr>
      <w:r>
        <w:t xml:space="preserve">BPC-157 ist ein Peptid mit einer ungewöhnlich großen Zahl an Tierstudien, die fast alle positive Ergebnisse berichten – überwiegend aus einer einzigen Zagreber Forschungsgruppe und ohne ausreichende unabhängige Wiederholung. Am Menschen gibt es nur drei kleine, unkontrollierte Untersuchungen mit zusammen rund 30 Personen, deren Qualität als sehr niedrig bewertet wird</w:t>
      </w:r>
      <w:r>
        <w:rPr>
          <w:rStyle w:val="FootnoteReference"/>
        </w:rPr>
        <w:footnoteReference w:id="950"/>
      </w:r>
      <w:r>
        <w:t xml:space="preserve">. Langzeitsicherheit, insbesondere die theoretische Frage nach einer Förderung von Tumorwachstum über Gefäßneubildung, ist nicht untersucht, und Graumarkt-Produkte bringen eigene Risiken mit. Randomisierte Studien sind erst registriert oder geplant</w:t>
      </w:r>
      <w:r>
        <w:rPr>
          <w:rStyle w:val="FootnoteReference"/>
        </w:rPr>
        <w:footnoteReference w:id="951"/>
      </w:r>
      <w:r>
        <w:t xml:space="preserve">; bis belastbare Ergebnisse vorliegen, bleibt BPC-157 ein Versuchsstoff, dessen Nutzen am Menschen nicht belegt ist. Für Sportlerinnen und Sportler ist es nach WADA-Regeln verboten.</w:t>
      </w:r>
    </w:p>
    <w:bookmarkEnd w:id="952"/>
    <w:bookmarkEnd w:id="953"/>
    <w:bookmarkStart w:id="1003" w:name="tb-500-und-thymosin-beta-4"/>
    <w:p>
      <w:pPr>
        <w:pStyle w:val="Heading2"/>
      </w:pPr>
      <w:r>
        <w:t xml:space="preserve">TB-500 und Thymosin Beta-4</w:t>
      </w:r>
    </w:p>
    <w:p>
      <w:pPr>
        <w:pStyle w:val="FirstParagraph"/>
      </w:pPr>
      <w:r>
        <w:t xml:space="preserve">Im Internet werden „TB-500“ und „Thymosin Beta-4“ meist als dasselbe verkauft. Das ist falsch, und der Unterschied ist für die Bewertung entscheidend. Thymosin Beta-4 ist ein körpereigenes Eiweiß aus 43 Aminosäuren, das in mehreren klinischen Studien – vor allem als Augentropfen und als Infusion nach Herzinfarkt – untersucht wurde. TB-500 dagegen ist ein kurzes, künstlich verändertes Bruchstück davon, das nie in einer veröffentlichten Studie am Menschen getestet wurde. Dieses Kapitel trennt beides sauber.</w:t>
      </w:r>
    </w:p>
    <w:bookmarkStart w:id="955" w:name="steckbrief-16"/>
    <w:p>
      <w:pPr>
        <w:pStyle w:val="Heading3"/>
      </w:pPr>
      <w:r>
        <w:t xml:space="preserve">Steckbrief</w:t>
      </w:r>
    </w:p>
    <w:p>
      <w:pPr>
        <w:numPr>
          <w:ilvl w:val="0"/>
          <w:numId w:val="1120"/>
        </w:numPr>
        <w:pStyle w:val="Compact"/>
      </w:pPr>
      <w:r>
        <w:rPr>
          <w:bCs/>
          <w:b/>
        </w:rPr>
        <w:t xml:space="preserve">Thymosin Beta-4 (Tβ4):</w:t>
      </w:r>
      <w:r>
        <w:t xml:space="preserve"> </w:t>
      </w:r>
      <w:r>
        <w:t xml:space="preserve">körpereigenes Peptid aus 43 Aminosäuren, in fast allen Zellen vorhanden; Hauptfunktion: bindet das Strukturprotein Aktin und reguliert so Zellform und Zellbewegung. Für Studien synthetisch oder gentechnisch (rekombinant) hergestellt; Entwicklungsnamen RGN-259 (Augentropfen), RGN-352 (Injektion), NL005 (rekombinant, China).</w:t>
      </w:r>
    </w:p>
    <w:p>
      <w:pPr>
        <w:numPr>
          <w:ilvl w:val="0"/>
          <w:numId w:val="1120"/>
        </w:numPr>
        <w:pStyle w:val="Compact"/>
      </w:pPr>
      <w:r>
        <w:rPr>
          <w:bCs/>
          <w:b/>
        </w:rPr>
        <w:t xml:space="preserve">TB-500:</w:t>
      </w:r>
      <w:r>
        <w:t xml:space="preserve"> </w:t>
      </w:r>
      <w:r>
        <w:t xml:space="preserve">das am Anfang chemisch veränderte (acetylierte) Bruchstück der Aminosäuren 17 bis 23 von Tβ4, Sequenz Ac-LKKTETQ</w:t>
      </w:r>
      <w:r>
        <w:rPr>
          <w:rStyle w:val="FootnoteReference"/>
        </w:rPr>
        <w:footnoteReference w:id="954"/>
      </w:r>
      <w:r>
        <w:t xml:space="preserve">. Ursprünglich als Tierarzneimittel im Pferdesport aufgetaucht.</w:t>
      </w:r>
    </w:p>
    <w:p>
      <w:pPr>
        <w:numPr>
          <w:ilvl w:val="0"/>
          <w:numId w:val="1120"/>
        </w:numPr>
        <w:pStyle w:val="Compact"/>
      </w:pPr>
      <w:r>
        <w:rPr>
          <w:bCs/>
          <w:b/>
        </w:rPr>
        <w:t xml:space="preserve">Wirkprinzip (vermutet):</w:t>
      </w:r>
      <w:r>
        <w:t xml:space="preserve"> </w:t>
      </w:r>
      <w:r>
        <w:t xml:space="preserve">Förderung von Zellwanderung, Gefäßneubildung und Wundheilung, Dämpfung von Entzündung.</w:t>
      </w:r>
    </w:p>
    <w:p>
      <w:pPr>
        <w:numPr>
          <w:ilvl w:val="0"/>
          <w:numId w:val="1120"/>
        </w:numPr>
        <w:pStyle w:val="Compact"/>
      </w:pPr>
      <w:r>
        <w:rPr>
          <w:bCs/>
          <w:b/>
        </w:rPr>
        <w:t xml:space="preserve">Zulassung EU/USA:</w:t>
      </w:r>
      <w:r>
        <w:t xml:space="preserve"> </w:t>
      </w:r>
      <w:r>
        <w:t xml:space="preserve">weder Tβ4 noch TB-500 ist zugelassen.</w:t>
      </w:r>
    </w:p>
    <w:p>
      <w:pPr>
        <w:numPr>
          <w:ilvl w:val="0"/>
          <w:numId w:val="1120"/>
        </w:numPr>
        <w:pStyle w:val="Compact"/>
      </w:pPr>
      <w:r>
        <w:rPr>
          <w:bCs/>
          <w:b/>
        </w:rPr>
        <w:t xml:space="preserve">WADA:</w:t>
      </w:r>
      <w:r>
        <w:t xml:space="preserve"> </w:t>
      </w:r>
      <w:r>
        <w:t xml:space="preserve">verboten (S2, Wachstumsfaktoren; „Thymosin-β4 und seine Derivate, z. B. TB-500“ werden ausdrücklich genannt).</w:t>
      </w:r>
    </w:p>
    <w:p>
      <w:pPr>
        <w:numPr>
          <w:ilvl w:val="0"/>
          <w:numId w:val="1120"/>
        </w:numPr>
        <w:pStyle w:val="Compact"/>
      </w:pPr>
      <w:r>
        <w:rPr>
          <w:bCs/>
          <w:b/>
        </w:rPr>
        <w:t xml:space="preserve">Evidenzstufe:</w:t>
      </w:r>
      <w:r>
        <w:t xml:space="preserve"> </w:t>
      </w:r>
      <w:r>
        <w:rPr>
          <w:bCs/>
          <w:b/>
        </w:rPr>
        <w:t xml:space="preserve">B</w:t>
      </w:r>
      <w:r>
        <w:t xml:space="preserve"> </w:t>
      </w:r>
      <w:r>
        <w:t xml:space="preserve">für Thymosin Beta-4 (randomisierte Studien, überwiegend klein; große Phase-3-Studien bei trockenem Auge ohne klaren Nutzen) ·</w:t>
      </w:r>
      <w:r>
        <w:t xml:space="preserve"> </w:t>
      </w:r>
      <w:r>
        <w:rPr>
          <w:bCs/>
          <w:b/>
        </w:rPr>
        <w:t xml:space="preserve">D</w:t>
      </w:r>
      <w:r>
        <w:t xml:space="preserve"> </w:t>
      </w:r>
      <w:r>
        <w:t xml:space="preserve">für TB-500 (keine veröffentlichte Humanstudie).</w:t>
      </w:r>
    </w:p>
    <w:bookmarkEnd w:id="955"/>
    <w:bookmarkStart w:id="960" w:name="wie-es-wirken-soll-16"/>
    <w:p>
      <w:pPr>
        <w:pStyle w:val="Heading3"/>
      </w:pPr>
      <w:r>
        <w:t xml:space="preserve">Wie es wirken soll</w:t>
      </w:r>
    </w:p>
    <w:p>
      <w:pPr>
        <w:pStyle w:val="FirstParagraph"/>
      </w:pPr>
      <w:r>
        <w:t xml:space="preserve">Tβ4 ist in Zellen das wichtigste Eiweiß, das einzelne Aktin-Bausteine bindet und „parkt“. Aktin bildet das innere Gerüst der Zelle; wenn sich eine Zelle bewegen soll – etwa um eine Wunde zu schließen –, muss dieses Gerüst schnell umgebaut werden. Tβ4 stellt dafür die Bausteine bereit.</w:t>
      </w:r>
    </w:p>
    <w:p>
      <w:pPr>
        <w:pStyle w:val="BodyText"/>
      </w:pPr>
      <w:r>
        <w:t xml:space="preserve">Daneben hat Tβ4 außerhalb der Zelle offenbar eigene Signalwirkungen. Eine Übersichtsarbeit beschreibt mehrere aktive Abschnitte im Molekül: Das kurze Stück am Anfang (Ac-SDKP) wirkt in Laborversuchen entzündungshemmend und gegen Vernarbung, der Abschnitt 17 bis 23 (LKKTETQ) fördert Gefäßneubildung, Wundheilung und Zellwanderung</w:t>
      </w:r>
      <w:r>
        <w:rPr>
          <w:rStyle w:val="FootnoteReference"/>
        </w:rPr>
        <w:footnoteReference w:id="956"/>
      </w:r>
      <w:r>
        <w:t xml:space="preserve">. In Zellversuchen zeigte das sieben Aminosäuren lange Aktin-Bindungsmotiv dieselbe Wirkung auf die Wanderung von Gefäßzellen wie das ganze Molekül</w:t>
      </w:r>
      <w:r>
        <w:rPr>
          <w:rStyle w:val="FootnoteReference"/>
        </w:rPr>
        <w:footnoteReference w:id="957"/>
      </w:r>
      <w:r>
        <w:t xml:space="preserve">.</w:t>
      </w:r>
    </w:p>
    <w:p>
      <w:pPr>
        <w:pStyle w:val="BodyText"/>
      </w:pPr>
      <w:r>
        <w:t xml:space="preserve">Auf diesem Laborbefund beruht die Idee von TB-500: Wenn das kurze Stück die Wirkung trägt, genügt es, nur dieses herzustellen – billiger und einfacher als das ganze Eiweiß. Allerdings wurde dabei nicht exakt die natürliche Sequenz verwendet, sondern eine am Anfang acetylierte Form. Eine Untersuchung zum Abbau fand, dass TB-500 rasch zerlegt wird und in Zellversuchen nicht das Ausgangspeptid, sondern ein Abbauprodukt (Ac-LKKTE) die Wundheilung förderte</w:t>
      </w:r>
      <w:r>
        <w:rPr>
          <w:rStyle w:val="FootnoteReference"/>
        </w:rPr>
        <w:footnoteReference w:id="958"/>
      </w:r>
      <w:r>
        <w:t xml:space="preserve">. Dass TB-500 im Körper dasselbe leistet wie Tβ4, ist damit nicht gezeigt. Eine orthopädische Übersicht aus dem Jahr 2026 betont, dass TB-500 häufig mit Tβ4 gleichgesetzt wird, obwohl keine biologische oder klinische Gleichwertigkeit belegt ist</w:t>
      </w:r>
      <w:r>
        <w:rPr>
          <w:rStyle w:val="FootnoteReference"/>
        </w:rPr>
        <w:footnoteReference w:id="959"/>
      </w:r>
      <w:r>
        <w:t xml:space="preserve">.</w:t>
      </w:r>
    </w:p>
    <w:bookmarkEnd w:id="960"/>
    <w:bookmarkStart w:id="975" w:name="studien-am-menschen-1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w:t>
      </w:r>
      <w:r>
        <w:t xml:space="preserve"> </w:t>
      </w:r>
      <w:r>
        <w:t xml:space="preserve">Veröffentlichungen, die als Humanstudie eingeordnet wurden, und</w:t>
      </w:r>
      <w:r>
        <w:t xml:space="preserve"> </w:t>
      </w:r>
      <w:r>
        <w:rPr>
          <w:bCs/>
          <w:b/>
        </w:rPr>
        <w:t xml:space="preserve">18</w:t>
      </w:r>
      <w:r>
        <w:t xml:space="preserve"> </w:t>
      </w:r>
      <w:r>
        <w:t xml:space="preserve">Einträge bei ClinicalTrials.gov. Von den neun Veröffentlichungen untersuchen nur sechs tatsächlich Tβ4 als Wirkstoff; die übrigen messen Tβ4 im Blut oder betreffen andere Fragen.</w:t>
      </w:r>
      <w:r>
        <w:t xml:space="preserve"> </w:t>
      </w:r>
      <w:r>
        <w:rPr>
          <w:bCs/>
          <w:b/>
        </w:rPr>
        <w:t xml:space="preserve">Keine einzige</w:t>
      </w:r>
      <w:r>
        <w:t xml:space="preserve"> </w:t>
      </w:r>
      <w:r>
        <w:t xml:space="preserve">veröffentlichte Studie hat TB-500 am Menschen untersucht.</w:t>
      </w:r>
    </w:p>
    <w:bookmarkStart w:id="966" w:name="augentropfen-rgn-259"/>
    <w:p>
      <w:pPr>
        <w:pStyle w:val="Heading4"/>
      </w:pPr>
      <w:r>
        <w:t xml:space="preserve">Augentropfen (RGN-259)</w:t>
      </w:r>
    </w:p>
    <w:p>
      <w:pPr>
        <w:pStyle w:val="FirstParagraph"/>
      </w:pPr>
      <w:r>
        <w:t xml:space="preserve">Am weitesten fortgeschritten ist Tβ4 als Augentropfen. Die Firma RegeneRx und ihr Partner ReGenTree haben es bei trockenem Auge und bei der neurotrophen Keratopathie geprüft – einer seltenen Erkrankung, bei der die Hornhaut wegen geschädigter Nerven schlecht verheilt.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Schweres trockenes Auge (Sosne 2015, PMID 25826322; NCT01393132)</w:t>
            </w:r>
          </w:p>
        </w:tc>
        <w:tc>
          <w:tcPr/>
          <w:p>
            <w:pPr>
              <w:pStyle w:val="Compact"/>
              <w:jc w:val="left"/>
            </w:pPr>
            <w:r>
              <w:t xml:space="preserve">9 Personen, randomisiert gegen Trägerlösung</w:t>
            </w:r>
          </w:p>
        </w:tc>
        <w:tc>
          <w:tcPr/>
          <w:p>
            <w:pPr>
              <w:pStyle w:val="Compact"/>
              <w:jc w:val="left"/>
            </w:pPr>
            <w:r>
              <w:t xml:space="preserve">28 Tage plus 28 Tage Nachbeobachtung</w:t>
            </w:r>
          </w:p>
        </w:tc>
        <w:tc>
          <w:tcPr/>
          <w:p>
            <w:pPr>
              <w:pStyle w:val="Compact"/>
              <w:jc w:val="left"/>
            </w:pPr>
            <w:r>
              <w:t xml:space="preserve">an Tag 56 Beschwerden um 35,1 % und Hornhautanfärbung um 59,1 % geringer als unter Trägerlösung</w:t>
            </w:r>
          </w:p>
        </w:tc>
      </w:tr>
      <w:tr>
        <w:tc>
          <w:tcPr/>
          <w:p>
            <w:pPr>
              <w:pStyle w:val="Compact"/>
              <w:jc w:val="left"/>
            </w:pPr>
            <w:r>
              <w:t xml:space="preserve">Trockenes Auge, Provokationsmodell (Sosne 2015, PMID 26056426)</w:t>
            </w:r>
          </w:p>
        </w:tc>
        <w:tc>
          <w:tcPr/>
          <w:p>
            <w:pPr>
              <w:pStyle w:val="Compact"/>
              <w:jc w:val="left"/>
            </w:pPr>
            <w:r>
              <w:t xml:space="preserve">72 Personen, RCT</w:t>
            </w:r>
          </w:p>
        </w:tc>
        <w:tc>
          <w:tcPr/>
          <w:p>
            <w:pPr>
              <w:pStyle w:val="Compact"/>
              <w:jc w:val="left"/>
            </w:pPr>
            <w:r>
              <w:t xml:space="preserve">28 Tage</w:t>
            </w:r>
          </w:p>
        </w:tc>
        <w:tc>
          <w:tcPr/>
          <w:p>
            <w:pPr>
              <w:pStyle w:val="Compact"/>
              <w:jc w:val="left"/>
            </w:pPr>
            <w:r>
              <w:t xml:space="preserve">beide Hauptzielgrößen nicht signifikant; einzelne Nebenzielgrößen besser</w:t>
            </w:r>
          </w:p>
        </w:tc>
      </w:tr>
      <w:tr>
        <w:tc>
          <w:tcPr/>
          <w:p>
            <w:pPr>
              <w:pStyle w:val="Compact"/>
              <w:jc w:val="left"/>
            </w:pPr>
            <w:r>
              <w:t xml:space="preserve">ARISE-2 (NCT02974907)</w:t>
            </w:r>
          </w:p>
        </w:tc>
        <w:tc>
          <w:tcPr/>
          <w:p>
            <w:pPr>
              <w:pStyle w:val="Compact"/>
              <w:jc w:val="left"/>
            </w:pPr>
            <w:r>
              <w:t xml:space="preserve">601 Personen, Phase 3, RCT</w:t>
            </w:r>
          </w:p>
        </w:tc>
        <w:tc>
          <w:tcPr/>
          <w:p>
            <w:pPr>
              <w:pStyle w:val="Compact"/>
              <w:jc w:val="left"/>
            </w:pPr>
            <w:r>
              <w:t xml:space="preserve">28 Tage</w:t>
            </w:r>
          </w:p>
        </w:tc>
        <w:tc>
          <w:tcPr/>
          <w:p>
            <w:pPr>
              <w:pStyle w:val="Compact"/>
              <w:jc w:val="left"/>
            </w:pPr>
            <w:r>
              <w:t xml:space="preserve">Hauptzielgrößen laut Registerergebnissen in beiden Gruppen praktisch gleich</w:t>
            </w:r>
          </w:p>
        </w:tc>
      </w:tr>
      <w:tr>
        <w:tc>
          <w:tcPr/>
          <w:p>
            <w:pPr>
              <w:pStyle w:val="Compact"/>
              <w:jc w:val="left"/>
            </w:pPr>
            <w:r>
              <w:t xml:space="preserve">ARISE-3 (NCT03937882)</w:t>
            </w:r>
          </w:p>
        </w:tc>
        <w:tc>
          <w:tcPr/>
          <w:p>
            <w:pPr>
              <w:pStyle w:val="Compact"/>
              <w:jc w:val="left"/>
            </w:pPr>
            <w:r>
              <w:t xml:space="preserve">700 Personen, Phase 3, RCT</w:t>
            </w:r>
          </w:p>
        </w:tc>
        <w:tc>
          <w:tcPr/>
          <w:p>
            <w:pPr>
              <w:pStyle w:val="Compact"/>
              <w:jc w:val="left"/>
            </w:pPr>
            <w:r>
              <w:t xml:space="preserve">14 Tage</w:t>
            </w:r>
          </w:p>
        </w:tc>
        <w:tc>
          <w:tcPr/>
          <w:p>
            <w:pPr>
              <w:pStyle w:val="Compact"/>
              <w:jc w:val="left"/>
            </w:pPr>
            <w:r>
              <w:t xml:space="preserve">Hornhautanfärbung −0,41 vs. −0,46 Punkte, Beschwerden −0,4 vs. −0,4 Punkte (Tβ4 vs. Placebo)</w:t>
            </w:r>
          </w:p>
        </w:tc>
      </w:tr>
      <w:tr>
        <w:tc>
          <w:tcPr/>
          <w:p>
            <w:pPr>
              <w:pStyle w:val="Compact"/>
              <w:jc w:val="left"/>
            </w:pPr>
            <w:r>
              <w:t xml:space="preserve">SEER-1, neurotrophe Keratopathie (Sosne 2022, PMID 36613994)</w:t>
            </w:r>
          </w:p>
        </w:tc>
        <w:tc>
          <w:tcPr/>
          <w:p>
            <w:pPr>
              <w:pStyle w:val="Compact"/>
              <w:jc w:val="left"/>
            </w:pPr>
            <w:r>
              <w:t xml:space="preserve">18 Personen, Phase 3, RCT</w:t>
            </w:r>
          </w:p>
        </w:tc>
        <w:tc>
          <w:tcPr/>
          <w:p>
            <w:pPr>
              <w:pStyle w:val="Compact"/>
              <w:jc w:val="left"/>
            </w:pPr>
            <w:r>
              <w:t xml:space="preserve">4 Wochen plus 2 Wochen</w:t>
            </w:r>
          </w:p>
        </w:tc>
        <w:tc>
          <w:tcPr/>
          <w:p>
            <w:pPr>
              <w:pStyle w:val="Compact"/>
              <w:jc w:val="left"/>
            </w:pPr>
            <w:r>
              <w:t xml:space="preserve">vollständige Heilung bei 6 von 10 vs. 1 von 8 (p = 0,0656, nicht signifikant)</w:t>
            </w:r>
          </w:p>
        </w:tc>
      </w:tr>
    </w:tbl>
    <w:p>
      <w:pPr>
        <w:pStyle w:val="BodyText"/>
      </w:pPr>
      <w:r>
        <w:t xml:space="preserve">Das Muster ist typisch für ein Medikament mit unsicherem Nutzen: Kleine Studien zeigen günstige Signale, große Studien bestätigen sie nicht. Die kleine Studie mit neun Personen fand deutliche Verbesserungen</w:t>
      </w:r>
      <w:r>
        <w:rPr>
          <w:rStyle w:val="FootnoteReference"/>
        </w:rPr>
        <w:footnoteReference w:id="961"/>
      </w:r>
      <w:r>
        <w:t xml:space="preserve">. Schon die Studie mit 72 Personen verfehlte aber beide vorab festgelegten Hauptzielgrößen; die Autoren betonten stattdessen Verbesserungen bei Nebenzielgrößen</w:t>
      </w:r>
      <w:r>
        <w:rPr>
          <w:rStyle w:val="FootnoteReference"/>
        </w:rPr>
        <w:footnoteReference w:id="962"/>
      </w:r>
      <w:r>
        <w:t xml:space="preserve">. In den beiden großen Phase-3-Studien ARISE-2 und ARISE-3 mit zusammen rund 1.300 Teilnehmenden lagen die Werte der Hauptzielgrößen laut den im Register veröffentlichten Ergebnissen in der Tβ4- und der Placebogruppe nahezu gleichauf</w:t>
      </w:r>
      <w:r>
        <w:rPr>
          <w:rStyle w:val="FootnoteReference"/>
        </w:rPr>
        <w:footnoteReference w:id="963"/>
      </w:r>
      <w:r>
        <w:t xml:space="preserve">. Eine Zeitschriftenveröffentlichung dieser Ergebnisse fand sich in PubMed nicht.</w:t>
      </w:r>
    </w:p>
    <w:p>
      <w:pPr>
        <w:pStyle w:val="BodyText"/>
      </w:pPr>
      <w:r>
        <w:t xml:space="preserve">Bei der neurotrophen Keratopathie heilten in der kleinen Phase-3-Studie SEER-1 mehr Augen unter Tβ4 als unter Placebo; der Unterschied verfehlte aber knapp die statistische Signifikanz, die Studie umfasste nur 18 Personen</w:t>
      </w:r>
      <w:r>
        <w:rPr>
          <w:rStyle w:val="FootnoteReference"/>
        </w:rPr>
        <w:footnoteReference w:id="964"/>
      </w:r>
      <w:r>
        <w:t xml:space="preserve">. Eine Cochrane-Übersicht von 2025 wertete die Studie mit „niedriger Vertrauenswürdigkeit“ und fand keinen gesicherten Unterschied</w:t>
      </w:r>
      <w:r>
        <w:rPr>
          <w:rStyle w:val="FootnoteReference"/>
        </w:rPr>
        <w:footnoteReference w:id="965"/>
      </w:r>
      <w:r>
        <w:t xml:space="preserve">. Eine größere Nachfolgestudie (SEER-2) läuft.</w:t>
      </w:r>
    </w:p>
    <w:bookmarkEnd w:id="966"/>
    <w:bookmarkStart w:id="968" w:name="herz"/>
    <w:p>
      <w:pPr>
        <w:pStyle w:val="Heading4"/>
      </w:pPr>
      <w:r>
        <w:t xml:space="preserve">Herz</w:t>
      </w:r>
    </w:p>
    <w:p>
      <w:pPr>
        <w:pStyle w:val="FirstParagraph"/>
      </w:pPr>
      <w:r>
        <w:t xml:space="preserve">Tβ4 wurde wegen spektakulärer Mausversuche als Herzmittel entwickelt (siehe Tier- und Laborstudien).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Sicherheit, Infusion (Ruff 2010, PMID 20536472)</w:t>
            </w:r>
          </w:p>
        </w:tc>
        <w:tc>
          <w:tcPr/>
          <w:p>
            <w:pPr>
              <w:pStyle w:val="Compact"/>
              <w:jc w:val="left"/>
            </w:pPr>
            <w:r>
              <w:t xml:space="preserve">40 Gesunde in 4 Dosisgruppen, RCT</w:t>
            </w:r>
          </w:p>
        </w:tc>
        <w:tc>
          <w:tcPr/>
          <w:p>
            <w:pPr>
              <w:pStyle w:val="Compact"/>
              <w:jc w:val="left"/>
            </w:pPr>
            <w:r>
              <w:t xml:space="preserve">einmalig, dann 14 Tage täglich</w:t>
            </w:r>
          </w:p>
        </w:tc>
        <w:tc>
          <w:tcPr/>
          <w:p>
            <w:pPr>
              <w:pStyle w:val="Compact"/>
              <w:jc w:val="left"/>
            </w:pPr>
            <w:r>
              <w:t xml:space="preserve">keine dosisbegrenzende Giftigkeit, keine schweren Nebenwirkungen</w:t>
            </w:r>
          </w:p>
        </w:tc>
      </w:tr>
      <w:tr>
        <w:tc>
          <w:tcPr/>
          <w:p>
            <w:pPr>
              <w:pStyle w:val="Compact"/>
              <w:jc w:val="left"/>
            </w:pPr>
            <w:r>
              <w:t xml:space="preserve">Rekombinantes Tβ4 NL005, Phase 1 (Wang 2021, PMID 34346165)</w:t>
            </w:r>
          </w:p>
        </w:tc>
        <w:tc>
          <w:tcPr/>
          <w:p>
            <w:pPr>
              <w:pStyle w:val="Compact"/>
              <w:jc w:val="left"/>
            </w:pPr>
            <w:r>
              <w:t xml:space="preserve">54 Gesunde (Einzeldosis) und 30 Gesunde (Mehrfachdosis), RCT</w:t>
            </w:r>
          </w:p>
        </w:tc>
        <w:tc>
          <w:tcPr/>
          <w:p>
            <w:pPr>
              <w:pStyle w:val="Compact"/>
              <w:jc w:val="left"/>
            </w:pPr>
            <w:r>
              <w:t xml:space="preserve">bis 10 Tage plus 28 Tage</w:t>
            </w:r>
          </w:p>
        </w:tc>
        <w:tc>
          <w:tcPr/>
          <w:p>
            <w:pPr>
              <w:pStyle w:val="Compact"/>
              <w:jc w:val="left"/>
            </w:pPr>
            <w:r>
              <w:t xml:space="preserve">Nebenwirkungen leicht bis mittel, keine schweren</w:t>
            </w:r>
          </w:p>
        </w:tc>
      </w:tr>
      <w:tr>
        <w:tc>
          <w:tcPr/>
          <w:p>
            <w:pPr>
              <w:pStyle w:val="Compact"/>
              <w:jc w:val="left"/>
            </w:pPr>
            <w:r>
              <w:t xml:space="preserve">NL005 bei Herzinfarkt (Zhang 2025, PMID 41229390)</w:t>
            </w:r>
          </w:p>
        </w:tc>
        <w:tc>
          <w:tcPr/>
          <w:p>
            <w:pPr>
              <w:pStyle w:val="Compact"/>
              <w:jc w:val="left"/>
            </w:pPr>
            <w:r>
              <w:t xml:space="preserve">96 Personen mit STEMI nach Katheterbehandlung, RCT gegen Placebo</w:t>
            </w:r>
          </w:p>
        </w:tc>
        <w:tc>
          <w:tcPr/>
          <w:p>
            <w:pPr>
              <w:pStyle w:val="Compact"/>
              <w:jc w:val="left"/>
            </w:pPr>
            <w:r>
              <w:t xml:space="preserve">90 Tage</w:t>
            </w:r>
          </w:p>
        </w:tc>
        <w:tc>
          <w:tcPr/>
          <w:p>
            <w:pPr>
              <w:pStyle w:val="Compact"/>
              <w:jc w:val="left"/>
            </w:pPr>
            <w:r>
              <w:t xml:space="preserve">insgesamt kein signifikanter Unterschied der Infarktgröße; Vorteil nur in der Untergruppe mit Gabe binnen 8 Stunden (n = 43)</w:t>
            </w:r>
          </w:p>
        </w:tc>
      </w:tr>
      <w:tr>
        <w:tc>
          <w:tcPr/>
          <w:p>
            <w:pPr>
              <w:pStyle w:val="Compact"/>
              <w:jc w:val="left"/>
            </w:pPr>
            <w:r>
              <w:t xml:space="preserve">Tβ4-vorbehandelte Stammzellen (Zhu 2016, PMID 27288307)</w:t>
            </w:r>
          </w:p>
        </w:tc>
        <w:tc>
          <w:tcPr/>
          <w:p>
            <w:pPr>
              <w:pStyle w:val="Compact"/>
              <w:jc w:val="left"/>
            </w:pPr>
            <w:r>
              <w:t xml:space="preserve">10 Personen mit Herzinfarkt, randomisierte Pilotstudie</w:t>
            </w:r>
          </w:p>
        </w:tc>
        <w:tc>
          <w:tcPr/>
          <w:p>
            <w:pPr>
              <w:pStyle w:val="Compact"/>
              <w:jc w:val="left"/>
            </w:pPr>
            <w:r>
              <w:t xml:space="preserve">6 Monate</w:t>
            </w:r>
          </w:p>
        </w:tc>
        <w:tc>
          <w:tcPr/>
          <w:p>
            <w:pPr>
              <w:pStyle w:val="Compact"/>
              <w:jc w:val="left"/>
            </w:pPr>
            <w:r>
              <w:t xml:space="preserve">Gehstrecke stärker verbessert; Tβ4 wurde nur den Zellen im Labor zugesetzt, nicht den Patienten gegeben</w:t>
            </w:r>
          </w:p>
        </w:tc>
      </w:tr>
    </w:tbl>
    <w:p>
      <w:pPr>
        <w:pStyle w:val="BodyText"/>
      </w:pPr>
      <w:r>
        <w:t xml:space="preserve">Die wichtigste Herzstudie ist die chinesische Studie mit 96 Infarktpatientinnen und -patienten. Über alle Teilnehmenden hinweg verringerte rekombinantes Tβ4 die Infarktgröße nach 90 Tagen nicht signifikant; ein Vorteil zeigte sich nur in der Untergruppe, die die erste Dosis innerhalb von acht Stunden erhielt</w:t>
      </w:r>
      <w:r>
        <w:rPr>
          <w:rStyle w:val="FootnoteReference"/>
        </w:rPr>
        <w:footnoteReference w:id="967"/>
      </w:r>
      <w:r>
        <w:t xml:space="preserve">. Untergruppen-Ergebnisse gelten als Hinweis, nicht als Beweis. Die Autoren fordern selbst weitere randomisierte Studien.</w:t>
      </w:r>
    </w:p>
    <w:bookmarkEnd w:id="968"/>
    <w:bookmarkStart w:id="971" w:name="haut-und-wunden"/>
    <w:p>
      <w:pPr>
        <w:pStyle w:val="Heading4"/>
      </w:pPr>
      <w:r>
        <w:t xml:space="preserve">Haut und Wunden</w:t>
      </w:r>
    </w:p>
    <w:p>
      <w:pPr>
        <w:pStyle w:val="FirstParagraph"/>
      </w:pPr>
      <w:r>
        <w:t xml:space="preserve">In den 2000er-Jahren prüfte RegeneRx ein Tβ4-Gel bei venösen Beingeschwüren, Druckgeschwüren und der erblichen Blasenbildungskrankheit Epidermolysis bullosa. Die Studie zu venösen Geschwüren randomisierte 73 Personen; die Sicherheit war mit Placebo vergleichbar, eine Wirkung ließ sich nur als Tendenz für die Konzentration von 0,03 % beschreiben</w:t>
      </w:r>
      <w:r>
        <w:rPr>
          <w:rStyle w:val="FootnoteReference"/>
        </w:rPr>
        <w:footnoteReference w:id="969"/>
      </w:r>
      <w:r>
        <w:t xml:space="preserve">. Die Studie zur Epidermolysis bullosa wurde vorzeitig beendet</w:t>
      </w:r>
      <w:r>
        <w:rPr>
          <w:rStyle w:val="FootnoteReference"/>
        </w:rPr>
        <w:footnoteReference w:id="970"/>
      </w:r>
      <w:r>
        <w:t xml:space="preserve">. Keine dieser Studien führte zu einer Zulassung.</w:t>
      </w:r>
    </w:p>
    <w:bookmarkEnd w:id="971"/>
    <w:bookmarkStart w:id="974" w:name="tb-500-am-menschen"/>
    <w:p>
      <w:pPr>
        <w:pStyle w:val="Heading4"/>
      </w:pPr>
      <w:r>
        <w:t xml:space="preserve">TB-500 am Menschen</w:t>
      </w:r>
    </w:p>
    <w:p>
      <w:pPr>
        <w:pStyle w:val="FirstParagraph"/>
      </w:pPr>
      <w:r>
        <w:t xml:space="preserve">Für das Fragment TB-500 gibt es keine veröffentlichte Humanstudie. Ein 2026 eingetragener Registereintrag zu TB-500 bei Herz-Kreislauf-Erkrankung</w:t>
      </w:r>
      <w:r>
        <w:rPr>
          <w:rStyle w:val="FootnoteReference"/>
        </w:rPr>
        <w:footnoteReference w:id="972"/>
      </w:r>
      <w:r>
        <w:t xml:space="preserve"> </w:t>
      </w:r>
      <w:r>
        <w:t xml:space="preserve">bezeichnet sich in seiner eigenen Beschreibung als „fiktives“ Beispiel eines Registereintrags; er ist daher nicht als echte Studie zu werten. Die einzige Humanveröffentlichung, die Tβ4 bei Gelenkbeschwerden erwähnt, ist eine rückblickende Telefonbefragung, in der vier Personen BPC-157 zusammen mit Tβ4 ins Knie gespritzt bekamen</w:t>
      </w:r>
      <w:r>
        <w:rPr>
          <w:rStyle w:val="FootnoteReference"/>
        </w:rPr>
        <w:footnoteReference w:id="973"/>
      </w:r>
      <w:r>
        <w:t xml:space="preserve"> </w:t>
      </w:r>
      <w:r>
        <w:t xml:space="preserve">– zu wenig für irgendeine Aussage.</w:t>
      </w:r>
    </w:p>
    <w:bookmarkEnd w:id="974"/>
    <w:bookmarkEnd w:id="975"/>
    <w:bookmarkStart w:id="983" w:name="tier--und-laborstudien-16"/>
    <w:p>
      <w:pPr>
        <w:pStyle w:val="Heading3"/>
      </w:pPr>
      <w:r>
        <w:t xml:space="preserve">Tier- und Laborstudien</w:t>
      </w:r>
    </w:p>
    <w:p>
      <w:pPr>
        <w:pStyle w:val="FirstParagraph"/>
      </w:pPr>
      <w:r>
        <w:t xml:space="preserve">Der Ruf von Tβ4 als „Reparaturpeptid“ stammt vor allem aus zwei Arbeiten in der Fachzeitschrift Nature. Bei Mäusen mit künstlich ausgelöstem Herzinfarkt verbesserte Tβ4 das Überleben von Herzmuskelzellen und die Herzfunktion</w:t>
      </w:r>
      <w:r>
        <w:rPr>
          <w:rStyle w:val="FootnoteReference"/>
        </w:rPr>
        <w:footnoteReference w:id="976"/>
      </w:r>
      <w:r>
        <w:t xml:space="preserve">. Eine Folgearbeit zeigte bei Mäusen, dass Tβ4 Vorläuferzellen der Herzaußenhaut aktiviert und die Bildung neuer Gefäße anregt</w:t>
      </w:r>
      <w:r>
        <w:rPr>
          <w:rStyle w:val="FootnoteReference"/>
        </w:rPr>
        <w:footnoteReference w:id="977"/>
      </w:r>
      <w:r>
        <w:t xml:space="preserve">. Eine unabhängige Gruppe konnte allerdings nicht bestätigen, dass Tβ4 nach einem Infarkt aus diesen Zellen neue Herzmuskelzellen entstehen lässt</w:t>
      </w:r>
      <w:r>
        <w:rPr>
          <w:rStyle w:val="FootnoteReference"/>
        </w:rPr>
        <w:footnoteReference w:id="978"/>
      </w:r>
      <w:r>
        <w:t xml:space="preserve"> </w:t>
      </w:r>
      <w:r>
        <w:t xml:space="preserve">– ein Beispiel dafür, wie wichtig unabhängige Wiederholungen sind.</w:t>
      </w:r>
    </w:p>
    <w:p>
      <w:pPr>
        <w:pStyle w:val="BodyText"/>
      </w:pPr>
      <w:r>
        <w:t xml:space="preserve">Weitere Tier- und Laborbefunde betreffen Haut, Hornhaut, Gehirn, Niere und Leber. Bei Ratten verbesserte Tβ4 die Haltbarkeit von Hautlappen</w:t>
      </w:r>
      <w:r>
        <w:rPr>
          <w:rStyle w:val="FootnoteReference"/>
        </w:rPr>
        <w:footnoteReference w:id="979"/>
      </w:r>
      <w:r>
        <w:t xml:space="preserve">, bei Mäusen die Knochenbruchheilung</w:t>
      </w:r>
      <w:r>
        <w:rPr>
          <w:rStyle w:val="FootnoteReference"/>
        </w:rPr>
        <w:footnoteReference w:id="980"/>
      </w:r>
      <w:r>
        <w:t xml:space="preserve">. Für Sehnen, Bänder und Muskeln – also genau die Einsatzgebiete, für die TB-500 im Internet beworben wird – gibt es nur Zell- und Nagetierdaten</w:t>
      </w:r>
      <w:r>
        <w:rPr>
          <w:rStyle w:val="FootnoteReference"/>
        </w:rPr>
        <w:footnoteReference w:id="981"/>
      </w:r>
      <w:r>
        <w:t xml:space="preserve">. Eine Rattenstudie von 2026 fand nach Durchtrennung der Achillessehne bei 32 Tieren eine höhere Reißfestigkeit und bessere Gewebestruktur in der TB-500-Gruppe als in der Kontrollgruppe</w:t>
      </w:r>
      <w:r>
        <w:rPr>
          <w:rStyle w:val="FootnoteReference"/>
        </w:rPr>
        <w:footnoteReference w:id="982"/>
      </w:r>
      <w:r>
        <w:t xml:space="preserve">. Das ist eine der wenigen Tierstudien mit dem tatsächlich verkauften Fragment.</w:t>
      </w:r>
    </w:p>
    <w:bookmarkEnd w:id="983"/>
    <w:bookmarkStart w:id="993" w:name="risiken-und-nebenwirkungen-16"/>
    <w:p>
      <w:pPr>
        <w:pStyle w:val="Heading3"/>
      </w:pPr>
      <w:r>
        <w:t xml:space="preserve">Risiken und Nebenwirkungen</w:t>
      </w:r>
    </w:p>
    <w:bookmarkStart w:id="986" w:name="belegt-thymosin-beta-4"/>
    <w:p>
      <w:pPr>
        <w:pStyle w:val="Heading4"/>
      </w:pPr>
      <w:r>
        <w:t xml:space="preserve">Belegt (Thymosin Beta-4)</w:t>
      </w:r>
    </w:p>
    <w:p>
      <w:pPr>
        <w:pStyle w:val="FirstParagraph"/>
      </w:pPr>
      <w:r>
        <w:t xml:space="preserve">In den randomisierten Studien mit Augentropfen, Gel und Infusion war Tβ4 gut verträglich. Bei 40 Gesunden traten unter Infusionen bis zu 1.260 mg täglich über 14 Tage keine dosisbegrenzenden Nebenwirkungen auf</w:t>
      </w:r>
      <w:r>
        <w:rPr>
          <w:rStyle w:val="FootnoteReference"/>
        </w:rPr>
        <w:footnoteReference w:id="984"/>
      </w:r>
      <w:r>
        <w:t xml:space="preserve">. In der chinesischen Phase-1-Studie waren die Nebenwirkungen leicht bis mittel</w:t>
      </w:r>
      <w:r>
        <w:rPr>
          <w:rStyle w:val="FootnoteReference"/>
        </w:rPr>
        <w:footnoteReference w:id="985"/>
      </w:r>
      <w:r>
        <w:t xml:space="preserve">. Diese Studien sind allerdings kurz, und sie betreffen das ganze Eiweiß in Arzneimittelqualität – nicht Graumarkt-Produkte.</w:t>
      </w:r>
    </w:p>
    <w:bookmarkEnd w:id="986"/>
    <w:bookmarkStart w:id="989" w:name="theoretisch-krebs"/>
    <w:p>
      <w:pPr>
        <w:pStyle w:val="Heading4"/>
      </w:pPr>
      <w:r>
        <w:t xml:space="preserve">Theoretisch: Krebs</w:t>
      </w:r>
    </w:p>
    <w:p>
      <w:pPr>
        <w:pStyle w:val="FirstParagraph"/>
      </w:pPr>
      <w:r>
        <w:t xml:space="preserve">Tβ4 fördert Zellwanderung und Gefäßneubildung – zwei Eigenschaften, die auch Tumoren für Wachstum und Streuung nutzen. In Gewebeproben von 138 Blasenkrebs-Patientinnen und -Patienten war eine starke Tβ4-Bildung mit fortgeschrittenem Stadium, Lymphknotenbefall und kürzerem Überleben verbunden</w:t>
      </w:r>
      <w:r>
        <w:rPr>
          <w:rStyle w:val="FootnoteReference"/>
        </w:rPr>
        <w:footnoteReference w:id="987"/>
      </w:r>
      <w:r>
        <w:t xml:space="preserve">. In Kulturen von Brustkrebszellen erhöhte zugesetztes Tβ4 die Zellzahl</w:t>
      </w:r>
      <w:r>
        <w:rPr>
          <w:rStyle w:val="FootnoteReference"/>
        </w:rPr>
        <w:footnoteReference w:id="988"/>
      </w:r>
      <w:r>
        <w:t xml:space="preserve">. Solche Zusammenhänge beweisen nicht, dass von außen zugeführtes Tβ4 Krebs auslöst. Sie sind aber ein Grund, warum Fachleute bei Menschen mit Krebserkrankung oder erhöhtem Krebsrisiko zur Vorsicht raten. Langzeitdaten fehlen. Teil IV behandelt das Thema ausführlich.</w:t>
      </w:r>
    </w:p>
    <w:bookmarkEnd w:id="989"/>
    <w:bookmarkStart w:id="992" w:name="graumarkt"/>
    <w:p>
      <w:pPr>
        <w:pStyle w:val="Heading4"/>
      </w:pPr>
      <w:r>
        <w:t xml:space="preserve">Graumarkt</w:t>
      </w:r>
    </w:p>
    <w:p>
      <w:pPr>
        <w:pStyle w:val="FirstParagraph"/>
      </w:pPr>
      <w:r>
        <w:t xml:space="preserve">Was als „TB-500“ verkauft wird, enthält nicht verlässlich das, was auf dem Etikett steht. Ein Pferdedoping-Labor analysierte im Internet angebotene Produkte und fand, dass der Inhalt von „TB500“ und „TB1000“ nicht durchgehend der deklarierten Zusammensetzung entsprach</w:t>
      </w:r>
      <w:r>
        <w:rPr>
          <w:rStyle w:val="FootnoteReference"/>
        </w:rPr>
        <w:footnoteReference w:id="990"/>
      </w:r>
      <w:r>
        <w:t xml:space="preserve">. Manche Produkte enthalten das Fragment, andere womöglich das ganze Tβ4, wieder andere Verunreinigungen. Dazu kommen die bekannten Risiken unsteriler Injektionen. Dass Pferdedoping-Labore schon 2012 Nachweisverfahren für TB-500 entwickelten</w:t>
      </w:r>
      <w:r>
        <w:rPr>
          <w:rStyle w:val="FootnoteReference"/>
        </w:rPr>
        <w:footnoteReference w:id="991"/>
      </w:r>
      <w:r>
        <w:t xml:space="preserve">, zeigt, aus welcher Ecke das Produkt stammt: aus dem Tierbereich, nicht aus der Humanmedizin.</w:t>
      </w:r>
    </w:p>
    <w:bookmarkEnd w:id="992"/>
    <w:bookmarkEnd w:id="993"/>
    <w:bookmarkStart w:id="996" w:name="rechtslage-16"/>
    <w:p>
      <w:pPr>
        <w:pStyle w:val="Heading3"/>
      </w:pPr>
      <w:r>
        <w:t xml:space="preserve">Rechtslage</w:t>
      </w:r>
    </w:p>
    <w:p>
      <w:pPr>
        <w:pStyle w:val="FirstParagraph"/>
      </w:pPr>
      <w:r>
        <w:rPr>
          <w:iCs/>
          <w:i/>
        </w:rPr>
        <w:t xml:space="preserve">Stand 2026, bitte aktuell prüfen.</w:t>
      </w:r>
    </w:p>
    <w:p>
      <w:pPr>
        <w:numPr>
          <w:ilvl w:val="0"/>
          <w:numId w:val="1121"/>
        </w:numPr>
        <w:pStyle w:val="Compact"/>
      </w:pPr>
      <w:r>
        <w:rPr>
          <w:bCs/>
          <w:b/>
        </w:rPr>
        <w:t xml:space="preserve">EU, Deutschland, Österreich:</w:t>
      </w:r>
      <w:r>
        <w:t xml:space="preserve"> </w:t>
      </w:r>
      <w:r>
        <w:t xml:space="preserve">weder Tβ4 noch TB-500 ist als Arzneimittel zugelassen. Die Abgabe zur Anwendung am Menschen ist nicht erlaubt; Produkte mit dem Hinweis „nur für Forschungszwecke“ ändern daran nichts.</w:t>
      </w:r>
    </w:p>
    <w:p>
      <w:pPr>
        <w:numPr>
          <w:ilvl w:val="0"/>
          <w:numId w:val="1121"/>
        </w:numPr>
        <w:pStyle w:val="Compact"/>
      </w:pPr>
      <w:r>
        <w:rPr>
          <w:bCs/>
          <w:b/>
        </w:rPr>
        <w:t xml:space="preserve">USA:</w:t>
      </w:r>
      <w:r>
        <w:t xml:space="preserve"> </w:t>
      </w:r>
      <w:r>
        <w:t xml:space="preserve">keine FDA-Zulassung. Nach Kenntnis des Autors ordnete die FDA 2023 das Tβ4-Fragment (TB-500) wie BPC-157 der Kategorie 2 der Rezeptur-Ausgangsstoffe zu, also den Stoffen mit erheblichen Sicherheitsbedenken; die Bewertung von Peptiden für die Rezepturherstellung wird derzeit kontrovers diskutiert</w:t>
      </w:r>
      <w:r>
        <w:rPr>
          <w:rStyle w:val="FootnoteReference"/>
        </w:rPr>
        <w:footnoteReference w:id="994"/>
      </w:r>
      <w:r>
        <w:t xml:space="preserve">.</w:t>
      </w:r>
    </w:p>
    <w:p>
      <w:pPr>
        <w:numPr>
          <w:ilvl w:val="0"/>
          <w:numId w:val="1121"/>
        </w:numPr>
        <w:pStyle w:val="Compact"/>
      </w:pPr>
      <w:r>
        <w:rPr>
          <w:bCs/>
          <w:b/>
        </w:rPr>
        <w:t xml:space="preserve">WADA:</w:t>
      </w:r>
      <w:r>
        <w:t xml:space="preserve"> </w:t>
      </w:r>
      <w:r>
        <w:t xml:space="preserve">Tβ4 und seine Derivate wie TB-500 sind ausdrücklich in der Klasse S2 (Peptidhormone, Wachstumsfaktoren) verboten, im und außerhalb des Wettkampfs. Auch im Pferdesport ist es verboten</w:t>
      </w:r>
      <w:r>
        <w:rPr>
          <w:rStyle w:val="FootnoteReference"/>
        </w:rPr>
        <w:footnoteReference w:id="995"/>
      </w:r>
      <w:r>
        <w:t xml:space="preserve">.</w:t>
      </w:r>
    </w:p>
    <w:bookmarkEnd w:id="996"/>
    <w:bookmarkStart w:id="1000" w:name="laufende-studien-und-ausblick-16"/>
    <w:p>
      <w:pPr>
        <w:pStyle w:val="Heading3"/>
      </w:pPr>
      <w:r>
        <w:t xml:space="preserve">Laufende Studien und Ausblick</w:t>
      </w:r>
    </w:p>
    <w:p>
      <w:pPr>
        <w:pStyle w:val="FirstParagraph"/>
      </w:pPr>
      <w:r>
        <w:rPr>
          <w:bCs/>
          <w:b/>
        </w:rPr>
        <w:t xml:space="preserve">Gesichert (laut Register):</w:t>
      </w:r>
    </w:p>
    <w:p>
      <w:pPr>
        <w:numPr>
          <w:ilvl w:val="0"/>
          <w:numId w:val="1122"/>
        </w:numPr>
        <w:pStyle w:val="Compact"/>
      </w:pPr>
      <w:r>
        <w:rPr>
          <w:bCs/>
          <w:b/>
        </w:rPr>
        <w:t xml:space="preserve">SEER-2</w:t>
      </w:r>
      <w:r>
        <w:rPr>
          <w:rStyle w:val="FootnoteReference"/>
        </w:rPr>
        <w:footnoteReference w:id="997"/>
      </w:r>
      <w:r>
        <w:rPr>
          <w:bCs/>
          <w:b/>
        </w:rPr>
        <w:t xml:space="preserve">:</w:t>
      </w:r>
      <w:r>
        <w:t xml:space="preserve"> </w:t>
      </w:r>
      <w:r>
        <w:t xml:space="preserve">Phase-3-Studie mit RGN-259-Augentropfen bei neurotropher Keratopathie, geplant 70 Personen, rekrutierend, Studienende laut Register geschätzt Mai 2026. Ergebnisse waren im Oktober 2026 nicht veröffentlicht.</w:t>
      </w:r>
    </w:p>
    <w:p>
      <w:pPr>
        <w:numPr>
          <w:ilvl w:val="0"/>
          <w:numId w:val="1122"/>
        </w:numPr>
        <w:pStyle w:val="Compact"/>
      </w:pPr>
      <w:r>
        <w:rPr>
          <w:bCs/>
          <w:b/>
        </w:rPr>
        <w:t xml:space="preserve">NL005 bei Herzinfarkt</w:t>
      </w:r>
      <w:r>
        <w:rPr>
          <w:rStyle w:val="FootnoteReference"/>
        </w:rPr>
        <w:footnoteReference w:id="998"/>
      </w:r>
      <w:r>
        <w:rPr>
          <w:bCs/>
          <w:b/>
        </w:rPr>
        <w:t xml:space="preserve">:</w:t>
      </w:r>
      <w:r>
        <w:t xml:space="preserve"> </w:t>
      </w:r>
      <w:r>
        <w:t xml:space="preserve">chinesische Phase-2c-Studie mit rekombinantem Tβ4, geplant 189 Personen, Hauptzielgröße Infarktgröße im Herz-MRT nach 90 Tagen; noch nicht rekrutierend, Ende geschätzt 2028. Zwei vorangegangene Phase-2-Studien desselben Herstellers mit 62 und 90 Personen sind laut Register abgeschlossen</w:t>
      </w:r>
      <w:r>
        <w:rPr>
          <w:rStyle w:val="FootnoteReference"/>
        </w:rPr>
        <w:footnoteReference w:id="999"/>
      </w:r>
      <w:r>
        <w:t xml:space="preserve">.</w:t>
      </w:r>
    </w:p>
    <w:p>
      <w:pPr>
        <w:numPr>
          <w:ilvl w:val="0"/>
          <w:numId w:val="1122"/>
        </w:numPr>
        <w:pStyle w:val="Compact"/>
      </w:pPr>
      <w:r>
        <w:rPr>
          <w:bCs/>
          <w:b/>
        </w:rPr>
        <w:t xml:space="preserve">TB-500:</w:t>
      </w:r>
      <w:r>
        <w:t xml:space="preserve"> </w:t>
      </w:r>
      <w:r>
        <w:t xml:space="preserve">keine glaubwürdige registrierte Humanstudie.</w:t>
      </w:r>
    </w:p>
    <w:p>
      <w:pPr>
        <w:pStyle w:val="FirstParagraph"/>
      </w:pPr>
      <w:r>
        <w:rPr>
          <w:bCs/>
          <w:b/>
        </w:rPr>
        <w:t xml:space="preserve">Einschätzung des Autors:</w:t>
      </w:r>
      <w:r>
        <w:t xml:space="preserve"> </w:t>
      </w:r>
      <w:r>
        <w:t xml:space="preserve">Die realistischste Chance auf eine Zulassung hat Tβ4 als Augentropfen bei der seltenen neurotrophen Keratopathie, wo schon kleine Studien für eine Zulassung als Arzneimittel für seltene Leiden genügen können – falls SEER-2 positiv ausfällt. Beim trockenen Auge sprechen die großen Phase-3-Daten gegen einen klinisch relevanten Nutzen. Beim Herzinfarkt hängt alles an der laufenden chinesischen Studie. Für TB-500 als Mittel zur Sehnen- und Muskelheilung ist auf absehbare Zeit keine seriöse Humanforschung in Sicht.</w:t>
      </w:r>
    </w:p>
    <w:bookmarkEnd w:id="1000"/>
    <w:bookmarkStart w:id="1002" w:name="fazit-16"/>
    <w:p>
      <w:pPr>
        <w:pStyle w:val="Heading3"/>
      </w:pPr>
      <w:r>
        <w:t xml:space="preserve">Fazit</w:t>
      </w:r>
    </w:p>
    <w:p>
      <w:pPr>
        <w:pStyle w:val="FirstParagraph"/>
      </w:pPr>
      <w:r>
        <w:t xml:space="preserve">Thymosin Beta-4 ist ein körpereigenes Peptid, das in randomisierten Studien als Augentropfen und Infusion gut verträglich war, dessen Nutzen sich in den großen Studien beim trockenen Auge aber nicht bestätigte und bei Herzinfarkt bisher nur in einer Untergruppe andeutete</w:t>
      </w:r>
      <w:r>
        <w:rPr>
          <w:rStyle w:val="FootnoteReference"/>
        </w:rPr>
        <w:footnoteReference w:id="1001"/>
      </w:r>
      <w:r>
        <w:t xml:space="preserve">. TB-500 ist etwas anderes: ein verändertes Bruchstück, das nie in einer veröffentlichten Humanstudie geprüft wurde und dessen Graumarkt-Produkte nachweislich nicht immer enthalten, was angegeben ist. Die Werbung für TB-500 stützt sich auf Studien mit dem ganzen Eiweiß – und auch diese betreffen kaum Sehnen, Bänder oder Muskeln. Für Sportlerinnen und Sportler sind beide Stoffe verboten.</w:t>
      </w:r>
    </w:p>
    <w:bookmarkEnd w:id="1002"/>
    <w:bookmarkEnd w:id="1003"/>
    <w:bookmarkStart w:id="1063" w:name="thymosin-alpha-1-thymalfasin"/>
    <w:p>
      <w:pPr>
        <w:pStyle w:val="Heading2"/>
      </w:pPr>
      <w:r>
        <w:t xml:space="preserve">Thymosin Alpha-1 (Thymalfasin)</w:t>
      </w:r>
    </w:p>
    <w:p>
      <w:pPr>
        <w:pStyle w:val="FirstParagraph"/>
      </w:pPr>
      <w:r>
        <w:t xml:space="preserve">Thymosin Alpha-1 ist in dieser Gruppe ein Sonderfall. Anders als BPC-157 oder TB-500 ist es in einer Reihe von Ländern ein zugelassenes Arzneimittel (Handelsname Zadaxin), es wurde in Dutzenden randomisierten Studien an tausenden Menschen geprüft, und in China gehört es in manchen Kliniken zum Alltag. Gleichzeitig zeigt gerade dieses Peptid, wie sich ein Bild verändert, wenn kleine, ältere Studien von großen, sorgfältig gemachten abgelöst werden. In Europa und den USA ist es nicht zugelassen, wird aber in der „Longevity“- und Biohacking-Szene als Immun-Booster vermarktet.</w:t>
      </w:r>
    </w:p>
    <w:bookmarkStart w:id="1006" w:name="steckbrief-17"/>
    <w:p>
      <w:pPr>
        <w:pStyle w:val="Heading3"/>
      </w:pPr>
      <w:r>
        <w:t xml:space="preserve">Steckbrief</w:t>
      </w:r>
    </w:p>
    <w:p>
      <w:pPr>
        <w:numPr>
          <w:ilvl w:val="0"/>
          <w:numId w:val="1123"/>
        </w:numPr>
        <w:pStyle w:val="Compact"/>
      </w:pPr>
      <w:r>
        <w:rPr>
          <w:bCs/>
          <w:b/>
        </w:rPr>
        <w:t xml:space="preserve">Art und Struktur:</w:t>
      </w:r>
      <w:r>
        <w:t xml:space="preserve"> </w:t>
      </w:r>
      <w:r>
        <w:t xml:space="preserve">Peptid aus 28 Aminosäuren, am Anfang acetyliert</w:t>
      </w:r>
      <w:r>
        <w:rPr>
          <w:rStyle w:val="FootnoteReference"/>
        </w:rPr>
        <w:footnoteReference w:id="1004"/>
      </w:r>
      <w:r>
        <w:t xml:space="preserve">; Bruchstück des größeren Eiweißes Prothymosin alpha.</w:t>
      </w:r>
    </w:p>
    <w:p>
      <w:pPr>
        <w:numPr>
          <w:ilvl w:val="0"/>
          <w:numId w:val="1123"/>
        </w:numPr>
        <w:pStyle w:val="Compact"/>
      </w:pPr>
      <w:r>
        <w:rPr>
          <w:bCs/>
          <w:b/>
        </w:rPr>
        <w:t xml:space="preserve">Herkunft:</w:t>
      </w:r>
      <w:r>
        <w:t xml:space="preserve"> </w:t>
      </w:r>
      <w:r>
        <w:t xml:space="preserve">in den 1970er-Jahren aus einem Extrakt der Thymusdrüse („Thymosin-Fraktion 5“) isoliert; heute chemisch synthetisiert. Wirkstoffname Thymalfasin.</w:t>
      </w:r>
    </w:p>
    <w:p>
      <w:pPr>
        <w:numPr>
          <w:ilvl w:val="0"/>
          <w:numId w:val="1123"/>
        </w:numPr>
        <w:pStyle w:val="Compact"/>
      </w:pPr>
      <w:r>
        <w:rPr>
          <w:bCs/>
          <w:b/>
        </w:rPr>
        <w:t xml:space="preserve">Wirkprinzip:</w:t>
      </w:r>
      <w:r>
        <w:t xml:space="preserve"> </w:t>
      </w:r>
      <w:r>
        <w:t xml:space="preserve">Immunmodulator – soll die Reifung und Aktivität von T-Zellen und dendritischen Zellen fördern.</w:t>
      </w:r>
    </w:p>
    <w:p>
      <w:pPr>
        <w:numPr>
          <w:ilvl w:val="0"/>
          <w:numId w:val="1123"/>
        </w:numPr>
        <w:pStyle w:val="Compact"/>
      </w:pPr>
      <w:r>
        <w:rPr>
          <w:bCs/>
          <w:b/>
        </w:rPr>
        <w:t xml:space="preserve">Zulassung EU:</w:t>
      </w:r>
      <w:r>
        <w:t xml:space="preserve"> </w:t>
      </w:r>
      <w:r>
        <w:t xml:space="preserve">keine zentrale Zulassung.</w:t>
      </w:r>
      <w:r>
        <w:t xml:space="preserve"> </w:t>
      </w:r>
      <w:r>
        <w:rPr>
          <w:bCs/>
          <w:b/>
        </w:rPr>
        <w:t xml:space="preserve">USA:</w:t>
      </w:r>
      <w:r>
        <w:t xml:space="preserve"> </w:t>
      </w:r>
      <w:r>
        <w:t xml:space="preserve">nicht zugelassen; die FDA schränkte 2023 die Verwendung in Rezepturapotheken ein</w:t>
      </w:r>
      <w:r>
        <w:rPr>
          <w:rStyle w:val="FootnoteReference"/>
        </w:rPr>
        <w:footnoteReference w:id="1005"/>
      </w:r>
      <w:r>
        <w:t xml:space="preserve">.</w:t>
      </w:r>
      <w:r>
        <w:t xml:space="preserve"> </w:t>
      </w:r>
      <w:r>
        <w:rPr>
          <w:bCs/>
          <w:b/>
        </w:rPr>
        <w:t xml:space="preserve">Andere Länder:</w:t>
      </w:r>
      <w:r>
        <w:t xml:space="preserve"> </w:t>
      </w:r>
      <w:r>
        <w:t xml:space="preserve">als Zadaxin zugelassen, vor allem in China und weiteren asiatischen Staaten, meist für chronische Hepatitis B und als Begleittherapie zur Stärkung des Immunsystems.</w:t>
      </w:r>
    </w:p>
    <w:p>
      <w:pPr>
        <w:numPr>
          <w:ilvl w:val="0"/>
          <w:numId w:val="1123"/>
        </w:numPr>
        <w:pStyle w:val="Compact"/>
      </w:pPr>
      <w:r>
        <w:rPr>
          <w:bCs/>
          <w:b/>
        </w:rPr>
        <w:t xml:space="preserve">WADA:</w:t>
      </w:r>
      <w:r>
        <w:t xml:space="preserve"> </w:t>
      </w:r>
      <w:r>
        <w:t xml:space="preserve">nicht ausdrücklich gelistet.</w:t>
      </w:r>
    </w:p>
    <w:p>
      <w:pPr>
        <w:numPr>
          <w:ilvl w:val="0"/>
          <w:numId w:val="1123"/>
        </w:numPr>
        <w:pStyle w:val="Compact"/>
      </w:pPr>
      <w:r>
        <w:rPr>
          <w:bCs/>
          <w:b/>
        </w:rPr>
        <w:t xml:space="preserve">Evidenzstufe: B</w:t>
      </w:r>
      <w:r>
        <w:t xml:space="preserve"> </w:t>
      </w:r>
      <w:r>
        <w:t xml:space="preserve">– formal liegen viele randomisierte Studien vor; die großen, methodisch besten Studien verfehlten aber ihre Hauptzielgrößen, und die positiven Ergebnisse stammen überwiegend aus kleinen Studien mit hohem Verzerrungsrisiko.</w:t>
      </w:r>
    </w:p>
    <w:bookmarkEnd w:id="1006"/>
    <w:bookmarkStart w:id="1009" w:name="wie-es-wirken-soll-17"/>
    <w:p>
      <w:pPr>
        <w:pStyle w:val="Heading3"/>
      </w:pPr>
      <w:r>
        <w:t xml:space="preserve">Wie es wirken soll</w:t>
      </w:r>
    </w:p>
    <w:p>
      <w:pPr>
        <w:pStyle w:val="FirstParagraph"/>
      </w:pPr>
      <w:r>
        <w:t xml:space="preserve">Die Thymusdrüse hinter dem Brustbein ist die „Schule“ der T-Zellen: Hier lernen diese weißen Blutkörperchen, Fremdes von Eigenem zu unterscheiden. Mit dem Alter schrumpft der Thymus. Schon früh vermutete man, dass Botenstoffe aus dem Thymus die Abwehr steuern, und suchte in Thymusextrakten nach ihnen. Thymosin Alpha-1 war einer der ersten so identifizierten Stoffe.</w:t>
      </w:r>
    </w:p>
    <w:p>
      <w:pPr>
        <w:pStyle w:val="BodyText"/>
      </w:pPr>
      <w:r>
        <w:t xml:space="preserve">In Labor- und Tierversuchen aktiviert Thymosin Alpha-1 dendritische Zellen – die „Späher“ des Immunsystems – über sogenannte Toll-like-Rezeptoren, erhöht die Ausprägung von Erkennungsmolekülen auf Zellen und verstärkt die Wirkung von Interferon</w:t>
      </w:r>
      <w:r>
        <w:rPr>
          <w:rStyle w:val="FootnoteReference"/>
        </w:rPr>
        <w:footnoteReference w:id="1007"/>
      </w:r>
      <w:r>
        <w:t xml:space="preserve">. Daraus leiteten sich die drei großen Anwendungsideen ab:</w:t>
      </w:r>
    </w:p>
    <w:p>
      <w:pPr>
        <w:numPr>
          <w:ilvl w:val="0"/>
          <w:numId w:val="1124"/>
        </w:numPr>
        <w:pStyle w:val="Compact"/>
      </w:pPr>
      <w:r>
        <w:rPr>
          <w:bCs/>
          <w:b/>
        </w:rPr>
        <w:t xml:space="preserve">Chronische Virusinfektionen</w:t>
      </w:r>
      <w:r>
        <w:t xml:space="preserve"> </w:t>
      </w:r>
      <w:r>
        <w:t xml:space="preserve">(Hepatitis B und C), bei denen das Immunsystem das Virus nicht aus eigener Kraft beseitigt.</w:t>
      </w:r>
    </w:p>
    <w:p>
      <w:pPr>
        <w:numPr>
          <w:ilvl w:val="0"/>
          <w:numId w:val="1124"/>
        </w:numPr>
        <w:pStyle w:val="Compact"/>
      </w:pPr>
      <w:r>
        <w:rPr>
          <w:bCs/>
          <w:b/>
        </w:rPr>
        <w:t xml:space="preserve">Sepsis und schwere Infektionen</w:t>
      </w:r>
      <w:r>
        <w:t xml:space="preserve">, bei denen nach einer anfänglichen Überreaktion oft eine Phase der Immunschwäche folgt.</w:t>
      </w:r>
    </w:p>
    <w:p>
      <w:pPr>
        <w:numPr>
          <w:ilvl w:val="0"/>
          <w:numId w:val="1124"/>
        </w:numPr>
        <w:pStyle w:val="Compact"/>
      </w:pPr>
      <w:r>
        <w:rPr>
          <w:bCs/>
          <w:b/>
        </w:rPr>
        <w:t xml:space="preserve">Krebs</w:t>
      </w:r>
      <w:r>
        <w:t xml:space="preserve">, als Ergänzung zu Chemo-, Strahlen- und Immuntherapie.</w:t>
      </w:r>
    </w:p>
    <w:p>
      <w:pPr>
        <w:pStyle w:val="FirstParagraph"/>
      </w:pPr>
      <w:r>
        <w:t xml:space="preserve">Die Halbwertszeit im Blut beträgt etwa zwei Stunden, nach 24 Stunden ist der Spiegel wieder auf dem Ausgangswert</w:t>
      </w:r>
      <w:r>
        <w:rPr>
          <w:rStyle w:val="FootnoteReference"/>
        </w:rPr>
        <w:footnoteReference w:id="1008"/>
      </w:r>
      <w:r>
        <w:t xml:space="preserve">.</w:t>
      </w:r>
    </w:p>
    <w:bookmarkEnd w:id="1009"/>
    <w:bookmarkStart w:id="1039" w:name="studien-am-menschen-1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90</w:t>
      </w:r>
      <w:r>
        <w:t xml:space="preserve"> </w:t>
      </w:r>
      <w:r>
        <w:t xml:space="preserve">Humanstudien in PubMed und</w:t>
      </w:r>
      <w:r>
        <w:t xml:space="preserve"> </w:t>
      </w:r>
      <w:r>
        <w:rPr>
          <w:bCs/>
          <w:b/>
        </w:rPr>
        <w:t xml:space="preserve">66</w:t>
      </w:r>
      <w:r>
        <w:t xml:space="preserve"> </w:t>
      </w:r>
      <w:r>
        <w:t xml:space="preserve">Einträge bei ClinicalTrials.gov, dazu 15 Meta-Analysen und systematische Übersichten. Ein großer Teil der Studien stammt aus China und ist klein. Eine Übersicht von 2024, die über 30 Studien mit mehr als 11.000 Personen zusammenfasst, wurde ausdrücklich verfasst, um gegen die FDA-Einschränkung zu argumentieren</w:t>
      </w:r>
      <w:r>
        <w:rPr>
          <w:rStyle w:val="FootnoteReference"/>
        </w:rPr>
        <w:footnoteReference w:id="1010"/>
      </w:r>
      <w:r>
        <w:t xml:space="preserve"> </w:t>
      </w:r>
      <w:r>
        <w:t xml:space="preserve">– sie ist deshalb nicht als neutrale Bewertung zu lesen.</w:t>
      </w:r>
    </w:p>
    <w:bookmarkStart w:id="1011" w:name="die-wichtigsten-großen-studien"/>
    <w:p>
      <w:pPr>
        <w:pStyle w:val="Heading4"/>
      </w:pPr>
      <w:r>
        <w:t xml:space="preserve">Die wichtigsten großen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TESTS, Sepsis (Wu 2025, PMID 39814420)</w:t>
            </w:r>
          </w:p>
        </w:tc>
        <w:tc>
          <w:tcPr/>
          <w:p>
            <w:pPr>
              <w:pStyle w:val="Compact"/>
              <w:jc w:val="left"/>
            </w:pPr>
            <w:r>
              <w:t xml:space="preserve">1.106 Erwachsene mit Sepsis, 22 Zentren in China, doppelblinde RCT gegen Placebo</w:t>
            </w:r>
          </w:p>
        </w:tc>
        <w:tc>
          <w:tcPr/>
          <w:p>
            <w:pPr>
              <w:pStyle w:val="Compact"/>
              <w:jc w:val="left"/>
            </w:pPr>
            <w:r>
              <w:t xml:space="preserve">7 Tage Behandlung, 28 Tage Beobachtung</w:t>
            </w:r>
          </w:p>
        </w:tc>
        <w:tc>
          <w:tcPr/>
          <w:p>
            <w:pPr>
              <w:pStyle w:val="Compact"/>
              <w:jc w:val="left"/>
            </w:pPr>
            <w:r>
              <w:t xml:space="preserve">Sterblichkeit 23,4 % vs. 24,1 %; kein Unterschied</w:t>
            </w:r>
          </w:p>
        </w:tc>
      </w:tr>
      <w:tr>
        <w:tc>
          <w:tcPr/>
          <w:p>
            <w:pPr>
              <w:pStyle w:val="Compact"/>
              <w:jc w:val="left"/>
            </w:pPr>
            <w:r>
              <w:t xml:space="preserve">Nekrotisierende Pankreatitis (Ke 2022, PMID 35713670)</w:t>
            </w:r>
          </w:p>
        </w:tc>
        <w:tc>
          <w:tcPr/>
          <w:p>
            <w:pPr>
              <w:pStyle w:val="Compact"/>
              <w:jc w:val="left"/>
            </w:pPr>
            <w:r>
              <w:t xml:space="preserve">508 Personen, doppelblinde RCT gegen Placebo</w:t>
            </w:r>
          </w:p>
        </w:tc>
        <w:tc>
          <w:tcPr/>
          <w:p>
            <w:pPr>
              <w:pStyle w:val="Compact"/>
              <w:jc w:val="left"/>
            </w:pPr>
            <w:r>
              <w:t xml:space="preserve">14 Tage Behandlung</w:t>
            </w:r>
          </w:p>
        </w:tc>
        <w:tc>
          <w:tcPr/>
          <w:p>
            <w:pPr>
              <w:pStyle w:val="Compact"/>
              <w:jc w:val="left"/>
            </w:pPr>
            <w:r>
              <w:t xml:space="preserve">infizierte Nekrosen 15,7 % vs. 18,1 %; kein signifikanter Unterschied</w:t>
            </w:r>
          </w:p>
        </w:tc>
      </w:tr>
      <w:tr>
        <w:tc>
          <w:tcPr/>
          <w:p>
            <w:pPr>
              <w:pStyle w:val="Compact"/>
              <w:jc w:val="left"/>
            </w:pPr>
            <w:r>
              <w:t xml:space="preserve">Melanom (Maio 2010, PMID 20194853)</w:t>
            </w:r>
          </w:p>
        </w:tc>
        <w:tc>
          <w:tcPr/>
          <w:p>
            <w:pPr>
              <w:pStyle w:val="Compact"/>
              <w:jc w:val="left"/>
            </w:pPr>
            <w:r>
              <w:t xml:space="preserve">488 Personen mit metastasiertem Melanom, RCT mit 5 Gruppen</w:t>
            </w:r>
          </w:p>
        </w:tc>
        <w:tc>
          <w:tcPr/>
          <w:p>
            <w:pPr>
              <w:pStyle w:val="Compact"/>
              <w:jc w:val="left"/>
            </w:pPr>
            <w:r>
              <w:t xml:space="preserve">bis 24 Monate</w:t>
            </w:r>
          </w:p>
        </w:tc>
        <w:tc>
          <w:tcPr/>
          <w:p>
            <w:pPr>
              <w:pStyle w:val="Compact"/>
              <w:jc w:val="left"/>
            </w:pPr>
            <w:r>
              <w:t xml:space="preserve">mehr Tumoransprechen in zwei Tα1-Gruppen; Gesamtüberleben 9,4 vs. 6,6 Monate, nicht signifikant (p = 0,08)</w:t>
            </w:r>
          </w:p>
        </w:tc>
      </w:tr>
      <w:tr>
        <w:tc>
          <w:tcPr/>
          <w:p>
            <w:pPr>
              <w:pStyle w:val="Compact"/>
              <w:jc w:val="left"/>
            </w:pPr>
            <w:r>
              <w:t xml:space="preserve">Hepatitis-B-Zirrhose (Wu 2018, PMID 30063860)</w:t>
            </w:r>
          </w:p>
        </w:tc>
        <w:tc>
          <w:tcPr/>
          <w:p>
            <w:pPr>
              <w:pStyle w:val="Compact"/>
              <w:jc w:val="left"/>
            </w:pPr>
            <w:r>
              <w:t xml:space="preserve">690 Personen, offene RCT, Tα1 plus Entecavir vs. Entecavir allein</w:t>
            </w:r>
          </w:p>
        </w:tc>
        <w:tc>
          <w:tcPr/>
          <w:p>
            <w:pPr>
              <w:pStyle w:val="Compact"/>
              <w:jc w:val="left"/>
            </w:pPr>
            <w:r>
              <w:t xml:space="preserve">median 38,2 Monate</w:t>
            </w:r>
          </w:p>
        </w:tc>
        <w:tc>
          <w:tcPr/>
          <w:p>
            <w:pPr>
              <w:pStyle w:val="Compact"/>
              <w:jc w:val="left"/>
            </w:pPr>
            <w:r>
              <w:t xml:space="preserve">kein Unterschied bei Leberversagen, Leberkrebs oder Tod</w:t>
            </w:r>
          </w:p>
        </w:tc>
      </w:tr>
      <w:tr>
        <w:tc>
          <w:tcPr/>
          <w:p>
            <w:pPr>
              <w:pStyle w:val="Compact"/>
              <w:jc w:val="left"/>
            </w:pPr>
            <w:r>
              <w:t xml:space="preserve">Hepatitis B, Japan (Iino 2005, PMID 15850471)</w:t>
            </w:r>
          </w:p>
        </w:tc>
        <w:tc>
          <w:tcPr/>
          <w:p>
            <w:pPr>
              <w:pStyle w:val="Compact"/>
              <w:jc w:val="left"/>
            </w:pPr>
            <w:r>
              <w:t xml:space="preserve">316 Personen, Vergleich zweier Dosen, keine Placebogruppe</w:t>
            </w:r>
          </w:p>
        </w:tc>
        <w:tc>
          <w:tcPr/>
          <w:p>
            <w:pPr>
              <w:pStyle w:val="Compact"/>
              <w:jc w:val="left"/>
            </w:pPr>
            <w:r>
              <w:t xml:space="preserve">24 Wochen plus 48 Wochen</w:t>
            </w:r>
          </w:p>
        </w:tc>
        <w:tc>
          <w:tcPr/>
          <w:p>
            <w:pPr>
              <w:pStyle w:val="Compact"/>
              <w:jc w:val="left"/>
            </w:pPr>
            <w:r>
              <w:t xml:space="preserve">HBe-Antigen-Verlust bei 22,8 % in der höheren Dosis</w:t>
            </w:r>
          </w:p>
        </w:tc>
      </w:tr>
      <w:tr>
        <w:tc>
          <w:tcPr/>
          <w:p>
            <w:pPr>
              <w:pStyle w:val="Compact"/>
              <w:jc w:val="left"/>
            </w:pPr>
            <w:r>
              <w:t xml:space="preserve">Hepatitis B, Phase 3 (Mutchnick 1999, PMID 10607256)</w:t>
            </w:r>
          </w:p>
        </w:tc>
        <w:tc>
          <w:tcPr/>
          <w:p>
            <w:pPr>
              <w:pStyle w:val="Compact"/>
              <w:jc w:val="left"/>
            </w:pPr>
            <w:r>
              <w:t xml:space="preserve">97 Personen, doppelblinde RCT gegen Placebo</w:t>
            </w:r>
          </w:p>
        </w:tc>
        <w:tc>
          <w:tcPr/>
          <w:p>
            <w:pPr>
              <w:pStyle w:val="Compact"/>
              <w:jc w:val="left"/>
            </w:pPr>
            <w:r>
              <w:t xml:space="preserve">12 Monate</w:t>
            </w:r>
          </w:p>
        </w:tc>
        <w:tc>
          <w:tcPr/>
          <w:p>
            <w:pPr>
              <w:pStyle w:val="Compact"/>
              <w:jc w:val="left"/>
            </w:pPr>
            <w:r>
              <w:t xml:space="preserve">vollständiges Ansprechen 14 % vs. 4 %, nicht signifikant</w:t>
            </w:r>
          </w:p>
        </w:tc>
      </w:tr>
    </w:tbl>
    <w:bookmarkEnd w:id="1011"/>
    <w:bookmarkStart w:id="1019" w:name="hepatitis-b-und-c"/>
    <w:p>
      <w:pPr>
        <w:pStyle w:val="Heading4"/>
      </w:pPr>
      <w:r>
        <w:t xml:space="preserve">Hepatitis B und C</w:t>
      </w:r>
    </w:p>
    <w:p>
      <w:pPr>
        <w:pStyle w:val="FirstParagraph"/>
      </w:pPr>
      <w:r>
        <w:t xml:space="preserve">Die Zulassungen in Asien beruhen vor allem auf Studien zur chronischen Hepatitis B aus den 1990er-Jahren. Eine randomisierte Studie mit 98 Personen fand 18 Monate nach Beginn ein vollständiges virologisches Ansprechen bei 40,6 Prozent nach sechsmonatiger Behandlung gegenüber 9,4 Prozent in der unbehandelten Kontrollgruppe</w:t>
      </w:r>
      <w:r>
        <w:rPr>
          <w:rStyle w:val="FootnoteReference"/>
        </w:rPr>
        <w:footnoteReference w:id="1012"/>
      </w:r>
      <w:r>
        <w:t xml:space="preserve">. Die doppelblinde, placebokontrollierte Phase-3-Studie konnte das nicht bestätigen: 14 Prozent vs. 4 Prozent, statistisch nicht signifikant; die Autoren schreiben selbst, die Ergebnisse bestätigten frühere Beobachtungen nicht</w:t>
      </w:r>
      <w:r>
        <w:rPr>
          <w:rStyle w:val="FootnoteReference"/>
        </w:rPr>
        <w:footnoteReference w:id="1013"/>
      </w:r>
      <w:r>
        <w:t xml:space="preserve">.</w:t>
      </w:r>
    </w:p>
    <w:p>
      <w:pPr>
        <w:pStyle w:val="BodyText"/>
      </w:pPr>
      <w:r>
        <w:t xml:space="preserve">Eine Meta-Analyse von vier kleinen Studien mit 199 Personen fand, dass Thymosin Alpha-1 am Behandlungsende schlechter, sechs Monate danach aber besser abschnitt als Interferon alpha</w:t>
      </w:r>
      <w:r>
        <w:rPr>
          <w:rStyle w:val="FootnoteReference"/>
        </w:rPr>
        <w:footnoteReference w:id="1014"/>
      </w:r>
      <w:r>
        <w:t xml:space="preserve">. Heute ist die Frage weitgehend überholt: Moderne Tabletten gegen Hepatitis B (etwa Entecavir) unterdrücken das Virus zuverlässig. In der großen Studie mit 690 Personen mit Leberzirrhose brachte die Zugabe von Thymosin Alpha-1 zu Entecavir keinen Vorteil beim Hauptendpunkt aus Leberdekompensation, Leberkrebs oder Tod</w:t>
      </w:r>
      <w:r>
        <w:rPr>
          <w:rStyle w:val="FootnoteReference"/>
        </w:rPr>
        <w:footnoteReference w:id="1015"/>
      </w:r>
      <w:r>
        <w:t xml:space="preserve">. Eine Meta-Analyse chinesischer Studien zur selben Kombination fand zwar bessere Ansprechraten nach 24 Wochen, nach 48 bis 52 Wochen aber keinen Unterschied mehr</w:t>
      </w:r>
      <w:r>
        <w:rPr>
          <w:rStyle w:val="FootnoteReference"/>
        </w:rPr>
        <w:footnoteReference w:id="1016"/>
      </w:r>
      <w:r>
        <w:t xml:space="preserve">.</w:t>
      </w:r>
    </w:p>
    <w:p>
      <w:pPr>
        <w:pStyle w:val="BodyText"/>
      </w:pPr>
      <w:r>
        <w:t xml:space="preserve">Bei einer besonders schweren Verlaufsform – dem akut-auf-chronischen Leberversagen bei Hepatitis B – lag das transplantationsfreie 90-Tage-Überleben in einer offenen Studie mit 120 Personen unter Thymosin Alpha-1 bei 75,0 Prozent gegenüber 53,4 Prozent; neue Infektionen waren seltener</w:t>
      </w:r>
      <w:r>
        <w:rPr>
          <w:rStyle w:val="FootnoteReference"/>
        </w:rPr>
        <w:footnoteReference w:id="1017"/>
      </w:r>
      <w:r>
        <w:t xml:space="preserve">. Die Studie war nicht verblindet, und in einer Analyse, die konkurrierende Risiken berücksichtigte, war der Überlebensunterschied nicht signifikant.</w:t>
      </w:r>
    </w:p>
    <w:p>
      <w:pPr>
        <w:pStyle w:val="BodyText"/>
      </w:pPr>
      <w:r>
        <w:t xml:space="preserve">Bei Hepatitis C verbesserte die Kombination mit Interferon in kleineren Studien die Werte am Behandlungsende</w:t>
      </w:r>
      <w:r>
        <w:rPr>
          <w:rStyle w:val="FootnoteReference"/>
        </w:rPr>
        <w:footnoteReference w:id="1018"/>
      </w:r>
      <w:r>
        <w:t xml:space="preserve">, das dauerhafte Ansprechen unterschied sich aber nicht wesentlich. Seit es direkt wirkende Tabletten gibt, die Hepatitis C in den allermeisten Fällen beseitigen, spielt Thymosin Alpha-1 hier keine Rolle mehr.</w:t>
      </w:r>
    </w:p>
    <w:bookmarkEnd w:id="1019"/>
    <w:bookmarkStart w:id="1024" w:name="sepsis"/>
    <w:p>
      <w:pPr>
        <w:pStyle w:val="Heading4"/>
      </w:pPr>
      <w:r>
        <w:t xml:space="preserve">Sepsis</w:t>
      </w:r>
    </w:p>
    <w:p>
      <w:pPr>
        <w:pStyle w:val="FirstParagraph"/>
      </w:pPr>
      <w:r>
        <w:t xml:space="preserve">An der Sepsis lässt sich die Entwicklung der Evidenz besonders gut zeigen. Frühe Meta-Analysen überwiegend kleiner chinesischer Studien fanden eine deutlich geringere Sterblichkeit (Li 2015, PMID 25532482: relatives Risiko 0,68 in 12 Studien mit 1.480 Personen), wiesen aber selbst auf die schlechte Qualität der Studien hin. Die erste größere randomisierte Studie (ETASS) mit 361 Personen fand eine 28-Tage-Sterblichkeit von 26,0 vs. 35,0 Prozent – knapp an der Grenze der statistischen Signifikanz, einfach verblindet</w:t>
      </w:r>
      <w:r>
        <w:rPr>
          <w:rStyle w:val="FootnoteReference"/>
        </w:rPr>
        <w:footnoteReference w:id="1020"/>
      </w:r>
      <w:r>
        <w:t xml:space="preserve">.</w:t>
      </w:r>
    </w:p>
    <w:p>
      <w:pPr>
        <w:pStyle w:val="BodyText"/>
      </w:pPr>
      <w:r>
        <w:t xml:space="preserve">Daraufhin plante dieselbe Arbeitsgruppe die bisher größte und beste Studie: TESTS, doppelblind, placebokontrolliert, 1.106 Erwachsene in 22 Zentren. Ergebnis: Die 28-Tage-Sterblichkeit betrug 23,4 Prozent unter Thymosin Alpha-1 und 24,1 Prozent unter Placebo – kein Unterschied. Auch keine Nebenzielgröße unterschied sich</w:t>
      </w:r>
      <w:r>
        <w:rPr>
          <w:rStyle w:val="FootnoteReference"/>
        </w:rPr>
        <w:footnoteReference w:id="1021"/>
      </w:r>
      <w:r>
        <w:t xml:space="preserve">. In Untergruppen deuteten sich bei über 60-Jährigen und Menschen mit Diabetes Vorteile, bei unter 60-Jährigen aber sogar Nachteile an – solche Untergruppenbefunde sind unsicher.</w:t>
      </w:r>
    </w:p>
    <w:p>
      <w:pPr>
        <w:pStyle w:val="BodyText"/>
      </w:pPr>
      <w:r>
        <w:t xml:space="preserve">Eine Meta-Analyse von 2025 mit 11 randomisierten Studien fand insgesamt eine niedrigere Sterblichkeit, aber nicht, wenn man nur die hochwertigen oder nur die Mehrzentrenstudien betrachtete; die verfügbare Datenmenge sei für eine abschließende Aussage zu klein</w:t>
      </w:r>
      <w:r>
        <w:rPr>
          <w:rStyle w:val="FootnoteReference"/>
        </w:rPr>
        <w:footnoteReference w:id="1022"/>
      </w:r>
      <w:r>
        <w:t xml:space="preserve">. Viele chinesische Studien kombinieren Thymosin Alpha-1 zudem mit Ulinastatin, einem weiteren in China verwendeten Mittel; Netzwerk-Meta-Analysen bewerten die Vertrauenswürdigkeit dieser Ergebnisse als überwiegend niedrig</w:t>
      </w:r>
      <w:r>
        <w:rPr>
          <w:rStyle w:val="FootnoteReference"/>
        </w:rPr>
        <w:footnoteReference w:id="1023"/>
      </w:r>
      <w:r>
        <w:t xml:space="preserve">.</w:t>
      </w:r>
    </w:p>
    <w:bookmarkEnd w:id="1024"/>
    <w:bookmarkStart w:id="1030" w:name="covid-19"/>
    <w:p>
      <w:pPr>
        <w:pStyle w:val="Heading4"/>
      </w:pPr>
      <w:r>
        <w:t xml:space="preserve">COVID-19</w:t>
      </w:r>
    </w:p>
    <w:p>
      <w:pPr>
        <w:pStyle w:val="FirstParagraph"/>
      </w:pPr>
      <w:r>
        <w:t xml:space="preserve">In der Pandemie wurde Thymosin Alpha-1 in China breit eingesetzt. Eine frühe rückblickende Auswertung von 76 schwer Erkrankten in Wuhan berichtete eine Sterblichkeit von 11,1 vs. 30,0 Prozent</w:t>
      </w:r>
      <w:r>
        <w:rPr>
          <w:rStyle w:val="FootnoteReference"/>
        </w:rPr>
        <w:footnoteReference w:id="1025"/>
      </w:r>
      <w:r>
        <w:t xml:space="preserve">. Eine größere rückblickende Studie in fünf Kliniken mit über 2.200 Personen fand das Gegenteil: Nach Berücksichtigung von Störfaktoren war die Behandlung mit einer höheren Rate an Nicht-Genesung verbunden</w:t>
      </w:r>
      <w:r>
        <w:rPr>
          <w:rStyle w:val="FootnoteReference"/>
        </w:rPr>
        <w:footnoteReference w:id="1026"/>
      </w:r>
      <w:r>
        <w:t xml:space="preserve">. Eine kleine randomisierte Pilotstudie mit 49 Personen fand schnellere Anstiege der T-Helferzellen, aber keinen signifikanten Unterschied bei der Genesung</w:t>
      </w:r>
      <w:r>
        <w:rPr>
          <w:rStyle w:val="FootnoteReference"/>
        </w:rPr>
        <w:footnoteReference w:id="1027"/>
      </w:r>
      <w:r>
        <w:t xml:space="preserve">.</w:t>
      </w:r>
    </w:p>
    <w:p>
      <w:pPr>
        <w:pStyle w:val="BodyText"/>
      </w:pPr>
      <w:r>
        <w:t xml:space="preserve">Zwei Meta-Analysen kamen zu gegensätzlichen Schlüssen: Eine mit 9 Studien und 5.352 Personen fand keinen Effekt auf die Sterblichkeit und rät vom Einsatz bei hospitalisierten Erwachsenen ab</w:t>
      </w:r>
      <w:r>
        <w:rPr>
          <w:rStyle w:val="FootnoteReference"/>
        </w:rPr>
        <w:footnoteReference w:id="1028"/>
      </w:r>
      <w:r>
        <w:t xml:space="preserve">; eine andere mit 8 Studien fand eine geringere Sterblichkeit, bei allerdings sehr starker Uneinheitlichkeit der Studien</w:t>
      </w:r>
      <w:r>
        <w:rPr>
          <w:rStyle w:val="FootnoteReference"/>
        </w:rPr>
        <w:footnoteReference w:id="1029"/>
      </w:r>
      <w:r>
        <w:t xml:space="preserve">. Fast alle Daten stammen aus nicht randomisierten Beobachtungsstudien. Ein Nutzen bei COVID-19 ist damit nicht belegt.</w:t>
      </w:r>
    </w:p>
    <w:bookmarkEnd w:id="1030"/>
    <w:bookmarkStart w:id="1034" w:name="krebs"/>
    <w:p>
      <w:pPr>
        <w:pStyle w:val="Heading4"/>
      </w:pPr>
      <w:r>
        <w:t xml:space="preserve">Krebs</w:t>
      </w:r>
    </w:p>
    <w:p>
      <w:pPr>
        <w:pStyle w:val="FirstParagraph"/>
      </w:pPr>
      <w:r>
        <w:t xml:space="preserve">Die größte randomisierte Krebsstudie prüfte Thymosin Alpha-1 beim metastasierten Melanom zusätzlich zur Chemotherapie mit Dacarbazin. In zwei Tα1-Gruppen sprachen mehr Tumoren an als in der Kontrollgruppe (10 bzw. 12 vs. 4 Ansprechen); das mittlere Gesamtüberleben lag bei 9,4 gegenüber 6,6 Monaten, der Unterschied war aber nicht signifikant</w:t>
      </w:r>
      <w:r>
        <w:rPr>
          <w:rStyle w:val="FootnoteReference"/>
        </w:rPr>
        <w:footnoteReference w:id="1031"/>
      </w:r>
      <w:r>
        <w:t xml:space="preserve">. Eine Zulassung folgte nicht, und die Melanomtherapie hat sich seither durch Immun-Checkpoint-Hemmer grundlegend verändert.</w:t>
      </w:r>
    </w:p>
    <w:p>
      <w:pPr>
        <w:pStyle w:val="BodyText"/>
      </w:pPr>
      <w:r>
        <w:t xml:space="preserve">Meta-Analysen chinesischer Studien zu Lungen- und Magenkrebs berichten bessere Ansprechraten, bessere Lebensqualität und weniger Nebenwirkungen der Chemotherapie, wenn Thymuspeptide ergänzt wurden (Zeng 2019, PMID 31326719: 27 Studien, 1.925 Personen; Wang 2026, PMID 42827862: 20 Studien, 1.704 Personen). Beide Arbeiten bewerten die Qualität der Evidenz aber als mittel bis sehr gering, und Daten zum Langzeitüberleben fehlen weitgehend. Eine Übersicht zu Krebsstudien von 2016 bis 2026 fand überwiegend rückblickende Beobachtungsstudien und Fallberichte aus China und eine uneinheitliche Erfassung von Nebenwirkungen</w:t>
      </w:r>
      <w:r>
        <w:rPr>
          <w:rStyle w:val="FootnoteReference"/>
        </w:rPr>
        <w:footnoteReference w:id="1032"/>
      </w:r>
      <w:r>
        <w:t xml:space="preserve">. Neuere Phase-2-Studien kombinieren Thymosin Alpha-1 mit Immun-Checkpoint-Hemmern, etwa vor der Operation von Magenkrebs mit 30 Personen</w:t>
      </w:r>
      <w:r>
        <w:rPr>
          <w:rStyle w:val="FootnoteReference"/>
        </w:rPr>
        <w:footnoteReference w:id="1033"/>
      </w:r>
      <w:r>
        <w:t xml:space="preserve">; ohne Kontrollgruppe lässt sich der Beitrag von Thymosin Alpha-1 daraus nicht ablesen.</w:t>
      </w:r>
    </w:p>
    <w:bookmarkEnd w:id="1034"/>
    <w:bookmarkStart w:id="1038" w:name="impfverstärkung"/>
    <w:p>
      <w:pPr>
        <w:pStyle w:val="Heading4"/>
      </w:pPr>
      <w:r>
        <w:t xml:space="preserve">Impfverstärkung</w:t>
      </w:r>
    </w:p>
    <w:p>
      <w:pPr>
        <w:pStyle w:val="FirstParagraph"/>
      </w:pPr>
      <w:r>
        <w:t xml:space="preserve">Schon 1989 erhielten 90 Männer zwischen 65 und 99 Jahren zusätzlich zur Grippeimpfung Thymosin Alpha-1 oder Placebo; Nebenwirkungen wurden nicht beobachtet</w:t>
      </w:r>
      <w:r>
        <w:rPr>
          <w:rStyle w:val="FootnoteReference"/>
        </w:rPr>
        <w:footnoteReference w:id="1035"/>
      </w:r>
      <w:r>
        <w:t xml:space="preserve">. Diese Idee wird heute wieder aufgegriffen, etwa bei Dialysepatientinnen und -patienten im Zusammenhang mit COVID-19</w:t>
      </w:r>
      <w:r>
        <w:rPr>
          <w:rStyle w:val="FootnoteReference"/>
        </w:rPr>
        <w:footnoteReference w:id="1036"/>
      </w:r>
      <w:r>
        <w:t xml:space="preserve"> </w:t>
      </w:r>
      <w:r>
        <w:t xml:space="preserve">und in einer laufenden Studie zur Auffrischimpfung bei älteren Menschen</w:t>
      </w:r>
      <w:r>
        <w:rPr>
          <w:rStyle w:val="FootnoteReference"/>
        </w:rPr>
        <w:footnoteReference w:id="1037"/>
      </w:r>
      <w:r>
        <w:t xml:space="preserve">. Belastbare Endpunktdaten – also weniger Erkrankungen oder Todesfälle – fehlen.</w:t>
      </w:r>
    </w:p>
    <w:bookmarkEnd w:id="1038"/>
    <w:bookmarkEnd w:id="1039"/>
    <w:bookmarkStart w:id="1041" w:name="tier--und-laborstudien-17"/>
    <w:p>
      <w:pPr>
        <w:pStyle w:val="Heading3"/>
      </w:pPr>
      <w:r>
        <w:t xml:space="preserve">Tier- und Laborstudien</w:t>
      </w:r>
    </w:p>
    <w:p>
      <w:pPr>
        <w:pStyle w:val="FirstParagraph"/>
      </w:pPr>
      <w:r>
        <w:t xml:space="preserve">Da Thymosin Alpha-1 seit Jahrzehnten am Menschen untersucht wird, spielen Tierstudien für die Bewertung eine geringere Rolle. Wichtig waren sie für die Krebsidee: In Mausmodellen für Lungenkrebs, Leukämie und Melanom sowie in einem Rattenmodell für Lebermetastasen wirkte die Kombination von Thymosin Alpha-1 mit Interferon oder Interleukin-2 und Chemotherapie besser als die Einzelbehandlungen</w:t>
      </w:r>
      <w:r>
        <w:rPr>
          <w:rStyle w:val="FootnoteReference"/>
        </w:rPr>
        <w:footnoteReference w:id="1040"/>
      </w:r>
      <w:r>
        <w:t xml:space="preserve">. Diese Befunde ließen sich am Menschen bisher nicht überzeugend wiederholen.</w:t>
      </w:r>
    </w:p>
    <w:bookmarkEnd w:id="1041"/>
    <w:bookmarkStart w:id="1050" w:name="risiken-und-nebenwirkungen-17"/>
    <w:p>
      <w:pPr>
        <w:pStyle w:val="Heading3"/>
      </w:pPr>
      <w:r>
        <w:t xml:space="preserve">Risiken und Nebenwirkungen</w:t>
      </w:r>
    </w:p>
    <w:bookmarkStart w:id="1045" w:name="belegt-1"/>
    <w:p>
      <w:pPr>
        <w:pStyle w:val="Heading4"/>
      </w:pPr>
      <w:r>
        <w:t xml:space="preserve">Belegt</w:t>
      </w:r>
    </w:p>
    <w:p>
      <w:pPr>
        <w:pStyle w:val="FirstParagraph"/>
      </w:pPr>
      <w:r>
        <w:t xml:space="preserve">Thymosin Alpha-1 gilt in den Studien als gut verträglich. In den älteren Studien wurde meist nur eine örtliche Reizung an der Einstichstelle beobachtet</w:t>
      </w:r>
      <w:r>
        <w:rPr>
          <w:rStyle w:val="FootnoteReference"/>
        </w:rPr>
        <w:footnoteReference w:id="1042"/>
      </w:r>
      <w:r>
        <w:t xml:space="preserve">. In der großen Sepsisstudie TESTS unterschieden sich die Sicherheitsendpunkte nicht von Placebo</w:t>
      </w:r>
      <w:r>
        <w:rPr>
          <w:rStyle w:val="FootnoteReference"/>
        </w:rPr>
        <w:footnoteReference w:id="1043"/>
      </w:r>
      <w:r>
        <w:t xml:space="preserve">. Bei Hepatitis B kam es teils zu Schwankungen der Leberwerte, die als Ausdruck der Immunreaktion gedeutet wurden</w:t>
      </w:r>
      <w:r>
        <w:rPr>
          <w:rStyle w:val="FootnoteReference"/>
        </w:rPr>
        <w:footnoteReference w:id="1044"/>
      </w:r>
      <w:r>
        <w:t xml:space="preserve">.</w:t>
      </w:r>
    </w:p>
    <w:bookmarkEnd w:id="1045"/>
    <w:bookmarkStart w:id="1049" w:name="zu-beachten"/>
    <w:p>
      <w:pPr>
        <w:pStyle w:val="Heading4"/>
      </w:pPr>
      <w:r>
        <w:t xml:space="preserve">Zu beachten</w:t>
      </w:r>
    </w:p>
    <w:p>
      <w:pPr>
        <w:numPr>
          <w:ilvl w:val="0"/>
          <w:numId w:val="1125"/>
        </w:numPr>
        <w:pStyle w:val="Compact"/>
      </w:pPr>
      <w:r>
        <w:rPr>
          <w:bCs/>
          <w:b/>
        </w:rPr>
        <w:t xml:space="preserve">Untergruppen mit möglichem Schaden:</w:t>
      </w:r>
      <w:r>
        <w:t xml:space="preserve"> </w:t>
      </w:r>
      <w:r>
        <w:t xml:space="preserve">In TESTS war die Sterblichkeit bei unter 60-Jährigen unter Thymosin Alpha-1 höher als unter Placebo (Hazard Ratio 1,67)</w:t>
      </w:r>
      <w:r>
        <w:rPr>
          <w:rStyle w:val="FootnoteReference"/>
        </w:rPr>
        <w:footnoteReference w:id="1046"/>
      </w:r>
      <w:r>
        <w:t xml:space="preserve">; bei COVID-19 war die Behandlung in einer großen Beobachtungsstudie mit schlechterem Verlauf verbunden</w:t>
      </w:r>
      <w:r>
        <w:rPr>
          <w:rStyle w:val="FootnoteReference"/>
        </w:rPr>
        <w:footnoteReference w:id="1047"/>
      </w:r>
      <w:r>
        <w:t xml:space="preserve">. Beides kann Zufall oder Verzerrung sein, zeigt aber, dass „harmloser Immun-Booster“ keine gesicherte Beschreibung ist.</w:t>
      </w:r>
    </w:p>
    <w:p>
      <w:pPr>
        <w:numPr>
          <w:ilvl w:val="0"/>
          <w:numId w:val="1125"/>
        </w:numPr>
        <w:pStyle w:val="Compact"/>
      </w:pPr>
      <w:r>
        <w:rPr>
          <w:bCs/>
          <w:b/>
        </w:rPr>
        <w:t xml:space="preserve">Autoimmunerkrankungen und Transplantation:</w:t>
      </w:r>
      <w:r>
        <w:t xml:space="preserve"> </w:t>
      </w:r>
      <w:r>
        <w:t xml:space="preserve">Ein Stoff, der das Immunsystem anregen soll, könnte theoretisch Autoimmunerkrankungen verstärken oder die Abstoßung transplantierter Organe begünstigen. Systematische Daten dazu fehlen.</w:t>
      </w:r>
    </w:p>
    <w:p>
      <w:pPr>
        <w:numPr>
          <w:ilvl w:val="0"/>
          <w:numId w:val="1125"/>
        </w:numPr>
        <w:pStyle w:val="Compact"/>
      </w:pPr>
      <w:r>
        <w:rPr>
          <w:bCs/>
          <w:b/>
        </w:rPr>
        <w:t xml:space="preserve">Kombination mit Immuntherapie:</w:t>
      </w:r>
      <w:r>
        <w:t xml:space="preserve"> </w:t>
      </w:r>
      <w:r>
        <w:t xml:space="preserve">Eine Übersichtsarbeit verweist auf einen Fallbericht, in dem unter einer Kombinationsbehandlung eine schwere Immunreaktion an mehreren Organen auftrat, ohne dass Thymosin Alpha-1 sicher als Ursache feststand</w:t>
      </w:r>
      <w:r>
        <w:rPr>
          <w:rStyle w:val="FootnoteReference"/>
        </w:rPr>
        <w:footnoteReference w:id="1048"/>
      </w:r>
      <w:r>
        <w:t xml:space="preserve">.</w:t>
      </w:r>
    </w:p>
    <w:p>
      <w:pPr>
        <w:numPr>
          <w:ilvl w:val="0"/>
          <w:numId w:val="1125"/>
        </w:numPr>
        <w:pStyle w:val="Compact"/>
      </w:pPr>
      <w:r>
        <w:rPr>
          <w:bCs/>
          <w:b/>
        </w:rPr>
        <w:t xml:space="preserve">Graumarkt:</w:t>
      </w:r>
      <w:r>
        <w:t xml:space="preserve"> </w:t>
      </w:r>
      <w:r>
        <w:t xml:space="preserve">Außerhalb der Länder mit Zulassung wird Thymosin Alpha-1 als „Forschungspeptid“ verkauft. Für diese Produkte gelten die Studien zu Zadaxin nicht – Reinheit, Gehalt und Sterilität sind unbekannt.</w:t>
      </w:r>
    </w:p>
    <w:bookmarkEnd w:id="1049"/>
    <w:bookmarkEnd w:id="1050"/>
    <w:bookmarkStart w:id="1053" w:name="rechtslage-17"/>
    <w:p>
      <w:pPr>
        <w:pStyle w:val="Heading3"/>
      </w:pPr>
      <w:r>
        <w:t xml:space="preserve">Rechtslage</w:t>
      </w:r>
    </w:p>
    <w:p>
      <w:pPr>
        <w:pStyle w:val="FirstParagraph"/>
      </w:pPr>
      <w:r>
        <w:rPr>
          <w:iCs/>
          <w:i/>
        </w:rPr>
        <w:t xml:space="preserve">Stand 2026, bitte aktuell prüfen.</w:t>
      </w:r>
    </w:p>
    <w:p>
      <w:pPr>
        <w:numPr>
          <w:ilvl w:val="0"/>
          <w:numId w:val="1126"/>
        </w:numPr>
        <w:pStyle w:val="Compact"/>
      </w:pPr>
      <w:r>
        <w:rPr>
          <w:bCs/>
          <w:b/>
        </w:rPr>
        <w:t xml:space="preserve">EU, Deutschland, Österreich:</w:t>
      </w:r>
      <w:r>
        <w:t xml:space="preserve"> </w:t>
      </w:r>
      <w:r>
        <w:t xml:space="preserve">keine Zulassung als Arzneimittel. Eine Verordnung im Einzelfall über Einzelimport aus einem Land mit Zulassung kann nach nationalem Recht unter engen Voraussetzungen möglich sein; der Verkauf als „Research Peptide“ zur Anwendung am Menschen ist nicht erlaubt.</w:t>
      </w:r>
    </w:p>
    <w:p>
      <w:pPr>
        <w:numPr>
          <w:ilvl w:val="0"/>
          <w:numId w:val="1126"/>
        </w:numPr>
        <w:pStyle w:val="Compact"/>
      </w:pPr>
      <w:r>
        <w:rPr>
          <w:bCs/>
          <w:b/>
        </w:rPr>
        <w:t xml:space="preserve">USA:</w:t>
      </w:r>
      <w:r>
        <w:t xml:space="preserve"> </w:t>
      </w:r>
      <w:r>
        <w:t xml:space="preserve">keine FDA-Zulassung. 2023 nahm die FDA Thymosin Alpha-1 zusammen mit weiteren Peptiden in die Liste der Stoffe mit Sicherheitsbedenken für die Rezepturherstellung auf; Befürworter kritisieren das</w:t>
      </w:r>
      <w:r>
        <w:rPr>
          <w:rStyle w:val="FootnoteReference"/>
        </w:rPr>
        <w:footnoteReference w:id="1051"/>
      </w:r>
      <w:r>
        <w:t xml:space="preserve">. Die Einstufung von Peptiden wird im Beratungsgremium der FDA weiter diskutiert</w:t>
      </w:r>
      <w:r>
        <w:rPr>
          <w:rStyle w:val="FootnoteReference"/>
        </w:rPr>
        <w:footnoteReference w:id="1052"/>
      </w:r>
      <w:r>
        <w:t xml:space="preserve">.</w:t>
      </w:r>
    </w:p>
    <w:p>
      <w:pPr>
        <w:numPr>
          <w:ilvl w:val="0"/>
          <w:numId w:val="1126"/>
        </w:numPr>
        <w:pStyle w:val="Compact"/>
      </w:pPr>
      <w:r>
        <w:rPr>
          <w:bCs/>
          <w:b/>
        </w:rPr>
        <w:t xml:space="preserve">China und weitere Länder:</w:t>
      </w:r>
      <w:r>
        <w:t xml:space="preserve"> </w:t>
      </w:r>
      <w:r>
        <w:t xml:space="preserve">als Zadaxin bzw. Thymalfasin zugelassen; in China gibt es auch eine Reihe von Nachahmerpräparaten.</w:t>
      </w:r>
    </w:p>
    <w:p>
      <w:pPr>
        <w:numPr>
          <w:ilvl w:val="0"/>
          <w:numId w:val="1126"/>
        </w:numPr>
        <w:pStyle w:val="Compact"/>
      </w:pPr>
      <w:r>
        <w:rPr>
          <w:bCs/>
          <w:b/>
        </w:rPr>
        <w:t xml:space="preserve">WADA:</w:t>
      </w:r>
      <w:r>
        <w:t xml:space="preserve"> </w:t>
      </w:r>
      <w:r>
        <w:t xml:space="preserve">nicht ausdrücklich auf der Verbotsliste. Sportlerinnen und Sportler sollten sich dennoch vor einer Anwendung bei ihrer nationalen Anti-Doping-Agentur erkundigen.</w:t>
      </w:r>
    </w:p>
    <w:bookmarkEnd w:id="1053"/>
    <w:bookmarkStart w:id="1058" w:name="laufende-studien-und-ausblick-17"/>
    <w:p>
      <w:pPr>
        <w:pStyle w:val="Heading3"/>
      </w:pPr>
      <w:r>
        <w:t xml:space="preserve">Laufende Studien und Ausblick</w:t>
      </w:r>
    </w:p>
    <w:p>
      <w:pPr>
        <w:pStyle w:val="FirstParagraph"/>
      </w:pPr>
      <w:r>
        <w:rPr>
          <w:bCs/>
          <w:b/>
        </w:rPr>
        <w:t xml:space="preserve">Gesichert (laut Register):</w:t>
      </w:r>
    </w:p>
    <w:p>
      <w:pPr>
        <w:numPr>
          <w:ilvl w:val="0"/>
          <w:numId w:val="1127"/>
        </w:numPr>
        <w:pStyle w:val="Compact"/>
      </w:pPr>
      <w:r>
        <w:rPr>
          <w:bCs/>
          <w:b/>
        </w:rPr>
        <w:t xml:space="preserve">Darmkrebs nach Operation</w:t>
      </w:r>
      <w:r>
        <w:rPr>
          <w:rStyle w:val="FootnoteReference"/>
        </w:rPr>
        <w:footnoteReference w:id="1054"/>
      </w:r>
      <w:r>
        <w:rPr>
          <w:bCs/>
          <w:b/>
        </w:rPr>
        <w:t xml:space="preserve">:</w:t>
      </w:r>
      <w:r>
        <w:t xml:space="preserve"> </w:t>
      </w:r>
      <w:r>
        <w:t xml:space="preserve">Phase-3-Studie der Fudan-Universität in Shanghai, geplant 2.500 Personen mit Darmkrebs im Stadium II oder III, Hauptzielgröße krankheitsfreies Überleben nach drei Jahren; Ende geschätzt März 2027. Die Studie ist nur einfach verblindet.</w:t>
      </w:r>
    </w:p>
    <w:p>
      <w:pPr>
        <w:numPr>
          <w:ilvl w:val="0"/>
          <w:numId w:val="1127"/>
        </w:numPr>
        <w:pStyle w:val="Compact"/>
      </w:pPr>
      <w:r>
        <w:rPr>
          <w:bCs/>
          <w:b/>
        </w:rPr>
        <w:t xml:space="preserve">Krebs und Immuntherapie:</w:t>
      </w:r>
      <w:r>
        <w:t xml:space="preserve"> </w:t>
      </w:r>
      <w:r>
        <w:t xml:space="preserve">zahlreiche kleinere chinesische Phase-2-Studien, die Thymosin Alpha-1 mit Immun-Checkpoint-Hemmern und Chemo- oder Strahlentherapie kombinieren, zum Beispiel bei dreifach negativem Brustkrebs mit geplant 572 Personen</w:t>
      </w:r>
      <w:r>
        <w:rPr>
          <w:rStyle w:val="FootnoteReference"/>
        </w:rPr>
        <w:footnoteReference w:id="1055"/>
      </w:r>
      <w:r>
        <w:t xml:space="preserve">.</w:t>
      </w:r>
    </w:p>
    <w:p>
      <w:pPr>
        <w:numPr>
          <w:ilvl w:val="0"/>
          <w:numId w:val="1127"/>
        </w:numPr>
        <w:pStyle w:val="Compact"/>
      </w:pPr>
      <w:r>
        <w:rPr>
          <w:bCs/>
          <w:b/>
        </w:rPr>
        <w:t xml:space="preserve">Sepsis:</w:t>
      </w:r>
      <w:r>
        <w:t xml:space="preserve"> </w:t>
      </w:r>
      <w:r>
        <w:t xml:space="preserve">eine kleinere Studie zur Erholung der Immunfunktion bei 60 Personen</w:t>
      </w:r>
      <w:r>
        <w:rPr>
          <w:rStyle w:val="FootnoteReference"/>
        </w:rPr>
        <w:footnoteReference w:id="1056"/>
      </w:r>
      <w:r>
        <w:t xml:space="preserve">.</w:t>
      </w:r>
    </w:p>
    <w:p>
      <w:pPr>
        <w:numPr>
          <w:ilvl w:val="0"/>
          <w:numId w:val="1127"/>
        </w:numPr>
        <w:pStyle w:val="Compact"/>
      </w:pPr>
      <w:r>
        <w:rPr>
          <w:bCs/>
          <w:b/>
        </w:rPr>
        <w:t xml:space="preserve">Impfantwort bei Älteren</w:t>
      </w:r>
      <w:r>
        <w:rPr>
          <w:rStyle w:val="FootnoteReference"/>
        </w:rPr>
        <w:footnoteReference w:id="1057"/>
      </w:r>
      <w:r>
        <w:rPr>
          <w:bCs/>
          <w:b/>
        </w:rPr>
        <w:t xml:space="preserve">:</w:t>
      </w:r>
      <w:r>
        <w:t xml:space="preserve"> </w:t>
      </w:r>
      <w:r>
        <w:t xml:space="preserve">Phase 1, geplant 75 Personen.</w:t>
      </w:r>
    </w:p>
    <w:p>
      <w:pPr>
        <w:pStyle w:val="FirstParagraph"/>
      </w:pPr>
      <w:r>
        <w:rPr>
          <w:bCs/>
          <w:b/>
        </w:rPr>
        <w:t xml:space="preserve">Einschätzung des Autors:</w:t>
      </w:r>
      <w:r>
        <w:t xml:space="preserve"> </w:t>
      </w:r>
      <w:r>
        <w:t xml:space="preserve">Die große Darmkrebsstudie ist die wichtigste offene Frage. Fällt sie positiv aus, wäre das der erste große Beleg für einen Nutzen bei einer Krebserkrankung – wegen der fehlenden Doppelverblindung aber mit Vorbehalt. Bei Sepsis dürfte TESTS die Frage für die breite Anwendung vorerst beantwortet haben; künftige Studien werden sich auf Untergruppen mit nachgewiesener Immunschwäche konzentrieren. Eine Zulassung in der EU oder den USA ist in den nächsten Jahren nicht zu erwarten.</w:t>
      </w:r>
    </w:p>
    <w:bookmarkEnd w:id="1058"/>
    <w:bookmarkStart w:id="1062" w:name="fazit-17"/>
    <w:p>
      <w:pPr>
        <w:pStyle w:val="Heading3"/>
      </w:pPr>
      <w:r>
        <w:t xml:space="preserve">Fazit</w:t>
      </w:r>
    </w:p>
    <w:p>
      <w:pPr>
        <w:pStyle w:val="FirstParagraph"/>
      </w:pPr>
      <w:r>
        <w:t xml:space="preserve">Thymosin Alpha-1 ist das am besten untersuchte Peptid dieser Gruppe und in einigen Ländern ein zugelassenes Medikament. Die frühen, kleinen Studien wirkten vielversprechend, doch die großen, sorgfältig verblindeten Studien zeigten bei Sepsis</w:t>
      </w:r>
      <w:r>
        <w:rPr>
          <w:rStyle w:val="FootnoteReference"/>
        </w:rPr>
        <w:footnoteReference w:id="1059"/>
      </w:r>
      <w:r>
        <w:t xml:space="preserve">, schwerer Bauchspeicheldrüsenentzündung</w:t>
      </w:r>
      <w:r>
        <w:rPr>
          <w:rStyle w:val="FootnoteReference"/>
        </w:rPr>
        <w:footnoteReference w:id="1060"/>
      </w:r>
      <w:r>
        <w:t xml:space="preserve"> </w:t>
      </w:r>
      <w:r>
        <w:t xml:space="preserve">und Hepatitis-B-Zirrhose</w:t>
      </w:r>
      <w:r>
        <w:rPr>
          <w:rStyle w:val="FootnoteReference"/>
        </w:rPr>
        <w:footnoteReference w:id="1061"/>
      </w:r>
      <w:r>
        <w:t xml:space="preserve"> </w:t>
      </w:r>
      <w:r>
        <w:t xml:space="preserve">keinen Vorteil bei ihren Hauptzielgrößen. Bei COVID-19 und Krebs beruhen positive Aussagen überwiegend auf Beobachtungsstudien und Studien geringer Qualität. Das Peptid ist in Studien gut verträglich – ein belegter Nutzen als allgemeiner „Immun-Booster“ für Gesunde existiert aber nicht.</w:t>
      </w:r>
    </w:p>
    <w:bookmarkEnd w:id="1062"/>
    <w:bookmarkEnd w:id="1063"/>
    <w:bookmarkStart w:id="1086" w:name="kpv"/>
    <w:p>
      <w:pPr>
        <w:pStyle w:val="Heading2"/>
      </w:pPr>
      <w:r>
        <w:t xml:space="preserve">KPV</w:t>
      </w:r>
    </w:p>
    <w:p>
      <w:pPr>
        <w:pStyle w:val="FirstParagraph"/>
      </w:pPr>
      <w:r>
        <w:t xml:space="preserve">KPV ist das kleinste Peptid dieses Buches: nur drei Aminosäuren lang. Im Internet wird es als entzündungshemmendes Mittel für Darm und Haut angeboten, oft als Kapsel oder Creme, manchmal zur Injektion. Die wissenschaftliche Grundlage dafür sind Zellversuche und Mausmodelle – Studien am Menschen gibt es nicht.</w:t>
      </w:r>
    </w:p>
    <w:bookmarkStart w:id="1065" w:name="steckbrief-18"/>
    <w:p>
      <w:pPr>
        <w:pStyle w:val="Heading3"/>
      </w:pPr>
      <w:r>
        <w:t xml:space="preserve">Steckbrief</w:t>
      </w:r>
    </w:p>
    <w:p>
      <w:pPr>
        <w:numPr>
          <w:ilvl w:val="0"/>
          <w:numId w:val="1128"/>
        </w:numPr>
        <w:pStyle w:val="Compact"/>
      </w:pPr>
      <w:r>
        <w:rPr>
          <w:bCs/>
          <w:b/>
        </w:rPr>
        <w:t xml:space="preserve">Art und Struktur:</w:t>
      </w:r>
      <w:r>
        <w:t xml:space="preserve"> </w:t>
      </w:r>
      <w:r>
        <w:t xml:space="preserve">Tripeptid aus den Aminosäuren Lysin, Prolin und Valin (Lys-Pro-Val, daher KPV).</w:t>
      </w:r>
    </w:p>
    <w:p>
      <w:pPr>
        <w:numPr>
          <w:ilvl w:val="0"/>
          <w:numId w:val="1128"/>
        </w:numPr>
        <w:pStyle w:val="Compact"/>
      </w:pPr>
      <w:r>
        <w:rPr>
          <w:bCs/>
          <w:b/>
        </w:rPr>
        <w:t xml:space="preserve">Herkunft:</w:t>
      </w:r>
      <w:r>
        <w:t xml:space="preserve"> </w:t>
      </w:r>
      <w:r>
        <w:t xml:space="preserve">entspricht den letzten drei Aminosäuren (Position 11 bis 13) des körpereigenen Hormons Alpha-MSH (Alpha-Melanozyten-stimulierendes Hormon), das unter anderem an der Hautbräunung und an der Entzündungssteuerung beteiligt ist</w:t>
      </w:r>
      <w:r>
        <w:rPr>
          <w:rStyle w:val="FootnoteReference"/>
        </w:rPr>
        <w:footnoteReference w:id="1064"/>
      </w:r>
      <w:r>
        <w:t xml:space="preserve">.</w:t>
      </w:r>
    </w:p>
    <w:p>
      <w:pPr>
        <w:numPr>
          <w:ilvl w:val="0"/>
          <w:numId w:val="1128"/>
        </w:numPr>
        <w:pStyle w:val="Compact"/>
      </w:pPr>
      <w:r>
        <w:rPr>
          <w:bCs/>
          <w:b/>
        </w:rPr>
        <w:t xml:space="preserve">Wirkprinzip (vermutet, aus Labor- und Tierstudien):</w:t>
      </w:r>
      <w:r>
        <w:t xml:space="preserve"> </w:t>
      </w:r>
      <w:r>
        <w:t xml:space="preserve">Hemmung entzündungsfördernder Signalwege in Darm- und Immunzellen nach Aufnahme über den Peptidtransporter PepT1.</w:t>
      </w:r>
    </w:p>
    <w:p>
      <w:pPr>
        <w:numPr>
          <w:ilvl w:val="0"/>
          <w:numId w:val="1128"/>
        </w:numPr>
        <w:pStyle w:val="Compact"/>
      </w:pPr>
      <w:r>
        <w:rPr>
          <w:bCs/>
          <w:b/>
        </w:rPr>
        <w:t xml:space="preserve">Zulassung EU/USA:</w:t>
      </w:r>
      <w:r>
        <w:t xml:space="preserve"> </w:t>
      </w:r>
      <w:r>
        <w:t xml:space="preserve">nein.</w:t>
      </w:r>
    </w:p>
    <w:p>
      <w:pPr>
        <w:numPr>
          <w:ilvl w:val="0"/>
          <w:numId w:val="1128"/>
        </w:numPr>
        <w:pStyle w:val="Compact"/>
      </w:pPr>
      <w:r>
        <w:rPr>
          <w:bCs/>
          <w:b/>
        </w:rPr>
        <w:t xml:space="preserve">WADA:</w:t>
      </w:r>
      <w:r>
        <w:t xml:space="preserve"> </w:t>
      </w:r>
      <w:r>
        <w:t xml:space="preserve">nicht ausdrücklich gelistet; als nicht zugelassene Substanz fällt es nach Auffassung des Autors unter die Gruppe S0.</w:t>
      </w:r>
    </w:p>
    <w:p>
      <w:pPr>
        <w:numPr>
          <w:ilvl w:val="0"/>
          <w:numId w:val="1128"/>
        </w:numPr>
        <w:pStyle w:val="Compact"/>
      </w:pPr>
      <w:r>
        <w:rPr>
          <w:bCs/>
          <w:b/>
        </w:rPr>
        <w:t xml:space="preserve">Evidenzstufe: D</w:t>
      </w:r>
      <w:r>
        <w:t xml:space="preserve"> </w:t>
      </w:r>
      <w:r>
        <w:t xml:space="preserve">– keine veröffentlichte Studie am Menschen.</w:t>
      </w:r>
    </w:p>
    <w:bookmarkEnd w:id="1065"/>
    <w:bookmarkStart w:id="1070" w:name="wie-es-wirken-soll-18"/>
    <w:p>
      <w:pPr>
        <w:pStyle w:val="Heading3"/>
      </w:pPr>
      <w:r>
        <w:t xml:space="preserve">Wie es wirken soll</w:t>
      </w:r>
    </w:p>
    <w:p>
      <w:pPr>
        <w:pStyle w:val="FirstParagraph"/>
      </w:pPr>
      <w:r>
        <w:t xml:space="preserve">Alpha-MSH ist vor allem als Bräunungshormon bekannt, wirkt aber auch entzündungshemmend. Schon in den 1990er-Jahren fiel Forschenden auf, dass ein Teil dieser Wirkung an den letzten drei Aminosäuren hängt. In menschlichem Blut von HIV-Infizierten senkten Alpha-MSH und sein Endstück KPV im Reagenzglas die Bildung der Entzündungsbotenstoffe Interleukin-1 und TNF-alpha</w:t>
      </w:r>
      <w:r>
        <w:rPr>
          <w:rStyle w:val="FootnoteReference"/>
        </w:rPr>
        <w:footnoteReference w:id="1066"/>
      </w:r>
      <w:r>
        <w:t xml:space="preserve">.</w:t>
      </w:r>
    </w:p>
    <w:p>
      <w:pPr>
        <w:pStyle w:val="BodyText"/>
      </w:pPr>
      <w:r>
        <w:t xml:space="preserve">Anders als das vollständige Hormon wirkt KPV offenbar nicht über die klassischen Melanocortin-Rezeptoren. Bei Mäusen mit einer Bauchfellentzündung hemmte KPV die Einwanderung von Entzündungszellen, ohne den typischen Botenstoff cAMP zu erhöhen; die Autoren vermuten eine Hemmung der Interleukin-1-Wirkung</w:t>
      </w:r>
      <w:r>
        <w:rPr>
          <w:rStyle w:val="FootnoteReference"/>
        </w:rPr>
        <w:footnoteReference w:id="1067"/>
      </w:r>
      <w:r>
        <w:t xml:space="preserve">. Das hat einen praktischen Vorteil: KPV sollte, anders als Melanotan oder Alpha-MSH-Abkömmlinge, die Haut nicht bräunen.</w:t>
      </w:r>
    </w:p>
    <w:p>
      <w:pPr>
        <w:pStyle w:val="BodyText"/>
      </w:pPr>
      <w:r>
        <w:t xml:space="preserve">Ein zweiter Mechanismus betrifft den Darm. Dort sitzt der Transporter PepT1, der normalerweise kleine Eiweißbruchstücke aus der Nahrung aufnimmt. Bei chronisch-entzündlichen Darmerkrankungen wird PepT1 auch im Dickdarm vermehrt gebildet. In Zellkulturen menschlicher Darm- und Immunzellen wurde KPV über PepT1 aufgenommen und hemmte in sehr niedrigen Konzentrationen die Entzündungsschalter NF-kappaB und MAP-Kinasen</w:t>
      </w:r>
      <w:r>
        <w:rPr>
          <w:rStyle w:val="FootnoteReference"/>
        </w:rPr>
        <w:footnoteReference w:id="1068"/>
      </w:r>
      <w:r>
        <w:t xml:space="preserve">. Daraus entstand die Idee, KPV als Tablette gegen Darmentzündungen einzusetzen.</w:t>
      </w:r>
    </w:p>
    <w:p>
      <w:pPr>
        <w:pStyle w:val="BodyText"/>
      </w:pPr>
      <w:r>
        <w:t xml:space="preserve">Zusätzlich hemmten Alpha-MSH und KPV im Labor das Wachstum des Bakteriums Staphylococcus aureus und des Hefepilzes Candida albicans</w:t>
      </w:r>
      <w:r>
        <w:rPr>
          <w:rStyle w:val="FootnoteReference"/>
        </w:rPr>
        <w:footnoteReference w:id="1069"/>
      </w:r>
      <w:r>
        <w:t xml:space="preserve">.</w:t>
      </w:r>
    </w:p>
    <w:bookmarkEnd w:id="1070"/>
    <w:bookmarkStart w:id="1075" w:name="studien-am-menschen-1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0</w:t>
      </w:r>
      <w:r>
        <w:t xml:space="preserve"> </w:t>
      </w:r>
      <w:r>
        <w:t xml:space="preserve">Humanstudien in PubMed und</w:t>
      </w:r>
      <w:r>
        <w:t xml:space="preserve"> </w:t>
      </w:r>
      <w:r>
        <w:rPr>
          <w:bCs/>
          <w:b/>
        </w:rPr>
        <w:t xml:space="preserve">0</w:t>
      </w:r>
      <w:r>
        <w:t xml:space="preserve"> </w:t>
      </w:r>
      <w:r>
        <w:t xml:space="preserve">Einträge bei ClinicalTrials.gov. Auch eine gezielte Nachsuche nach Pilotstudien, Fallberichten oder Nebenwirkungsmeldungen ergab keine Veröffentlichung, in der Menschen KPV erhalten haben.</w:t>
      </w:r>
    </w:p>
    <w:p>
      <w:pPr>
        <w:pStyle w:val="BodyText"/>
      </w:pPr>
      <w:r>
        <w:t xml:space="preserve">Was es gibt, sind Laborversuche mit menschlichen Zellen oder Geweben, etwa:</w:t>
      </w:r>
    </w:p>
    <w:p>
      <w:pPr>
        <w:numPr>
          <w:ilvl w:val="0"/>
          <w:numId w:val="1129"/>
        </w:numPr>
        <w:pStyle w:val="Compact"/>
      </w:pPr>
      <w:r>
        <w:t xml:space="preserve">Blutproben von HIV-Infizierten, in denen KPV die Bildung von Entzündungsbotenstoffen senkte</w:t>
      </w:r>
      <w:r>
        <w:rPr>
          <w:rStyle w:val="FootnoteReference"/>
        </w:rPr>
        <w:footnoteReference w:id="1071"/>
      </w:r>
      <w:r>
        <w:t xml:space="preserve">,</w:t>
      </w:r>
    </w:p>
    <w:p>
      <w:pPr>
        <w:numPr>
          <w:ilvl w:val="0"/>
          <w:numId w:val="1129"/>
        </w:numPr>
        <w:pStyle w:val="Compact"/>
      </w:pPr>
      <w:r>
        <w:t xml:space="preserve">menschliche Hautzelllinien</w:t>
      </w:r>
      <w:r>
        <w:rPr>
          <w:rStyle w:val="FootnoteReference"/>
        </w:rPr>
        <w:footnoteReference w:id="1072"/>
      </w:r>
      <w:r>
        <w:t xml:space="preserve">,</w:t>
      </w:r>
    </w:p>
    <w:p>
      <w:pPr>
        <w:numPr>
          <w:ilvl w:val="0"/>
          <w:numId w:val="1129"/>
        </w:numPr>
        <w:pStyle w:val="Compact"/>
      </w:pPr>
      <w:r>
        <w:t xml:space="preserve">gespendete menschliche Haut, an der getestet wurde, ob KPV mit Mikronadeln und schwachem Strom durch die Haut gelangt – ohne Hilfsmittel drang es nicht messbar ein</w:t>
      </w:r>
      <w:r>
        <w:rPr>
          <w:rStyle w:val="FootnoteReference"/>
        </w:rPr>
        <w:footnoteReference w:id="1073"/>
      </w:r>
      <w:r>
        <w:t xml:space="preserve">.</w:t>
      </w:r>
    </w:p>
    <w:p>
      <w:pPr>
        <w:pStyle w:val="FirstParagraph"/>
      </w:pPr>
      <w:r>
        <w:t xml:space="preserve">Diese Arbeiten sagen etwas über Mechanismen und Arzneiformen aus, aber nichts über Wirksamkeit oder Sicherheit beim Menschen.</w:t>
      </w:r>
    </w:p>
    <w:p>
      <w:pPr>
        <w:pStyle w:val="BodyText"/>
      </w:pPr>
      <w:r>
        <w:t xml:space="preserve">Ein naher Verwandter, das künstliche Doppelmolekül (CKPV)2, wurde Mitte der 2000er-Jahre als Mittel gegen Pilzinfektionen klinisch untersucht; eine Arbeit von 2006 erwähnt, dass es sich „derzeit in klinischer Prüfung“ befinde</w:t>
      </w:r>
      <w:r>
        <w:rPr>
          <w:rStyle w:val="FootnoteReference"/>
        </w:rPr>
        <w:footnoteReference w:id="1074"/>
      </w:r>
      <w:r>
        <w:t xml:space="preserve">. Ergebnisse dieser Studien sind in PubMed nicht veröffentlicht. (CKPV)2 ist zudem ein anderer Stoff als das im Internet verkaufte KPV.</w:t>
      </w:r>
    </w:p>
    <w:bookmarkEnd w:id="1075"/>
    <w:bookmarkStart w:id="1076" w:name="tier--und-laborstudien-18"/>
    <w:p>
      <w:pPr>
        <w:pStyle w:val="Heading3"/>
      </w:pPr>
      <w:r>
        <w:t xml:space="preserve">Tier- und Laborstudien</w:t>
      </w:r>
    </w:p>
    <w:p>
      <w:pPr>
        <w:pStyle w:val="FirstParagraph"/>
      </w:pPr>
      <w:r>
        <w:t xml:space="preserve">Der Schwerpunkt der Forschung liegt bei chronisch-entzündlichen Darmerkrankungen. Alle folgenden Ergebnisse stammen aus Mausversuchen: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Dalmasso 2008, PMID 18061177</w:t>
            </w:r>
          </w:p>
        </w:tc>
        <w:tc>
          <w:tcPr/>
          <w:p>
            <w:pPr>
              <w:pStyle w:val="Compact"/>
              <w:jc w:val="left"/>
            </w:pPr>
            <w:r>
              <w:t xml:space="preserve">chemisch ausgelöste Kolitis bei Mäusen, KPV im Trinkwasser</w:t>
            </w:r>
          </w:p>
        </w:tc>
        <w:tc>
          <w:tcPr/>
          <w:p>
            <w:pPr>
              <w:pStyle w:val="Compact"/>
              <w:jc w:val="left"/>
            </w:pPr>
            <w:r>
              <w:t xml:space="preserve">weniger Entzündung, weniger Entzündungsbotenstoffe</w:t>
            </w:r>
          </w:p>
        </w:tc>
      </w:tr>
      <w:tr>
        <w:tc>
          <w:tcPr/>
          <w:p>
            <w:pPr>
              <w:pStyle w:val="Compact"/>
              <w:jc w:val="left"/>
            </w:pPr>
            <w:r>
              <w:t xml:space="preserve">Kannengiesser 2008, PMID 18092346</w:t>
            </w:r>
          </w:p>
        </w:tc>
        <w:tc>
          <w:tcPr/>
          <w:p>
            <w:pPr>
              <w:pStyle w:val="Compact"/>
              <w:jc w:val="left"/>
            </w:pPr>
            <w:r>
              <w:t xml:space="preserve">zwei Kolitis-Modelle bei Mäusen</w:t>
            </w:r>
          </w:p>
        </w:tc>
        <w:tc>
          <w:tcPr/>
          <w:p>
            <w:pPr>
              <w:pStyle w:val="Compact"/>
              <w:jc w:val="left"/>
            </w:pPr>
            <w:r>
              <w:t xml:space="preserve">schnellere Erholung, weniger Entzündungszellen; in einem Modell überlebten alle behandelten Tiere</w:t>
            </w:r>
          </w:p>
        </w:tc>
      </w:tr>
      <w:tr>
        <w:tc>
          <w:tcPr/>
          <w:p>
            <w:pPr>
              <w:pStyle w:val="Compact"/>
              <w:jc w:val="left"/>
            </w:pPr>
            <w:r>
              <w:t xml:space="preserve">Viennois 2016, PMID 27458604</w:t>
            </w:r>
          </w:p>
        </w:tc>
        <w:tc>
          <w:tcPr/>
          <w:p>
            <w:pPr>
              <w:pStyle w:val="Compact"/>
              <w:jc w:val="left"/>
            </w:pPr>
            <w:r>
              <w:t xml:space="preserve">entzündungsbedingter Darmkrebs bei Mäusen</w:t>
            </w:r>
          </w:p>
        </w:tc>
        <w:tc>
          <w:tcPr/>
          <w:p>
            <w:pPr>
              <w:pStyle w:val="Compact"/>
              <w:jc w:val="left"/>
            </w:pPr>
            <w:r>
              <w:t xml:space="preserve">KPV verhinderte die Tumorentstehung, aber nur bei Mäusen mit funktionierendem PepT1</w:t>
            </w:r>
          </w:p>
        </w:tc>
      </w:tr>
      <w:tr>
        <w:tc>
          <w:tcPr/>
          <w:p>
            <w:pPr>
              <w:pStyle w:val="Compact"/>
              <w:jc w:val="left"/>
            </w:pPr>
            <w:r>
              <w:t xml:space="preserve">Xiao 2017, PMID 28143741</w:t>
            </w:r>
          </w:p>
        </w:tc>
        <w:tc>
          <w:tcPr/>
          <w:p>
            <w:pPr>
              <w:pStyle w:val="Compact"/>
              <w:jc w:val="left"/>
            </w:pPr>
            <w:r>
              <w:t xml:space="preserve">Kolitis bei Mäusen, KPV in Nanopartikeln</w:t>
            </w:r>
          </w:p>
        </w:tc>
        <w:tc>
          <w:tcPr/>
          <w:p>
            <w:pPr>
              <w:pStyle w:val="Compact"/>
              <w:jc w:val="left"/>
            </w:pPr>
            <w:r>
              <w:t xml:space="preserve">stärkere Wirkung als ungebundenes KPV</w:t>
            </w:r>
          </w:p>
        </w:tc>
      </w:tr>
    </w:tbl>
    <w:p>
      <w:pPr>
        <w:pStyle w:val="BodyText"/>
      </w:pPr>
      <w:r>
        <w:t xml:space="preserve">Weitere Arbeiten untersuchen KPV in Hydrogelen für Wunden und Schleimhaut, in Nanopartikeln gegen Gefäßverkalkung oder im Stoffwechsel von Fettzellen – fast ausschließlich in Zellkultur oder an Nagetieren. Auffällig ist, dass ein großer Teil der neueren Literatur Arzneiformen entwickelt (Nanopartikel, Gele, Pflaster). Das zeigt, dass KPV allein als Tablette oder Creme offenbar nicht gut genug an den Wirkort gelangt – ein Punkt, der für die frei verkauften Produkte relevant ist.</w:t>
      </w:r>
    </w:p>
    <w:bookmarkEnd w:id="1076"/>
    <w:bookmarkStart w:id="1081" w:name="risiken-und-nebenwirkungen-18"/>
    <w:p>
      <w:pPr>
        <w:pStyle w:val="Heading3"/>
      </w:pPr>
      <w:r>
        <w:t xml:space="preserve">Risiken und Nebenwirkungen</w:t>
      </w:r>
    </w:p>
    <w:bookmarkStart w:id="1077" w:name="belegt-2"/>
    <w:p>
      <w:pPr>
        <w:pStyle w:val="Heading4"/>
      </w:pPr>
      <w:r>
        <w:t xml:space="preserve">Belegt</w:t>
      </w:r>
    </w:p>
    <w:p>
      <w:pPr>
        <w:pStyle w:val="FirstParagraph"/>
      </w:pPr>
      <w:r>
        <w:t xml:space="preserve">Keine – weil es keine Humanstudien gibt. Das Fehlen gemeldeter Nebenwirkungen ist hier kein Hinweis auf Sicherheit.</w:t>
      </w:r>
    </w:p>
    <w:bookmarkEnd w:id="1077"/>
    <w:bookmarkStart w:id="1080" w:name="theoretisch"/>
    <w:p>
      <w:pPr>
        <w:pStyle w:val="Heading4"/>
      </w:pPr>
      <w:r>
        <w:t xml:space="preserve">Theoretisch</w:t>
      </w:r>
    </w:p>
    <w:p>
      <w:pPr>
        <w:numPr>
          <w:ilvl w:val="0"/>
          <w:numId w:val="1130"/>
        </w:numPr>
        <w:pStyle w:val="Compact"/>
      </w:pPr>
      <w:r>
        <w:rPr>
          <w:bCs/>
          <w:b/>
        </w:rPr>
        <w:t xml:space="preserve">Dämpfung der Abwehr:</w:t>
      </w:r>
      <w:r>
        <w:t xml:space="preserve"> </w:t>
      </w:r>
      <w:r>
        <w:t xml:space="preserve">Ein Stoff, der Entzündungssignale hemmt, könnte grundsätzlich auch die Infektabwehr beeinträchtigen. Die Laborbefunde deuten eher auf eine eigene antimikrobielle Wirkung hin</w:t>
      </w:r>
      <w:r>
        <w:rPr>
          <w:rStyle w:val="FootnoteReference"/>
        </w:rPr>
        <w:footnoteReference w:id="1078"/>
      </w:r>
      <w:r>
        <w:t xml:space="preserve">, Daten am Menschen fehlen aber.</w:t>
      </w:r>
    </w:p>
    <w:p>
      <w:pPr>
        <w:numPr>
          <w:ilvl w:val="0"/>
          <w:numId w:val="1130"/>
        </w:numPr>
        <w:pStyle w:val="Compact"/>
      </w:pPr>
      <w:r>
        <w:rPr>
          <w:bCs/>
          <w:b/>
        </w:rPr>
        <w:t xml:space="preserve">Unklare Aufnahme und Dosis:</w:t>
      </w:r>
      <w:r>
        <w:t xml:space="preserve"> </w:t>
      </w:r>
      <w:r>
        <w:t xml:space="preserve">Wie viel KPV aus einer Kapsel oder Creme tatsächlich wirksam wird, ist beim Menschen nicht untersucht.</w:t>
      </w:r>
    </w:p>
    <w:p>
      <w:pPr>
        <w:numPr>
          <w:ilvl w:val="0"/>
          <w:numId w:val="1130"/>
        </w:numPr>
        <w:pStyle w:val="Compact"/>
      </w:pPr>
      <w:r>
        <w:rPr>
          <w:bCs/>
          <w:b/>
        </w:rPr>
        <w:t xml:space="preserve">Graumarkt-Qualität:</w:t>
      </w:r>
      <w:r>
        <w:t xml:space="preserve"> </w:t>
      </w:r>
      <w:r>
        <w:t xml:space="preserve">KPV wird als „Forschungspeptid“ ohne Arzneimittelkontrolle verkauft. Eine sportmedizinische Übersicht nennt KPV ausdrücklich unter den Peptidfragmenten, die in Bodybuilding-Kreisen kursieren, und warnt vor falsch deklarierten oder verunreinigten Produkten</w:t>
      </w:r>
      <w:r>
        <w:rPr>
          <w:rStyle w:val="FootnoteReference"/>
        </w:rPr>
        <w:footnoteReference w:id="1079"/>
      </w:r>
      <w:r>
        <w:t xml:space="preserve">.</w:t>
      </w:r>
    </w:p>
    <w:bookmarkEnd w:id="1080"/>
    <w:bookmarkEnd w:id="1081"/>
    <w:bookmarkStart w:id="1082" w:name="rechtslage-18"/>
    <w:p>
      <w:pPr>
        <w:pStyle w:val="Heading3"/>
      </w:pPr>
      <w:r>
        <w:t xml:space="preserve">Rechtslage</w:t>
      </w:r>
    </w:p>
    <w:p>
      <w:pPr>
        <w:pStyle w:val="FirstParagraph"/>
      </w:pPr>
      <w:r>
        <w:rPr>
          <w:iCs/>
          <w:i/>
        </w:rPr>
        <w:t xml:space="preserve">Stand 2026, bitte aktuell prüfen.</w:t>
      </w:r>
    </w:p>
    <w:p>
      <w:pPr>
        <w:numPr>
          <w:ilvl w:val="0"/>
          <w:numId w:val="1131"/>
        </w:numPr>
        <w:pStyle w:val="Compact"/>
      </w:pPr>
      <w:r>
        <w:rPr>
          <w:bCs/>
          <w:b/>
        </w:rPr>
        <w:t xml:space="preserve">EU, Deutschland, Österreich:</w:t>
      </w:r>
      <w:r>
        <w:t xml:space="preserve"> </w:t>
      </w:r>
      <w:r>
        <w:t xml:space="preserve">nicht als Arzneimittel zugelassen. Wird KPV mit Aussagen zur Linderung von Krankheiten angeboten, gilt es als nicht zugelassenes Arzneimittel. Als Bestandteil von Kosmetika gelten die Regeln der EU-Kosmetikverordnung; Heilversprechen sind dort unzulässig.</w:t>
      </w:r>
    </w:p>
    <w:p>
      <w:pPr>
        <w:numPr>
          <w:ilvl w:val="0"/>
          <w:numId w:val="1131"/>
        </w:numPr>
        <w:pStyle w:val="Compact"/>
      </w:pPr>
      <w:r>
        <w:rPr>
          <w:bCs/>
          <w:b/>
        </w:rPr>
        <w:t xml:space="preserve">USA:</w:t>
      </w:r>
      <w:r>
        <w:t xml:space="preserve"> </w:t>
      </w:r>
      <w:r>
        <w:t xml:space="preserve">keine FDA-Zulassung.</w:t>
      </w:r>
    </w:p>
    <w:p>
      <w:pPr>
        <w:numPr>
          <w:ilvl w:val="0"/>
          <w:numId w:val="1131"/>
        </w:numPr>
        <w:pStyle w:val="Compact"/>
      </w:pPr>
      <w:r>
        <w:rPr>
          <w:bCs/>
          <w:b/>
        </w:rPr>
        <w:t xml:space="preserve">WADA:</w:t>
      </w:r>
      <w:r>
        <w:t xml:space="preserve"> </w:t>
      </w:r>
      <w:r>
        <w:t xml:space="preserve">nicht namentlich gelistet. Als pharmakologisch wirksamer Stoff ohne Zulassung fällt KPV nach Auffassung des Autors unter S0 (nicht zugelassene Substanzen).</w:t>
      </w:r>
    </w:p>
    <w:bookmarkEnd w:id="1082"/>
    <w:bookmarkStart w:id="1083" w:name="laufende-studien-und-ausblick-18"/>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mit KPV registriert.</w:t>
      </w:r>
    </w:p>
    <w:p>
      <w:pPr>
        <w:pStyle w:val="BodyText"/>
      </w:pPr>
      <w:r>
        <w:rPr>
          <w:bCs/>
          <w:b/>
        </w:rPr>
        <w:t xml:space="preserve">Einschätzung des Autors:</w:t>
      </w:r>
      <w:r>
        <w:t xml:space="preserve"> </w:t>
      </w:r>
      <w:r>
        <w:t xml:space="preserve">Die Mausdaten zu Darmentzündungen sind konsistent und stammen aus mehreren unabhängigen Gruppen – das ist mehr, als viele andere „Forschungspeptide“ vorweisen können. Ohne ein Unternehmen, das KPV als Arzneimittel entwickelt, ist eine Humanstudie aber nicht absehbar. Wahrscheinlicher ist, dass KPV als Baustein in neuen Arzneiformen (Nanopartikel, Gele) weiter im Labor erforscht wird.</w:t>
      </w:r>
    </w:p>
    <w:bookmarkEnd w:id="1083"/>
    <w:bookmarkStart w:id="1085" w:name="fazit-18"/>
    <w:p>
      <w:pPr>
        <w:pStyle w:val="Heading3"/>
      </w:pPr>
      <w:r>
        <w:t xml:space="preserve">Fazit</w:t>
      </w:r>
    </w:p>
    <w:p>
      <w:pPr>
        <w:pStyle w:val="FirstParagraph"/>
      </w:pPr>
      <w:r>
        <w:t xml:space="preserve">KPV ist ein Bruchstück aus drei Aminosäuren des körpereigenen Hormons Alpha-MSH, das in Zellkulturen und bei Mäusen Entzündungen im Darm deutlich verringerte</w:t>
      </w:r>
      <w:r>
        <w:rPr>
          <w:rStyle w:val="FootnoteReference"/>
        </w:rPr>
        <w:footnoteReference w:id="1084"/>
      </w:r>
      <w:r>
        <w:t xml:space="preserve">. Am Menschen wurde KPV nie untersucht – weder auf Wirkung noch auf Sicherheit. Alle Aussagen zu Darm- oder Hautwirkungen beim Menschen sind daher Vermutungen auf Grundlage von Tierversuchen. Wer KPV-Produkte aus dem Internet verwendet, ist Teil eines unkontrollierten Selbstversuchs mit Produkten unbekannter Qualität.</w:t>
      </w:r>
    </w:p>
    <w:bookmarkEnd w:id="1085"/>
    <w:bookmarkEnd w:id="1086"/>
    <w:bookmarkStart w:id="1121" w:name="ll-37"/>
    <w:p>
      <w:pPr>
        <w:pStyle w:val="Heading2"/>
      </w:pPr>
      <w:r>
        <w:t xml:space="preserve">LL-37</w:t>
      </w:r>
    </w:p>
    <w:p>
      <w:pPr>
        <w:pStyle w:val="FirstParagraph"/>
      </w:pPr>
      <w:r>
        <w:t xml:space="preserve">LL-37 ist ein körpereigenes Abwehrpeptid. Haut, Schleimhäute und weiße Blutkörperchen bilden es, um Bakterien, Pilze und Viren abzutöten. In der Peptid-Szene wird es als „natürliches Antibiotikum“ und Mittel gegen chronische Infektionen, Borreliose oder „Immunschwäche“ angeboten. Bei der Studienlage muss man sorgfältig unterscheiden: Es gibt sehr viele Untersuchungen, in denen LL-37 im Blut oder Gewebe</w:t>
      </w:r>
      <w:r>
        <w:t xml:space="preserve"> </w:t>
      </w:r>
      <w:r>
        <w:rPr>
          <w:iCs/>
          <w:i/>
        </w:rPr>
        <w:t xml:space="preserve">gemessen</w:t>
      </w:r>
      <w:r>
        <w:t xml:space="preserve"> </w:t>
      </w:r>
      <w:r>
        <w:t xml:space="preserve">wurde – aber nur eine Handvoll, in denen Menschen LL-37 als Wirkstoff</w:t>
      </w:r>
      <w:r>
        <w:t xml:space="preserve"> </w:t>
      </w:r>
      <w:r>
        <w:rPr>
          <w:iCs/>
          <w:i/>
        </w:rPr>
        <w:t xml:space="preserve">erhalten</w:t>
      </w:r>
      <w:r>
        <w:t xml:space="preserve"> </w:t>
      </w:r>
      <w:r>
        <w:t xml:space="preserve">haben.</w:t>
      </w:r>
    </w:p>
    <w:bookmarkStart w:id="1088" w:name="steckbrief-19"/>
    <w:p>
      <w:pPr>
        <w:pStyle w:val="Heading3"/>
      </w:pPr>
      <w:r>
        <w:t xml:space="preserve">Steckbrief</w:t>
      </w:r>
    </w:p>
    <w:p>
      <w:pPr>
        <w:numPr>
          <w:ilvl w:val="0"/>
          <w:numId w:val="1132"/>
        </w:numPr>
        <w:pStyle w:val="Compact"/>
      </w:pPr>
      <w:r>
        <w:rPr>
          <w:bCs/>
          <w:b/>
        </w:rPr>
        <w:t xml:space="preserve">Art und Struktur:</w:t>
      </w:r>
      <w:r>
        <w:t xml:space="preserve"> </w:t>
      </w:r>
      <w:r>
        <w:t xml:space="preserve">Peptid aus 37 Aminosäuren, die ersten beiden sind Leucine (daher „LL“). Einziges Cathelicidin des Menschen – so heißt eine Familie von Abwehrpeptiden.</w:t>
      </w:r>
    </w:p>
    <w:p>
      <w:pPr>
        <w:numPr>
          <w:ilvl w:val="0"/>
          <w:numId w:val="1132"/>
        </w:numPr>
        <w:pStyle w:val="Compact"/>
      </w:pPr>
      <w:r>
        <w:rPr>
          <w:bCs/>
          <w:b/>
        </w:rPr>
        <w:t xml:space="preserve">Herkunft:</w:t>
      </w:r>
      <w:r>
        <w:t xml:space="preserve"> </w:t>
      </w:r>
      <w:r>
        <w:t xml:space="preserve">wird aus dem Vorläufereiweiß hCAP18 abgespalten; das zugehörige Gen (CAMP) wird unter anderem durch Vitamin D angeschaltet</w:t>
      </w:r>
      <w:r>
        <w:rPr>
          <w:rStyle w:val="FootnoteReference"/>
        </w:rPr>
        <w:footnoteReference w:id="1087"/>
      </w:r>
      <w:r>
        <w:t xml:space="preserve">.</w:t>
      </w:r>
    </w:p>
    <w:p>
      <w:pPr>
        <w:numPr>
          <w:ilvl w:val="0"/>
          <w:numId w:val="1132"/>
        </w:numPr>
        <w:pStyle w:val="Compact"/>
      </w:pPr>
      <w:r>
        <w:rPr>
          <w:bCs/>
          <w:b/>
        </w:rPr>
        <w:t xml:space="preserve">Wirkprinzip:</w:t>
      </w:r>
      <w:r>
        <w:t xml:space="preserve"> </w:t>
      </w:r>
      <w:r>
        <w:t xml:space="preserve">zerstört die Hülle von Mikroben; lockt zugleich Immunzellen an, fördert Gefäßneubildung und Wundheilung und beeinflusst Entzündungsreaktionen.</w:t>
      </w:r>
    </w:p>
    <w:p>
      <w:pPr>
        <w:numPr>
          <w:ilvl w:val="0"/>
          <w:numId w:val="1132"/>
        </w:numPr>
        <w:pStyle w:val="Compact"/>
      </w:pPr>
      <w:r>
        <w:rPr>
          <w:bCs/>
          <w:b/>
        </w:rPr>
        <w:t xml:space="preserve">Zulassung EU/USA:</w:t>
      </w:r>
      <w:r>
        <w:t xml:space="preserve"> </w:t>
      </w:r>
      <w:r>
        <w:t xml:space="preserve">nein.</w:t>
      </w:r>
    </w:p>
    <w:p>
      <w:pPr>
        <w:numPr>
          <w:ilvl w:val="0"/>
          <w:numId w:val="1132"/>
        </w:numPr>
        <w:pStyle w:val="Compact"/>
      </w:pPr>
      <w:r>
        <w:rPr>
          <w:bCs/>
          <w:b/>
        </w:rPr>
        <w:t xml:space="preserve">WADA:</w:t>
      </w:r>
      <w:r>
        <w:t xml:space="preserve"> </w:t>
      </w:r>
      <w:r>
        <w:t xml:space="preserve">nicht ausdrücklich gelistet; als nicht zugelassene Substanz nach Auffassung des Autors unter S0 fallend.</w:t>
      </w:r>
    </w:p>
    <w:p>
      <w:pPr>
        <w:numPr>
          <w:ilvl w:val="0"/>
          <w:numId w:val="1132"/>
        </w:numPr>
        <w:pStyle w:val="Compact"/>
      </w:pPr>
      <w:r>
        <w:rPr>
          <w:bCs/>
          <w:b/>
        </w:rPr>
        <w:t xml:space="preserve">Evidenzstufe: B</w:t>
      </w:r>
      <w:r>
        <w:t xml:space="preserve"> </w:t>
      </w:r>
      <w:r>
        <w:t xml:space="preserve">– einzelne kleine bis mittelgroße randomisierte Studien mit örtlicher Anwendung auf Wunden; die größte davon verfehlte ihr Hauptziel.</w:t>
      </w:r>
    </w:p>
    <w:bookmarkEnd w:id="1088"/>
    <w:bookmarkStart w:id="1093" w:name="wie-es-wirken-soll-19"/>
    <w:p>
      <w:pPr>
        <w:pStyle w:val="Heading3"/>
      </w:pPr>
      <w:r>
        <w:t xml:space="preserve">Wie es wirken soll</w:t>
      </w:r>
    </w:p>
    <w:p>
      <w:pPr>
        <w:pStyle w:val="FirstParagraph"/>
      </w:pPr>
      <w:r>
        <w:t xml:space="preserve">LL-37 gehört zum angeborenen Immunsystem, der ersten, unspezifischen Verteidigungslinie. Das Peptid ist positiv geladen und lagert sich an die negativ geladenen Hüllen von Bakterien an, die dadurch durchlässig werden. Daneben wirkt es als Signalstoff: Es lockt weiße Blutkörperchen an und regt Hautzellen zur Wanderung an – deshalb wurde es für die Wundheilung interessant.</w:t>
      </w:r>
    </w:p>
    <w:p>
      <w:pPr>
        <w:pStyle w:val="BodyText"/>
      </w:pPr>
      <w:r>
        <w:t xml:space="preserve">Die Bildung von LL-37 hängt beim Menschen eng mit Vitamin D zusammen. Das Gen für das Vorläufereiweiß trägt einen Schalter, an den der Vitamin-D-Rezeptor bindet; dieser Schalter findet sich bei Primaten, nicht aber bei Mäusen, Ratten oder Hunden</w:t>
      </w:r>
      <w:r>
        <w:rPr>
          <w:rStyle w:val="FootnoteReference"/>
        </w:rPr>
        <w:footnoteReference w:id="1089"/>
      </w:r>
      <w:r>
        <w:t xml:space="preserve">. Das erklärt, warum viele Studien Vitamin D geben und LL-37 messen – und warum Tierversuche bei LL-37 nur begrenzt auf den Menschen übertragbar sind.</w:t>
      </w:r>
    </w:p>
    <w:p>
      <w:pPr>
        <w:pStyle w:val="BodyText"/>
      </w:pPr>
      <w:r>
        <w:t xml:space="preserve">Die Kehrseite: LL-37 kann Entzündungen auch anheizen. Bei Schuppenflechte (Psoriasis) bindet LL-37 körpereigenes Erbgut aus zerfallenen Zellen und macht es für bestimmte Immunzellen „sichtbar“, die daraufhin Interferon ausschütten</w:t>
      </w:r>
      <w:r>
        <w:rPr>
          <w:rStyle w:val="FootnoteReference"/>
        </w:rPr>
        <w:footnoteReference w:id="1090"/>
      </w:r>
      <w:r>
        <w:t xml:space="preserve">. Bei zwei Dritteln der untersuchten Menschen mit mittelschwerer bis schwerer Psoriasis fanden sich T-Zellen, die gegen LL-37 selbst gerichtet waren</w:t>
      </w:r>
      <w:r>
        <w:rPr>
          <w:rStyle w:val="FootnoteReference"/>
        </w:rPr>
        <w:footnoteReference w:id="1091"/>
      </w:r>
      <w:r>
        <w:t xml:space="preserve">. Bei Rosazea bilden Betroffene ungewöhnlich viel LL-37 in der Gesichtshaut, und bei Mäusen löste das Einspritzen dieser Peptide Hautentzündungen aus</w:t>
      </w:r>
      <w:r>
        <w:rPr>
          <w:rStyle w:val="FootnoteReference"/>
        </w:rPr>
        <w:footnoteReference w:id="1092"/>
      </w:r>
      <w:r>
        <w:t xml:space="preserve">.</w:t>
      </w:r>
    </w:p>
    <w:bookmarkEnd w:id="1093"/>
    <w:bookmarkStart w:id="1105" w:name="studien-am-menschen-1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91</w:t>
      </w:r>
      <w:r>
        <w:t xml:space="preserve"> </w:t>
      </w:r>
      <w:r>
        <w:t xml:space="preserve">Veröffentlichungen, die als Humanstudie eingeordnet wurden, und</w:t>
      </w:r>
      <w:r>
        <w:t xml:space="preserve"> </w:t>
      </w:r>
      <w:r>
        <w:rPr>
          <w:bCs/>
          <w:b/>
        </w:rPr>
        <w:t xml:space="preserve">20</w:t>
      </w:r>
      <w:r>
        <w:t xml:space="preserve"> </w:t>
      </w:r>
      <w:r>
        <w:t xml:space="preserve">Einträge bei ClinicalTrials.gov. Der weitaus größte Teil davon gibt</w:t>
      </w:r>
      <w:r>
        <w:t xml:space="preserve"> </w:t>
      </w:r>
      <w:r>
        <w:rPr>
          <w:iCs/>
          <w:i/>
        </w:rPr>
        <w:t xml:space="preserve">nicht</w:t>
      </w:r>
      <w:r>
        <w:t xml:space="preserve"> </w:t>
      </w:r>
      <w:r>
        <w:t xml:space="preserve">LL-37 als Wirkstoff: Es handelt sich um Vitamin-D- oder Probiotika-Studien, die LL-37 als Messwert erfassen, oder um Beobachtungsstudien zu LL-37-Spiegeln bei Krankheiten. Studien, in denen LL-37 selbst verabreicht wurde, sind in PubMed nur fünf zu finden; im Register sind es zwei.</w:t>
      </w:r>
    </w:p>
    <w:bookmarkStart w:id="1098" w:name="interventionsstudien-ll-37-als-wirkstoff"/>
    <w:p>
      <w:pPr>
        <w:pStyle w:val="Heading4"/>
      </w:pPr>
      <w:r>
        <w:t xml:space="preserve">Interventionsstudien: LL-37 als Wirkstoff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Venöse Beingeschwüre (Grönberg 2014, PMID 25041740)</w:t>
            </w:r>
          </w:p>
        </w:tc>
        <w:tc>
          <w:tcPr/>
          <w:p>
            <w:pPr>
              <w:pStyle w:val="Compact"/>
              <w:jc w:val="left"/>
            </w:pPr>
            <w:r>
              <w:t xml:space="preserve">34 Personen, erste Anwendung am Menschen, doppelblinde RCT mit drei Konzentrationen und Placebo</w:t>
            </w:r>
          </w:p>
        </w:tc>
        <w:tc>
          <w:tcPr/>
          <w:p>
            <w:pPr>
              <w:pStyle w:val="Compact"/>
              <w:jc w:val="left"/>
            </w:pPr>
            <w:r>
              <w:t xml:space="preserve">4 Wochen Behandlung</w:t>
            </w:r>
          </w:p>
        </w:tc>
        <w:tc>
          <w:tcPr/>
          <w:p>
            <w:pPr>
              <w:pStyle w:val="Compact"/>
              <w:jc w:val="left"/>
            </w:pPr>
            <w:r>
              <w:t xml:space="preserve">Wundfläche mit der niedrigsten Konzentration um 68 %, mit der mittleren um 50 % verkleinert; höchste Konzentration nicht besser als Placebo</w:t>
            </w:r>
          </w:p>
        </w:tc>
      </w:tr>
      <w:tr>
        <w:tc>
          <w:tcPr/>
          <w:p>
            <w:pPr>
              <w:pStyle w:val="Compact"/>
              <w:jc w:val="left"/>
            </w:pPr>
            <w:r>
              <w:t xml:space="preserve">HEAL LL-37, venöse Beingeschwüre (Mahlapuu 2021, PMID 34687253)</w:t>
            </w:r>
          </w:p>
        </w:tc>
        <w:tc>
          <w:tcPr/>
          <w:p>
            <w:pPr>
              <w:pStyle w:val="Compact"/>
              <w:jc w:val="left"/>
            </w:pPr>
            <w:r>
              <w:t xml:space="preserve">148 Personen, Phase 2b, doppelblinde RCT</w:t>
            </w:r>
          </w:p>
        </w:tc>
        <w:tc>
          <w:tcPr/>
          <w:p>
            <w:pPr>
              <w:pStyle w:val="Compact"/>
              <w:jc w:val="left"/>
            </w:pPr>
            <w:r>
              <w:t xml:space="preserve">3 Arme, zusätzlich zur Kompression</w:t>
            </w:r>
          </w:p>
        </w:tc>
        <w:tc>
          <w:tcPr/>
          <w:p>
            <w:pPr>
              <w:pStyle w:val="Compact"/>
              <w:jc w:val="left"/>
            </w:pPr>
            <w:r>
              <w:t xml:space="preserve">kein signifikanter Unterschied zu Placebo; Vorteil nur in nachträglicher Untergruppenanalyse großer Wunden</w:t>
            </w:r>
          </w:p>
        </w:tc>
      </w:tr>
      <w:tr>
        <w:tc>
          <w:tcPr/>
          <w:p>
            <w:pPr>
              <w:pStyle w:val="Compact"/>
              <w:jc w:val="left"/>
            </w:pPr>
            <w:r>
              <w:t xml:space="preserve">Diabetisches Fußgeschwür (Miranda 2023, PMID 37480520; NCT04098562)</w:t>
            </w:r>
          </w:p>
        </w:tc>
        <w:tc>
          <w:tcPr/>
          <w:p>
            <w:pPr>
              <w:pStyle w:val="Compact"/>
              <w:jc w:val="left"/>
            </w:pPr>
            <w:r>
              <w:t xml:space="preserve">Personen mit leicht infiziertem Fußgeschwür in Jakarta, doppelblinde RCT gegen Placebocreme</w:t>
            </w:r>
          </w:p>
        </w:tc>
        <w:tc>
          <w:tcPr/>
          <w:p>
            <w:pPr>
              <w:pStyle w:val="Compact"/>
              <w:jc w:val="left"/>
            </w:pPr>
            <w:r>
              <w:t xml:space="preserve">4 Wochen</w:t>
            </w:r>
          </w:p>
        </w:tc>
        <w:tc>
          <w:tcPr/>
          <w:p>
            <w:pPr>
              <w:pStyle w:val="Compact"/>
              <w:jc w:val="left"/>
            </w:pPr>
            <w:r>
              <w:t xml:space="preserve">stärkere Zunahme des Granulationsgewebes; keine Senkung von Entzündungswerten oder Bakterienzahl</w:t>
            </w:r>
          </w:p>
        </w:tc>
      </w:tr>
      <w:tr>
        <w:tc>
          <w:tcPr/>
          <w:p>
            <w:pPr>
              <w:pStyle w:val="Compact"/>
              <w:jc w:val="left"/>
            </w:pPr>
            <w:r>
              <w:t xml:space="preserve">COVID-19, orales LL-37 aus Milchsäurebakterien (Zhao 2023, PMID 37605995)</w:t>
            </w:r>
          </w:p>
        </w:tc>
        <w:tc>
          <w:tcPr/>
          <w:p>
            <w:pPr>
              <w:pStyle w:val="Compact"/>
              <w:jc w:val="left"/>
            </w:pPr>
            <w:r>
              <w:t xml:space="preserve">238 Krankenhauspatientinnen und -patienten, offene RCT, ein Zentrum</w:t>
            </w:r>
          </w:p>
        </w:tc>
        <w:tc>
          <w:tcPr/>
          <w:p>
            <w:pPr>
              <w:pStyle w:val="Compact"/>
              <w:jc w:val="left"/>
            </w:pPr>
            <w:r>
              <w:t xml:space="preserve">Krankenhausaufenthalt</w:t>
            </w:r>
          </w:p>
        </w:tc>
        <w:tc>
          <w:tcPr/>
          <w:p>
            <w:pPr>
              <w:pStyle w:val="Compact"/>
              <w:jc w:val="left"/>
            </w:pPr>
            <w:r>
              <w:t xml:space="preserve">Virus-PCR im Mittel nach 9,8 statt 14,0 Tagen negativ; keine schweren Nebenwirkungen</w:t>
            </w:r>
          </w:p>
        </w:tc>
      </w:tr>
      <w:tr>
        <w:tc>
          <w:tcPr/>
          <w:p>
            <w:pPr>
              <w:pStyle w:val="Compact"/>
              <w:jc w:val="left"/>
            </w:pPr>
            <w:r>
              <w:t xml:space="preserve">Melanom, Injektion in Tumoren (NCT02225366)</w:t>
            </w:r>
          </w:p>
        </w:tc>
        <w:tc>
          <w:tcPr/>
          <w:p>
            <w:pPr>
              <w:pStyle w:val="Compact"/>
              <w:jc w:val="left"/>
            </w:pPr>
            <w:r>
              <w:t xml:space="preserve">4 Personen, Phase 1/2 ohne Kontrollgruppe</w:t>
            </w:r>
          </w:p>
        </w:tc>
        <w:tc>
          <w:tcPr/>
          <w:p>
            <w:pPr>
              <w:pStyle w:val="Compact"/>
              <w:jc w:val="left"/>
            </w:pPr>
            <w:r>
              <w:t xml:space="preserve">bis 8 Wochen</w:t>
            </w:r>
          </w:p>
        </w:tc>
        <w:tc>
          <w:tcPr/>
          <w:p>
            <w:pPr>
              <w:pStyle w:val="Compact"/>
              <w:jc w:val="left"/>
            </w:pPr>
            <w:r>
              <w:t xml:space="preserve">Dosisfindung; kleine Fallzahl, siehe Risiken</w:t>
            </w:r>
          </w:p>
        </w:tc>
      </w:tr>
    </w:tbl>
    <w:p>
      <w:pPr>
        <w:pStyle w:val="BodyText"/>
      </w:pPr>
      <w:r>
        <w:t xml:space="preserve">Die Wundstudien zeigen das bekannte Muster: Die erste kleine Studie war ermutigend – auffälligerweise wirkten die niedrigeren Konzentrationen, die höchste nicht</w:t>
      </w:r>
      <w:r>
        <w:rPr>
          <w:rStyle w:val="FootnoteReference"/>
        </w:rPr>
        <w:footnoteReference w:id="1094"/>
      </w:r>
      <w:r>
        <w:t xml:space="preserve">. Die größere Phase-2b-Studie HEAL LL-37 mit 148 Personen fand in der Gesamtgruppe keinen Vorteil gegenüber Placebo. Ein Nutzen bei großen Wunden zeigte sich nur in einer nachträglich festgelegten Untergruppenanalyse, die die Autoren selbst als Anlass für eine weitere Studie, nicht als Beleg werten</w:t>
      </w:r>
      <w:r>
        <w:rPr>
          <w:rStyle w:val="FootnoteReference"/>
        </w:rPr>
        <w:footnoteReference w:id="1095"/>
      </w:r>
      <w:r>
        <w:t xml:space="preserve">.</w:t>
      </w:r>
    </w:p>
    <w:p>
      <w:pPr>
        <w:pStyle w:val="BodyText"/>
      </w:pPr>
      <w:r>
        <w:t xml:space="preserve">Die indonesische Studie zum diabetischen Fußgeschwür maß als Hauptgröße den Anteil an Granulationsgewebe, also an frischem Heilgewebe – ein Zwischenmarker, nicht die vollständige Wundheilung. Die Entzündungswerte und die Bakterienbesiedelung sanken unter LL-37 nicht stärker als unter Placebo</w:t>
      </w:r>
      <w:r>
        <w:rPr>
          <w:rStyle w:val="FootnoteReference"/>
        </w:rPr>
        <w:footnoteReference w:id="1096"/>
      </w:r>
      <w:r>
        <w:t xml:space="preserve">.</w:t>
      </w:r>
    </w:p>
    <w:p>
      <w:pPr>
        <w:pStyle w:val="BodyText"/>
      </w:pPr>
      <w:r>
        <w:t xml:space="preserve">Die COVID-19-Studie verwendete kein LL-37-Peptid, sondern gentechnisch veränderte Milchsäurebakterien, die LL-37 im Darm bilden sollen. Sie war nicht verblindet und lief an einem einzigen Zentrum; gemessen wurde die Zeit bis zum negativen PCR-Test, nicht Krankheitsverlauf oder Sterblichkeit</w:t>
      </w:r>
      <w:r>
        <w:rPr>
          <w:rStyle w:val="FootnoteReference"/>
        </w:rPr>
        <w:footnoteReference w:id="1097"/>
      </w:r>
      <w:r>
        <w:t xml:space="preserve">.</w:t>
      </w:r>
    </w:p>
    <w:bookmarkEnd w:id="1098"/>
    <w:bookmarkStart w:id="1102" w:name="beobachtungsstudien-ll-37-als-messwert"/>
    <w:p>
      <w:pPr>
        <w:pStyle w:val="Heading4"/>
      </w:pPr>
      <w:r>
        <w:t xml:space="preserve">Beobachtungsstudien: LL-37 als Messwert</w:t>
      </w:r>
    </w:p>
    <w:p>
      <w:pPr>
        <w:pStyle w:val="FirstParagraph"/>
      </w:pPr>
      <w:r>
        <w:t xml:space="preserve">Diese Studien sagen nichts darüber aus, ob zugeführtes LL-37 hilft. Sie zeigen nur, wie der Körper LL-37 bei Krankheiten bildet. Einige Beispiele:</w:t>
      </w:r>
    </w:p>
    <w:p>
      <w:pPr>
        <w:numPr>
          <w:ilvl w:val="0"/>
          <w:numId w:val="1133"/>
        </w:numPr>
        <w:pStyle w:val="Compact"/>
      </w:pPr>
      <w:r>
        <w:t xml:space="preserve">Bei 50 Personen mit Lungentuberkulose lagen die LL-37-Spiegel im Blut höher als bei Lungenentzündung durch andere Bakterien und bei Gesunden</w:t>
      </w:r>
      <w:r>
        <w:rPr>
          <w:rStyle w:val="FootnoteReference"/>
        </w:rPr>
        <w:footnoteReference w:id="1099"/>
      </w:r>
      <w:r>
        <w:t xml:space="preserve">.</w:t>
      </w:r>
    </w:p>
    <w:p>
      <w:pPr>
        <w:numPr>
          <w:ilvl w:val="0"/>
          <w:numId w:val="1133"/>
        </w:numPr>
        <w:pStyle w:val="Compact"/>
      </w:pPr>
      <w:r>
        <w:t xml:space="preserve">Bei 76 Kindern mit bakterieller Hirnhautentzündung stieg LL-37 im Nervenwasser mit der Bakterienmenge; ein hohes Verhältnis von LL-37 zu Bakterien war mit weniger Hörschäden verbunden</w:t>
      </w:r>
      <w:r>
        <w:rPr>
          <w:rStyle w:val="FootnoteReference"/>
        </w:rPr>
        <w:footnoteReference w:id="1100"/>
      </w:r>
      <w:r>
        <w:t xml:space="preserve">.</w:t>
      </w:r>
    </w:p>
    <w:p>
      <w:pPr>
        <w:numPr>
          <w:ilvl w:val="0"/>
          <w:numId w:val="1133"/>
        </w:numPr>
        <w:pStyle w:val="Compact"/>
      </w:pPr>
      <w:r>
        <w:t xml:space="preserve">Bei 30 Intensivpatientinnen und -patienten mit Sepsis stiegen die LL-37-Spiegel nach hochdosiertem Vitamin D an</w:t>
      </w:r>
      <w:r>
        <w:rPr>
          <w:rStyle w:val="FootnoteReference"/>
        </w:rPr>
        <w:footnoteReference w:id="1101"/>
      </w:r>
      <w:r>
        <w:t xml:space="preserve">.</w:t>
      </w:r>
    </w:p>
    <w:bookmarkEnd w:id="1102"/>
    <w:bookmarkStart w:id="1104" w:name="indirekt-ll-37-über-vitamin-d-anregen"/>
    <w:p>
      <w:pPr>
        <w:pStyle w:val="Heading4"/>
      </w:pPr>
      <w:r>
        <w:t xml:space="preserve">Indirekt: LL-37 über Vitamin D anregen</w:t>
      </w:r>
    </w:p>
    <w:p>
      <w:pPr>
        <w:pStyle w:val="FirstParagraph"/>
      </w:pPr>
      <w:r>
        <w:t xml:space="preserve">In einer doppelblinden Studie aus Bangladesch mit 288 Personen mit Lungentuberkulose waren nach vier Wochen mehr Teilnehmende kulturnegativ, wenn sie zusätzlich Vitamin D3 und Phenylbutyrat erhielten – zwei Stoffe, die die körpereigene LL-37-Bildung anregen (71 % vs. 42,2 % unter Placebo)</w:t>
      </w:r>
      <w:r>
        <w:rPr>
          <w:rStyle w:val="FootnoteReference"/>
        </w:rPr>
        <w:footnoteReference w:id="1103"/>
      </w:r>
      <w:r>
        <w:t xml:space="preserve">. Das ist eine Aussage über diese Kombination, nicht über LL-37 als Peptid. Vitamin D selbst ist kein Peptid und wird in diesem Buch nicht eigens behandelt.</w:t>
      </w:r>
    </w:p>
    <w:bookmarkEnd w:id="1104"/>
    <w:bookmarkEnd w:id="1105"/>
    <w:bookmarkStart w:id="1108" w:name="tier--und-laborstudien-19"/>
    <w:p>
      <w:pPr>
        <w:pStyle w:val="Heading3"/>
      </w:pPr>
      <w:r>
        <w:t xml:space="preserve">Tier- und Laborstudien</w:t>
      </w:r>
    </w:p>
    <w:p>
      <w:pPr>
        <w:pStyle w:val="FirstParagraph"/>
      </w:pPr>
      <w:r>
        <w:t xml:space="preserve">Im Labor tötet LL-37 eine breite Palette von Bakterien, Pilzen und manchen Viren ab und fördert die Wanderung von Hautzellen. Eine Übersichtsarbeit zur Rolle bei Krebs fasst zusammen, dass LL-37 in Zell- und Tierversuchen bei Eierstock-, Lungen-, Brust-, Prostata- und Bauchspeicheldrüsenkrebs sowie beim Melanom das Tumorwachstum</w:t>
      </w:r>
      <w:r>
        <w:t xml:space="preserve"> </w:t>
      </w:r>
      <w:r>
        <w:rPr>
          <w:iCs/>
          <w:i/>
        </w:rPr>
        <w:t xml:space="preserve">fördert</w:t>
      </w:r>
      <w:r>
        <w:t xml:space="preserve">, bei Dickdarm-, Magen- und manchen Blutkrebsarten dagegen</w:t>
      </w:r>
      <w:r>
        <w:t xml:space="preserve"> </w:t>
      </w:r>
      <w:r>
        <w:rPr>
          <w:iCs/>
          <w:i/>
        </w:rPr>
        <w:t xml:space="preserve">hemmt</w:t>
      </w:r>
      <w:r>
        <w:rPr>
          <w:rStyle w:val="FootnoteReference"/>
        </w:rPr>
        <w:footnoteReference w:id="1106"/>
      </w:r>
      <w:r>
        <w:t xml:space="preserve">. Dieselbe Substanz kann also je nach Gewebe gegensätzlich wirken.</w:t>
      </w:r>
    </w:p>
    <w:p>
      <w:pPr>
        <w:pStyle w:val="BodyText"/>
      </w:pPr>
      <w:r>
        <w:t xml:space="preserve">Für die Übertragbarkeit ist wichtig: Mäuse besitzen ein eigenes Cathelicidin, das dem menschlichen LL-37 nur ähnelt, und regulieren es anders</w:t>
      </w:r>
      <w:r>
        <w:rPr>
          <w:rStyle w:val="FootnoteReference"/>
        </w:rPr>
        <w:footnoteReference w:id="1107"/>
      </w:r>
      <w:r>
        <w:t xml:space="preserve">. Mausbefunde zu LL-37 sind deshalb noch vorsichtiger zu bewerten als bei anderen Peptiden.</w:t>
      </w:r>
    </w:p>
    <w:bookmarkEnd w:id="1108"/>
    <w:bookmarkStart w:id="1116" w:name="risiken-und-nebenwirkungen-19"/>
    <w:p>
      <w:pPr>
        <w:pStyle w:val="Heading3"/>
      </w:pPr>
      <w:r>
        <w:t xml:space="preserve">Risiken und Nebenwirkungen</w:t>
      </w:r>
    </w:p>
    <w:bookmarkStart w:id="1111" w:name="belegt-3"/>
    <w:p>
      <w:pPr>
        <w:pStyle w:val="Heading4"/>
      </w:pPr>
      <w:r>
        <w:t xml:space="preserve">Belegt</w:t>
      </w:r>
    </w:p>
    <w:p>
      <w:pPr>
        <w:pStyle w:val="FirstParagraph"/>
      </w:pPr>
      <w:r>
        <w:t xml:space="preserve">In den Wundstudien wurde örtlich aufgetragenes LL-37 gut vertragen; es gab keine Sicherheitsbedenken bei örtlichen oder allgemeinen Nebenwirkungen</w:t>
      </w:r>
      <w:r>
        <w:rPr>
          <w:rStyle w:val="FootnoteReference"/>
        </w:rPr>
        <w:footnoteReference w:id="1109"/>
      </w:r>
      <w:r>
        <w:t xml:space="preserve">.</w:t>
      </w:r>
    </w:p>
    <w:p>
      <w:pPr>
        <w:pStyle w:val="BodyText"/>
      </w:pPr>
      <w:r>
        <w:t xml:space="preserve">Ein Fallbericht aus der Melanom-Studie zeigt aber, dass LL-37 in Injektionsform nicht harmlos ist: Bei einer 63-jährigen Frau, die acht wöchentliche Injektionen in Hautmetastasen erhielt, traten rund 45 Tage nach Beginn zahlreiche warzenartige Hautveränderungen und Blasen am Rumpf und an den Gliedmaßen auf, die zunächst für Hautkrebs gehalten wurden. Feingeweblich zeigten sich entzündliche Veränderungen mit atypischen Hautzellen; alle Veränderungen bildeten sich innerhalb von zwei Monaten nach Absetzen zurück</w:t>
      </w:r>
      <w:r>
        <w:rPr>
          <w:rStyle w:val="FootnoteReference"/>
        </w:rPr>
        <w:footnoteReference w:id="1110"/>
      </w:r>
      <w:r>
        <w:t xml:space="preserve">.</w:t>
      </w:r>
    </w:p>
    <w:bookmarkEnd w:id="1111"/>
    <w:bookmarkStart w:id="1115" w:name="X8cdc109f91e3c842215bd436920173f8f5ceb03"/>
    <w:p>
      <w:pPr>
        <w:pStyle w:val="Heading4"/>
      </w:pPr>
      <w:r>
        <w:t xml:space="preserve">Theoretisch und aus der Krankheitsforschung abgeleitet</w:t>
      </w:r>
    </w:p>
    <w:p>
      <w:pPr>
        <w:numPr>
          <w:ilvl w:val="0"/>
          <w:numId w:val="1134"/>
        </w:numPr>
        <w:pStyle w:val="Compact"/>
      </w:pPr>
      <w:r>
        <w:rPr>
          <w:bCs/>
          <w:b/>
        </w:rPr>
        <w:t xml:space="preserve">Autoimmunität und Hauterkrankungen:</w:t>
      </w:r>
      <w:r>
        <w:t xml:space="preserve"> </w:t>
      </w:r>
      <w:r>
        <w:t xml:space="preserve">LL-37 ist bei Psoriasis ein Auslöser der Entzündung und ein Ziel fehlgeleiteter T-Zellen</w:t>
      </w:r>
      <w:r>
        <w:rPr>
          <w:rStyle w:val="FootnoteReference"/>
        </w:rPr>
        <w:footnoteReference w:id="1112"/>
      </w:r>
      <w:r>
        <w:t xml:space="preserve"> </w:t>
      </w:r>
      <w:r>
        <w:t xml:space="preserve">und bei Rosazea an der Hautentzündung beteiligt</w:t>
      </w:r>
      <w:r>
        <w:rPr>
          <w:rStyle w:val="FootnoteReference"/>
        </w:rPr>
        <w:footnoteReference w:id="1113"/>
      </w:r>
      <w:r>
        <w:t xml:space="preserve">. Menschen mit diesen oder anderen Autoimmunerkrankungen (etwa Lupus) sollten besonders vorsichtig sein – Studien dazu gibt es nicht.</w:t>
      </w:r>
    </w:p>
    <w:p>
      <w:pPr>
        <w:numPr>
          <w:ilvl w:val="0"/>
          <w:numId w:val="1134"/>
        </w:numPr>
        <w:pStyle w:val="Compact"/>
      </w:pPr>
      <w:r>
        <w:rPr>
          <w:bCs/>
          <w:b/>
        </w:rPr>
        <w:t xml:space="preserve">Krebs:</w:t>
      </w:r>
      <w:r>
        <w:t xml:space="preserve"> </w:t>
      </w:r>
      <w:r>
        <w:t xml:space="preserve">Weil LL-37 in Laborversuchen das Wachstum mancher Tumorarten fördert</w:t>
      </w:r>
      <w:r>
        <w:rPr>
          <w:rStyle w:val="FootnoteReference"/>
        </w:rPr>
        <w:footnoteReference w:id="1114"/>
      </w:r>
      <w:r>
        <w:t xml:space="preserve">, ist ein Einsatz bei Menschen mit Krebserkrankung oder Krebsvorgeschichte ohne Studien nicht abschätzbar.</w:t>
      </w:r>
    </w:p>
    <w:p>
      <w:pPr>
        <w:numPr>
          <w:ilvl w:val="0"/>
          <w:numId w:val="1134"/>
        </w:numPr>
        <w:pStyle w:val="Compact"/>
      </w:pPr>
      <w:r>
        <w:rPr>
          <w:bCs/>
          <w:b/>
        </w:rPr>
        <w:t xml:space="preserve">Zellschädigung bei hohen Konzentrationen:</w:t>
      </w:r>
      <w:r>
        <w:t xml:space="preserve"> </w:t>
      </w:r>
      <w:r>
        <w:t xml:space="preserve">Das Peptid greift Zellhüllen an; in höheren Konzentrationen kann es auch menschliche Zellen schädigen. Das könnte erklären, warum in der ersten Wundstudie die höchste Konzentration nicht wirkte.</w:t>
      </w:r>
    </w:p>
    <w:p>
      <w:pPr>
        <w:numPr>
          <w:ilvl w:val="0"/>
          <w:numId w:val="1134"/>
        </w:numPr>
        <w:pStyle w:val="Compact"/>
      </w:pPr>
      <w:r>
        <w:rPr>
          <w:bCs/>
          <w:b/>
        </w:rPr>
        <w:t xml:space="preserve">Graumarkt:</w:t>
      </w:r>
      <w:r>
        <w:t xml:space="preserve"> </w:t>
      </w:r>
      <w:r>
        <w:t xml:space="preserve">Wie bei allen „Forschungspeptiden“ sind Reinheit, Gehalt und Sterilität unbekannt. Für Injektionen gilt das in besonderem Maß.</w:t>
      </w:r>
    </w:p>
    <w:bookmarkEnd w:id="1115"/>
    <w:bookmarkEnd w:id="1116"/>
    <w:bookmarkStart w:id="1117" w:name="rechtslage-19"/>
    <w:p>
      <w:pPr>
        <w:pStyle w:val="Heading3"/>
      </w:pPr>
      <w:r>
        <w:t xml:space="preserve">Rechtslage</w:t>
      </w:r>
    </w:p>
    <w:p>
      <w:pPr>
        <w:pStyle w:val="FirstParagraph"/>
      </w:pPr>
      <w:r>
        <w:rPr>
          <w:iCs/>
          <w:i/>
        </w:rPr>
        <w:t xml:space="preserve">Stand 2026, bitte aktuell prüfen.</w:t>
      </w:r>
    </w:p>
    <w:p>
      <w:pPr>
        <w:numPr>
          <w:ilvl w:val="0"/>
          <w:numId w:val="1135"/>
        </w:numPr>
        <w:pStyle w:val="Compact"/>
      </w:pPr>
      <w:r>
        <w:rPr>
          <w:bCs/>
          <w:b/>
        </w:rPr>
        <w:t xml:space="preserve">EU, Deutschland, Österreich:</w:t>
      </w:r>
      <w:r>
        <w:t xml:space="preserve"> </w:t>
      </w:r>
      <w:r>
        <w:t xml:space="preserve">LL-37 ist nicht als Arzneimittel zugelassen. Die Entwicklung als Wundmittel durch ein schwedisches Unternehmen (unter dem Namen Ropocamptid) ist nach Kenntnis des Autors nicht über Phase 2 hinausgekommen. Der Verkauf zur Anwendung am Menschen ist nicht erlaubt.</w:t>
      </w:r>
    </w:p>
    <w:p>
      <w:pPr>
        <w:numPr>
          <w:ilvl w:val="0"/>
          <w:numId w:val="1135"/>
        </w:numPr>
        <w:pStyle w:val="Compact"/>
      </w:pPr>
      <w:r>
        <w:rPr>
          <w:bCs/>
          <w:b/>
        </w:rPr>
        <w:t xml:space="preserve">USA:</w:t>
      </w:r>
      <w:r>
        <w:t xml:space="preserve"> </w:t>
      </w:r>
      <w:r>
        <w:t xml:space="preserve">keine FDA-Zulassung.</w:t>
      </w:r>
    </w:p>
    <w:p>
      <w:pPr>
        <w:numPr>
          <w:ilvl w:val="0"/>
          <w:numId w:val="1135"/>
        </w:numPr>
        <w:pStyle w:val="Compact"/>
      </w:pPr>
      <w:r>
        <w:rPr>
          <w:bCs/>
          <w:b/>
        </w:rPr>
        <w:t xml:space="preserve">WADA:</w:t>
      </w:r>
      <w:r>
        <w:t xml:space="preserve"> </w:t>
      </w:r>
      <w:r>
        <w:t xml:space="preserve">nicht namentlich gelistet; nach Auffassung des Autors als nicht zugelassene Substanz unter S0 einzuordnen.</w:t>
      </w:r>
    </w:p>
    <w:bookmarkEnd w:id="1117"/>
    <w:bookmarkStart w:id="1118" w:name="laufende-studien-und-ausblick-19"/>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registriert, in der LL-37 als Wirkstoff gegeben wird. Die beiden Einträge mit LL-37 als Wirkstoff (Melanom, NCT02225366; diabetisches Fußgeschwür, NCT04098562) sind abgeschlossen bzw. haben einen unbekannten Status. Die übrigen Registereinträge messen LL-37 nur als Biomarker, etwa im Zahnfleisch oder bei Vitamin-D-Gabe.</w:t>
      </w:r>
    </w:p>
    <w:p>
      <w:pPr>
        <w:pStyle w:val="BodyText"/>
      </w:pPr>
      <w:r>
        <w:rPr>
          <w:bCs/>
          <w:b/>
        </w:rPr>
        <w:t xml:space="preserve">Einschätzung des Autors:</w:t>
      </w:r>
      <w:r>
        <w:t xml:space="preserve"> </w:t>
      </w:r>
      <w:r>
        <w:t xml:space="preserve">LL-37 selbst dürfte als Medikament kaum eine Zukunft haben – zu instabil, in hohen Konzentrationen zellschädigend und mit Autoimmun-Risiken behaftet. Die Forschung verlagert sich auf verkürzte oder veränderte Abkömmlinge und auf Wege, die körpereigene Bildung zu steigern. Eine Wundstudie in der Untergruppe großer Beingeschwüre, wie sie die HEAL-Autoren fordern, wäre der nächste logische Schritt; registriert ist sie nicht.</w:t>
      </w:r>
    </w:p>
    <w:bookmarkEnd w:id="1118"/>
    <w:bookmarkStart w:id="1120" w:name="fazit-19"/>
    <w:p>
      <w:pPr>
        <w:pStyle w:val="Heading3"/>
      </w:pPr>
      <w:r>
        <w:t xml:space="preserve">Fazit</w:t>
      </w:r>
    </w:p>
    <w:p>
      <w:pPr>
        <w:pStyle w:val="FirstParagraph"/>
      </w:pPr>
      <w:r>
        <w:t xml:space="preserve">LL-37 ist ein wichtiges körpereigenes Abwehrpeptid, dessen Spiegel in vielen Studien gemessen wurde – als Wirkstoff wurde es am Menschen aber nur in wenigen kleinen Studien gegeben. Auf Wunden aufgetragen war es gut verträglich, doch die größte randomisierte Studie mit 148 Personen fand keinen Vorteil gegenüber Placebo</w:t>
      </w:r>
      <w:r>
        <w:rPr>
          <w:rStyle w:val="FootnoteReference"/>
        </w:rPr>
        <w:footnoteReference w:id="1119"/>
      </w:r>
      <w:r>
        <w:t xml:space="preserve">. Gleichzeitig spielt LL-37 bei Psoriasis und Rosazea eine Rolle als Entzündungstreiber, und eine Injektionsbehandlung löste in einem dokumentierten Fall ausgeprägte Hautveränderungen aus. Für die im Internet beworbenen Anwendungen – etwa gegen chronische Infektionen oder als Immun-Booster per Spritze – gibt es keine Humanstudien.</w:t>
      </w:r>
    </w:p>
    <w:bookmarkEnd w:id="1120"/>
    <w:bookmarkEnd w:id="1121"/>
    <w:bookmarkStart w:id="1154" w:name="ara-290-cibinetid"/>
    <w:p>
      <w:pPr>
        <w:pStyle w:val="Heading2"/>
      </w:pPr>
      <w:r>
        <w:t xml:space="preserve">ARA-290 (Cibinetid)</w:t>
      </w:r>
    </w:p>
    <w:p>
      <w:pPr>
        <w:pStyle w:val="FirstParagraph"/>
      </w:pPr>
      <w:r>
        <w:t xml:space="preserve">ARA-290 ist ein künstliches Peptid, das aus dem Blutbildungshormon Erythropoietin (EPO) abgeleitet wurde – jenem Hormon, das im Radsport als Dopingmittel berühmt wurde. ARA-290 soll aber gerade nicht die Blutbildung anregen, sondern nur die gewebeschützenden Eigenschaften von EPO nutzen. In kleinen Studien bei Nervenschmerzen im Rahmen der Sarkoidose zeigte es ermutigende Signale. In der Biohacking-Szene wird es inzwischen als „Nervenregenerations-“ und „Anti-Aging“-Peptid angeboten.</w:t>
      </w:r>
    </w:p>
    <w:bookmarkStart w:id="1124" w:name="steckbrief-20"/>
    <w:p>
      <w:pPr>
        <w:pStyle w:val="Heading3"/>
      </w:pPr>
      <w:r>
        <w:t xml:space="preserve">Steckbrief</w:t>
      </w:r>
    </w:p>
    <w:p>
      <w:pPr>
        <w:numPr>
          <w:ilvl w:val="0"/>
          <w:numId w:val="1136"/>
        </w:numPr>
        <w:pStyle w:val="Compact"/>
      </w:pPr>
      <w:r>
        <w:rPr>
          <w:bCs/>
          <w:b/>
        </w:rPr>
        <w:t xml:space="preserve">Art und Struktur:</w:t>
      </w:r>
      <w:r>
        <w:t xml:space="preserve"> </w:t>
      </w:r>
      <w:r>
        <w:t xml:space="preserve">synthetisches Peptid aus 11 Aminosäuren</w:t>
      </w:r>
      <w:r>
        <w:rPr>
          <w:rStyle w:val="FootnoteReference"/>
        </w:rPr>
        <w:footnoteReference w:id="1122"/>
      </w:r>
      <w:r>
        <w:t xml:space="preserve">; Wirkstoffname Cibinetid.</w:t>
      </w:r>
    </w:p>
    <w:p>
      <w:pPr>
        <w:numPr>
          <w:ilvl w:val="0"/>
          <w:numId w:val="1136"/>
        </w:numPr>
        <w:pStyle w:val="Compact"/>
      </w:pPr>
      <w:r>
        <w:rPr>
          <w:bCs/>
          <w:b/>
        </w:rPr>
        <w:t xml:space="preserve">Herkunft:</w:t>
      </w:r>
      <w:r>
        <w:t xml:space="preserve"> </w:t>
      </w:r>
      <w:r>
        <w:t xml:space="preserve">nachgebaut nach einem Abschnitt der räumlichen Struktur von Erythropoietin, der für dessen Gewebeschutz verantwortlich sein soll; entwickelt von der US-Firma Araim Pharmaceuticals.</w:t>
      </w:r>
    </w:p>
    <w:p>
      <w:pPr>
        <w:numPr>
          <w:ilvl w:val="0"/>
          <w:numId w:val="1136"/>
        </w:numPr>
        <w:pStyle w:val="Compact"/>
      </w:pPr>
      <w:r>
        <w:rPr>
          <w:bCs/>
          <w:b/>
        </w:rPr>
        <w:t xml:space="preserve">Wirkprinzip:</w:t>
      </w:r>
      <w:r>
        <w:t xml:space="preserve"> </w:t>
      </w:r>
      <w:r>
        <w:t xml:space="preserve">bindet an einen sogenannten „angeborenen Reparaturrezeptor“ (eine Kombination aus EPO-Rezeptor und dem Rezeptorbaustein CD131), nicht an den klassischen EPO-Rezeptor der Blutbildung; soll Entzündungen dämpfen und Gewebereparatur anstoßen.</w:t>
      </w:r>
    </w:p>
    <w:p>
      <w:pPr>
        <w:numPr>
          <w:ilvl w:val="0"/>
          <w:numId w:val="1136"/>
        </w:numPr>
        <w:pStyle w:val="Compact"/>
      </w:pPr>
      <w:r>
        <w:rPr>
          <w:bCs/>
          <w:b/>
        </w:rPr>
        <w:t xml:space="preserve">Zulassung EU/USA:</w:t>
      </w:r>
      <w:r>
        <w:t xml:space="preserve"> </w:t>
      </w:r>
      <w:r>
        <w:t xml:space="preserve">nein.</w:t>
      </w:r>
    </w:p>
    <w:p>
      <w:pPr>
        <w:numPr>
          <w:ilvl w:val="0"/>
          <w:numId w:val="1136"/>
        </w:numPr>
        <w:pStyle w:val="Compact"/>
      </w:pPr>
      <w:r>
        <w:rPr>
          <w:bCs/>
          <w:b/>
        </w:rPr>
        <w:t xml:space="preserve">WADA:</w:t>
      </w:r>
      <w:r>
        <w:t xml:space="preserve"> </w:t>
      </w:r>
      <w:r>
        <w:t xml:space="preserve">verboten – nicht-blutbildende EPO-Rezeptor-Agonisten wie ARA-290 sind in der Klasse S2 ausdrücklich genannt; Anti-Doping-Labore haben Nachweisverfahren entwickelt</w:t>
      </w:r>
      <w:r>
        <w:rPr>
          <w:rStyle w:val="FootnoteReference"/>
        </w:rPr>
        <w:footnoteReference w:id="1123"/>
      </w:r>
      <w:r>
        <w:t xml:space="preserve">.</w:t>
      </w:r>
    </w:p>
    <w:p>
      <w:pPr>
        <w:numPr>
          <w:ilvl w:val="0"/>
          <w:numId w:val="1136"/>
        </w:numPr>
        <w:pStyle w:val="Compact"/>
      </w:pPr>
      <w:r>
        <w:rPr>
          <w:bCs/>
          <w:b/>
        </w:rPr>
        <w:t xml:space="preserve">Evidenzstufe: B</w:t>
      </w:r>
      <w:r>
        <w:t xml:space="preserve"> </w:t>
      </w:r>
      <w:r>
        <w:t xml:space="preserve">– mehrere kleine randomisierte, placebokontrollierte Phase-2-Studien; keine Phase-3-Studie.</w:t>
      </w:r>
    </w:p>
    <w:bookmarkEnd w:id="1124"/>
    <w:bookmarkStart w:id="1127" w:name="wie-es-wirken-soll-20"/>
    <w:p>
      <w:pPr>
        <w:pStyle w:val="Heading3"/>
      </w:pPr>
      <w:r>
        <w:t xml:space="preserve">Wie es wirken soll</w:t>
      </w:r>
    </w:p>
    <w:p>
      <w:pPr>
        <w:pStyle w:val="FirstParagraph"/>
      </w:pPr>
      <w:r>
        <w:t xml:space="preserve">Erythropoietin wird in der Niere gebildet und regt im Knochenmark die Bildung roter Blutkörperchen an. In den 2000er-Jahren zeigte sich in Tierversuchen, dass EPO zusätzlich Nerven, Herz und Nieren vor Schäden schützen kann. Als Medikament ist EPO dafür aber ungeeignet: Es erhöht die Zahl der roten Blutkörperchen, verdickt das Blut und steigert das Risiko für Thrombosen.</w:t>
      </w:r>
    </w:p>
    <w:p>
      <w:pPr>
        <w:pStyle w:val="BodyText"/>
      </w:pPr>
      <w:r>
        <w:t xml:space="preserve">Die Entwickler von ARA-290 vermuteten, dass die Schutzwirkung über einen anderen Rezeptor läuft als die Blutbildung. Dieser „Reparaturrezeptor“ wird erst bei Gewebeschäden oder Entzündung vermehrt gebildet. ARA-290 soll gezielt nur ihn aktivieren. Bei Ratten mit Nervenverletzung verringerte es dosisabhängig die Überempfindlichkeit gegen Berührung und Kälte bis zu 20 Wochen lang und dämpfte die Aktivierung von Immunzellen im Rückenmark</w:t>
      </w:r>
      <w:r>
        <w:rPr>
          <w:rStyle w:val="FootnoteReference"/>
        </w:rPr>
        <w:footnoteReference w:id="1125"/>
      </w:r>
      <w:r>
        <w:t xml:space="preserve">.</w:t>
      </w:r>
    </w:p>
    <w:p>
      <w:pPr>
        <w:pStyle w:val="BodyText"/>
      </w:pPr>
      <w:r>
        <w:t xml:space="preserve">ARA-290 wird im Blut rasch abgebaut; ein Anti-Doping-Labor beschrieb einen ausgeprägten Abbau durch Enzyme mit einem Hauptabbauprodukt</w:t>
      </w:r>
      <w:r>
        <w:rPr>
          <w:rStyle w:val="FootnoteReference"/>
        </w:rPr>
        <w:footnoteReference w:id="1126"/>
      </w:r>
      <w:r>
        <w:t xml:space="preserve">.</w:t>
      </w:r>
    </w:p>
    <w:bookmarkEnd w:id="1127"/>
    <w:bookmarkStart w:id="1136" w:name="studien-am-menschen-2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5</w:t>
      </w:r>
      <w:r>
        <w:t xml:space="preserve"> </w:t>
      </w:r>
      <w:r>
        <w:t xml:space="preserve">Humanstudien in PubMed und</w:t>
      </w:r>
      <w:r>
        <w:t xml:space="preserve"> </w:t>
      </w:r>
      <w:r>
        <w:rPr>
          <w:bCs/>
          <w:b/>
        </w:rPr>
        <w:t xml:space="preserve">5</w:t>
      </w:r>
      <w:r>
        <w:t xml:space="preserve"> </w:t>
      </w:r>
      <w:r>
        <w:t xml:space="preserve">Einträge bei ClinicalTrials.gov. Eine weitere Studie (diabetisches Makulaödem) wurde gezielt nachgesucht. Alle Studien sind klein und dauerten vier bis zwölf Wochen.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Sarkoidose, Pilotstudie (Heij 2012, PMID 23168581)</w:t>
            </w:r>
          </w:p>
        </w:tc>
        <w:tc>
          <w:tcPr/>
          <w:p>
            <w:pPr>
              <w:pStyle w:val="Compact"/>
              <w:jc w:val="left"/>
            </w:pPr>
            <w:r>
              <w:t xml:space="preserve">22 Personen mit Nervenschmerzen bei Sarkoidose, doppelblinde RCT, Infusion</w:t>
            </w:r>
          </w:p>
        </w:tc>
        <w:tc>
          <w:tcPr/>
          <w:p>
            <w:pPr>
              <w:pStyle w:val="Compact"/>
              <w:jc w:val="left"/>
            </w:pPr>
            <w:r>
              <w:t xml:space="preserve">4 Wochen</w:t>
            </w:r>
          </w:p>
        </w:tc>
        <w:tc>
          <w:tcPr/>
          <w:p>
            <w:pPr>
              <w:pStyle w:val="Compact"/>
              <w:jc w:val="left"/>
            </w:pPr>
            <w:r>
              <w:t xml:space="preserve">Neuropathie-Fragebogen −11,5 vs. −2,9 Punkte; Schmerz-Hauptskala in beiden Gruppen gleich stark verbessert</w:t>
            </w:r>
          </w:p>
        </w:tc>
      </w:tr>
      <w:tr>
        <w:tc>
          <w:tcPr/>
          <w:p>
            <w:pPr>
              <w:pStyle w:val="Compact"/>
              <w:jc w:val="left"/>
            </w:pPr>
            <w:r>
              <w:t xml:space="preserve">Sarkoidose, Injektion unter die Haut (Dahan 2013, PMID 24136731)</w:t>
            </w:r>
          </w:p>
        </w:tc>
        <w:tc>
          <w:tcPr/>
          <w:p>
            <w:pPr>
              <w:pStyle w:val="Compact"/>
              <w:jc w:val="left"/>
            </w:pPr>
            <w:r>
              <w:t xml:space="preserve">Personen mit Nervenfaserverlust bei Sarkoidose, verblindete, placebokontrollierte Studie</w:t>
            </w:r>
          </w:p>
        </w:tc>
        <w:tc>
          <w:tcPr/>
          <w:p>
            <w:pPr>
              <w:pStyle w:val="Compact"/>
              <w:jc w:val="left"/>
            </w:pPr>
            <w:r>
              <w:t xml:space="preserve">28 Tage</w:t>
            </w:r>
          </w:p>
        </w:tc>
        <w:tc>
          <w:tcPr/>
          <w:p>
            <w:pPr>
              <w:pStyle w:val="Compact"/>
              <w:jc w:val="left"/>
            </w:pPr>
            <w:r>
              <w:t xml:space="preserve">Besserung der Beschwerden, mehr Nervenfasern in der Hornhaut, längere Gehstrecke</w:t>
            </w:r>
          </w:p>
        </w:tc>
      </w:tr>
      <w:tr>
        <w:tc>
          <w:tcPr/>
          <w:p>
            <w:pPr>
              <w:pStyle w:val="Compact"/>
              <w:jc w:val="left"/>
            </w:pPr>
            <w:r>
              <w:t xml:space="preserve">Sarkoidose, Phase 2b (Culver 2017, PMID 28475703; NCT02039687)</w:t>
            </w:r>
          </w:p>
        </w:tc>
        <w:tc>
          <w:tcPr/>
          <w:p>
            <w:pPr>
              <w:pStyle w:val="Compact"/>
              <w:jc w:val="left"/>
            </w:pPr>
            <w:r>
              <w:t xml:space="preserve">64 Personen, RCT mit drei Dosen und Placebo</w:t>
            </w:r>
          </w:p>
        </w:tc>
        <w:tc>
          <w:tcPr/>
          <w:p>
            <w:pPr>
              <w:pStyle w:val="Compact"/>
              <w:jc w:val="left"/>
            </w:pPr>
            <w:r>
              <w:t xml:space="preserve">28 Tage</w:t>
            </w:r>
          </w:p>
        </w:tc>
        <w:tc>
          <w:tcPr/>
          <w:p>
            <w:pPr>
              <w:pStyle w:val="Compact"/>
              <w:jc w:val="left"/>
            </w:pPr>
            <w:r>
              <w:t xml:space="preserve">Nervenfaserfläche der Hornhaut nur in der mittleren Dosis signifikant erhöht; Schmerz in allen Gruppen inklusive Placebo gebessert</w:t>
            </w:r>
          </w:p>
        </w:tc>
      </w:tr>
      <w:tr>
        <w:tc>
          <w:tcPr/>
          <w:p>
            <w:pPr>
              <w:pStyle w:val="Compact"/>
              <w:jc w:val="left"/>
            </w:pPr>
            <w:r>
              <w:t xml:space="preserve">Typ-2-Diabetes mit Neuropathie (Brines 2015, PMID 25387363)</w:t>
            </w:r>
          </w:p>
        </w:tc>
        <w:tc>
          <w:tcPr/>
          <w:p>
            <w:pPr>
              <w:pStyle w:val="Compact"/>
              <w:jc w:val="left"/>
            </w:pPr>
            <w:r>
              <w:t xml:space="preserve">Personen mit Typ-2-Diabetes und Nervenschmerzen, Phase 2, gegen Placebo</w:t>
            </w:r>
          </w:p>
        </w:tc>
        <w:tc>
          <w:tcPr/>
          <w:p>
            <w:pPr>
              <w:pStyle w:val="Compact"/>
              <w:jc w:val="left"/>
            </w:pPr>
            <w:r>
              <w:t xml:space="preserve">28 Tage plus 28 Tage</w:t>
            </w:r>
          </w:p>
        </w:tc>
        <w:tc>
          <w:tcPr/>
          <w:p>
            <w:pPr>
              <w:pStyle w:val="Compact"/>
              <w:jc w:val="left"/>
            </w:pPr>
            <w:r>
              <w:t xml:space="preserve">HbA1c und Blutfette verbessert, Neuropathie-Fragebogen besser</w:t>
            </w:r>
          </w:p>
        </w:tc>
      </w:tr>
      <w:tr>
        <w:tc>
          <w:tcPr/>
          <w:p>
            <w:pPr>
              <w:pStyle w:val="Compact"/>
              <w:jc w:val="left"/>
            </w:pPr>
            <w:r>
              <w:t xml:space="preserve">Diabetisches Makulaödem (Lois 2020, PMID 32674280)</w:t>
            </w:r>
          </w:p>
        </w:tc>
        <w:tc>
          <w:tcPr/>
          <w:p>
            <w:pPr>
              <w:pStyle w:val="Compact"/>
              <w:jc w:val="left"/>
            </w:pPr>
            <w:r>
              <w:t xml:space="preserve">9 Personen, Phase 2 ohne Kontrollgruppe</w:t>
            </w:r>
          </w:p>
        </w:tc>
        <w:tc>
          <w:tcPr/>
          <w:p>
            <w:pPr>
              <w:pStyle w:val="Compact"/>
              <w:jc w:val="left"/>
            </w:pPr>
            <w:r>
              <w:t xml:space="preserve">12 Wochen</w:t>
            </w:r>
          </w:p>
        </w:tc>
        <w:tc>
          <w:tcPr/>
          <w:p>
            <w:pPr>
              <w:pStyle w:val="Compact"/>
              <w:jc w:val="left"/>
            </w:pPr>
            <w:r>
              <w:t xml:space="preserve">keine Verbesserung von Sehschärfe oder Netzhautdicke; keine Antikörper gegen den Wirkstoff</w:t>
            </w:r>
          </w:p>
        </w:tc>
      </w:tr>
      <w:tr>
        <w:tc>
          <w:tcPr/>
          <w:p>
            <w:pPr>
              <w:pStyle w:val="Compact"/>
              <w:jc w:val="left"/>
            </w:pPr>
            <w:r>
              <w:t xml:space="preserve">Gesunde, Stimmung (Cerit 2015, PMID 26431906)</w:t>
            </w:r>
          </w:p>
        </w:tc>
        <w:tc>
          <w:tcPr/>
          <w:p>
            <w:pPr>
              <w:pStyle w:val="Compact"/>
              <w:jc w:val="left"/>
            </w:pPr>
            <w:r>
              <w:t xml:space="preserve">36 Gesunde, doppelblinde RCT, Einzeldosis</w:t>
            </w:r>
          </w:p>
        </w:tc>
        <w:tc>
          <w:tcPr/>
          <w:p>
            <w:pPr>
              <w:pStyle w:val="Compact"/>
              <w:jc w:val="left"/>
            </w:pPr>
            <w:r>
              <w:t xml:space="preserve">1 Woche</w:t>
            </w:r>
          </w:p>
        </w:tc>
        <w:tc>
          <w:tcPr/>
          <w:p>
            <w:pPr>
              <w:pStyle w:val="Compact"/>
              <w:jc w:val="left"/>
            </w:pPr>
            <w:r>
              <w:t xml:space="preserve">keine Wirkung auf Stimmung; Befunde sprechen nicht eindeutig für antidepressive Wirkung</w:t>
            </w:r>
          </w:p>
        </w:tc>
      </w:tr>
    </w:tbl>
    <w:bookmarkStart w:id="1131" w:name="sarkoidose-das-hauptanwendungsgebiet"/>
    <w:p>
      <w:pPr>
        <w:pStyle w:val="Heading4"/>
      </w:pPr>
      <w:r>
        <w:t xml:space="preserve">Sarkoidose – das Hauptanwendungsgebiet</w:t>
      </w:r>
    </w:p>
    <w:p>
      <w:pPr>
        <w:pStyle w:val="FirstParagraph"/>
      </w:pPr>
      <w:r>
        <w:t xml:space="preserve">Sarkoidose ist eine Entzündungskrankheit, bei der sich in Lunge, Haut, Augen und anderen Organen kleine Knötchen bilden. Viele Betroffene leiden an brennenden Schmerzen und Missempfindungen durch geschädigte feine Nervenfasern (Small-Fiber-Neuropathie). Wirksame Behandlungen gibt es kaum.</w:t>
      </w:r>
    </w:p>
    <w:p>
      <w:pPr>
        <w:pStyle w:val="BodyText"/>
      </w:pPr>
      <w:r>
        <w:t xml:space="preserve">In der ersten Pilotstudie mit 22 Personen verbesserte sich ein Fragebogen zu Neuropathie-Beschwerden unter ARA-290 deutlich stärker als unter Placebo. Die Werte des Schmerz-Hauptfragebogens und der Erschöpfung besserten sich jedoch in beiden Gruppen gleich stark – ein Hinweis auf einen erheblichen Placeboeffekt</w:t>
      </w:r>
      <w:r>
        <w:rPr>
          <w:rStyle w:val="FootnoteReference"/>
        </w:rPr>
        <w:footnoteReference w:id="1128"/>
      </w:r>
      <w:r>
        <w:t xml:space="preserve">.</w:t>
      </w:r>
    </w:p>
    <w:p>
      <w:pPr>
        <w:pStyle w:val="BodyText"/>
      </w:pPr>
      <w:r>
        <w:t xml:space="preserve">Die größte Studie, eine Phase-2b-Studie mit 64 Personen, wählte als Hauptzielgröße die Fläche der feinen Nervenfasern in der Hornhaut des Auges, die sich mit einem speziellen Mikroskop messen lässt. Nur in der mittleren von drei Dosen nahm diese Fläche gegenüber Placebo signifikant zu; die niedrige und die hohe Dosis zeigten keinen signifikanten Effekt. Die Schmerzen besserten sich in allen Gruppen, auch unter Placebo</w:t>
      </w:r>
      <w:r>
        <w:rPr>
          <w:rStyle w:val="FootnoteReference"/>
        </w:rPr>
        <w:footnoteReference w:id="1129"/>
      </w:r>
      <w:r>
        <w:t xml:space="preserve">. Die Hornhaut-Nervenfasern sind ein Ersatzmarker (Surrogatendpunkt): Ob mehr Nervenfasern in der Hornhaut auch dauerhaft weniger Schmerzen bedeuten, ist nicht nachgewiesen.</w:t>
      </w:r>
    </w:p>
    <w:p>
      <w:pPr>
        <w:pStyle w:val="BodyText"/>
      </w:pPr>
      <w:r>
        <w:t xml:space="preserve">Eine Übersicht von Mitgliedern der Leidener Forschungsgruppe bewertete die Aussichten als vielversprechend</w:t>
      </w:r>
      <w:r>
        <w:rPr>
          <w:rStyle w:val="FootnoteReference"/>
        </w:rPr>
        <w:footnoteReference w:id="1130"/>
      </w:r>
      <w:r>
        <w:t xml:space="preserve">. Dabei ist zu beachten, dass ein großer Teil der Studien von der Entwicklerfirma und eng mit ihr verbundenen Forschenden stammt.</w:t>
      </w:r>
    </w:p>
    <w:bookmarkEnd w:id="1131"/>
    <w:bookmarkStart w:id="1135" w:name="diabetes"/>
    <w:p>
      <w:pPr>
        <w:pStyle w:val="Heading4"/>
      </w:pPr>
      <w:r>
        <w:t xml:space="preserve">Diabetes</w:t>
      </w:r>
    </w:p>
    <w:p>
      <w:pPr>
        <w:pStyle w:val="FirstParagraph"/>
      </w:pPr>
      <w:r>
        <w:t xml:space="preserve">Bei Menschen mit Typ-2-Diabetes und schmerzhafter Neuropathie verbesserten sich unter ARA-290 über 28 Tage der Langzeitblutzucker HbA1c, die Blutfette und Neuropathie-Beschwerden</w:t>
      </w:r>
      <w:r>
        <w:rPr>
          <w:rStyle w:val="FootnoteReference"/>
        </w:rPr>
        <w:footnoteReference w:id="1132"/>
      </w:r>
      <w:r>
        <w:t xml:space="preserve">. Die Teilnehmerzahl ist im Abstract nicht angegeben; die Studie war kurz. Eine separat registrierte schwedische Studie zur Blutzuckerwirkung bei Prädiabetes mit geplant 24 Personen hat einen unbekannten Status</w:t>
      </w:r>
      <w:r>
        <w:rPr>
          <w:rStyle w:val="FootnoteReference"/>
        </w:rPr>
        <w:footnoteReference w:id="1133"/>
      </w:r>
      <w:r>
        <w:t xml:space="preserve">. Bei neun Personen mit diabetischem Makulaödem – einer Schwellung der Netzhautmitte – verbesserten sich Sehschärfe und Netzhautdicke nicht</w:t>
      </w:r>
      <w:r>
        <w:rPr>
          <w:rStyle w:val="FootnoteReference"/>
        </w:rPr>
        <w:footnoteReference w:id="1134"/>
      </w:r>
      <w:r>
        <w:t xml:space="preserve">.</w:t>
      </w:r>
    </w:p>
    <w:bookmarkEnd w:id="1135"/>
    <w:bookmarkEnd w:id="1136"/>
    <w:bookmarkStart w:id="1142" w:name="tier--und-laborstudien-20"/>
    <w:p>
      <w:pPr>
        <w:pStyle w:val="Heading3"/>
      </w:pPr>
      <w:r>
        <w:t xml:space="preserve">Tier- und Laborstudien</w:t>
      </w:r>
    </w:p>
    <w:p>
      <w:pPr>
        <w:pStyle w:val="FirstParagraph"/>
      </w:pPr>
      <w:r>
        <w:t xml:space="preserve">Die Tierforschung zu ARA-290 ist breit. Bei Ratten, Mäusen und Schweinen wurden schützende Wirkungen bei Nervenschmerzen</w:t>
      </w:r>
      <w:r>
        <w:rPr>
          <w:rStyle w:val="FootnoteReference"/>
        </w:rPr>
        <w:footnoteReference w:id="1137"/>
      </w:r>
      <w:r>
        <w:t xml:space="preserve">, Nierenschäden nach Durchblutungsstörung bei Schweinen</w:t>
      </w:r>
      <w:r>
        <w:rPr>
          <w:rStyle w:val="FootnoteReference"/>
        </w:rPr>
        <w:footnoteReference w:id="1138"/>
      </w:r>
      <w:r>
        <w:t xml:space="preserve">, Diabetes bei Ratten</w:t>
      </w:r>
      <w:r>
        <w:rPr>
          <w:rStyle w:val="FootnoteReference"/>
        </w:rPr>
        <w:footnoteReference w:id="1139"/>
      </w:r>
      <w:r>
        <w:t xml:space="preserve"> </w:t>
      </w:r>
      <w:r>
        <w:t xml:space="preserve">und Alzheimer-ähnlichen Veränderungen</w:t>
      </w:r>
      <w:r>
        <w:rPr>
          <w:rStyle w:val="FootnoteReference"/>
        </w:rPr>
        <w:footnoteReference w:id="1140"/>
      </w:r>
      <w:r>
        <w:t xml:space="preserve"> </w:t>
      </w:r>
      <w:r>
        <w:t xml:space="preserve">beschrieben. In einer Langzeitstudie an alternden Ratten über 15 Monate verringerte ARA-290 Entzündungszeichen im Herzen und milderte altersbedingte Verschlechterungen der Herzfunktion</w:t>
      </w:r>
      <w:r>
        <w:rPr>
          <w:rStyle w:val="FootnoteReference"/>
        </w:rPr>
        <w:footnoteReference w:id="1141"/>
      </w:r>
      <w:r>
        <w:t xml:space="preserve"> </w:t>
      </w:r>
      <w:r>
        <w:t xml:space="preserve">– auf diese Arbeit stützt sich die Vermarktung als „Anti-Aging-Peptid“. Alle diese Ergebnisse stammen aus Tierversuchen.</w:t>
      </w:r>
    </w:p>
    <w:bookmarkEnd w:id="1142"/>
    <w:bookmarkStart w:id="1147" w:name="risiken-und-nebenwirkungen-20"/>
    <w:p>
      <w:pPr>
        <w:pStyle w:val="Heading3"/>
      </w:pPr>
      <w:r>
        <w:t xml:space="preserve">Risiken und Nebenwirkungen</w:t>
      </w:r>
    </w:p>
    <w:bookmarkStart w:id="1145" w:name="belegt-4"/>
    <w:p>
      <w:pPr>
        <w:pStyle w:val="Heading4"/>
      </w:pPr>
      <w:r>
        <w:t xml:space="preserve">Belegt</w:t>
      </w:r>
    </w:p>
    <w:p>
      <w:pPr>
        <w:pStyle w:val="FirstParagraph"/>
      </w:pPr>
      <w:r>
        <w:t xml:space="preserve">In allen veröffentlichten Studien wurden keine Sicherheitsprobleme berichtet</w:t>
      </w:r>
      <w:r>
        <w:rPr>
          <w:rStyle w:val="FootnoteReference"/>
        </w:rPr>
        <w:footnoteReference w:id="1143"/>
      </w:r>
      <w:r>
        <w:t xml:space="preserve">. In der Makulaödem-Studie über zwölf Wochen traten keine schweren Nebenwirkungen und keine Antikörper gegen ARA-290 auf</w:t>
      </w:r>
      <w:r>
        <w:rPr>
          <w:rStyle w:val="FootnoteReference"/>
        </w:rPr>
        <w:footnoteReference w:id="1144"/>
      </w:r>
      <w:r>
        <w:t xml:space="preserve">. Die Datenbasis ist mit insgesamt deutlich weniger als 200 behandelten Personen und Behandlungszeiten von höchstens zwölf Wochen aber klein.</w:t>
      </w:r>
    </w:p>
    <w:bookmarkEnd w:id="1145"/>
    <w:bookmarkStart w:id="1146" w:name="theoretisch-1"/>
    <w:p>
      <w:pPr>
        <w:pStyle w:val="Heading4"/>
      </w:pPr>
      <w:r>
        <w:t xml:space="preserve">Theoretisch</w:t>
      </w:r>
    </w:p>
    <w:p>
      <w:pPr>
        <w:numPr>
          <w:ilvl w:val="0"/>
          <w:numId w:val="1137"/>
        </w:numPr>
        <w:pStyle w:val="Compact"/>
      </w:pPr>
      <w:r>
        <w:rPr>
          <w:bCs/>
          <w:b/>
        </w:rPr>
        <w:t xml:space="preserve">EPO-ähnliche Effekte:</w:t>
      </w:r>
      <w:r>
        <w:t xml:space="preserve"> </w:t>
      </w:r>
      <w:r>
        <w:t xml:space="preserve">ARA-290 wurde so entworfen, dass es die Blutbildung nicht anregt. Ob bei längerer Anwendung oder höheren Dosen, wie sie im Graumarkt kursieren, dennoch EPO-ähnliche Wirkungen auftreten, ist am Menschen nicht untersucht.</w:t>
      </w:r>
    </w:p>
    <w:p>
      <w:pPr>
        <w:numPr>
          <w:ilvl w:val="0"/>
          <w:numId w:val="1137"/>
        </w:numPr>
        <w:pStyle w:val="Compact"/>
      </w:pPr>
      <w:r>
        <w:rPr>
          <w:bCs/>
          <w:b/>
        </w:rPr>
        <w:t xml:space="preserve">Tumorwachstum:</w:t>
      </w:r>
      <w:r>
        <w:t xml:space="preserve"> </w:t>
      </w:r>
      <w:r>
        <w:t xml:space="preserve">EPO selbst steht im Verdacht, bei manchen Krebserkrankungen das Tumorwachstum zu fördern. Ob das für ARA-290 eine Rolle spielt, ist unbekannt; Langzeitdaten fehlen.</w:t>
      </w:r>
    </w:p>
    <w:p>
      <w:pPr>
        <w:numPr>
          <w:ilvl w:val="0"/>
          <w:numId w:val="1137"/>
        </w:numPr>
        <w:pStyle w:val="Compact"/>
      </w:pPr>
      <w:r>
        <w:rPr>
          <w:bCs/>
          <w:b/>
        </w:rPr>
        <w:t xml:space="preserve">Graumarkt:</w:t>
      </w:r>
      <w:r>
        <w:t xml:space="preserve"> </w:t>
      </w:r>
      <w:r>
        <w:t xml:space="preserve">Die Studien wurden mit Arzneimittelqualität durchgeführt. Für frei verkaufte Produkte sind Reinheit und Gehalt unbekannt.</w:t>
      </w:r>
    </w:p>
    <w:bookmarkEnd w:id="1146"/>
    <w:bookmarkEnd w:id="1147"/>
    <w:bookmarkStart w:id="1148" w:name="rechtslage-20"/>
    <w:p>
      <w:pPr>
        <w:pStyle w:val="Heading3"/>
      </w:pPr>
      <w:r>
        <w:t xml:space="preserve">Rechtslage</w:t>
      </w:r>
    </w:p>
    <w:p>
      <w:pPr>
        <w:pStyle w:val="FirstParagraph"/>
      </w:pPr>
      <w:r>
        <w:rPr>
          <w:iCs/>
          <w:i/>
        </w:rPr>
        <w:t xml:space="preserve">Stand 2026, bitte aktuell prüfen.</w:t>
      </w:r>
    </w:p>
    <w:p>
      <w:pPr>
        <w:numPr>
          <w:ilvl w:val="0"/>
          <w:numId w:val="1138"/>
        </w:numPr>
        <w:pStyle w:val="Compact"/>
      </w:pPr>
      <w:r>
        <w:rPr>
          <w:bCs/>
          <w:b/>
        </w:rPr>
        <w:t xml:space="preserve">EU, Deutschland, Österreich:</w:t>
      </w:r>
      <w:r>
        <w:t xml:space="preserve"> </w:t>
      </w:r>
      <w:r>
        <w:t xml:space="preserve">nicht zugelassen. Die Abgabe zur Anwendung am Menschen ist nicht erlaubt.</w:t>
      </w:r>
    </w:p>
    <w:p>
      <w:pPr>
        <w:numPr>
          <w:ilvl w:val="0"/>
          <w:numId w:val="1138"/>
        </w:numPr>
        <w:pStyle w:val="Compact"/>
      </w:pPr>
      <w:r>
        <w:rPr>
          <w:bCs/>
          <w:b/>
        </w:rPr>
        <w:t xml:space="preserve">USA:</w:t>
      </w:r>
      <w:r>
        <w:t xml:space="preserve"> </w:t>
      </w:r>
      <w:r>
        <w:t xml:space="preserve">keine FDA-Zulassung.</w:t>
      </w:r>
    </w:p>
    <w:p>
      <w:pPr>
        <w:numPr>
          <w:ilvl w:val="0"/>
          <w:numId w:val="1138"/>
        </w:numPr>
        <w:pStyle w:val="Compact"/>
      </w:pPr>
      <w:r>
        <w:rPr>
          <w:bCs/>
          <w:b/>
        </w:rPr>
        <w:t xml:space="preserve">WADA:</w:t>
      </w:r>
      <w:r>
        <w:t xml:space="preserve"> </w:t>
      </w:r>
      <w:r>
        <w:t xml:space="preserve">im und außerhalb des Wettkampfs verboten (S2, Peptidhormone und verwandte Substanzen; ARA-290 wird als Beispiel für nicht-blutbildende EPO-Rezeptor-Agonisten genannt).</w:t>
      </w:r>
    </w:p>
    <w:bookmarkEnd w:id="1148"/>
    <w:bookmarkStart w:id="1151" w:name="laufende-studien-und-ausblick-20"/>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ARA-290 bzw. Cibinetid registriert. Die bisher größte Studie</w:t>
      </w:r>
      <w:r>
        <w:rPr>
          <w:rStyle w:val="FootnoteReference"/>
        </w:rPr>
        <w:footnoteReference w:id="1149"/>
      </w:r>
      <w:r>
        <w:t xml:space="preserve"> </w:t>
      </w:r>
      <w:r>
        <w:t xml:space="preserve">wurde 2015 abgeschlossen; seither ist keine Phase-3-Studie begonnen worden. Die Studie zum Makulaödem wurde mit neun Personen beendet</w:t>
      </w:r>
      <w:r>
        <w:rPr>
          <w:rStyle w:val="FootnoteReference"/>
        </w:rPr>
        <w:footnoteReference w:id="1150"/>
      </w:r>
      <w:r>
        <w:t xml:space="preserve">.</w:t>
      </w:r>
    </w:p>
    <w:p>
      <w:pPr>
        <w:pStyle w:val="BodyText"/>
      </w:pPr>
      <w:r>
        <w:rPr>
          <w:bCs/>
          <w:b/>
        </w:rPr>
        <w:t xml:space="preserve">Einschätzung des Autors:</w:t>
      </w:r>
      <w:r>
        <w:t xml:space="preserve"> </w:t>
      </w:r>
      <w:r>
        <w:t xml:space="preserve">Die Ergebnisse bei Sarkoidose-Neuropathie waren interessant genug für eine Phase-3-Studie, die aber über zehn Jahre nach der Phase-2b-Studie nicht erkennbar begonnen wurde. Ohne neuen Entwickler oder Geldgeber ist eine Zulassung unwahrscheinlich. Die Vermarktung im Graumarkt als Anti-Aging-Mittel stützt sich auf Rattenstudien und hat mit den untersuchten Anwendungen am Menschen wenig zu tun.</w:t>
      </w:r>
    </w:p>
    <w:bookmarkEnd w:id="1151"/>
    <w:bookmarkStart w:id="1153" w:name="fazit-20"/>
    <w:p>
      <w:pPr>
        <w:pStyle w:val="Heading3"/>
      </w:pPr>
      <w:r>
        <w:t xml:space="preserve">Fazit</w:t>
      </w:r>
    </w:p>
    <w:p>
      <w:pPr>
        <w:pStyle w:val="FirstParagraph"/>
      </w:pPr>
      <w:r>
        <w:t xml:space="preserve">ARA-290 ist ein aus Erythropoietin abgeleitetes Peptid, das Gewebe schützen soll, ohne die Blutbildung anzuregen. In kleinen randomisierten Studien bei Sarkoidose-bedingter Nervenschädigung nahmen Nervenfasern in der Hornhaut zu, allerdings nur in einer von drei Dosen, und die Schmerzen besserten sich auch unter Placebo deutlich</w:t>
      </w:r>
      <w:r>
        <w:rPr>
          <w:rStyle w:val="FootnoteReference"/>
        </w:rPr>
        <w:footnoteReference w:id="1152"/>
      </w:r>
      <w:r>
        <w:t xml:space="preserve">. Die Verträglichkeit war in den kurzen Studien gut, Langzeitdaten fehlen. Seit 2015 gibt es keine neuen registrierten Studien; im Sport ist ARA-290 verboten.</w:t>
      </w:r>
    </w:p>
    <w:bookmarkEnd w:id="1153"/>
    <w:bookmarkEnd w:id="1154"/>
    <w:bookmarkStart w:id="1192" w:name="larazotid"/>
    <w:p>
      <w:pPr>
        <w:pStyle w:val="Heading2"/>
      </w:pPr>
      <w:r>
        <w:t xml:space="preserve">Larazotid</w:t>
      </w:r>
    </w:p>
    <w:p>
      <w:pPr>
        <w:pStyle w:val="FirstParagraph"/>
      </w:pPr>
      <w:r>
        <w:t xml:space="preserve">Larazotid ist das einzige Peptid dieser Gruppe, das es bis in eine Phase-3-Zulassungsstudie geschafft hat, ohne vorher irgendwo zugelassen zu sein. Es sollte das erste Medikament gegen Zöliakie werden – eine Erkrankung, bei der bis heute nur die lebenslange glutenfreie Ernährung hilft. Das Konzept dahinter, die Abdichtung einer „durchlässigen“ Darmwand, macht Larazotid auch für die Szene rund um den „Leaky Gut“ interessant. Die Geschichte des Wirkstoffs zeigt, wie schwer es ist, aus einer plausiblen Idee ein wirksames Medikament zu machen.</w:t>
      </w:r>
    </w:p>
    <w:bookmarkStart w:id="1156" w:name="steckbrief-21"/>
    <w:p>
      <w:pPr>
        <w:pStyle w:val="Heading3"/>
      </w:pPr>
      <w:r>
        <w:t xml:space="preserve">Steckbrief</w:t>
      </w:r>
    </w:p>
    <w:p>
      <w:pPr>
        <w:numPr>
          <w:ilvl w:val="0"/>
          <w:numId w:val="1139"/>
        </w:numPr>
        <w:pStyle w:val="Compact"/>
      </w:pPr>
      <w:r>
        <w:rPr>
          <w:bCs/>
          <w:b/>
        </w:rPr>
        <w:t xml:space="preserve">Art und Struktur:</w:t>
      </w:r>
      <w:r>
        <w:t xml:space="preserve"> </w:t>
      </w:r>
      <w:r>
        <w:t xml:space="preserve">synthetisches Peptid aus 8 Aminosäuren</w:t>
      </w:r>
      <w:r>
        <w:rPr>
          <w:rStyle w:val="FootnoteReference"/>
        </w:rPr>
        <w:footnoteReference w:id="1155"/>
      </w:r>
      <w:r>
        <w:t xml:space="preserve">, als Acetat-Salz (Larazotidacetat); Entwicklungscode AT-1001.</w:t>
      </w:r>
    </w:p>
    <w:p>
      <w:pPr>
        <w:numPr>
          <w:ilvl w:val="0"/>
          <w:numId w:val="1139"/>
        </w:numPr>
        <w:pStyle w:val="Compact"/>
      </w:pPr>
      <w:r>
        <w:rPr>
          <w:bCs/>
          <w:b/>
        </w:rPr>
        <w:t xml:space="preserve">Herkunft:</w:t>
      </w:r>
      <w:r>
        <w:t xml:space="preserve"> </w:t>
      </w:r>
      <w:r>
        <w:t xml:space="preserve">abgeleitet aus der Forschung zum Zonula-occludens-Toxin des Cholera-Bakteriums, das die Verbindungen zwischen Darmzellen öffnet; Larazotid soll umgekehrt wirken.</w:t>
      </w:r>
    </w:p>
    <w:p>
      <w:pPr>
        <w:numPr>
          <w:ilvl w:val="0"/>
          <w:numId w:val="1139"/>
        </w:numPr>
        <w:pStyle w:val="Compact"/>
      </w:pPr>
      <w:r>
        <w:rPr>
          <w:bCs/>
          <w:b/>
        </w:rPr>
        <w:t xml:space="preserve">Wirkprinzip:</w:t>
      </w:r>
      <w:r>
        <w:t xml:space="preserve"> </w:t>
      </w:r>
      <w:r>
        <w:t xml:space="preserve">Regulator der „Tight Junctions“ (Schlussleisten zwischen Darmzellen); gilt als Gegenspieler des körpereigenen Signalstoffs Zonulin. Wirkt örtlich im Darm und wird kaum ins Blut aufgenommen.</w:t>
      </w:r>
    </w:p>
    <w:p>
      <w:pPr>
        <w:numPr>
          <w:ilvl w:val="0"/>
          <w:numId w:val="1139"/>
        </w:numPr>
        <w:pStyle w:val="Compact"/>
      </w:pPr>
      <w:r>
        <w:rPr>
          <w:bCs/>
          <w:b/>
        </w:rPr>
        <w:t xml:space="preserve">Zulassung EU/USA:</w:t>
      </w:r>
      <w:r>
        <w:t xml:space="preserve"> </w:t>
      </w:r>
      <w:r>
        <w:t xml:space="preserve">nein.</w:t>
      </w:r>
    </w:p>
    <w:p>
      <w:pPr>
        <w:numPr>
          <w:ilvl w:val="0"/>
          <w:numId w:val="1139"/>
        </w:numPr>
        <w:pStyle w:val="Compact"/>
      </w:pPr>
      <w:r>
        <w:rPr>
          <w:bCs/>
          <w:b/>
        </w:rPr>
        <w:t xml:space="preserve">WADA:</w:t>
      </w:r>
      <w:r>
        <w:t xml:space="preserve"> </w:t>
      </w:r>
      <w:r>
        <w:t xml:space="preserve">nicht gelistet; ohne erkennbare leistungssteigernde Wirkung.</w:t>
      </w:r>
    </w:p>
    <w:p>
      <w:pPr>
        <w:numPr>
          <w:ilvl w:val="0"/>
          <w:numId w:val="1139"/>
        </w:numPr>
        <w:pStyle w:val="Compact"/>
      </w:pPr>
      <w:r>
        <w:rPr>
          <w:bCs/>
          <w:b/>
        </w:rPr>
        <w:t xml:space="preserve">Evidenzstufe: B</w:t>
      </w:r>
      <w:r>
        <w:t xml:space="preserve"> </w:t>
      </w:r>
      <w:r>
        <w:t xml:space="preserve">– mehrere randomisierte Phase-2-Studien mit gemischten Ergebnissen; die Phase-3-Studie wurde abgebrochen, ohne veröffentlichte Ergebnisse.</w:t>
      </w:r>
    </w:p>
    <w:bookmarkEnd w:id="1156"/>
    <w:bookmarkStart w:id="1159" w:name="wie-es-wirken-soll-21"/>
    <w:p>
      <w:pPr>
        <w:pStyle w:val="Heading3"/>
      </w:pPr>
      <w:r>
        <w:t xml:space="preserve">Wie es wirken soll</w:t>
      </w:r>
    </w:p>
    <w:p>
      <w:pPr>
        <w:pStyle w:val="FirstParagraph"/>
      </w:pPr>
      <w:r>
        <w:t xml:space="preserve">Bei Zöliakie reagiert das Immunsystem genetisch veranlagter Menschen auf Gluten, ein Eiweiß in Weizen, Roggen und Gerste. Bruchstücke des Glutens gelangen durch die Darmschleimhaut und lösen dort eine Entzündung aus, die die Darmzotten zerstört. Ein Teil dieser Bruchstücke wandert vermutlich durch die Lücken zwischen den Darmzellen. Diese Lücken werden durch die Tight Junctions verschlossen – eine Art molekularer Reißverschluss.</w:t>
      </w:r>
    </w:p>
    <w:p>
      <w:pPr>
        <w:pStyle w:val="BodyText"/>
      </w:pPr>
      <w:r>
        <w:t xml:space="preserve">Der Signalstoff Zonulin kann diesen Reißverschluss öffnen; Gliadin, ein Bestandteil des Glutens, setzt Zonulin frei. Larazotid soll diesen Weg blockieren. In Zellkulturen menschlicher Darmzellen verhinderte Larazotid die Umlagerung der Verschlussproteine und verringerte den Durchtritt eines Gliadin-Bruchstücks durch die Zellschicht; bei genetisch veränderten Mäusen mit Gluten-Empfindlichkeit blieb die Struktur der Schlussleisten erhalten</w:t>
      </w:r>
      <w:r>
        <w:rPr>
          <w:rStyle w:val="FootnoteReference"/>
        </w:rPr>
        <w:footnoteReference w:id="1157"/>
      </w:r>
      <w:r>
        <w:t xml:space="preserve">. Neuere Arbeiten vermuten zusätzlich eine Hemmung des Enzyms Myosin-Leichtketten-Kinase, das die Zellverbindungen unter Spannung setzt</w:t>
      </w:r>
      <w:r>
        <w:rPr>
          <w:rStyle w:val="FootnoteReference"/>
        </w:rPr>
        <w:footnoteReference w:id="1158"/>
      </w:r>
      <w:r>
        <w:t xml:space="preserve">.</w:t>
      </w:r>
    </w:p>
    <w:p>
      <w:pPr>
        <w:pStyle w:val="BodyText"/>
      </w:pPr>
      <w:r>
        <w:t xml:space="preserve">Larazotid war nie als Ersatz für die glutenfreie Ernährung gedacht. Ziel war ein Zusatzmittel für Betroffene, die trotz Diät Beschwerden haben – etwa durch unbemerkte Spuren von Gluten.</w:t>
      </w:r>
    </w:p>
    <w:bookmarkEnd w:id="1159"/>
    <w:bookmarkStart w:id="1175" w:name="studien-am-menschen-2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4</w:t>
      </w:r>
      <w:r>
        <w:t xml:space="preserve"> </w:t>
      </w:r>
      <w:r>
        <w:t xml:space="preserve">Humanstudien in PubMed und</w:t>
      </w:r>
      <w:r>
        <w:t xml:space="preserve"> </w:t>
      </w:r>
      <w:r>
        <w:rPr>
          <w:bCs/>
          <w:b/>
        </w:rPr>
        <w:t xml:space="preserve">29</w:t>
      </w:r>
      <w:r>
        <w:t xml:space="preserve"> </w:t>
      </w:r>
      <w:r>
        <w:t xml:space="preserve">Einträge bei ClinicalTrials.gov. Von diesen 29 Einträgen betreffen allerdings 19 ein völlig anderes Medikament: Migalastat gegen die Fabry-Krankheit trug früher denselben Entwicklungscode AT1001. Tatsächlich zu Larazotid gehören</w:t>
      </w:r>
      <w:r>
        <w:t xml:space="preserve"> </w:t>
      </w:r>
      <w:r>
        <w:rPr>
          <w:bCs/>
          <w:b/>
        </w:rPr>
        <w:t xml:space="preserve">10</w:t>
      </w:r>
      <w:r>
        <w:t xml:space="preserve"> </w:t>
      </w:r>
      <w:r>
        <w:t xml:space="preserve">Registereinträge. Eine Meta-Analyse von 2022 fasste vier randomisierte Studien mit 626 Personen zusammen</w:t>
      </w:r>
      <w:r>
        <w:rPr>
          <w:rStyle w:val="FootnoteReference"/>
        </w:rPr>
        <w:footnoteReference w:id="1160"/>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Glutenbelastung (Leffler 2012, PMID 22825365)</w:t>
            </w:r>
          </w:p>
        </w:tc>
        <w:tc>
          <w:tcPr/>
          <w:p>
            <w:pPr>
              <w:pStyle w:val="Compact"/>
              <w:jc w:val="left"/>
            </w:pPr>
            <w:r>
              <w:t xml:space="preserve">86 Personen mit Zöliakie, RCT mit 4 Dosen und Placebo</w:t>
            </w:r>
          </w:p>
        </w:tc>
        <w:tc>
          <w:tcPr/>
          <w:p>
            <w:pPr>
              <w:pStyle w:val="Compact"/>
              <w:jc w:val="left"/>
            </w:pPr>
            <w:r>
              <w:t xml:space="preserve">14 Tage</w:t>
            </w:r>
          </w:p>
        </w:tc>
        <w:tc>
          <w:tcPr/>
          <w:p>
            <w:pPr>
              <w:pStyle w:val="Compact"/>
              <w:jc w:val="left"/>
            </w:pPr>
            <w:r>
              <w:t xml:space="preserve">Durchlässigkeitstest ohne signifikanten Unterschied; weniger Beschwerden bei einigen niedrigen Dosen</w:t>
            </w:r>
          </w:p>
        </w:tc>
      </w:tr>
      <w:tr>
        <w:tc>
          <w:tcPr/>
          <w:p>
            <w:pPr>
              <w:pStyle w:val="Compact"/>
              <w:jc w:val="left"/>
            </w:pPr>
            <w:r>
              <w:t xml:space="preserve">Glutenbelastung (Kelly 2013, PMID 23163616)</w:t>
            </w:r>
          </w:p>
        </w:tc>
        <w:tc>
          <w:tcPr/>
          <w:p>
            <w:pPr>
              <w:pStyle w:val="Compact"/>
              <w:jc w:val="left"/>
            </w:pPr>
            <w:r>
              <w:t xml:space="preserve">184 Personen, RCT mit 3 Dosen und Placebo, täglich 2,7 g Gluten</w:t>
            </w:r>
          </w:p>
        </w:tc>
        <w:tc>
          <w:tcPr/>
          <w:p>
            <w:pPr>
              <w:pStyle w:val="Compact"/>
              <w:jc w:val="left"/>
            </w:pPr>
            <w:r>
              <w:t xml:space="preserve">6 Wochen</w:t>
            </w:r>
          </w:p>
        </w:tc>
        <w:tc>
          <w:tcPr/>
          <w:p>
            <w:pPr>
              <w:pStyle w:val="Compact"/>
              <w:jc w:val="left"/>
            </w:pPr>
            <w:r>
              <w:t xml:space="preserve">Durchlässigkeit unverändert; weniger Beschwerden nur mit 1 mg; geringerer Anstieg der Zöliakie-Antikörper</w:t>
            </w:r>
          </w:p>
        </w:tc>
      </w:tr>
      <w:tr>
        <w:tc>
          <w:tcPr/>
          <w:p>
            <w:pPr>
              <w:pStyle w:val="Compact"/>
              <w:jc w:val="left"/>
            </w:pPr>
            <w:r>
              <w:t xml:space="preserve">Beschwerden trotz Diät (Leffler 2015, PMID 25683116; NCT01396213)</w:t>
            </w:r>
          </w:p>
        </w:tc>
        <w:tc>
          <w:tcPr/>
          <w:p>
            <w:pPr>
              <w:pStyle w:val="Compact"/>
              <w:jc w:val="left"/>
            </w:pPr>
            <w:r>
              <w:t xml:space="preserve">342 Personen, RCT mit 3 Dosen und Placebo</w:t>
            </w:r>
          </w:p>
        </w:tc>
        <w:tc>
          <w:tcPr/>
          <w:p>
            <w:pPr>
              <w:pStyle w:val="Compact"/>
              <w:jc w:val="left"/>
            </w:pPr>
            <w:r>
              <w:t xml:space="preserve">12 Wochen</w:t>
            </w:r>
          </w:p>
        </w:tc>
        <w:tc>
          <w:tcPr/>
          <w:p>
            <w:pPr>
              <w:pStyle w:val="Compact"/>
              <w:jc w:val="left"/>
            </w:pPr>
            <w:r>
              <w:t xml:space="preserve">Hauptziel nur mit der niedrigsten Dosis (0,5 mg) erreicht; 1 mg und 2 mg nicht besser als Placebo</w:t>
            </w:r>
          </w:p>
        </w:tc>
      </w:tr>
      <w:tr>
        <w:tc>
          <w:tcPr/>
          <w:p>
            <w:pPr>
              <w:pStyle w:val="Compact"/>
              <w:jc w:val="left"/>
            </w:pPr>
            <w:r>
              <w:t xml:space="preserve">CeDLara, Phase 3 (NCT03569007)</w:t>
            </w:r>
          </w:p>
        </w:tc>
        <w:tc>
          <w:tcPr/>
          <w:p>
            <w:pPr>
              <w:pStyle w:val="Compact"/>
              <w:jc w:val="left"/>
            </w:pPr>
            <w:r>
              <w:t xml:space="preserve">307 Personen, randomisiert, verblindet</w:t>
            </w:r>
          </w:p>
        </w:tc>
        <w:tc>
          <w:tcPr/>
          <w:p>
            <w:pPr>
              <w:pStyle w:val="Compact"/>
              <w:jc w:val="left"/>
            </w:pPr>
            <w:r>
              <w:t xml:space="preserve">geplant 12 Wochen</w:t>
            </w:r>
          </w:p>
        </w:tc>
        <w:tc>
          <w:tcPr/>
          <w:p>
            <w:pPr>
              <w:pStyle w:val="Compact"/>
              <w:jc w:val="left"/>
            </w:pPr>
            <w:r>
              <w:t xml:space="preserve">2022 vom Sponsor abgebrochen; keine Ergebnisse veröffentlicht</w:t>
            </w:r>
          </w:p>
        </w:tc>
      </w:tr>
      <w:tr>
        <w:tc>
          <w:tcPr/>
          <w:p>
            <w:pPr>
              <w:pStyle w:val="Compact"/>
              <w:jc w:val="left"/>
            </w:pPr>
            <w:r>
              <w:t xml:space="preserve">MIS-C bei Kindern (Yonker 2025, PMID 40737433)</w:t>
            </w:r>
          </w:p>
        </w:tc>
        <w:tc>
          <w:tcPr/>
          <w:p>
            <w:pPr>
              <w:pStyle w:val="Compact"/>
              <w:jc w:val="left"/>
            </w:pPr>
            <w:r>
              <w:t xml:space="preserve">12 Kinder mit Entzündungssyndrom nach COVID-19, Phase 2a, RCT</w:t>
            </w:r>
          </w:p>
        </w:tc>
        <w:tc>
          <w:tcPr/>
          <w:p>
            <w:pPr>
              <w:pStyle w:val="Compact"/>
              <w:jc w:val="left"/>
            </w:pPr>
            <w:r>
              <w:t xml:space="preserve">3 Wochen</w:t>
            </w:r>
          </w:p>
        </w:tc>
        <w:tc>
          <w:tcPr/>
          <w:p>
            <w:pPr>
              <w:pStyle w:val="Compact"/>
              <w:jc w:val="left"/>
            </w:pPr>
            <w:r>
              <w:t xml:space="preserve">schnelleres Abklingen der Magen-Darm-Beschwerden; keine Nebenwirkungen durch Larazotid</w:t>
            </w:r>
          </w:p>
        </w:tc>
      </w:tr>
    </w:tbl>
    <w:bookmarkStart w:id="1165" w:name="zöliakie-phase-2"/>
    <w:p>
      <w:pPr>
        <w:pStyle w:val="Heading4"/>
      </w:pPr>
      <w:r>
        <w:t xml:space="preserve">Zöliakie: Phase 2</w:t>
      </w:r>
    </w:p>
    <w:p>
      <w:pPr>
        <w:pStyle w:val="FirstParagraph"/>
      </w:pPr>
      <w:r>
        <w:t xml:space="preserve">In den beiden Studien mit gezielter Glutenbelastung sollte Larazotid den Anstieg der Darmdurchlässigkeit verhindern. Gemessen wurde sie mit einem Zuckertest im Urin (Laktulose-Mannit-Verhältnis). Dieser Test war im Alltag so schwankend, dass sich kein Effekt nachweisen ließ</w:t>
      </w:r>
      <w:r>
        <w:rPr>
          <w:rStyle w:val="FootnoteReference"/>
        </w:rPr>
        <w:footnoteReference w:id="1161"/>
      </w:r>
      <w:r>
        <w:t xml:space="preserve">. Bei den Beschwerden zeigte sich ein ungewöhnliches Muster: Niedrige Dosen wirkten teils besser als hohe. In der Studie mit 184 Personen begrenzte nur die 1-mg-Dosis die durch Gluten ausgelösten Beschwerden signifikant; gleichzeitig stiegen die Zöliakie-Antikörper unter allen Larazotid-Dosen deutlich weniger an als unter Placebo</w:t>
      </w:r>
      <w:r>
        <w:rPr>
          <w:rStyle w:val="FootnoteReference"/>
        </w:rPr>
        <w:footnoteReference w:id="1162"/>
      </w:r>
      <w:r>
        <w:t xml:space="preserve">.</w:t>
      </w:r>
    </w:p>
    <w:p>
      <w:pPr>
        <w:pStyle w:val="BodyText"/>
      </w:pPr>
      <w:r>
        <w:t xml:space="preserve">Die größte Phase-2-Studie mit 342 Personen, die trotz glutenfreier Diät Beschwerden hatten, erreichte ihr Hauptziel nur mit der niedrigsten Dosis von 0,5 mg. Unter dieser Dosis gab es 26 Prozent weniger Tage mit Zöliakie-Beschwerden. Die höheren Dosen waren in keinem Endpunkt besser als Placebo; die Autoren bezeichnen die Ergebnisse selbst als „gemischt“</w:t>
      </w:r>
      <w:r>
        <w:rPr>
          <w:rStyle w:val="FootnoteReference"/>
        </w:rPr>
        <w:footnoteReference w:id="1163"/>
      </w:r>
      <w:r>
        <w:t xml:space="preserve">. Ein Medikament, bei dem nur die niedrigste Dosis wirkt, ist pharmakologisch ungewöhnlich und lässt Zweifel offen, ob es sich um einen echten Effekt oder um Zufall handelt.</w:t>
      </w:r>
    </w:p>
    <w:p>
      <w:pPr>
        <w:pStyle w:val="BodyText"/>
      </w:pPr>
      <w:r>
        <w:t xml:space="preserve">Die Meta-Analyse fand keinen Effekt auf die Darmdurchlässigkeit, eine Besserung der Beschwerden nur bei Glutenbelastung, nicht aber bei Personen unter glutenfreier Diät – also gerade nicht in der Gruppe, für die Larazotid gedacht war</w:t>
      </w:r>
      <w:r>
        <w:rPr>
          <w:rStyle w:val="FootnoteReference"/>
        </w:rPr>
        <w:footnoteReference w:id="1164"/>
      </w:r>
      <w:r>
        <w:t xml:space="preserve">.</w:t>
      </w:r>
    </w:p>
    <w:bookmarkEnd w:id="1165"/>
    <w:bookmarkStart w:id="1169" w:name="zöliakie-die-phase-3-studie-cedlara"/>
    <w:p>
      <w:pPr>
        <w:pStyle w:val="Heading4"/>
      </w:pPr>
      <w:r>
        <w:t xml:space="preserve">Zöliakie: die Phase-3-Studie CeDLara</w:t>
      </w:r>
    </w:p>
    <w:p>
      <w:pPr>
        <w:pStyle w:val="FirstParagraph"/>
      </w:pPr>
      <w:r>
        <w:t xml:space="preserve">Auf Grundlage der 0,5-mg-Ergebnisse startete 2019 die Phase-3-Studie CeDLara mit Larazotid in magensaftresistenten Kügelchen</w:t>
      </w:r>
      <w:r>
        <w:rPr>
          <w:rStyle w:val="FootnoteReference"/>
        </w:rPr>
        <w:footnoteReference w:id="1166"/>
      </w:r>
      <w:r>
        <w:t xml:space="preserve">. Laut Register wurden 307 Personen aufgenommen; die Studie wurde im Juli 2022 „vom Sponsor beendet“. Nach Kenntnis des Autors begründete der damalige Hersteller 9 Meters Biopharma den Abbruch damit, eine Zwischenauswertung habe ergeben, dass deutlich mehr Teilnehmende nötig gewesen wären, um einen Unterschied zu Placebo nachzuweisen. Eine Fachveröffentlichung der Ergebnisse gibt es in PubMed nicht. Übersichtsarbeiten halten fest, dass bis heute kein Zöliakie-Medikament eine Phase-3-Studie erfolgreich abgeschlossen hat</w:t>
      </w:r>
      <w:r>
        <w:rPr>
          <w:rStyle w:val="FootnoteReference"/>
        </w:rPr>
        <w:footnoteReference w:id="1167"/>
      </w:r>
      <w:r>
        <w:t xml:space="preserve"> </w:t>
      </w:r>
      <w:r>
        <w:t xml:space="preserve">und keine Behandlung als wirksame Alternative zur glutenfreien Ernährung belegt ist</w:t>
      </w:r>
      <w:r>
        <w:rPr>
          <w:rStyle w:val="FootnoteReference"/>
        </w:rPr>
        <w:footnoteReference w:id="1168"/>
      </w:r>
      <w:r>
        <w:t xml:space="preserve">.</w:t>
      </w:r>
    </w:p>
    <w:bookmarkEnd w:id="1169"/>
    <w:bookmarkStart w:id="1174" w:name="X0f7fd7312fc083d9900445ba1f4f4ccf9445b6c"/>
    <w:p>
      <w:pPr>
        <w:pStyle w:val="Heading4"/>
      </w:pPr>
      <w:r>
        <w:t xml:space="preserve">Neue Anwendung: Entzündungssyndrom nach COVID-19</w:t>
      </w:r>
    </w:p>
    <w:p>
      <w:pPr>
        <w:pStyle w:val="FirstParagraph"/>
      </w:pPr>
      <w:r>
        <w:t xml:space="preserve">Eine Forschungsgruppe vermutet, dass beim Multisystem-Entzündungssyndrom bei Kindern (MIS-C) nach COVID-19 Virusbestandteile aus dem Darm ins Blut gelangen. In einer ersten Fallserie mit vier Kindern verschwand das Virus-Eiweiß unter Larazotid aus dem Blut, und die Magen-Darm-Beschwerden klangen schneller ab als bei 22 Vergleichskindern</w:t>
      </w:r>
      <w:r>
        <w:rPr>
          <w:rStyle w:val="FootnoteReference"/>
        </w:rPr>
        <w:footnoteReference w:id="1170"/>
      </w:r>
      <w:r>
        <w:t xml:space="preserve">. Eine randomisierte Phase-2a-Studie mit nur 12 Kindern bestätigte schnellere Besserungen der Beschwerden; Nebenwirkungen durch Larazotid wurden nicht beobachtet</w:t>
      </w:r>
      <w:r>
        <w:rPr>
          <w:rStyle w:val="FootnoteReference"/>
        </w:rPr>
        <w:footnoteReference w:id="1171"/>
      </w:r>
      <w:r>
        <w:t xml:space="preserve">. Die Studie wurde wegen sinkender Fallzahlen abgebrochen</w:t>
      </w:r>
      <w:r>
        <w:rPr>
          <w:rStyle w:val="FootnoteReference"/>
        </w:rPr>
        <w:footnoteReference w:id="1172"/>
      </w:r>
      <w:r>
        <w:t xml:space="preserve">. Eine Studie bei Long COVID mit 107 Kindern und Erwachsenen ist laut Register seit Juni 2026 abgeschlossen</w:t>
      </w:r>
      <w:r>
        <w:rPr>
          <w:rStyle w:val="FootnoteReference"/>
        </w:rPr>
        <w:footnoteReference w:id="1173"/>
      </w:r>
      <w:r>
        <w:t xml:space="preserve">; Ergebnisse waren im Oktober 2026 nicht veröffentlicht.</w:t>
      </w:r>
    </w:p>
    <w:bookmarkEnd w:id="1174"/>
    <w:bookmarkEnd w:id="1175"/>
    <w:bookmarkStart w:id="1179" w:name="tier--und-laborstudien-21"/>
    <w:p>
      <w:pPr>
        <w:pStyle w:val="Heading3"/>
      </w:pPr>
      <w:r>
        <w:t xml:space="preserve">Tier- und Laborstudien</w:t>
      </w:r>
    </w:p>
    <w:p>
      <w:pPr>
        <w:pStyle w:val="FirstParagraph"/>
      </w:pPr>
      <w:r>
        <w:t xml:space="preserve">Neben der Zöliakie wurde Larazotid in Tiermodellen für andere Erkrankungen mit gestörter Darmbarriere geprüft. Bei Mäusen, die zu einer Gelenkentzündung neigen, verringerte Larazotid den Ausbruch der Arthritis</w:t>
      </w:r>
      <w:r>
        <w:rPr>
          <w:rStyle w:val="FootnoteReference"/>
        </w:rPr>
        <w:footnoteReference w:id="1176"/>
      </w:r>
      <w:r>
        <w:t xml:space="preserve">. Bei Schweinen förderte es die Erholung von Dünndarmgewebe nach einer Durchblutungsstörung</w:t>
      </w:r>
      <w:r>
        <w:rPr>
          <w:rStyle w:val="FootnoteReference"/>
        </w:rPr>
        <w:footnoteReference w:id="1177"/>
      </w:r>
      <w:r>
        <w:t xml:space="preserve">. Bei Ratten wurden Effekte bei akuter Bauchspeicheldrüsenentzündung und akutem Leberversagen beschrieben</w:t>
      </w:r>
      <w:r>
        <w:rPr>
          <w:rStyle w:val="FootnoteReference"/>
        </w:rPr>
        <w:footnoteReference w:id="1178"/>
      </w:r>
      <w:r>
        <w:t xml:space="preserve">. Das sind Tierversuche; Aussagen über Rheuma, Bauchspeicheldrüse oder Leber beim Menschen lassen sich daraus nicht ableiten.</w:t>
      </w:r>
    </w:p>
    <w:bookmarkEnd w:id="1179"/>
    <w:bookmarkStart w:id="1185" w:name="risiken-und-nebenwirkungen-21"/>
    <w:p>
      <w:pPr>
        <w:pStyle w:val="Heading3"/>
      </w:pPr>
      <w:r>
        <w:t xml:space="preserve">Risiken und Nebenwirkungen</w:t>
      </w:r>
    </w:p>
    <w:bookmarkStart w:id="1183" w:name="belegt-5"/>
    <w:p>
      <w:pPr>
        <w:pStyle w:val="Heading4"/>
      </w:pPr>
      <w:r>
        <w:t xml:space="preserve">Belegt</w:t>
      </w:r>
    </w:p>
    <w:p>
      <w:pPr>
        <w:pStyle w:val="FirstParagraph"/>
      </w:pPr>
      <w:r>
        <w:t xml:space="preserve">Larazotid war in allen Studien gut verträglich. In der Studie mit 86 Personen traten keine schweren Nebenwirkungen auf; am häufigsten waren Kopfschmerzen und Harnwegsinfekte</w:t>
      </w:r>
      <w:r>
        <w:rPr>
          <w:rStyle w:val="FootnoteReference"/>
        </w:rPr>
        <w:footnoteReference w:id="1180"/>
      </w:r>
      <w:r>
        <w:t xml:space="preserve">. In der größten Phase-2-Studie war die Sicherheit mit Placebo vergleichbar</w:t>
      </w:r>
      <w:r>
        <w:rPr>
          <w:rStyle w:val="FootnoteReference"/>
        </w:rPr>
        <w:footnoteReference w:id="1181"/>
      </w:r>
      <w:r>
        <w:t xml:space="preserve">. Die Meta-Analyse fand insgesamt keine Häufung von Nebenwirkungen gegenüber Placebo</w:t>
      </w:r>
      <w:r>
        <w:rPr>
          <w:rStyle w:val="FootnoteReference"/>
        </w:rPr>
        <w:footnoteReference w:id="1182"/>
      </w:r>
      <w:r>
        <w:t xml:space="preserve">. Weil Larazotid kaum ins Blut gelangt, ist ein günstiges Sicherheitsprofil plausibel.</w:t>
      </w:r>
    </w:p>
    <w:bookmarkEnd w:id="1183"/>
    <w:bookmarkStart w:id="1184" w:name="zu-beachten-1"/>
    <w:p>
      <w:pPr>
        <w:pStyle w:val="Heading4"/>
      </w:pPr>
      <w:r>
        <w:t xml:space="preserve">Zu beachten</w:t>
      </w:r>
    </w:p>
    <w:p>
      <w:pPr>
        <w:numPr>
          <w:ilvl w:val="0"/>
          <w:numId w:val="1140"/>
        </w:numPr>
        <w:pStyle w:val="Compact"/>
      </w:pPr>
      <w:r>
        <w:rPr>
          <w:bCs/>
          <w:b/>
        </w:rPr>
        <w:t xml:space="preserve">Keine Alternative zur Diät:</w:t>
      </w:r>
      <w:r>
        <w:t xml:space="preserve"> </w:t>
      </w:r>
      <w:r>
        <w:t xml:space="preserve">Auch in den positiven Studien schützte Larazotid nicht vor der Schädigung durch größere Glutenmengen. Wer wegen eines solchen Mittels die glutenfreie Ernährung lockert, riskiert Darmschäden.</w:t>
      </w:r>
    </w:p>
    <w:p>
      <w:pPr>
        <w:numPr>
          <w:ilvl w:val="0"/>
          <w:numId w:val="1140"/>
        </w:numPr>
        <w:pStyle w:val="Compact"/>
      </w:pPr>
      <w:r>
        <w:rPr>
          <w:bCs/>
          <w:b/>
        </w:rPr>
        <w:t xml:space="preserve">Graumarkt:</w:t>
      </w:r>
      <w:r>
        <w:t xml:space="preserve"> </w:t>
      </w:r>
      <w:r>
        <w:t xml:space="preserve">Larazotid wird vereinzelt als „Leaky-Gut-Peptid“ angeboten. Die Studien verwendeten eine spezielle magensaftresistente Arzneiform; ob frei verkaufte Produkte den Wirkstoff überhaupt an den Wirkort bringen, ist unbekannt. Für das Konzept „Leaky Gut“ ohne Zöliakie gibt es keine Studien mit Larazotid.</w:t>
      </w:r>
    </w:p>
    <w:bookmarkEnd w:id="1184"/>
    <w:bookmarkEnd w:id="1185"/>
    <w:bookmarkStart w:id="1186" w:name="rechtslage-21"/>
    <w:p>
      <w:pPr>
        <w:pStyle w:val="Heading3"/>
      </w:pPr>
      <w:r>
        <w:t xml:space="preserve">Rechtslage</w:t>
      </w:r>
    </w:p>
    <w:p>
      <w:pPr>
        <w:pStyle w:val="FirstParagraph"/>
      </w:pPr>
      <w:r>
        <w:rPr>
          <w:iCs/>
          <w:i/>
        </w:rPr>
        <w:t xml:space="preserve">Stand 2026, bitte aktuell prüfen.</w:t>
      </w:r>
    </w:p>
    <w:p>
      <w:pPr>
        <w:numPr>
          <w:ilvl w:val="0"/>
          <w:numId w:val="1141"/>
        </w:numPr>
        <w:pStyle w:val="Compact"/>
      </w:pPr>
      <w:r>
        <w:rPr>
          <w:bCs/>
          <w:b/>
        </w:rPr>
        <w:t xml:space="preserve">EU, Deutschland, Österreich:</w:t>
      </w:r>
      <w:r>
        <w:t xml:space="preserve"> </w:t>
      </w:r>
      <w:r>
        <w:t xml:space="preserve">nicht zugelassen.</w:t>
      </w:r>
    </w:p>
    <w:p>
      <w:pPr>
        <w:numPr>
          <w:ilvl w:val="0"/>
          <w:numId w:val="1141"/>
        </w:numPr>
        <w:pStyle w:val="Compact"/>
      </w:pPr>
      <w:r>
        <w:rPr>
          <w:bCs/>
          <w:b/>
        </w:rPr>
        <w:t xml:space="preserve">USA:</w:t>
      </w:r>
      <w:r>
        <w:t xml:space="preserve"> </w:t>
      </w:r>
      <w:r>
        <w:t xml:space="preserve">nicht zugelassen. Der Entwickler hatte nach Kenntnis des Autors von der FDA eine beschleunigte Prüfung („Fast Track“) für Zöliakie erhalten; nach dem Abbruch der Phase-3-Studie wurde kein Zulassungsantrag gestellt.</w:t>
      </w:r>
    </w:p>
    <w:p>
      <w:pPr>
        <w:numPr>
          <w:ilvl w:val="0"/>
          <w:numId w:val="1141"/>
        </w:numPr>
        <w:pStyle w:val="Compact"/>
      </w:pPr>
      <w:r>
        <w:rPr>
          <w:bCs/>
          <w:b/>
        </w:rPr>
        <w:t xml:space="preserve">WADA:</w:t>
      </w:r>
      <w:r>
        <w:t xml:space="preserve"> </w:t>
      </w:r>
      <w:r>
        <w:t xml:space="preserve">nicht gelistet.</w:t>
      </w:r>
    </w:p>
    <w:bookmarkEnd w:id="1186"/>
    <w:bookmarkStart w:id="1189" w:name="laufende-studien-und-ausblick-21"/>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Larazotid registriert. Die Long-COVID-Studie</w:t>
      </w:r>
      <w:r>
        <w:rPr>
          <w:rStyle w:val="FootnoteReference"/>
        </w:rPr>
        <w:footnoteReference w:id="1187"/>
      </w:r>
      <w:r>
        <w:t xml:space="preserve"> </w:t>
      </w:r>
      <w:r>
        <w:t xml:space="preserve">ist abgeschlossen, Ergebnisse stehen aus.</w:t>
      </w:r>
    </w:p>
    <w:p>
      <w:pPr>
        <w:pStyle w:val="BodyText"/>
      </w:pPr>
      <w:r>
        <w:rPr>
          <w:bCs/>
          <w:b/>
        </w:rPr>
        <w:t xml:space="preserve">Einschätzung des Autors:</w:t>
      </w:r>
      <w:r>
        <w:t xml:space="preserve"> </w:t>
      </w:r>
      <w:r>
        <w:t xml:space="preserve">Für die Zöliakie dürfte Larazotid nach dem Abbruch von CeDLara keine Zukunft haben, sofern nicht ein neuer Entwickler die Rechte übernimmt. Andere Ansätze – Gluten abbauende Enzyme, Hemmstoffe der Transglutaminase 2 oder Verfahren zur Immuntoleranz – gelten derzeit als aussichtsreicher</w:t>
      </w:r>
      <w:r>
        <w:rPr>
          <w:rStyle w:val="FootnoteReference"/>
        </w:rPr>
        <w:footnoteReference w:id="1188"/>
      </w:r>
      <w:r>
        <w:t xml:space="preserve">. Bei MIS-C und Long COVID hängt die weitere Entwicklung von den noch unveröffentlichten Ergebnissen ab.</w:t>
      </w:r>
    </w:p>
    <w:bookmarkEnd w:id="1189"/>
    <w:bookmarkStart w:id="1191" w:name="fazit-21"/>
    <w:p>
      <w:pPr>
        <w:pStyle w:val="Heading3"/>
      </w:pPr>
      <w:r>
        <w:t xml:space="preserve">Fazit</w:t>
      </w:r>
    </w:p>
    <w:p>
      <w:pPr>
        <w:pStyle w:val="FirstParagraph"/>
      </w:pPr>
      <w:r>
        <w:t xml:space="preserve">Larazotid ist ein Peptid aus acht Aminosäuren, das die Verbindungen zwischen Darmzellen abdichten soll, und war der erste Wirkstoff gegen Zöliakie, der eine Phase-3-Studie erreichte. In den Phase-2-Studien waren die Ergebnisse gemischt: Ein Effekt auf die Darmdurchlässigkeit ließ sich nicht nachweisen, und bei Beschwerden trotz Diät wirkte nur die niedrigste Dosis</w:t>
      </w:r>
      <w:r>
        <w:rPr>
          <w:rStyle w:val="FootnoteReference"/>
        </w:rPr>
        <w:footnoteReference w:id="1190"/>
      </w:r>
      <w:r>
        <w:t xml:space="preserve">. Die Phase-3-Studie CeDLara wurde 2022 abgebrochen, Ergebnisse wurden nicht veröffentlicht. Larazotid ist gut verträglich, aber weder zugelassen noch als wirksam belegt – und kein Ersatz für die glutenfreie Ernährung.</w:t>
      </w:r>
    </w:p>
    <w:bookmarkEnd w:id="1191"/>
    <w:bookmarkEnd w:id="1192"/>
    <w:bookmarkStart w:id="1221" w:name="thymalin-und-thymogen"/>
    <w:p>
      <w:pPr>
        <w:pStyle w:val="Heading2"/>
      </w:pPr>
      <w:r>
        <w:t xml:space="preserve">Thymalin und Thymogen</w:t>
      </w:r>
    </w:p>
    <w:p>
      <w:pPr>
        <w:pStyle w:val="FirstParagraph"/>
      </w:pPr>
      <w:r>
        <w:t xml:space="preserve">Thymalin ist ein Extrakt aus der Thymusdrüse von Kälbern, Thymogen ein daraus abgeleitetes synthetisches Dipeptid. Beide stammen aus der sowjetischen Militärmedizin der 1970er- und 1980er-Jahre und sind in Russland bis heute als Arzneimittel im Handel. In westlichen Longevity-Kreisen werden sie als „Bioregulatoren“ vermarktet, die das Immunsystem „verjüngen“ und das Leben verlängern sollen. Grundlage dieser Versprechen ist fast ausschließlich die Forschung einer einzigen Schule um den St. Petersburger Gerontologen Vladimir Khavinson. Dieses Kapitel ordnet diese Forschung ein – und erklärt, warum ihre Ergebnisse mit großer Vorsicht zu lesen sind.</w:t>
      </w:r>
    </w:p>
    <w:bookmarkStart w:id="1196" w:name="steckbrief-22"/>
    <w:p>
      <w:pPr>
        <w:pStyle w:val="Heading3"/>
      </w:pPr>
      <w:r>
        <w:t xml:space="preserve">Steckbrief</w:t>
      </w:r>
    </w:p>
    <w:p>
      <w:pPr>
        <w:numPr>
          <w:ilvl w:val="0"/>
          <w:numId w:val="1142"/>
        </w:numPr>
        <w:pStyle w:val="Compact"/>
      </w:pPr>
      <w:r>
        <w:rPr>
          <w:bCs/>
          <w:b/>
        </w:rPr>
        <w:t xml:space="preserve">Thymalin:</w:t>
      </w:r>
      <w:r>
        <w:t xml:space="preserve"> </w:t>
      </w:r>
      <w:r>
        <w:t xml:space="preserve">Gemisch von Peptiden, gewonnen durch Säureextraktion aus dem Thymus von Kälbern</w:t>
      </w:r>
      <w:r>
        <w:rPr>
          <w:rStyle w:val="FootnoteReference"/>
        </w:rPr>
        <w:footnoteReference w:id="1193"/>
      </w:r>
      <w:r>
        <w:t xml:space="preserve">; keine einheitlich definierte Substanz. Als wichtigste Wirkbestandteile werden die Dipeptide Lys-Glu (KE) und Glu-Trp (EW) genannt</w:t>
      </w:r>
      <w:r>
        <w:rPr>
          <w:rStyle w:val="FootnoteReference"/>
        </w:rPr>
        <w:footnoteReference w:id="1194"/>
      </w:r>
      <w:r>
        <w:t xml:space="preserve">.</w:t>
      </w:r>
    </w:p>
    <w:p>
      <w:pPr>
        <w:numPr>
          <w:ilvl w:val="0"/>
          <w:numId w:val="1142"/>
        </w:numPr>
        <w:pStyle w:val="Compact"/>
      </w:pPr>
      <w:r>
        <w:rPr>
          <w:bCs/>
          <w:b/>
        </w:rPr>
        <w:t xml:space="preserve">Thymogen:</w:t>
      </w:r>
      <w:r>
        <w:t xml:space="preserve"> </w:t>
      </w:r>
      <w:r>
        <w:t xml:space="preserve">synthetisch hergestelltes Dipeptid L-Glu-L-Trp, das aus Thymalin isoliert wurde</w:t>
      </w:r>
      <w:r>
        <w:rPr>
          <w:rStyle w:val="FootnoteReference"/>
        </w:rPr>
        <w:footnoteReference w:id="1195"/>
      </w:r>
      <w:r>
        <w:t xml:space="preserve">; in Russland auch als Nasenspray erhältlich.</w:t>
      </w:r>
    </w:p>
    <w:p>
      <w:pPr>
        <w:numPr>
          <w:ilvl w:val="0"/>
          <w:numId w:val="1142"/>
        </w:numPr>
        <w:pStyle w:val="Compact"/>
      </w:pPr>
      <w:r>
        <w:rPr>
          <w:bCs/>
          <w:b/>
        </w:rPr>
        <w:t xml:space="preserve">Wirkprinzip (behauptet):</w:t>
      </w:r>
      <w:r>
        <w:t xml:space="preserve"> </w:t>
      </w:r>
      <w:r>
        <w:t xml:space="preserve">Anregung der Reifung von T-Zellen, „Normalisierung“ von Immunfunktion und Blutgerinnung; nach Khavinsons Theorie wirken kurze Peptide als „Bioregulatoren“ direkt auf die Genaktivität.</w:t>
      </w:r>
    </w:p>
    <w:p>
      <w:pPr>
        <w:numPr>
          <w:ilvl w:val="0"/>
          <w:numId w:val="1142"/>
        </w:numPr>
        <w:pStyle w:val="Compact"/>
      </w:pPr>
      <w:r>
        <w:rPr>
          <w:bCs/>
          <w:b/>
        </w:rPr>
        <w:t xml:space="preserve">Zulassung:</w:t>
      </w:r>
      <w:r>
        <w:t xml:space="preserve"> </w:t>
      </w:r>
      <w:r>
        <w:t xml:space="preserve">in Russland und einigen Nachfolgestaaten der Sowjetunion als Arzneimittel zugelassen;</w:t>
      </w:r>
      <w:r>
        <w:t xml:space="preserve"> </w:t>
      </w:r>
      <w:r>
        <w:rPr>
          <w:bCs/>
          <w:b/>
        </w:rPr>
        <w:t xml:space="preserve">EU und USA:</w:t>
      </w:r>
      <w:r>
        <w:t xml:space="preserve"> </w:t>
      </w:r>
      <w:r>
        <w:t xml:space="preserve">nein.</w:t>
      </w:r>
    </w:p>
    <w:p>
      <w:pPr>
        <w:numPr>
          <w:ilvl w:val="0"/>
          <w:numId w:val="1142"/>
        </w:numPr>
        <w:pStyle w:val="Compact"/>
      </w:pPr>
      <w:r>
        <w:rPr>
          <w:bCs/>
          <w:b/>
        </w:rPr>
        <w:t xml:space="preserve">WADA:</w:t>
      </w:r>
      <w:r>
        <w:t xml:space="preserve"> </w:t>
      </w:r>
      <w:r>
        <w:t xml:space="preserve">nicht ausdrücklich gelistet.</w:t>
      </w:r>
    </w:p>
    <w:p>
      <w:pPr>
        <w:numPr>
          <w:ilvl w:val="0"/>
          <w:numId w:val="1142"/>
        </w:numPr>
        <w:pStyle w:val="Compact"/>
      </w:pPr>
      <w:r>
        <w:rPr>
          <w:bCs/>
          <w:b/>
        </w:rPr>
        <w:t xml:space="preserve">Evidenzstufe: C</w:t>
      </w:r>
      <w:r>
        <w:t xml:space="preserve"> </w:t>
      </w:r>
      <w:r>
        <w:t xml:space="preserve">– überwiegend kleine, offene oder nicht ausreichend beschriebene Studien; nur eine einzige als randomisiert und placebokontrolliert beschriebene Studie in PubMed.</w:t>
      </w:r>
    </w:p>
    <w:bookmarkEnd w:id="1196"/>
    <w:bookmarkStart w:id="1200" w:name="wie-es-wirken-soll-22"/>
    <w:p>
      <w:pPr>
        <w:pStyle w:val="Heading3"/>
      </w:pPr>
      <w:r>
        <w:t xml:space="preserve">Wie es wirken soll</w:t>
      </w:r>
    </w:p>
    <w:p>
      <w:pPr>
        <w:pStyle w:val="FirstParagraph"/>
      </w:pPr>
      <w:r>
        <w:t xml:space="preserve">Die Idee folgt derselben Logik wie bei Thymosin Alpha-1 (siehe dort): Der Thymus schult T-Zellen und schrumpft mit dem Alter, also sollen Thymus-Botenstoffe die Abwehr stärken. Während Thymosin Alpha-1 jedoch ein genau definiertes Peptid mit bekannter Sequenz ist, ist Thymalin ein Gemisch aus vielen Bestandteilen tierischen Ursprungs.</w:t>
      </w:r>
    </w:p>
    <w:p>
      <w:pPr>
        <w:pStyle w:val="BodyText"/>
      </w:pPr>
      <w:r>
        <w:t xml:space="preserve">Aus diesem Gemisch isolierten die Forschenden das Dipeptid Glu-Trp und brachten es synthetisch als Thymogen auf den Markt. Es soll die Differenzierung von T-Zellen und die Erkennung von Antigenen fördern sowie Fresszellen aktivieren</w:t>
      </w:r>
      <w:r>
        <w:rPr>
          <w:rStyle w:val="FootnoteReference"/>
        </w:rPr>
        <w:footnoteReference w:id="1197"/>
      </w:r>
      <w:r>
        <w:t xml:space="preserve">.</w:t>
      </w:r>
    </w:p>
    <w:p>
      <w:pPr>
        <w:pStyle w:val="BodyText"/>
      </w:pPr>
      <w:r>
        <w:t xml:space="preserve">Khavinson entwickelte daraus eine umfassendere Theorie: Kurze Peptide aus verschiedenen Organen sollen gewebespezifisch wirken und die Genaktivität „regulieren“ – Peptide aus der Zirbeldrüse für die Zirbeldrüse, aus dem Thymus für das Immunsystem und so weiter</w:t>
      </w:r>
      <w:r>
        <w:rPr>
          <w:rStyle w:val="FootnoteReference"/>
        </w:rPr>
        <w:footnoteReference w:id="1198"/>
      </w:r>
      <w:r>
        <w:t xml:space="preserve">. Auch Epitalon, das in Teil II · D behandelt wird, stammt aus dieser Schule. Diese Theorie ist außerhalb der Arbeitsgruppe kaum geprüft und entspricht nicht dem allgemeinen Verständnis, wie Peptid-Botenstoffe wirken – nämlich in der Regel über Rezeptoren an der Zelloberfläche. Neuere Arbeiten der Gruppe stützen den Mechanismus vor allem auf Computer-Simulationen der Bindung an Erbgut und auf Zellkulturen</w:t>
      </w:r>
      <w:r>
        <w:rPr>
          <w:rStyle w:val="FootnoteReference"/>
        </w:rPr>
        <w:footnoteReference w:id="1199"/>
      </w:r>
      <w:r>
        <w:t xml:space="preserve">.</w:t>
      </w:r>
    </w:p>
    <w:bookmarkEnd w:id="1200"/>
    <w:bookmarkStart w:id="1209" w:name="studien-am-menschen-2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17</w:t>
      </w:r>
      <w:r>
        <w:t xml:space="preserve"> </w:t>
      </w:r>
      <w:r>
        <w:t xml:space="preserve">Humanstudien in PubMed und</w:t>
      </w:r>
      <w:r>
        <w:t xml:space="preserve"> </w:t>
      </w:r>
      <w:r>
        <w:rPr>
          <w:bCs/>
          <w:b/>
        </w:rPr>
        <w:t xml:space="preserve">0</w:t>
      </w:r>
      <w:r>
        <w:t xml:space="preserve"> </w:t>
      </w:r>
      <w:r>
        <w:t xml:space="preserve">Einträge bei ClinicalTrials.gov. Insgesamt verzeichnet PubMed rund 290 Veröffentlichungen zu Thymalin oder Thymogen; davon sind etwa 250 in russischer Sprache, und nur eine einzige erwähnt im Titel oder Abstract „randomisiert“ oder „Placebo“. Bei den meisten Humanstudien liegt in PubMed nur ein kurzer russischer oder ukrainischer Abstract vor, oft ohne Angaben zur Teilnehmerzahl, zur Kontrollgruppe oder zur Verblindung.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„Verlängerung des Lebens“ (Khavinson 2003, PMID 14523363)</w:t>
            </w:r>
          </w:p>
        </w:tc>
        <w:tc>
          <w:tcPr/>
          <w:p>
            <w:pPr>
              <w:pStyle w:val="Compact"/>
              <w:jc w:val="left"/>
            </w:pPr>
            <w:r>
              <w:t xml:space="preserve">266 ältere Menschen, Thymalin und/oder Epithalamin vs. Kontrolle; Zuteilung und Verblindung nicht beschrieben</w:t>
            </w:r>
          </w:p>
        </w:tc>
        <w:tc>
          <w:tcPr/>
          <w:p>
            <w:pPr>
              <w:pStyle w:val="Compact"/>
              <w:jc w:val="left"/>
            </w:pPr>
            <w:r>
              <w:t xml:space="preserve">6–8 Jahre Beobachtung</w:t>
            </w:r>
          </w:p>
        </w:tc>
        <w:tc>
          <w:tcPr/>
          <w:p>
            <w:pPr>
              <w:pStyle w:val="Compact"/>
              <w:jc w:val="left"/>
            </w:pPr>
            <w:r>
              <w:t xml:space="preserve">Sterblichkeit in der Thymalin-Gruppe 2,0- bis 2,1-fach niedriger als in der Kontrolle</w:t>
            </w:r>
          </w:p>
        </w:tc>
      </w:tr>
      <w:tr>
        <w:tc>
          <w:tcPr/>
          <w:p>
            <w:pPr>
              <w:pStyle w:val="Compact"/>
              <w:jc w:val="left"/>
            </w:pPr>
            <w:r>
              <w:t xml:space="preserve">Vor Bauchoperationen (Smirnov 2011, PMID 21957588)</w:t>
            </w:r>
          </w:p>
        </w:tc>
        <w:tc>
          <w:tcPr/>
          <w:p>
            <w:pPr>
              <w:pStyle w:val="Compact"/>
              <w:jc w:val="left"/>
            </w:pPr>
            <w:r>
              <w:t xml:space="preserve">ältere Personen mit Tumoren im Bauchraum, doppelblinde RCT gegen Placebo, Thymogen als Nasentropfen; Teilnehmerzahl im Abstract nicht angegeben</w:t>
            </w:r>
          </w:p>
        </w:tc>
        <w:tc>
          <w:tcPr/>
          <w:p>
            <w:pPr>
              <w:pStyle w:val="Compact"/>
              <w:jc w:val="left"/>
            </w:pPr>
            <w:r>
              <w:t xml:space="preserve">7 Tage vor der Operation</w:t>
            </w:r>
          </w:p>
        </w:tc>
        <w:tc>
          <w:tcPr/>
          <w:p>
            <w:pPr>
              <w:pStyle w:val="Compact"/>
              <w:jc w:val="left"/>
            </w:pPr>
            <w:r>
              <w:t xml:space="preserve">weniger Komplikationen nach der Operation</w:t>
            </w:r>
          </w:p>
        </w:tc>
      </w:tr>
      <w:tr>
        <w:tc>
          <w:tcPr/>
          <w:p>
            <w:pPr>
              <w:pStyle w:val="Compact"/>
              <w:jc w:val="left"/>
            </w:pPr>
            <w:r>
              <w:t xml:space="preserve">Schwere COVID-19 (Kuznik 2022, PMID 36169363)</w:t>
            </w:r>
          </w:p>
        </w:tc>
        <w:tc>
          <w:tcPr/>
          <w:p>
            <w:pPr>
              <w:pStyle w:val="Compact"/>
              <w:jc w:val="left"/>
            </w:pPr>
            <w:r>
              <w:t xml:space="preserve">drei Gruppen: Basistherapie, plus Tocilizumab, plus Thymalin; Zuteilung nicht beschrieben</w:t>
            </w:r>
          </w:p>
        </w:tc>
        <w:tc>
          <w:tcPr/>
          <w:p>
            <w:pPr>
              <w:pStyle w:val="Compact"/>
              <w:jc w:val="left"/>
            </w:pPr>
            <w:r>
              <w:t xml:space="preserve">Krankenhausaufenthalt</w:t>
            </w:r>
          </w:p>
        </w:tc>
        <w:tc>
          <w:tcPr/>
          <w:p>
            <w:pPr>
              <w:pStyle w:val="Compact"/>
              <w:jc w:val="left"/>
            </w:pPr>
            <w:r>
              <w:t xml:space="preserve">Krankenhaussterblichkeit 40,9 %, 28,4 % und 20,6 %</w:t>
            </w:r>
          </w:p>
        </w:tc>
      </w:tr>
      <w:tr>
        <w:tc>
          <w:tcPr/>
          <w:p>
            <w:pPr>
              <w:pStyle w:val="Compact"/>
              <w:jc w:val="left"/>
            </w:pPr>
            <w:r>
              <w:t xml:space="preserve">Therapieresistente Schizophrenie (Govorin 1990, PMID 2163147)</w:t>
            </w:r>
          </w:p>
        </w:tc>
        <w:tc>
          <w:tcPr/>
          <w:p>
            <w:pPr>
              <w:pStyle w:val="Compact"/>
              <w:jc w:val="left"/>
            </w:pPr>
            <w:r>
              <w:t xml:space="preserve">36 Personen, keine Kontrollgruppe</w:t>
            </w:r>
          </w:p>
        </w:tc>
        <w:tc>
          <w:tcPr/>
          <w:p>
            <w:pPr>
              <w:pStyle w:val="Compact"/>
              <w:jc w:val="left"/>
            </w:pPr>
            <w:r>
              <w:t xml:space="preserve">nicht angegeben</w:t>
            </w:r>
          </w:p>
        </w:tc>
        <w:tc>
          <w:tcPr/>
          <w:p>
            <w:pPr>
              <w:pStyle w:val="Compact"/>
              <w:jc w:val="left"/>
            </w:pPr>
            <w:r>
              <w:t xml:space="preserve">Besserung psychischer Symptome berichtet</w:t>
            </w:r>
          </w:p>
        </w:tc>
      </w:tr>
      <w:tr>
        <w:tc>
          <w:tcPr/>
          <w:p>
            <w:pPr>
              <w:pStyle w:val="Compact"/>
              <w:jc w:val="left"/>
            </w:pPr>
            <w:r>
              <w:t xml:space="preserve">Parkinson (Musienko 1999, PMID 10424021)</w:t>
            </w:r>
          </w:p>
        </w:tc>
        <w:tc>
          <w:tcPr/>
          <w:p>
            <w:pPr>
              <w:pStyle w:val="Compact"/>
              <w:jc w:val="left"/>
            </w:pPr>
            <w:r>
              <w:t xml:space="preserve">15 Personen, keine Kontrollgruppe</w:t>
            </w:r>
          </w:p>
        </w:tc>
        <w:tc>
          <w:tcPr/>
          <w:p>
            <w:pPr>
              <w:pStyle w:val="Compact"/>
              <w:jc w:val="left"/>
            </w:pPr>
            <w:r>
              <w:t xml:space="preserve">eine Behandlungsserie</w:t>
            </w:r>
          </w:p>
        </w:tc>
        <w:tc>
          <w:tcPr/>
          <w:p>
            <w:pPr>
              <w:pStyle w:val="Compact"/>
              <w:jc w:val="left"/>
            </w:pPr>
            <w:r>
              <w:t xml:space="preserve">Besserung von Wohlbefinden und Symptomen berichtet</w:t>
            </w:r>
          </w:p>
        </w:tc>
      </w:tr>
    </w:tbl>
    <w:bookmarkStart w:id="1202" w:name="Xb235aa27b56a83eb943f2189db16ba7fadaec09"/>
    <w:p>
      <w:pPr>
        <w:pStyle w:val="Heading4"/>
      </w:pPr>
      <w:r>
        <w:t xml:space="preserve">Die Langzeitstudie zur Lebensverlängerung</w:t>
      </w:r>
    </w:p>
    <w:p>
      <w:pPr>
        <w:pStyle w:val="FirstParagraph"/>
      </w:pPr>
      <w:r>
        <w:t xml:space="preserve">Die bekannteste Arbeit ist zugleich die problematischste. Über sechs bis acht Jahre wurden 266 ältere Menschen in St. Petersburg und Kiew beobachtet, von denen einige in den ersten zwei bis drei Jahren Thymalin, Epithalamin oder beides erhielten. Berichtet wird eine 2,0- bis 2,1-fach niedrigere Sterblichkeit unter Thymalin und eine 4,1-fach niedrigere bei jährlicher Kombinationsbehandlung über sechs Jahre</w:t>
      </w:r>
      <w:r>
        <w:rPr>
          <w:rStyle w:val="FootnoteReference"/>
        </w:rPr>
        <w:footnoteReference w:id="1201"/>
      </w:r>
      <w:r>
        <w:t xml:space="preserve">.</w:t>
      </w:r>
    </w:p>
    <w:p>
      <w:pPr>
        <w:pStyle w:val="BodyText"/>
      </w:pPr>
      <w:r>
        <w:t xml:space="preserve">Solche Effekte wären spektakulär – größer als bei nahezu jedem etablierten Medikament. Der Abstract beschreibt aber weder, wie die Teilnehmenden den Gruppen zugeteilt wurden, noch ob es eine Verblindung gab, noch wie viele Personen in jeder Gruppe waren. Wer gesünder und aktiver ist, nimmt eher an einer jahrelangen Behandlung teil; ohne Zufallszuteilung kann ein solcher Unterschied allein dadurch entstehen. Unabhängige Wiederholungen gibt es nicht.</w:t>
      </w:r>
    </w:p>
    <w:bookmarkEnd w:id="1202"/>
    <w:bookmarkStart w:id="1205" w:name="covid-19-1"/>
    <w:p>
      <w:pPr>
        <w:pStyle w:val="Heading4"/>
      </w:pPr>
      <w:r>
        <w:t xml:space="preserve">COVID-19</w:t>
      </w:r>
    </w:p>
    <w:p>
      <w:pPr>
        <w:pStyle w:val="FirstParagraph"/>
      </w:pPr>
      <w:r>
        <w:t xml:space="preserve">Während der Pandemie berichtete die Arbeitsgruppe über Thymalin bei schwer an COVID-19 Erkrankten. In einer Auswertung lag die Krankenhaussterblichkeit unter Basistherapie bei 40,9 Prozent, mit zusätzlichem Tocilizumab bei 28,4 Prozent und mit zusätzlichem Thymalin bei 20,6 Prozent</w:t>
      </w:r>
      <w:r>
        <w:rPr>
          <w:rStyle w:val="FootnoteReference"/>
        </w:rPr>
        <w:footnoteReference w:id="1203"/>
      </w:r>
      <w:r>
        <w:t xml:space="preserve">. Wie die Personen den Gruppen zugeteilt wurden und wie groß die Gruppen waren, geht aus dem Abstract nicht hervor. Eine weitere Arbeit berichtet über schnellere Abnahmen von Entzündungs- und Gerinnungswerten</w:t>
      </w:r>
      <w:r>
        <w:rPr>
          <w:rStyle w:val="FootnoteReference"/>
        </w:rPr>
        <w:footnoteReference w:id="1204"/>
      </w:r>
      <w:r>
        <w:t xml:space="preserve">. Nach den Erfahrungen mit Thymosin Alpha-1, bei dem frühe günstige Beobachtungsdaten sich in größeren Studien nicht bestätigten (siehe dort), sind diese Zahlen ohne randomisierte Bestätigung nicht belastbar.</w:t>
      </w:r>
    </w:p>
    <w:bookmarkEnd w:id="1205"/>
    <w:bookmarkStart w:id="1207" w:name="die-einzige-placebokontrollierte-studie"/>
    <w:p>
      <w:pPr>
        <w:pStyle w:val="Heading4"/>
      </w:pPr>
      <w:r>
        <w:t xml:space="preserve">Die einzige placebokontrollierte Studie</w:t>
      </w:r>
    </w:p>
    <w:p>
      <w:pPr>
        <w:pStyle w:val="FirstParagraph"/>
      </w:pPr>
      <w:r>
        <w:t xml:space="preserve">Die einzige als doppelblind, randomisiert und placebokontrolliert beschriebene Studie untersuchte Thymogen-Nasentropfen bei älteren Menschen vor Tumoroperationen im Bauchraum. Berichtet werden weniger Komplikationen nach der Operation und ein kürzerer Heilungsverlauf</w:t>
      </w:r>
      <w:r>
        <w:rPr>
          <w:rStyle w:val="FootnoteReference"/>
        </w:rPr>
        <w:footnoteReference w:id="1206"/>
      </w:r>
      <w:r>
        <w:t xml:space="preserve">. Teilnehmerzahl und Effektgrößen nennt der russische Abstract nicht.</w:t>
      </w:r>
    </w:p>
    <w:bookmarkEnd w:id="1207"/>
    <w:bookmarkStart w:id="1208" w:name="weitere-studien"/>
    <w:p>
      <w:pPr>
        <w:pStyle w:val="Heading4"/>
      </w:pPr>
      <w:r>
        <w:t xml:space="preserve">Weitere Studien</w:t>
      </w:r>
    </w:p>
    <w:p>
      <w:pPr>
        <w:pStyle w:val="FirstParagraph"/>
      </w:pPr>
      <w:r>
        <w:t xml:space="preserve">Die übrigen Humanstudien stammen überwiegend aus den 1980er- und 1990er-Jahren und betreffen ein auffällig breites Spektrum: Tuberkulose, Ruhr, Wundrose, eitrige Wunden, Bauchfellentzündung bei Kindern, Bauchspeicheldrüsenentzündung, Colitis ulcerosa, Entzündungen der weiblichen Geschlechtsorgane, Schizophrenie und Parkinson. Fast immer wurde Thymalin oder Thymogen zusätzlich zur Standardbehandlung gegeben, ohne Placebo und meist ohne Zufallszuteilung. Gemessen wurden häufig Laborwerte des Immunsystems, nicht harte Endpunkte wie Heilung oder Überleben.</w:t>
      </w:r>
    </w:p>
    <w:bookmarkEnd w:id="1208"/>
    <w:bookmarkEnd w:id="1209"/>
    <w:bookmarkStart w:id="1212" w:name="tier--und-laborstudien-22"/>
    <w:p>
      <w:pPr>
        <w:pStyle w:val="Heading3"/>
      </w:pPr>
      <w:r>
        <w:t xml:space="preserve">Tier- und Laborstudien</w:t>
      </w:r>
    </w:p>
    <w:p>
      <w:pPr>
        <w:pStyle w:val="FirstParagraph"/>
      </w:pPr>
      <w:r>
        <w:t xml:space="preserve">Die Tierstudien stammen ebenfalls überwiegend aus russischen und ukrainischen Arbeitsgruppen. Bei 76 Ratten, die zwölf Monate lang Glu-Trp (Thymogen) oder Kochsalz erhielten, war die mittlere Lebensdauer gleich; die längstlebenden zehn Prozent lebten unter Thymogen länger, und Tumoren traten seltener auf</w:t>
      </w:r>
      <w:r>
        <w:rPr>
          <w:rStyle w:val="FootnoteReference"/>
        </w:rPr>
        <w:footnoteReference w:id="1210"/>
      </w:r>
      <w:r>
        <w:t xml:space="preserve">. In Zellkulturen menschlicher Blutstammzellen beeinflusste Thymalin deren Differenzierung</w:t>
      </w:r>
      <w:r>
        <w:rPr>
          <w:rStyle w:val="FootnoteReference"/>
        </w:rPr>
        <w:footnoteReference w:id="1211"/>
      </w:r>
      <w:r>
        <w:t xml:space="preserve">. Weitere Arbeiten beschreiben Effekte auf Blutgerinnung, Krebsentstehung nach Bestrahlung oder Chemikalien und Infektionen bei Nagetieren.</w:t>
      </w:r>
    </w:p>
    <w:bookmarkEnd w:id="1212"/>
    <w:bookmarkStart w:id="1213" w:name="X0279097629d12306e51ebe8b7760f09e5d697ec"/>
    <w:p>
      <w:pPr>
        <w:pStyle w:val="Heading3"/>
      </w:pPr>
      <w:r>
        <w:t xml:space="preserve">Qualität der Forschung: eine kritische Einordnung</w:t>
      </w:r>
    </w:p>
    <w:p>
      <w:pPr>
        <w:pStyle w:val="FirstParagraph"/>
      </w:pPr>
      <w:r>
        <w:t xml:space="preserve">Für die Bewertung von Thymalin und Thymogen ist die Herkunft der Daten wichtiger als die einzelnen Ergebnisse:</w:t>
      </w:r>
    </w:p>
    <w:p>
      <w:pPr>
        <w:numPr>
          <w:ilvl w:val="0"/>
          <w:numId w:val="1143"/>
        </w:numPr>
        <w:pStyle w:val="Compact"/>
      </w:pPr>
      <w:r>
        <w:rPr>
          <w:bCs/>
          <w:b/>
        </w:rPr>
        <w:t xml:space="preserve">Eine Schule, kaum unabhängige Bestätigung.</w:t>
      </w:r>
      <w:r>
        <w:t xml:space="preserve"> </w:t>
      </w:r>
      <w:r>
        <w:t xml:space="preserve">Ein großer Teil der Arbeiten stammt von Khavinson, seinen Mitarbeitenden oder kooperierenden Instituten. Khavinson ist laut PubMed an über 80 der rund 290 Veröffentlichungen beteiligt; viele weitere stammen aus eng verbundenen Gruppen. Unabhängige westliche Wiederholungsstudien fehlen.</w:t>
      </w:r>
    </w:p>
    <w:p>
      <w:pPr>
        <w:numPr>
          <w:ilvl w:val="0"/>
          <w:numId w:val="1143"/>
        </w:numPr>
        <w:pStyle w:val="Compact"/>
      </w:pPr>
      <w:r>
        <w:rPr>
          <w:bCs/>
          <w:b/>
        </w:rPr>
        <w:t xml:space="preserve">Sprache und Zugänglichkeit.</w:t>
      </w:r>
      <w:r>
        <w:t xml:space="preserve"> </w:t>
      </w:r>
      <w:r>
        <w:t xml:space="preserve">Rund 250 der Arbeiten sind russischsprachig, in PubMed oft nur mit kurzem Abstract. Volltexte sind schwer zugänglich, Methoden lassen sich kaum prüfen.</w:t>
      </w:r>
    </w:p>
    <w:p>
      <w:pPr>
        <w:numPr>
          <w:ilvl w:val="0"/>
          <w:numId w:val="1143"/>
        </w:numPr>
        <w:pStyle w:val="Compact"/>
      </w:pPr>
      <w:r>
        <w:rPr>
          <w:bCs/>
          <w:b/>
        </w:rPr>
        <w:t xml:space="preserve">Studiendesign.</w:t>
      </w:r>
      <w:r>
        <w:t xml:space="preserve"> </w:t>
      </w:r>
      <w:r>
        <w:t xml:space="preserve">Fast keine Studie ist nach heutigen Standards randomisiert, verblindet und vorab registriert. Keine einzige Studie ist bei ClinicalTrials.gov eingetragen.</w:t>
      </w:r>
    </w:p>
    <w:p>
      <w:pPr>
        <w:numPr>
          <w:ilvl w:val="0"/>
          <w:numId w:val="1143"/>
        </w:numPr>
        <w:pStyle w:val="Compact"/>
      </w:pPr>
      <w:r>
        <w:rPr>
          <w:bCs/>
          <w:b/>
        </w:rPr>
        <w:t xml:space="preserve">Ungewöhnlich große Effekte bei sehr vielen Erkrankungen.</w:t>
      </w:r>
      <w:r>
        <w:t xml:space="preserve"> </w:t>
      </w:r>
      <w:r>
        <w:t xml:space="preserve">Ein Präparat, das bei Tuberkulose, Schizophrenie, Parkinson, COVID-19 und dem Altern gleichermaßen wirkt und die Sterblichkeit halbiert, ist aus methodischer Sicht ein Warnsignal, keine Empfehlung.</w:t>
      </w:r>
    </w:p>
    <w:p>
      <w:pPr>
        <w:numPr>
          <w:ilvl w:val="0"/>
          <w:numId w:val="1143"/>
        </w:numPr>
        <w:pStyle w:val="Compact"/>
      </w:pPr>
      <w:r>
        <w:rPr>
          <w:bCs/>
          <w:b/>
        </w:rPr>
        <w:t xml:space="preserve">Interessenkonflikte.</w:t>
      </w:r>
      <w:r>
        <w:t xml:space="preserve"> </w:t>
      </w:r>
      <w:r>
        <w:t xml:space="preserve">Die Arbeitsgruppe hat die Präparate selbst entwickelt; nach Kenntnis des Autors werden „Bioregulatoren“ aus dieser Schule international als Nahrungsergänzungsmittel vermarktet. Unabhängige Prüfungen durch Forschende ohne solche Verbindungen fehlen.</w:t>
      </w:r>
    </w:p>
    <w:p>
      <w:pPr>
        <w:pStyle w:val="FirstParagraph"/>
      </w:pPr>
      <w:r>
        <w:t xml:space="preserve">Das bedeutet nicht, dass alle Ergebnisse falsch sein müssen. Es bedeutet, dass sie nach den Maßstäben dieses Buches nicht als Beleg für einen Nutzen gelten können, solange sie nicht in sauber geplanten, unabhängigen Studien bestätigt werden.</w:t>
      </w:r>
    </w:p>
    <w:bookmarkEnd w:id="1213"/>
    <w:bookmarkStart w:id="1216" w:name="risiken-und-nebenwirkungen-22"/>
    <w:p>
      <w:pPr>
        <w:pStyle w:val="Heading3"/>
      </w:pPr>
      <w:r>
        <w:t xml:space="preserve">Risiken und Nebenwirkungen</w:t>
      </w:r>
    </w:p>
    <w:bookmarkStart w:id="1214" w:name="belegt-6"/>
    <w:p>
      <w:pPr>
        <w:pStyle w:val="Heading4"/>
      </w:pPr>
      <w:r>
        <w:t xml:space="preserve">Belegt</w:t>
      </w:r>
    </w:p>
    <w:p>
      <w:pPr>
        <w:pStyle w:val="FirstParagraph"/>
      </w:pPr>
      <w:r>
        <w:t xml:space="preserve">Systematisch erhobene Sicherheitsdaten nach heutigen Standards liegen nicht vor. Die vorhandenen Studien berichten kaum über Nebenwirkungen – was bei kleinen, unverblindeten Studien wenig aussagt.</w:t>
      </w:r>
    </w:p>
    <w:bookmarkEnd w:id="1214"/>
    <w:bookmarkStart w:id="1215" w:name="theoretisch-2"/>
    <w:p>
      <w:pPr>
        <w:pStyle w:val="Heading4"/>
      </w:pPr>
      <w:r>
        <w:t xml:space="preserve">Theoretisch</w:t>
      </w:r>
    </w:p>
    <w:p>
      <w:pPr>
        <w:numPr>
          <w:ilvl w:val="0"/>
          <w:numId w:val="1144"/>
        </w:numPr>
        <w:pStyle w:val="Compact"/>
      </w:pPr>
      <w:r>
        <w:rPr>
          <w:bCs/>
          <w:b/>
        </w:rPr>
        <w:t xml:space="preserve">Tierisches Ausgangsmaterial:</w:t>
      </w:r>
      <w:r>
        <w:t xml:space="preserve"> </w:t>
      </w:r>
      <w:r>
        <w:t xml:space="preserve">Thymalin ist ein Extrakt aus Kälber-Thymus. Bei tierischen Extrakten bestehen grundsätzlich Risiken durch Verunreinigungen, Schwankungen zwischen Chargen und allergische Reaktionen. Auch die Übertragung von Krankheitserregern aus Rindergewebe ist ein theoretisches Risiko, das von der Herstellungsqualität abhängt.</w:t>
      </w:r>
    </w:p>
    <w:p>
      <w:pPr>
        <w:numPr>
          <w:ilvl w:val="0"/>
          <w:numId w:val="1144"/>
        </w:numPr>
        <w:pStyle w:val="Compact"/>
      </w:pPr>
      <w:r>
        <w:rPr>
          <w:bCs/>
          <w:b/>
        </w:rPr>
        <w:t xml:space="preserve">Immunstimulation:</w:t>
      </w:r>
      <w:r>
        <w:t xml:space="preserve"> </w:t>
      </w:r>
      <w:r>
        <w:t xml:space="preserve">Bei Autoimmunerkrankungen oder nach Organtransplantation könnte eine Anregung des Immunsystems schaden. Daten dazu fehlen.</w:t>
      </w:r>
    </w:p>
    <w:p>
      <w:pPr>
        <w:numPr>
          <w:ilvl w:val="0"/>
          <w:numId w:val="1144"/>
        </w:numPr>
        <w:pStyle w:val="Compact"/>
      </w:pPr>
      <w:r>
        <w:rPr>
          <w:bCs/>
          <w:b/>
        </w:rPr>
        <w:t xml:space="preserve">Graumarkt und „Bioregulatoren“:</w:t>
      </w:r>
      <w:r>
        <w:t xml:space="preserve"> </w:t>
      </w:r>
      <w:r>
        <w:t xml:space="preserve">Außerhalb Russlands werden Thymalin, Thymogen und verwandte Produkte über das Internet vertrieben, teils als Injektionslösung, teils als Kapseln mit der Bezeichnung „Bioregulator“. Herkunft, Gehalt und Qualität dieser Produkte sind nicht überprüfbar.</w:t>
      </w:r>
    </w:p>
    <w:bookmarkEnd w:id="1215"/>
    <w:bookmarkEnd w:id="1216"/>
    <w:bookmarkStart w:id="1217" w:name="rechtslage-22"/>
    <w:p>
      <w:pPr>
        <w:pStyle w:val="Heading3"/>
      </w:pPr>
      <w:r>
        <w:t xml:space="preserve">Rechtslage</w:t>
      </w:r>
    </w:p>
    <w:p>
      <w:pPr>
        <w:pStyle w:val="FirstParagraph"/>
      </w:pPr>
      <w:r>
        <w:rPr>
          <w:iCs/>
          <w:i/>
        </w:rPr>
        <w:t xml:space="preserve">Stand 2026, bitte aktuell prüfen.</w:t>
      </w:r>
    </w:p>
    <w:p>
      <w:pPr>
        <w:numPr>
          <w:ilvl w:val="0"/>
          <w:numId w:val="1145"/>
        </w:numPr>
        <w:pStyle w:val="Compact"/>
      </w:pPr>
      <w:r>
        <w:rPr>
          <w:bCs/>
          <w:b/>
        </w:rPr>
        <w:t xml:space="preserve">Russland und einige Nachfolgestaaten der Sowjetunion:</w:t>
      </w:r>
      <w:r>
        <w:t xml:space="preserve"> </w:t>
      </w:r>
      <w:r>
        <w:t xml:space="preserve">Thymalin und Thymogen sind als Arzneimittel zugelassen.</w:t>
      </w:r>
    </w:p>
    <w:p>
      <w:pPr>
        <w:numPr>
          <w:ilvl w:val="0"/>
          <w:numId w:val="1145"/>
        </w:numPr>
        <w:pStyle w:val="Compact"/>
      </w:pPr>
      <w:r>
        <w:rPr>
          <w:bCs/>
          <w:b/>
        </w:rPr>
        <w:t xml:space="preserve">EU, Deutschland, Österreich:</w:t>
      </w:r>
      <w:r>
        <w:t xml:space="preserve"> </w:t>
      </w:r>
      <w:r>
        <w:t xml:space="preserve">keine Zulassung. Der Import und die Abgabe zur Anwendung am Menschen sind nur unter den engen Voraussetzungen des jeweiligen Arzneimittelrechts erlaubt. Kapseln mit Organextrakten, die als Nahrungsergänzungsmittel verkauft werden, dürfen keine Wirkungen auf Krankheiten versprechen; ob sie als Arzneimittel einzustufen sind, hängt vom Einzelfall ab.</w:t>
      </w:r>
    </w:p>
    <w:p>
      <w:pPr>
        <w:numPr>
          <w:ilvl w:val="0"/>
          <w:numId w:val="1145"/>
        </w:numPr>
        <w:pStyle w:val="Compact"/>
      </w:pPr>
      <w:r>
        <w:rPr>
          <w:bCs/>
          <w:b/>
        </w:rPr>
        <w:t xml:space="preserve">USA:</w:t>
      </w:r>
      <w:r>
        <w:t xml:space="preserve"> </w:t>
      </w:r>
      <w:r>
        <w:t xml:space="preserve">keine FDA-Zulassung.</w:t>
      </w:r>
    </w:p>
    <w:p>
      <w:pPr>
        <w:numPr>
          <w:ilvl w:val="0"/>
          <w:numId w:val="1145"/>
        </w:numPr>
        <w:pStyle w:val="Compact"/>
      </w:pPr>
      <w:r>
        <w:rPr>
          <w:bCs/>
          <w:b/>
        </w:rPr>
        <w:t xml:space="preserve">WADA:</w:t>
      </w:r>
      <w:r>
        <w:t xml:space="preserve"> </w:t>
      </w:r>
      <w:r>
        <w:t xml:space="preserve">nicht namentlich gelistet.</w:t>
      </w:r>
    </w:p>
    <w:bookmarkEnd w:id="1217"/>
    <w:bookmarkStart w:id="1218" w:name="laufende-studien-und-ausblick-22"/>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zu Thymalin oder Thymogen registriert.</w:t>
      </w:r>
    </w:p>
    <w:p>
      <w:pPr>
        <w:pStyle w:val="BodyText"/>
      </w:pPr>
      <w:r>
        <w:rPr>
          <w:bCs/>
          <w:b/>
        </w:rPr>
        <w:t xml:space="preserve">Einschätzung des Autors:</w:t>
      </w:r>
      <w:r>
        <w:t xml:space="preserve"> </w:t>
      </w:r>
      <w:r>
        <w:t xml:space="preserve">Eine Zulassung in der EU oder den USA ist ohne neue, nach internationalen Standards durchgeführte Studien ausgeschlossen, und solche Studien sind nicht in Sicht. Thymalin und Thymogen werden daher voraussichtlich ein Phänomen des russischsprachigen Gesundheitsmarktes und der internationalen Longevity-Szene bleiben.</w:t>
      </w:r>
    </w:p>
    <w:bookmarkEnd w:id="1218"/>
    <w:bookmarkStart w:id="1220" w:name="fazit-22"/>
    <w:p>
      <w:pPr>
        <w:pStyle w:val="Heading3"/>
      </w:pPr>
      <w:r>
        <w:t xml:space="preserve">Fazit</w:t>
      </w:r>
    </w:p>
    <w:p>
      <w:pPr>
        <w:pStyle w:val="FirstParagraph"/>
      </w:pPr>
      <w:r>
        <w:t xml:space="preserve">Thymalin ist ein Kälber-Thymus-Extrakt, Thymogen ein daraus abgeleitetes Dipeptid; beide sind in Russland zugelassen und werden im Westen als „Bioregulatoren“ zur Lebensverlängerung beworben. Die Studienlage stammt fast vollständig aus einer einzigen russischen Forschungsschule, ist überwiegend in russischer Sprache veröffentlicht und besteht aus kleinen, meist nicht randomisierten Studien. Die viel zitierte Halbierung der Sterblichkeit bei älteren Menschen</w:t>
      </w:r>
      <w:r>
        <w:rPr>
          <w:rStyle w:val="FootnoteReference"/>
        </w:rPr>
        <w:footnoteReference w:id="1219"/>
      </w:r>
      <w:r>
        <w:t xml:space="preserve"> </w:t>
      </w:r>
      <w:r>
        <w:t xml:space="preserve">beruht auf einer Studie, deren Design im Abstract nicht nachvollziehbar beschrieben ist. Ein Nutzen ist nach heutigen Maßstäben nicht belegt, und die Qualität frei verkaufter Produkte ist unbekannt.</w:t>
      </w:r>
    </w:p>
    <w:bookmarkEnd w:id="1220"/>
    <w:bookmarkEnd w:id="1221"/>
    <w:bookmarkEnd w:id="1222"/>
    <w:bookmarkStart w:id="1602" w:name="teil-ii-c-wachstumshormon-achse"/>
    <w:p>
      <w:pPr>
        <w:pStyle w:val="Heading1"/>
      </w:pPr>
      <w:r>
        <w:t xml:space="preserve">Teil II · C – Wachstumshormon-Achse</w:t>
      </w:r>
    </w:p>
    <w:p>
      <w:pPr>
        <w:pStyle w:val="FirstParagraph"/>
      </w:pPr>
      <w:r>
        <w:t xml:space="preserve">Wachstumshormon (GH, nach englisch</w:t>
      </w:r>
      <w:r>
        <w:t xml:space="preserve"> </w:t>
      </w:r>
      <w:r>
        <w:rPr>
          <w:iCs/>
          <w:i/>
        </w:rPr>
        <w:t xml:space="preserve">growth hormone</w:t>
      </w:r>
      <w:r>
        <w:t xml:space="preserve">) ist eines der am stärksten mythologisierten Hormone überhaupt. Es gilt in Fitnessstudios als Muskel- und Fettverbrennungshormon und in Anti-Aging-Praxen als „Jungbrunnen“. Echtes Wachstumshormon ist ein großes, teures, verschreibungspflichtiges Protein. Die Peptide dieses Teils versprechen einen scheinbar eleganteren Weg: Sie sollen den Körper dazu bringen,</w:t>
      </w:r>
      <w:r>
        <w:t xml:space="preserve"> </w:t>
      </w:r>
      <w:r>
        <w:rPr>
          <w:iCs/>
          <w:i/>
        </w:rPr>
        <w:t xml:space="preserve">mehr eigenes</w:t>
      </w:r>
      <w:r>
        <w:t xml:space="preserve"> </w:t>
      </w:r>
      <w:r>
        <w:t xml:space="preserve">Wachstumshormon auszuschütten – oder sie liefern direkt den nachgeschalteten Botenstoff IGF-1.</w:t>
      </w:r>
    </w:p>
    <w:bookmarkStart w:id="1224" w:name="die-achse-in-vier-stationen"/>
    <w:p>
      <w:pPr>
        <w:pStyle w:val="Heading3"/>
      </w:pPr>
      <w:r>
        <w:t xml:space="preserve">Die Achse in vier Stationen</w:t>
      </w:r>
    </w:p>
    <w:p>
      <w:pPr>
        <w:numPr>
          <w:ilvl w:val="0"/>
          <w:numId w:val="1146"/>
        </w:numPr>
        <w:pStyle w:val="Compact"/>
      </w:pPr>
      <w:r>
        <w:rPr>
          <w:bCs/>
          <w:b/>
        </w:rPr>
        <w:t xml:space="preserve">GHRH</w:t>
      </w:r>
      <w:r>
        <w:t xml:space="preserve"> </w:t>
      </w:r>
      <w:r>
        <w:t xml:space="preserve">(Wachstumshormon-Releasing-Hormon) aus dem Zwischenhirn gibt der Hirnanhangdrüse das Signal zur Ausschüttung. Sein Gegenspieler Somatostatin bremst.</w:t>
      </w:r>
    </w:p>
    <w:p>
      <w:pPr>
        <w:numPr>
          <w:ilvl w:val="0"/>
          <w:numId w:val="1146"/>
        </w:numPr>
        <w:pStyle w:val="Compact"/>
      </w:pPr>
      <w:r>
        <w:rPr>
          <w:bCs/>
          <w:b/>
        </w:rPr>
        <w:t xml:space="preserve">Ghrelin</w:t>
      </w:r>
      <w:r>
        <w:t xml:space="preserve">, ein Hormon aus dem Magen, verstärkt die Ausschüttung über einen eigenen Rezeptor (GHS-R1a) und macht zugleich hungrig</w:t>
      </w:r>
      <w:r>
        <w:rPr>
          <w:rStyle w:val="FootnoteReference"/>
        </w:rPr>
        <w:footnoteReference w:id="1223"/>
      </w:r>
      <w:r>
        <w:t xml:space="preserve">.</w:t>
      </w:r>
    </w:p>
    <w:p>
      <w:pPr>
        <w:numPr>
          <w:ilvl w:val="0"/>
          <w:numId w:val="1146"/>
        </w:numPr>
        <w:pStyle w:val="Compact"/>
      </w:pPr>
      <w:r>
        <w:rPr>
          <w:bCs/>
          <w:b/>
        </w:rPr>
        <w:t xml:space="preserve">Wachstumshormon</w:t>
      </w:r>
      <w:r>
        <w:t xml:space="preserve"> </w:t>
      </w:r>
      <w:r>
        <w:t xml:space="preserve">wird von der Hirnanhangdrüse in Stößen abgegeben, vor allem nachts.</w:t>
      </w:r>
    </w:p>
    <w:p>
      <w:pPr>
        <w:numPr>
          <w:ilvl w:val="0"/>
          <w:numId w:val="1146"/>
        </w:numPr>
        <w:pStyle w:val="Compact"/>
      </w:pPr>
      <w:r>
        <w:rPr>
          <w:bCs/>
          <w:b/>
        </w:rPr>
        <w:t xml:space="preserve">IGF-1</w:t>
      </w:r>
      <w:r>
        <w:t xml:space="preserve"> </w:t>
      </w:r>
      <w:r>
        <w:t xml:space="preserve">(insulinähnlicher Wachstumsfaktor 1) wird vor allem in der Leber als Antwort auf Wachstumshormon gebildet und vermittelt viele seiner aufbauenden Wirkungen. Hohe IGF-1-Spiegel bremsen ihrerseits die Achse.</w:t>
      </w:r>
    </w:p>
    <w:p>
      <w:pPr>
        <w:pStyle w:val="FirstParagraph"/>
      </w:pPr>
      <w:r>
        <w:t xml:space="preserve">Die Wirkstoffe dieses Teils greifen an unterschiedlichen Stationen an:</w:t>
      </w:r>
      <w:r>
        <w:t xml:space="preserve"> </w:t>
      </w:r>
      <w:r>
        <w:rPr>
          <w:bCs/>
          <w:b/>
        </w:rPr>
        <w:t xml:space="preserve">GHRH-Analoga</w:t>
      </w:r>
      <w:r>
        <w:t xml:space="preserve"> </w:t>
      </w:r>
      <w:r>
        <w:t xml:space="preserve">(Sermorelin, Tesamorelin, CJC-1295) am GHRH-Rezeptor,</w:t>
      </w:r>
      <w:r>
        <w:t xml:space="preserve"> </w:t>
      </w:r>
      <w:r>
        <w:rPr>
          <w:bCs/>
          <w:b/>
        </w:rPr>
        <w:t xml:space="preserve">Ghrelin-Mimetika</w:t>
      </w:r>
      <w:r>
        <w:t xml:space="preserve"> </w:t>
      </w:r>
      <w:r>
        <w:t xml:space="preserve">(Ipamorelin, GHRP-2, GHRP-6, Hexarelin, Macimorelin und zum Vergleich das Nicht-Peptid Ibutamoren) am Ghrelin-Rezeptor,</w:t>
      </w:r>
      <w:r>
        <w:t xml:space="preserve"> </w:t>
      </w:r>
      <w:r>
        <w:rPr>
          <w:bCs/>
          <w:b/>
        </w:rPr>
        <w:t xml:space="preserve">IGF-1 und seine Abwandlungen</w:t>
      </w:r>
      <w:r>
        <w:t xml:space="preserve"> </w:t>
      </w:r>
      <w:r>
        <w:t xml:space="preserve">(Mecasermin, IGF-1 LR3) direkt am Ende der Kette.</w:t>
      </w:r>
    </w:p>
    <w:bookmarkEnd w:id="1224"/>
    <w:bookmarkStart w:id="1227" w:name="warum-diese-gruppe-so-beliebt-ist"/>
    <w:p>
      <w:pPr>
        <w:pStyle w:val="Heading3"/>
      </w:pPr>
      <w:r>
        <w:t xml:space="preserve">Warum diese Gruppe so beliebt ist</w:t>
      </w:r>
    </w:p>
    <w:p>
      <w:pPr>
        <w:pStyle w:val="FirstParagraph"/>
      </w:pPr>
      <w:r>
        <w:t xml:space="preserve">Wachstumshormon baut Fett ab und Magermasse auf – das ist gut belegt. Eine Übersicht über randomisierte Studien bei jungen, trainierten Menschen fand eine Zunahme der fettfreien Masse um 2,1 kg, aber keine Verbesserung von Kraft oder Ausdauer, dafür mehr Wassereinlagerungen und Müdigkeit</w:t>
      </w:r>
      <w:r>
        <w:rPr>
          <w:rStyle w:val="FootnoteReference"/>
        </w:rPr>
        <w:footnoteReference w:id="1225"/>
      </w:r>
      <w:r>
        <w:t xml:space="preserve">. Bei gesunden älteren Menschen sank die Fettmasse um 2,1 kg und die Magermasse stieg um 2,1 kg; zugleich traten häufiger Gewebeschwellungen, Gelenkschmerzen, Karpaltunnelsyndrom und Brustvergrößerung bei Männern auf</w:t>
      </w:r>
      <w:r>
        <w:rPr>
          <w:rStyle w:val="FootnoteReference"/>
        </w:rPr>
        <w:footnoteReference w:id="1226"/>
      </w:r>
      <w:r>
        <w:t xml:space="preserve">. Weil die Wachstumshormon-Ausschüttung mit dem Alter abnimmt, liegt die Idee nahe, sie „zurückzudrehen“. Die Freisetzer gelten als sanftere Alternative, weil die körpereigene Regulation erhalten bleibt. Hinzu kommt, dass viele davon als „Research Peptides“ billig online erhältlich sind.</w:t>
      </w:r>
    </w:p>
    <w:p>
      <w:pPr>
        <w:pStyle w:val="BodyText"/>
      </w:pPr>
      <w:r>
        <w:t xml:space="preserve">Das Muster, das sich durch fast alle Kapitel zieht: IGF-1 und Magermasse steigen, aber Kraft, Funktion oder Krankheitsverläufe verbessern sich in kontrollierten Studien kaum – während Blutzucker, Wassereinlagerungen und bei einigen Stoffen Stresshormone zunehmen.</w:t>
      </w:r>
    </w:p>
    <w:bookmarkEnd w:id="1227"/>
    <w:bookmarkStart w:id="1234" w:name="der-wichtigste-offene-punkt-krebs"/>
    <w:p>
      <w:pPr>
        <w:pStyle w:val="Heading3"/>
      </w:pPr>
      <w:r>
        <w:t xml:space="preserve">Der wichtigste offene Punkt: Krebs</w:t>
      </w:r>
    </w:p>
    <w:p>
      <w:pPr>
        <w:pStyle w:val="FirstParagraph"/>
      </w:pPr>
      <w:r>
        <w:t xml:space="preserve">IGF-1 fördert Zellteilung und hält Zellen am Leben. Ob eine dauerhafte Anhebung das Krebsrisiko erhöht, ist die zentrale Sicherheitsfrage der Gruppe. Die Belege, nüchtern zusammengefasst:</w:t>
      </w:r>
    </w:p>
    <w:p>
      <w:pPr>
        <w:numPr>
          <w:ilvl w:val="0"/>
          <w:numId w:val="1147"/>
        </w:numPr>
        <w:pStyle w:val="Compact"/>
      </w:pPr>
      <w:r>
        <w:rPr>
          <w:bCs/>
          <w:b/>
        </w:rPr>
        <w:t xml:space="preserve">Natürlich hohes IGF-1:</w:t>
      </w:r>
      <w:r>
        <w:t xml:space="preserve"> </w:t>
      </w:r>
      <w:r>
        <w:t xml:space="preserve">In Beobachtungsstudien ist ein höherer Spiegel mit einem mäßig erhöhten Risiko für Prostatakrebs und Brustkrebs vor den Wechseljahren verbunden</w:t>
      </w:r>
      <w:r>
        <w:rPr>
          <w:rStyle w:val="FootnoteReference"/>
        </w:rPr>
        <w:footnoteReference w:id="1228"/>
      </w:r>
      <w:r>
        <w:t xml:space="preserve">. Genetische Analysen mit Hunderttausenden Teilnehmenden sprechen dafür, dass der Zusammenhang bei Brust- und Darmkrebs ursächlich sein könnte</w:t>
      </w:r>
      <w:r>
        <w:rPr>
          <w:rStyle w:val="FootnoteReference"/>
        </w:rPr>
        <w:footnoteReference w:id="1229"/>
      </w:r>
      <w:r>
        <w:t xml:space="preserve">.</w:t>
      </w:r>
    </w:p>
    <w:p>
      <w:pPr>
        <w:numPr>
          <w:ilvl w:val="0"/>
          <w:numId w:val="1147"/>
        </w:numPr>
        <w:pStyle w:val="Compact"/>
      </w:pPr>
      <w:r>
        <w:rPr>
          <w:bCs/>
          <w:b/>
        </w:rPr>
        <w:t xml:space="preserve">Natürlich zu viel Wachstumshormon (Akromegalie):</w:t>
      </w:r>
      <w:r>
        <w:t xml:space="preserve"> </w:t>
      </w:r>
      <w:r>
        <w:t xml:space="preserve">Eine Meta-Analyse von 23 Studien fand eine um etwa 50 % erhöhte Krebsrate, deutet aber auch auf Verzerrungen in älteren Studien hin</w:t>
      </w:r>
      <w:r>
        <w:rPr>
          <w:rStyle w:val="FootnoteReference"/>
        </w:rPr>
        <w:footnoteReference w:id="1230"/>
      </w:r>
      <w:r>
        <w:t xml:space="preserve">.</w:t>
      </w:r>
    </w:p>
    <w:p>
      <w:pPr>
        <w:numPr>
          <w:ilvl w:val="0"/>
          <w:numId w:val="1147"/>
        </w:numPr>
        <w:pStyle w:val="Compact"/>
      </w:pPr>
      <w:r>
        <w:rPr>
          <w:bCs/>
          <w:b/>
        </w:rPr>
        <w:t xml:space="preserve">Lebenslanger IGF-1-Mangel (Laron-Syndrom):</w:t>
      </w:r>
      <w:r>
        <w:t xml:space="preserve"> </w:t>
      </w:r>
      <w:r>
        <w:t xml:space="preserve">Krebs trat auffällig selten auf</w:t>
      </w:r>
      <w:r>
        <w:rPr>
          <w:rStyle w:val="FootnoteReference"/>
        </w:rPr>
        <w:footnoteReference w:id="1231"/>
      </w:r>
      <w:r>
        <w:t xml:space="preserve">.</w:t>
      </w:r>
    </w:p>
    <w:p>
      <w:pPr>
        <w:numPr>
          <w:ilvl w:val="0"/>
          <w:numId w:val="1147"/>
        </w:numPr>
        <w:pStyle w:val="Compact"/>
      </w:pPr>
      <w:r>
        <w:rPr>
          <w:bCs/>
          <w:b/>
        </w:rPr>
        <w:t xml:space="preserve">Wachstumshormon als Arzneimittel:</w:t>
      </w:r>
      <w:r>
        <w:t xml:space="preserve"> </w:t>
      </w:r>
      <w:r>
        <w:t xml:space="preserve">In einer europäischen Kohorte mit 23.984 behandelten Kindern fand sich kein allgemein erhöhtes Risiko bei Kindern ohne Vorerkrankung, aber Auffälligkeiten bei einzelnen Krebsarten und bei Kindern, die zuvor Krebs gehabt hatten</w:t>
      </w:r>
      <w:r>
        <w:rPr>
          <w:rStyle w:val="FootnoteReference"/>
        </w:rPr>
        <w:footnoteReference w:id="1232"/>
      </w:r>
      <w:r>
        <w:t xml:space="preserve">. Bei 8.418 behandelten Erwachsenen mit Hypophysenunterfunktion war das Krebsrisiko nicht erhöht</w:t>
      </w:r>
      <w:r>
        <w:rPr>
          <w:rStyle w:val="FootnoteReference"/>
        </w:rPr>
        <w:footnoteReference w:id="1233"/>
      </w:r>
      <w:r>
        <w:t xml:space="preserve">.</w:t>
      </w:r>
    </w:p>
    <w:p>
      <w:pPr>
        <w:pStyle w:val="FirstParagraph"/>
      </w:pPr>
      <w:r>
        <w:t xml:space="preserve">Fazit: Bei Menschen mit echtem Mangel ist eine Ersatzbehandlung nach heutigem Wissen nicht mit einem deutlich höheren Krebsrisiko verbunden. Für Gesunde, die einen normalen Spiegel über Jahre anheben, fehlen Daten – und die Biologie spricht eher für als gegen ein gewisses Risiko. Teil IV vertieft das Thema.</w:t>
      </w:r>
    </w:p>
    <w:bookmarkEnd w:id="1234"/>
    <w:bookmarkStart w:id="1235" w:name="überblick-1"/>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früher USA (Geref), heute keine</w:t>
            </w:r>
          </w:p>
        </w:tc>
        <w:tc>
          <w:tcPr/>
          <w:p>
            <w:pPr>
              <w:pStyle w:val="Compact"/>
              <w:jc w:val="left"/>
            </w:pPr>
            <w:r>
              <w:t xml:space="preserve">GHRH-Fragment; Kinder mit GH-Mangel</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weniger Bauch- und Leberfett bei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keine</w:t>
            </w:r>
          </w:p>
        </w:tc>
        <w:tc>
          <w:tcPr/>
          <w:p>
            <w:pPr>
              <w:pStyle w:val="Compact"/>
              <w:jc w:val="left"/>
            </w:pPr>
            <w:r>
              <w:t xml:space="preserve">nur Phase-1-Daten; Variante „ohne DAC“ unerforscht</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kein Nutzen bei Darmlähmung nach OP</w:t>
            </w:r>
          </w:p>
        </w:tc>
      </w:tr>
      <w:tr>
        <w:tc>
          <w:tcPr/>
          <w:p>
            <w:pPr>
              <w:pStyle w:val="Compact"/>
              <w:jc w:val="left"/>
            </w:pPr>
            <w:r>
              <w:t xml:space="preserve">GHRP-2 (Pralmorelin)</w:t>
            </w:r>
          </w:p>
        </w:tc>
        <w:tc>
          <w:tcPr/>
          <w:p>
            <w:pPr>
              <w:pStyle w:val="Compact"/>
              <w:jc w:val="left"/>
            </w:pPr>
            <w:r>
              <w:t xml:space="preserve">B</w:t>
            </w:r>
          </w:p>
        </w:tc>
        <w:tc>
          <w:tcPr/>
          <w:p>
            <w:pPr>
              <w:pStyle w:val="Compact"/>
              <w:jc w:val="left"/>
            </w:pPr>
            <w:r>
              <w:t xml:space="preserve">Japan (Diagnostikum)</w:t>
            </w:r>
          </w:p>
        </w:tc>
        <w:tc>
          <w:tcPr/>
          <w:p>
            <w:pPr>
              <w:pStyle w:val="Compact"/>
              <w:jc w:val="left"/>
            </w:pPr>
            <w:r>
              <w:t xml:space="preserve">Test auf GH-Mangel</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keine</w:t>
            </w:r>
          </w:p>
        </w:tc>
        <w:tc>
          <w:tcPr/>
          <w:p>
            <w:pPr>
              <w:pStyle w:val="Compact"/>
              <w:jc w:val="left"/>
            </w:pPr>
            <w:r>
              <w:t xml:space="preserve">Forschungs- und Testsubstanz</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keine</w:t>
            </w:r>
          </w:p>
        </w:tc>
        <w:tc>
          <w:tcPr/>
          <w:p>
            <w:pPr>
              <w:pStyle w:val="Compact"/>
              <w:jc w:val="left"/>
            </w:pPr>
            <w:r>
              <w:t xml:space="preserve">akute Herzeffekte; Wirkverlust bei Dauergabe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EU, USA (Diagnostikum)</w:t>
            </w:r>
          </w:p>
        </w:tc>
        <w:tc>
          <w:tcPr/>
          <w:p>
            <w:pPr>
              <w:pStyle w:val="Compact"/>
              <w:jc w:val="left"/>
            </w:pPr>
            <w:r>
              <w:t xml:space="preserve">Trinktest auf GH-Mangel</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EU, USA (Increlex)</w:t>
            </w:r>
          </w:p>
        </w:tc>
        <w:tc>
          <w:tcPr/>
          <w:p>
            <w:pPr>
              <w:pStyle w:val="Compact"/>
              <w:jc w:val="left"/>
            </w:pPr>
            <w:r>
              <w:t xml:space="preserve">schwerer IGF-1-Mangel bei Kindern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keine</w:t>
            </w:r>
          </w:p>
        </w:tc>
        <w:tc>
          <w:tcPr/>
          <w:p>
            <w:pPr>
              <w:pStyle w:val="Compact"/>
              <w:jc w:val="left"/>
            </w:pPr>
            <w:r>
              <w:t xml:space="preserve">Laborreagenz, nie am Menschen geprüft</w:t>
            </w:r>
          </w:p>
        </w:tc>
      </w:tr>
      <w:tr>
        <w:tc>
          <w:tcPr/>
          <w:p>
            <w:pPr>
              <w:pStyle w:val="Compact"/>
              <w:jc w:val="left"/>
            </w:pPr>
            <w:r>
              <w:t xml:space="preserve">Ibutamoren (Vergleich)</w:t>
            </w:r>
          </w:p>
        </w:tc>
        <w:tc>
          <w:tcPr/>
          <w:p>
            <w:pPr>
              <w:pStyle w:val="Compact"/>
              <w:jc w:val="left"/>
            </w:pPr>
            <w:r>
              <w:t xml:space="preserve">B</w:t>
            </w:r>
          </w:p>
        </w:tc>
        <w:tc>
          <w:tcPr/>
          <w:p>
            <w:pPr>
              <w:pStyle w:val="Compact"/>
              <w:jc w:val="left"/>
            </w:pPr>
            <w:r>
              <w:t xml:space="preserve">keine</w:t>
            </w:r>
          </w:p>
        </w:tc>
        <w:tc>
          <w:tcPr/>
          <w:p>
            <w:pPr>
              <w:pStyle w:val="Compact"/>
              <w:jc w:val="left"/>
            </w:pPr>
            <w:r>
              <w:t xml:space="preserve">Tablette; Herzinsuffizienz-Signal</w:t>
            </w:r>
          </w:p>
        </w:tc>
      </w:tr>
    </w:tbl>
    <w:bookmarkEnd w:id="1235"/>
    <w:bookmarkStart w:id="1236" w:name="lesehinweis-2"/>
    <w:p>
      <w:pPr>
        <w:pStyle w:val="Heading3"/>
      </w:pPr>
      <w:r>
        <w:t xml:space="preserve">Lesehinweis</w:t>
      </w:r>
    </w:p>
    <w:p>
      <w:pPr>
        <w:pStyle w:val="FirstParagraph"/>
      </w:pPr>
      <w:r>
        <w:t xml:space="preserve">Wer sich für Anwendungen mit echtem Nutzen interessiert, beginnt mit Tesamorelin, Macimorelin und Mecasermin. Wer wissen möchte, was hinter den Graumarkt-Klassikern steckt, liest CJC-1295, Ipamorelin und IGF-1 LR3. Ibutamoren ist zwar kein Peptid, zeigt aber in großen Studien besonders klar, was eine dauerhafte Anregung der Achse bewirkt. Alle Wirkstoffe dieser Gruppe stehen auf der Verbotsliste der Welt-Anti-Doping-Agentur (Gruppe S2).</w:t>
      </w:r>
    </w:p>
    <w:bookmarkEnd w:id="1236"/>
    <w:bookmarkStart w:id="1273" w:name="sermorelin"/>
    <w:p>
      <w:pPr>
        <w:pStyle w:val="Heading2"/>
      </w:pPr>
      <w:r>
        <w:t xml:space="preserve">Sermorelin</w:t>
      </w:r>
    </w:p>
    <w:p>
      <w:pPr>
        <w:pStyle w:val="FirstParagraph"/>
      </w:pPr>
      <w:r>
        <w:t xml:space="preserve">Sermorelin ist ein Stück Arzneimittelgeschichte, das im Internet ein zweites Leben führt. In den 1990er-Jahren war es in den USA als Arzneimittel zugelassen – erst als Testsubstanz für die Diagnose eines Wachstumshormon-Mangels, dann zur Behandlung kleinwüchsiger Kinder. Seit dem Ende der 2000er-Jahre ist das Originalpräparat vom Markt verschwunden. Heute wird Sermorelin vor allem in amerikanischen „Anti-Aging“- und „Men’s Health“-Kliniken als Rezeptur verordnet und auf dem Graumarkt angeboten. Dieses Kapitel zeigt, was die alten Studien tatsächlich belegen und was nicht.</w:t>
      </w:r>
    </w:p>
    <w:bookmarkStart w:id="1238" w:name="steckbrief-23"/>
    <w:p>
      <w:pPr>
        <w:pStyle w:val="Heading3"/>
      </w:pPr>
      <w:r>
        <w:t xml:space="preserve">Steckbrief</w:t>
      </w:r>
    </w:p>
    <w:p>
      <w:pPr>
        <w:numPr>
          <w:ilvl w:val="0"/>
          <w:numId w:val="1148"/>
        </w:numPr>
        <w:pStyle w:val="Compact"/>
      </w:pPr>
      <w:r>
        <w:rPr>
          <w:bCs/>
          <w:b/>
        </w:rPr>
        <w:t xml:space="preserve">Art und Struktur:</w:t>
      </w:r>
      <w:r>
        <w:t xml:space="preserve"> </w:t>
      </w:r>
      <w:r>
        <w:t xml:space="preserve">synthetisches Peptid aus 29 Aminosäuren; es entspricht dem vorderen, wirksamen Abschnitt des körpereigenen Wachstumshormon-Releasing-Hormons, GHRH(1-29)NH2. Es ist das kürzeste synthetische Peptid mit voller GHRH-Wirkung</w:t>
      </w:r>
      <w:r>
        <w:rPr>
          <w:rStyle w:val="FootnoteReference"/>
        </w:rPr>
        <w:footnoteReference w:id="1237"/>
      </w:r>
      <w:r>
        <w:t xml:space="preserve">.</w:t>
      </w:r>
    </w:p>
    <w:p>
      <w:pPr>
        <w:numPr>
          <w:ilvl w:val="0"/>
          <w:numId w:val="1148"/>
        </w:numPr>
        <w:pStyle w:val="Compact"/>
      </w:pPr>
      <w:r>
        <w:rPr>
          <w:bCs/>
          <w:b/>
        </w:rPr>
        <w:t xml:space="preserve">Herkunft:</w:t>
      </w:r>
      <w:r>
        <w:t xml:space="preserve"> </w:t>
      </w:r>
      <w:r>
        <w:t xml:space="preserve">in den 1980er-Jahren aus dem natürlichen GHRH abgeleitet; vermarktet von Serono als Geref.</w:t>
      </w:r>
    </w:p>
    <w:p>
      <w:pPr>
        <w:numPr>
          <w:ilvl w:val="0"/>
          <w:numId w:val="1148"/>
        </w:numPr>
        <w:pStyle w:val="Compact"/>
      </w:pPr>
      <w:r>
        <w:rPr>
          <w:bCs/>
          <w:b/>
        </w:rPr>
        <w:t xml:space="preserve">Wirkprinzip:</w:t>
      </w:r>
      <w:r>
        <w:t xml:space="preserve"> </w:t>
      </w:r>
      <w:r>
        <w:t xml:space="preserve">bindet an den GHRH-Rezeptor der Hirnanhangdrüse und löst dort eine Ausschüttung von Wachstumshormon aus; die körpereigene Regulation (Bremse durch Somatostatin, Rückkopplung durch IGF-1) bleibt erhalten.</w:t>
      </w:r>
    </w:p>
    <w:p>
      <w:pPr>
        <w:numPr>
          <w:ilvl w:val="0"/>
          <w:numId w:val="1148"/>
        </w:numPr>
        <w:pStyle w:val="Compact"/>
      </w:pPr>
      <w:r>
        <w:rPr>
          <w:bCs/>
          <w:b/>
        </w:rPr>
        <w:t xml:space="preserve">Zulassung EU:</w:t>
      </w:r>
      <w:r>
        <w:t xml:space="preserve"> </w:t>
      </w:r>
      <w:r>
        <w:t xml:space="preserve">nein (Stand 2026).</w:t>
      </w:r>
      <w:r>
        <w:t xml:space="preserve"> </w:t>
      </w:r>
      <w:r>
        <w:rPr>
          <w:bCs/>
          <w:b/>
        </w:rPr>
        <w:t xml:space="preserve">Zulassung USA:</w:t>
      </w:r>
      <w:r>
        <w:t xml:space="preserve"> </w:t>
      </w:r>
      <w:r>
        <w:t xml:space="preserve">früher ja (Geref als Diagnostikum und zur Behandlung von Kindern mit Wachstumshormon-Mangel); das Originalpräparat ist seit Ende der 2000er-Jahre nicht mehr erhältlich.</w:t>
      </w:r>
    </w:p>
    <w:p>
      <w:pPr>
        <w:numPr>
          <w:ilvl w:val="0"/>
          <w:numId w:val="1148"/>
        </w:numPr>
        <w:pStyle w:val="Compact"/>
      </w:pPr>
      <w:r>
        <w:rPr>
          <w:bCs/>
          <w:b/>
        </w:rPr>
        <w:t xml:space="preserve">WADA:</w:t>
      </w:r>
      <w:r>
        <w:t xml:space="preserve"> </w:t>
      </w:r>
      <w:r>
        <w:t xml:space="preserve">verboten, Gruppe S2 – Sermorelin wird als GHRH-Analogon ausdrücklich genannt.</w:t>
      </w:r>
    </w:p>
    <w:p>
      <w:pPr>
        <w:numPr>
          <w:ilvl w:val="0"/>
          <w:numId w:val="1148"/>
        </w:numPr>
        <w:pStyle w:val="Compact"/>
      </w:pPr>
      <w:r>
        <w:rPr>
          <w:bCs/>
          <w:b/>
        </w:rPr>
        <w:t xml:space="preserve">Evidenzstufe: B</w:t>
      </w:r>
      <w:r>
        <w:t xml:space="preserve"> </w:t>
      </w:r>
      <w:r>
        <w:t xml:space="preserve">– einzelne kleine randomisierte bzw. kontrollierte Studien, meist offen und aus den 1980er- und 1990er-Jahren; keine moderne große Studie.</w:t>
      </w:r>
    </w:p>
    <w:bookmarkEnd w:id="1238"/>
    <w:bookmarkStart w:id="1240" w:name="wie-es-wirken-soll-23"/>
    <w:p>
      <w:pPr>
        <w:pStyle w:val="Heading3"/>
      </w:pPr>
      <w:r>
        <w:t xml:space="preserve">Wie es wirken soll</w:t>
      </w:r>
    </w:p>
    <w:p>
      <w:pPr>
        <w:pStyle w:val="FirstParagraph"/>
      </w:pPr>
      <w:r>
        <w:t xml:space="preserve">Die Hirnanhangdrüse gibt Wachstumshormon in Stößen ab. Den Startschuss gibt GHRH aus dem Zwischenhirn. Wird GHRH in der Natur gebildet, ist es 44 Aminosäuren lang; Forschende stellten in den 1980er-Jahren fest, dass die ersten 29 Aminosäuren für die volle Wirkung ausreichen. Daraus entstand Sermorelin.</w:t>
      </w:r>
    </w:p>
    <w:p>
      <w:pPr>
        <w:pStyle w:val="BodyText"/>
      </w:pPr>
      <w:r>
        <w:t xml:space="preserve">Der Vorteil gegenüber gespritztem Wachstumshormon soll darin liegen, dass die Hirnanhangdrüse „mitentscheidet“: Ist genug IGF-1 im Blut, bremst der Körper über Somatostatin selbst nach. Überdosierungen wie bei direkter GH-Gabe sollen dadurch weniger wahrscheinlich sein. Der Nachteil: Sermorelin wirkt nur, wenn die Hirnanhangdrüse noch Wachstumshormon bilden kann, und seine Wirkung ist kurz: Die Halbwertszeit im Blut beträgt beim Menschen nur etwa 10 bis 20 Minuten</w:t>
      </w:r>
      <w:r>
        <w:rPr>
          <w:rStyle w:val="FootnoteReference"/>
        </w:rPr>
        <w:footnoteReference w:id="1239"/>
      </w:r>
      <w:r>
        <w:t xml:space="preserve">. Wirksam ist es daher vor allem bei Störungen, die im Zwischenhirn liegen, nicht in der Hypophyse selbst.</w:t>
      </w:r>
    </w:p>
    <w:bookmarkEnd w:id="1240"/>
    <w:bookmarkStart w:id="1257" w:name="studien-am-menschen-2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unter dem Stichwort „sermorelin“ fand</w:t>
      </w:r>
      <w:r>
        <w:t xml:space="preserve"> </w:t>
      </w:r>
      <w:r>
        <w:rPr>
          <w:bCs/>
          <w:b/>
        </w:rPr>
        <w:t xml:space="preserve">keine</w:t>
      </w:r>
      <w:r>
        <w:t xml:space="preserve"> </w:t>
      </w:r>
      <w:r>
        <w:t xml:space="preserve">Humanstudie (</w:t>
      </w:r>
      <w:r>
        <w:rPr>
          <w:rStyle w:val="VerbatimChar"/>
        </w:rPr>
        <w:t xml:space="preserve">humanstudien_alle</w:t>
      </w:r>
      <w:r>
        <w:t xml:space="preserve">: 0) und</w:t>
      </w:r>
      <w:r>
        <w:t xml:space="preserve"> </w:t>
      </w:r>
      <w:r>
        <w:rPr>
          <w:bCs/>
          <w:b/>
        </w:rPr>
        <w:t xml:space="preserve">27</w:t>
      </w:r>
      <w:r>
        <w:t xml:space="preserve"> </w:t>
      </w:r>
      <w:r>
        <w:t xml:space="preserve">Einträge bei ClinicalTrials.gov. Beide Zahlen täuschen: Die meisten klinischen Arbeiten erschienen unter Bezeichnungen wie „GHRH(1-29)NH2“, „GRF 1-29“ oder „Geref“ und werden von einer reinen Namenssuche nicht erfasst. Umgekehrt betreffen viele der 27 Registereinträge gar nicht Sermorelin, sondern Tesamorelin oder GHRH-Tests allgemein. Eine gezielte Nachsuche ergab mehrere Dutzend klinische Studien, überwiegend klein und aus der Zeit vor 2000.</w:t>
      </w:r>
    </w:p>
    <w:bookmarkStart w:id="1246" w:name="kinder-mit-wachstumshormon-mangel"/>
    <w:p>
      <w:pPr>
        <w:pStyle w:val="Heading4"/>
      </w:pPr>
      <w:r>
        <w:t xml:space="preserve">Kinder mit Wachstumshormon-Mangel</w:t>
      </w:r>
    </w:p>
    <w:p>
      <w:pPr>
        <w:pStyle w:val="FirstParagraph"/>
      </w:pPr>
      <w:r>
        <w:t xml:space="preserve">Das Hauptanwendungsgebiet war die Wachstumsstörung bei Kindern. In einer offenen, multizentrischen Studie der Geref-Studiengruppe erhielten 110 bisher unbehandelte Kinder vor der Pubertät ein Jahr lang einmal täglich abends Sermorelin. Die Wachstumsgeschwindigkeit stieg von 4,1 cm pro Jahr auf 8,0 cm nach sechs Monaten und 7,2 cm nach zwölf Monaten; 74 % galten nach sechs Monaten als gute Responder. Auffällige Laborveränderungen traten nicht auf</w:t>
      </w:r>
      <w:r>
        <w:rPr>
          <w:rStyle w:val="FootnoteReference"/>
        </w:rPr>
        <w:footnoteReference w:id="1241"/>
      </w:r>
      <w:r>
        <w:t xml:space="preserve">.</w:t>
      </w:r>
    </w:p>
    <w:p>
      <w:pPr>
        <w:pStyle w:val="BodyText"/>
      </w:pPr>
      <w:r>
        <w:t xml:space="preserve">Eine frühe britische Studie mit 18 Kindern zeigte bereits die Grenzen: Nur bei 8 Kindern stieg die Wachstumsgeschwindigkeit in den ersten sechs Monaten um mehr als 2 cm pro Jahr; bei 14 Kindern bildeten sich Antikörper gegen das Peptid, ohne erkennbaren Einfluss auf das Wachstum</w:t>
      </w:r>
      <w:r>
        <w:rPr>
          <w:rStyle w:val="FootnoteReference"/>
        </w:rPr>
        <w:footnoteReference w:id="1242"/>
      </w:r>
      <w:r>
        <w:t xml:space="preserve">. In einer randomisierten Studie mit 43 Kindern wuchsen die Kinder unter niedrig dosiertem Sermorelin am langsamsten; nur unter Wachstumshormon besserte sich die Körpergröße im Verhältnis zum Knochenalter</w:t>
      </w:r>
      <w:r>
        <w:rPr>
          <w:rStyle w:val="FootnoteReference"/>
        </w:rPr>
        <w:footnoteReference w:id="1243"/>
      </w:r>
      <w:r>
        <w:t xml:space="preserve">. Eine Übersicht hielt fest, dass Sermorelin bei einem Teil der Kinder wirksam ist, aber schwächer als Wachstumshormon, und dass Daten zur Endgröße fehlen</w:t>
      </w:r>
      <w:r>
        <w:rPr>
          <w:rStyle w:val="FootnoteReference"/>
        </w:rPr>
        <w:footnoteReference w:id="1244"/>
      </w:r>
      <w:r>
        <w:t xml:space="preserve">.</w:t>
      </w:r>
    </w:p>
    <w:p>
      <w:pPr>
        <w:pStyle w:val="BodyText"/>
      </w:pPr>
      <w:r>
        <w:t xml:space="preserve">Auch bei Kindern mit idiopathischem Kleinwuchs (also ohne nachweisbaren Hormonmangel) stieg die Wachstumsgeschwindigkeit unter zweimal täglichen Injektionen in einer kleinen Studie mit 18 Kindern; nach dem Absetzen fiel sie unter den Ausgangswert zurück, Nüchternzucker und Insulin stiegen während der Behandlung an</w:t>
      </w:r>
      <w:r>
        <w:rPr>
          <w:rStyle w:val="FootnoteReference"/>
        </w:rPr>
        <w:footnoteReference w:id="1245"/>
      </w:r>
      <w:r>
        <w:t xml:space="preserve">.</w:t>
      </w:r>
    </w:p>
    <w:bookmarkEnd w:id="1246"/>
    <w:bookmarkStart w:id="1251" w:name="ältere-erwachsene"/>
    <w:p>
      <w:pPr>
        <w:pStyle w:val="Heading4"/>
      </w:pPr>
      <w:r>
        <w:t xml:space="preserve">Ältere Erwachsene</w:t>
      </w:r>
    </w:p>
    <w:p>
      <w:pPr>
        <w:pStyle w:val="FirstParagraph"/>
      </w:pPr>
      <w:r>
        <w:t xml:space="preserve">Für das heutige Marketing („Anti-Aging“) sind Studien mit älteren Menschen entscheidend. Es gibt nur wenige, und sie sind sehr klein:</w:t>
      </w:r>
    </w:p>
    <w:p>
      <w:pPr>
        <w:numPr>
          <w:ilvl w:val="0"/>
          <w:numId w:val="1149"/>
        </w:numPr>
        <w:pStyle w:val="Compact"/>
      </w:pPr>
      <w:r>
        <w:t xml:space="preserve">19 gesunde Frauen und Männer zwischen 55 und 71 Jahren erhielten nach vier Wochen Placebo 16 Wochen lang ein Sermorelin-Analogon. Wachstumshormon und IGF-1 stiegen, die Hautdicke nahm bei beiden Geschlechtern zu, die fettfreie Masse und die Insulinempfindlichkeit nur bei Männern. Männer berichteten ein besseres Wohlbefinden und eine gesteigerte Libido; die Schlafqualität änderte sich nicht. Als Nebenwirkung trat vorübergehend ein Anstieg der Blutfette auf</w:t>
      </w:r>
      <w:r>
        <w:rPr>
          <w:rStyle w:val="FootnoteReference"/>
        </w:rPr>
        <w:footnoteReference w:id="1247"/>
      </w:r>
      <w:r>
        <w:t xml:space="preserve">. Dieselbe Gruppe beschrieb Veränderungen von Immunzellen</w:t>
      </w:r>
      <w:r>
        <w:rPr>
          <w:rStyle w:val="FootnoteReference"/>
        </w:rPr>
        <w:footnoteReference w:id="1248"/>
      </w:r>
      <w:r>
        <w:t xml:space="preserve">. Die Studie war nur einfach verblindet und hatte keine parallele Kontrollgruppe.</w:t>
      </w:r>
    </w:p>
    <w:p>
      <w:pPr>
        <w:numPr>
          <w:ilvl w:val="0"/>
          <w:numId w:val="1149"/>
        </w:numPr>
        <w:pStyle w:val="Compact"/>
      </w:pPr>
      <w:r>
        <w:t xml:space="preserve">Bei 11 gesunden Männern zwischen 64 und 76 Jahren erhöhten sechs Wochen nächtlicher Injektionen die nächtliche GH-Ausschüttung, aber weder IGF-1 noch Muskel- oder Fettmasse veränderten sich; zwei von sechs Kraftmessungen verbesserten sich</w:t>
      </w:r>
      <w:r>
        <w:rPr>
          <w:rStyle w:val="FootnoteReference"/>
        </w:rPr>
        <w:footnoteReference w:id="1249"/>
      </w:r>
      <w:r>
        <w:t xml:space="preserve">.</w:t>
      </w:r>
    </w:p>
    <w:p>
      <w:pPr>
        <w:pStyle w:val="FirstParagraph"/>
      </w:pPr>
      <w:r>
        <w:t xml:space="preserve">Zwei spätere Studien zu GHRH bei älteren Menschen wurden nach 5 bzw. 13 Teilnehmenden abgebrochen</w:t>
      </w:r>
      <w:r>
        <w:rPr>
          <w:rStyle w:val="FootnoteReference"/>
        </w:rPr>
        <w:footnoteReference w:id="1250"/>
      </w:r>
      <w:r>
        <w:t xml:space="preserve">.</w:t>
      </w:r>
    </w:p>
    <w:bookmarkEnd w:id="1251"/>
    <w:bookmarkStart w:id="1254" w:name="diagnostik"/>
    <w:p>
      <w:pPr>
        <w:pStyle w:val="Heading4"/>
      </w:pPr>
      <w:r>
        <w:t xml:space="preserve">Diagnostik</w:t>
      </w:r>
    </w:p>
    <w:p>
      <w:pPr>
        <w:pStyle w:val="FirstParagraph"/>
      </w:pPr>
      <w:r>
        <w:t xml:space="preserve">Als Testsubstanz wurde Sermorelin intravenös gegeben, um zu prüfen, ob die Hirnanhangdrüse auf GHRH reagiert. Kombiniert mit der Aminosäure Arginin galt dieser Test bei Erwachsenen als Alternative zum belastenden Insulin-Hypoglykämie-Test</w:t>
      </w:r>
      <w:r>
        <w:rPr>
          <w:rStyle w:val="FootnoteReference"/>
        </w:rPr>
        <w:footnoteReference w:id="1252"/>
      </w:r>
      <w:r>
        <w:t xml:space="preserve">. Nachdem das Diagnostikum in den USA nicht mehr verfügbar war, musste eine laufende Studie zu einem neuen Test (Macimorelin) ihr Design ändern</w:t>
      </w:r>
      <w:r>
        <w:rPr>
          <w:rStyle w:val="FootnoteReference"/>
        </w:rPr>
        <w:footnoteReference w:id="1253"/>
      </w:r>
      <w:r>
        <w:t xml:space="preserve">.</w:t>
      </w:r>
    </w:p>
    <w:bookmarkEnd w:id="1254"/>
    <w:bookmarkStart w:id="1256" w:name="moderne-männermedizin"/>
    <w:p>
      <w:pPr>
        <w:pStyle w:val="Heading4"/>
      </w:pPr>
      <w:r>
        <w:t xml:space="preserve">Moderne „Männermedizin“</w:t>
      </w:r>
    </w:p>
    <w:p>
      <w:pPr>
        <w:pStyle w:val="FirstParagraph"/>
      </w:pPr>
      <w:r>
        <w:t xml:space="preserve">Eine rückblickende Aktenauswertung aus einer US-amerikanischen Männerklinik beschrieb 14 junge Männer unter Testosterontherapie, die eine Kombination aus Sermorelin, GHRP-2 und GHRP-6 verordnet bekamen. IGF-1 stieg im Mittel von 159,5 auf 239,0 ng/ml</w:t>
      </w:r>
      <w:r>
        <w:rPr>
          <w:rStyle w:val="FootnoteReference"/>
        </w:rPr>
        <w:footnoteReference w:id="1255"/>
      </w:r>
      <w:r>
        <w:t xml:space="preserve">. Von ursprünglich 105 Männern erfüllten nur 14 die Einschlusskriterien; Aussagen zu Muskelmasse, Fettabbau oder Sicherheit erlaubt die Arbeit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Geref-Studiengruppe (Thorner 1996), PMID 8772599</w:t>
            </w:r>
          </w:p>
        </w:tc>
        <w:tc>
          <w:tcPr/>
          <w:p>
            <w:pPr>
              <w:pStyle w:val="Compact"/>
              <w:jc w:val="left"/>
            </w:pPr>
            <w:r>
              <w:t xml:space="preserve">110 Kinder mit GH-Mangel, offen, ohne Kontrollgruppe</w:t>
            </w:r>
          </w:p>
        </w:tc>
        <w:tc>
          <w:tcPr/>
          <w:p>
            <w:pPr>
              <w:pStyle w:val="Compact"/>
              <w:jc w:val="left"/>
            </w:pPr>
            <w:r>
              <w:t xml:space="preserve">12 Monate</w:t>
            </w:r>
          </w:p>
        </w:tc>
        <w:tc>
          <w:tcPr/>
          <w:p>
            <w:pPr>
              <w:pStyle w:val="Compact"/>
              <w:jc w:val="left"/>
            </w:pPr>
            <w:r>
              <w:t xml:space="preserve">Wachstum 4,1 → 7,2 cm/Jahr</w:t>
            </w:r>
          </w:p>
        </w:tc>
      </w:tr>
      <w:tr>
        <w:tc>
          <w:tcPr/>
          <w:p>
            <w:pPr>
              <w:pStyle w:val="Compact"/>
              <w:jc w:val="left"/>
            </w:pPr>
            <w:r>
              <w:t xml:space="preserve">Vergleich mit GH (Neyzi 1993), PMID 8329826</w:t>
            </w:r>
          </w:p>
        </w:tc>
        <w:tc>
          <w:tcPr/>
          <w:p>
            <w:pPr>
              <w:pStyle w:val="Compact"/>
              <w:jc w:val="left"/>
            </w:pPr>
            <w:r>
              <w:t xml:space="preserve">43 Kinder, randomisiert (2 Sermorelin-Dosen vs. GH)</w:t>
            </w:r>
          </w:p>
        </w:tc>
        <w:tc>
          <w:tcPr/>
          <w:p>
            <w:pPr>
              <w:pStyle w:val="Compact"/>
              <w:jc w:val="left"/>
            </w:pPr>
            <w:r>
              <w:t xml:space="preserve">6 Monate</w:t>
            </w:r>
          </w:p>
        </w:tc>
        <w:tc>
          <w:tcPr/>
          <w:p>
            <w:pPr>
              <w:pStyle w:val="Compact"/>
              <w:jc w:val="left"/>
            </w:pPr>
            <w:r>
              <w:t xml:space="preserve">hohe Dosis ähnlich wie GH, niedrige schwächer</w:t>
            </w:r>
          </w:p>
        </w:tc>
      </w:tr>
      <w:tr>
        <w:tc>
          <w:tcPr/>
          <w:p>
            <w:pPr>
              <w:pStyle w:val="Compact"/>
              <w:jc w:val="left"/>
            </w:pPr>
            <w:r>
              <w:t xml:space="preserve">Ältere Erwachsene (Khorram 1997), PMID 9141536</w:t>
            </w:r>
          </w:p>
        </w:tc>
        <w:tc>
          <w:tcPr/>
          <w:p>
            <w:pPr>
              <w:pStyle w:val="Compact"/>
              <w:jc w:val="left"/>
            </w:pPr>
            <w:r>
              <w:t xml:space="preserve">19 Gesunde, 55–71 Jahre, einfach verblindet, Placebo-Vorphase</w:t>
            </w:r>
          </w:p>
        </w:tc>
        <w:tc>
          <w:tcPr/>
          <w:p>
            <w:pPr>
              <w:pStyle w:val="Compact"/>
              <w:jc w:val="left"/>
            </w:pPr>
            <w:r>
              <w:t xml:space="preserve">5 Monate</w:t>
            </w:r>
          </w:p>
        </w:tc>
        <w:tc>
          <w:tcPr/>
          <w:p>
            <w:pPr>
              <w:pStyle w:val="Compact"/>
              <w:jc w:val="left"/>
            </w:pPr>
            <w:r>
              <w:t xml:space="preserve">IGF-1 ↑, fettfreie Masse ↑ nur bei Männern</w:t>
            </w:r>
          </w:p>
        </w:tc>
      </w:tr>
      <w:tr>
        <w:tc>
          <w:tcPr/>
          <w:p>
            <w:pPr>
              <w:pStyle w:val="Compact"/>
              <w:jc w:val="left"/>
            </w:pPr>
            <w:r>
              <w:t xml:space="preserve">Ältere Männer (Vittone 1997), PMID 9005976</w:t>
            </w:r>
          </w:p>
        </w:tc>
        <w:tc>
          <w:tcPr/>
          <w:p>
            <w:pPr>
              <w:pStyle w:val="Compact"/>
              <w:jc w:val="left"/>
            </w:pPr>
            <w:r>
              <w:t xml:space="preserve">11 Gesunde, 64–76 Jahre, ohne Kontrollgruppe</w:t>
            </w:r>
          </w:p>
        </w:tc>
        <w:tc>
          <w:tcPr/>
          <w:p>
            <w:pPr>
              <w:pStyle w:val="Compact"/>
              <w:jc w:val="left"/>
            </w:pPr>
            <w:r>
              <w:t xml:space="preserve">6 Wochen</w:t>
            </w:r>
          </w:p>
        </w:tc>
        <w:tc>
          <w:tcPr/>
          <w:p>
            <w:pPr>
              <w:pStyle w:val="Compact"/>
              <w:jc w:val="left"/>
            </w:pPr>
            <w:r>
              <w:t xml:space="preserve">GH ↑, IGF-1 und Körperzusammensetzung unverändert</w:t>
            </w:r>
          </w:p>
        </w:tc>
      </w:tr>
      <w:tr>
        <w:tc>
          <w:tcPr/>
          <w:p>
            <w:pPr>
              <w:pStyle w:val="Compact"/>
              <w:jc w:val="left"/>
            </w:pPr>
            <w:r>
              <w:t xml:space="preserve">Männerklinik (Sigalos 2017), PMID 28830317</w:t>
            </w:r>
          </w:p>
        </w:tc>
        <w:tc>
          <w:tcPr/>
          <w:p>
            <w:pPr>
              <w:pStyle w:val="Compact"/>
              <w:jc w:val="left"/>
            </w:pPr>
            <w:r>
              <w:t xml:space="preserve">14 Männer, rückblickend, Kombination mit GHRP-2/-6</w:t>
            </w:r>
          </w:p>
        </w:tc>
        <w:tc>
          <w:tcPr/>
          <w:p>
            <w:pPr>
              <w:pStyle w:val="Compact"/>
              <w:jc w:val="left"/>
            </w:pPr>
            <w:r>
              <w:t xml:space="preserve">im Mittel 134 Tage</w:t>
            </w:r>
          </w:p>
        </w:tc>
        <w:tc>
          <w:tcPr/>
          <w:p>
            <w:pPr>
              <w:pStyle w:val="Compact"/>
              <w:jc w:val="left"/>
            </w:pPr>
            <w:r>
              <w:t xml:space="preserve">IGF-1 159,5 → 239,0 ng/ml</w:t>
            </w:r>
          </w:p>
        </w:tc>
      </w:tr>
    </w:tbl>
    <w:bookmarkEnd w:id="1256"/>
    <w:bookmarkEnd w:id="1257"/>
    <w:bookmarkStart w:id="1260" w:name="tier--und-laborstudien-23"/>
    <w:p>
      <w:pPr>
        <w:pStyle w:val="Heading3"/>
      </w:pPr>
      <w:r>
        <w:t xml:space="preserve">Tier- und Laborstudien</w:t>
      </w:r>
    </w:p>
    <w:p>
      <w:pPr>
        <w:pStyle w:val="FirstParagraph"/>
      </w:pPr>
      <w:r>
        <w:t xml:space="preserve">Sermorelin selbst wurde im Labor vor allem im Zusammenhang mit seiner Entdeckung und mit Varianten mit längerer Wirkdauer untersucht, etwa an Polyethylenglykol gekoppelte Varianten, die bei Ratten und Schweinen länger wirkten als das unveränderte Peptid</w:t>
      </w:r>
      <w:r>
        <w:rPr>
          <w:rStyle w:val="FootnoteReference"/>
        </w:rPr>
        <w:footnoteReference w:id="1258"/>
      </w:r>
      <w:r>
        <w:t xml:space="preserve">. Eine rein rechnerische Arbeit, die Genaktivitätsdaten von Gliom-Patienten mit einer Arzneimitteldatenbank abglich, nannte Sermorelin als möglichen Kandidaten gegen wiederkehrende Hirntumoren</w:t>
      </w:r>
      <w:r>
        <w:rPr>
          <w:rStyle w:val="FootnoteReference"/>
        </w:rPr>
        <w:footnoteReference w:id="1259"/>
      </w:r>
      <w:r>
        <w:t xml:space="preserve">. Das ist eine Computer-Hypothese ohne Labor- oder Patientenbestätigung – und steht im auffälligen Gegensatz zur Sorge, dass eine Anregung der Wachstumsachse Tumoren eher fördern könnte.</w:t>
      </w:r>
    </w:p>
    <w:bookmarkEnd w:id="1260"/>
    <w:bookmarkStart w:id="1266" w:name="risiken-und-nebenwirkungen-23"/>
    <w:p>
      <w:pPr>
        <w:pStyle w:val="Heading3"/>
      </w:pPr>
      <w:r>
        <w:t xml:space="preserve">Risiken und Nebenwirkungen</w:t>
      </w:r>
    </w:p>
    <w:p>
      <w:pPr>
        <w:pStyle w:val="FirstParagraph"/>
      </w:pPr>
      <w:r>
        <w:rPr>
          <w:bCs/>
          <w:b/>
        </w:rPr>
        <w:t xml:space="preserve">Belegt (aus den Zulassungs- und Studiendaten):</w:t>
      </w:r>
      <w:r>
        <w:t xml:space="preserve"> </w:t>
      </w:r>
      <w:r>
        <w:t xml:space="preserve">vorübergehende Gesichtsrötung (Flush) und Schmerzen an der Einstichstelle waren die häufigsten Nebenwirkungen</w:t>
      </w:r>
      <w:r>
        <w:rPr>
          <w:rStyle w:val="FootnoteReference"/>
        </w:rPr>
        <w:footnoteReference w:id="1261"/>
      </w:r>
      <w:r>
        <w:t xml:space="preserve">. Antikörper gegen Sermorelin traten bei Kindern häufig auf, ohne erkennbare Folgen</w:t>
      </w:r>
      <w:r>
        <w:rPr>
          <w:rStyle w:val="FootnoteReference"/>
        </w:rPr>
        <w:footnoteReference w:id="1262"/>
      </w:r>
      <w:r>
        <w:t xml:space="preserve">. In einzelnen Studien stiegen Blutzucker, Insulin oder Blutfette vorübergehend an</w:t>
      </w:r>
      <w:r>
        <w:rPr>
          <w:rStyle w:val="FootnoteReference"/>
        </w:rPr>
        <w:footnoteReference w:id="1263"/>
      </w:r>
      <w:r>
        <w:t xml:space="preserve">.</w:t>
      </w:r>
    </w:p>
    <w:p>
      <w:pPr>
        <w:pStyle w:val="BodyText"/>
      </w:pPr>
      <w:r>
        <w:rPr>
          <w:bCs/>
          <w:b/>
        </w:rPr>
        <w:t xml:space="preserve">Langzeitrisiken:</w:t>
      </w:r>
      <w:r>
        <w:t xml:space="preserve"> </w:t>
      </w:r>
      <w:r>
        <w:t xml:space="preserve">Systematische Langzeitdaten zu Sermorelin bei Erwachsenen gibt es nicht. Ein Fallbericht beschreibt einen 62-jährigen Freizeit-Bodybuilder, der rund 20 Jahre lang Wachstumshormon und GH-Freisetzer (darunter Sermorelin mit GHRP-6) verwendet hatte und durch einen großen Knochensporn an der Halswirbelsäule Schluckbeschwerden entwickelte; die Autoren halten einen Zusammenhang für möglich, aber nicht bewiesen</w:t>
      </w:r>
      <w:r>
        <w:rPr>
          <w:rStyle w:val="FootnoteReference"/>
        </w:rPr>
        <w:footnoteReference w:id="1264"/>
      </w:r>
      <w:r>
        <w:t xml:space="preserve">. Zur grundsätzlichen Frage, ob eine dauerhafte Anhebung von IGF-1 das Krebsrisiko erhöht, siehe die Einleitung zu dieser Gruppe und Teil IV.</w:t>
      </w:r>
    </w:p>
    <w:p>
      <w:pPr>
        <w:pStyle w:val="BodyText"/>
      </w:pPr>
      <w:r>
        <w:rPr>
          <w:bCs/>
          <w:b/>
        </w:rPr>
        <w:t xml:space="preserve">Graumarkt:</w:t>
      </w:r>
      <w:r>
        <w:t xml:space="preserve"> </w:t>
      </w:r>
      <w:r>
        <w:t xml:space="preserve">Bei einer europäischen Zollaktion wurden unter beschlagnahmten Injektionspräparaten neben Wachstumshormon und Melanotan II auch Sermorelin-Produkte gefunden – ohne Kennzeichnung und teils ohne Wirkstoff</w:t>
      </w:r>
      <w:r>
        <w:rPr>
          <w:rStyle w:val="FootnoteReference"/>
        </w:rPr>
        <w:footnoteReference w:id="1265"/>
      </w:r>
      <w:r>
        <w:t xml:space="preserve">.</w:t>
      </w:r>
    </w:p>
    <w:bookmarkEnd w:id="1266"/>
    <w:bookmarkStart w:id="1270" w:name="rechtslage-23"/>
    <w:p>
      <w:pPr>
        <w:pStyle w:val="Heading3"/>
      </w:pPr>
      <w:r>
        <w:t xml:space="preserve">Rechtslage</w:t>
      </w:r>
    </w:p>
    <w:p>
      <w:pPr>
        <w:pStyle w:val="FirstParagraph"/>
      </w:pPr>
      <w:r>
        <w:rPr>
          <w:iCs/>
          <w:i/>
        </w:rPr>
        <w:t xml:space="preserve">Stand 2026, bitte aktuell prüfen.</w:t>
      </w:r>
    </w:p>
    <w:p>
      <w:pPr>
        <w:numPr>
          <w:ilvl w:val="0"/>
          <w:numId w:val="1150"/>
        </w:numPr>
        <w:pStyle w:val="Compact"/>
      </w:pPr>
      <w:r>
        <w:rPr>
          <w:bCs/>
          <w:b/>
        </w:rPr>
        <w:t xml:space="preserve">Hintergrund der US-Zulassung:</w:t>
      </w:r>
      <w:r>
        <w:t xml:space="preserve"> </w:t>
      </w:r>
      <w:r>
        <w:t xml:space="preserve">Geref war in den USA zunächst als Diagnostikum und ab den 1990er-Jahren zur Behandlung von Kindern mit Wachstumshormon-Mangel zugelassen. Der Hersteller stellte den Vertrieb gegen Ende der 2000er-Jahre ein; nach den öffentlich verfügbaren Angaben aus Herstellungs- bzw. wirtschaftlichen Gründen und nicht wegen eines neu erkannten Sicherheitsproblems. Dass das Diagnostikum um diese Zeit wegfiel, ist in einer Studie dokumentiert</w:t>
      </w:r>
      <w:r>
        <w:rPr>
          <w:rStyle w:val="FootnoteReference"/>
        </w:rPr>
        <w:footnoteReference w:id="1267"/>
      </w:r>
      <w:r>
        <w:t xml:space="preserve">. Ein Fertigarzneimittel mit gültiger Zulassung gibt es heute nicht.</w:t>
      </w:r>
    </w:p>
    <w:p>
      <w:pPr>
        <w:numPr>
          <w:ilvl w:val="0"/>
          <w:numId w:val="1150"/>
        </w:numPr>
        <w:pStyle w:val="Compact"/>
      </w:pPr>
      <w:r>
        <w:rPr>
          <w:bCs/>
          <w:b/>
        </w:rPr>
        <w:t xml:space="preserve">USA heute:</w:t>
      </w:r>
      <w:r>
        <w:t xml:space="preserve"> </w:t>
      </w:r>
      <w:r>
        <w:t xml:space="preserve">Sermorelin wird von Rezepturapotheken (Compounding) hergestellt und vor allem in Anti-Aging-Praxen verordnet. Ob und unter welchen Bedingungen das zulässig ist, hängt von den sich ändernden FDA-Regeln für Rezepturwirkstoffe ab, die in Fachkreisen kontrovers diskutiert werden</w:t>
      </w:r>
      <w:r>
        <w:rPr>
          <w:rStyle w:val="FootnoteReference"/>
        </w:rPr>
        <w:footnoteReference w:id="1268"/>
      </w:r>
      <w:r>
        <w:t xml:space="preserve">.</w:t>
      </w:r>
    </w:p>
    <w:p>
      <w:pPr>
        <w:numPr>
          <w:ilvl w:val="0"/>
          <w:numId w:val="1150"/>
        </w:numPr>
        <w:pStyle w:val="Compact"/>
      </w:pPr>
      <w:r>
        <w:rPr>
          <w:bCs/>
          <w:b/>
        </w:rPr>
        <w:t xml:space="preserve">EU, Deutschland, Österreich:</w:t>
      </w:r>
      <w:r>
        <w:t xml:space="preserve"> </w:t>
      </w:r>
      <w:r>
        <w:t xml:space="preserve">keine Zulassung, kein im Handel befindliches Fertigarzneimittel. Die Abgabe zur Anwendung am Menschen ohne Zulassung ist nach dem jeweiligen Arzneimittelgesetz unzulässig; „nur für Forschungszwecke“-Etiketten ändern daran nichts.</w:t>
      </w:r>
    </w:p>
    <w:p>
      <w:pPr>
        <w:numPr>
          <w:ilvl w:val="0"/>
          <w:numId w:val="1150"/>
        </w:numPr>
        <w:pStyle w:val="Compact"/>
      </w:pPr>
      <w:r>
        <w:rPr>
          <w:bCs/>
          <w:b/>
        </w:rPr>
        <w:t xml:space="preserve">WADA:</w:t>
      </w:r>
      <w:r>
        <w:t xml:space="preserve"> </w:t>
      </w:r>
      <w:r>
        <w:t xml:space="preserve">verboten (S2). Nachweisverfahren für Sermorelin und seine Abbauprodukte im Urin wurden entwickelt</w:t>
      </w:r>
      <w:r>
        <w:rPr>
          <w:rStyle w:val="FootnoteReference"/>
        </w:rPr>
        <w:footnoteReference w:id="1269"/>
      </w:r>
      <w:r>
        <w:t xml:space="preserve">.</w:t>
      </w:r>
    </w:p>
    <w:bookmarkEnd w:id="1270"/>
    <w:bookmarkStart w:id="1271" w:name="laufende-studien-und-ausblick-23"/>
    <w:p>
      <w:pPr>
        <w:pStyle w:val="Heading3"/>
      </w:pPr>
      <w:r>
        <w:t xml:space="preserve">Laufende Studien und Ausblick</w:t>
      </w:r>
    </w:p>
    <w:p>
      <w:pPr>
        <w:pStyle w:val="FirstParagraph"/>
      </w:pPr>
      <w:r>
        <w:t xml:space="preserve">Eine laufende klinische Studie mit Sermorelin selbst ist bei ClinicalTrials.gov im Oktober 2026 nicht verzeichnet; die Registereinträge unter diesem Suchbegriff betreffen abgeschlossene GHRH-Studien oder Tesamorelin.</w:t>
      </w:r>
      <w:r>
        <w:t xml:space="preserve"> </w:t>
      </w:r>
      <w:r>
        <w:rPr>
          <w:iCs/>
          <w:i/>
        </w:rPr>
        <w:t xml:space="preserve">Einschätzung des Autors:</w:t>
      </w:r>
      <w:r>
        <w:t xml:space="preserve"> </w:t>
      </w:r>
      <w:r>
        <w:t xml:space="preserve">Eine Rückkehr als zugelassenes Arzneimittel ist nicht absehbar. Die Nachfrage wird weiterhin von Kliniken und Online-Anbietern getrieben, nicht von neuen Studiendaten.</w:t>
      </w:r>
    </w:p>
    <w:bookmarkEnd w:id="1271"/>
    <w:bookmarkStart w:id="1272" w:name="fazit-23"/>
    <w:p>
      <w:pPr>
        <w:pStyle w:val="Heading3"/>
      </w:pPr>
      <w:r>
        <w:t xml:space="preserve">Fazit</w:t>
      </w:r>
    </w:p>
    <w:p>
      <w:pPr>
        <w:pStyle w:val="FirstParagraph"/>
      </w:pPr>
      <w:r>
        <w:t xml:space="preserve">Sermorelin regt die körpereigene Ausschüttung von Wachstumshormon zuverlässig an und war in den USA für Kinder mit Wachstumshormon-Mangel zugelassen, wirkte dort aber schwächer als Wachstumshormon selbst. Die Studien an älteren Erwachsenen umfassen jeweils nur etwa zehn bis zwanzig Personen und zeigen allenfalls kleine, uneinheitliche Effekte. Belege für einen Nutzen als „Anti-Aging“-Mittel oder zur Leistungssteigerung fehlen, ebenso Langzeitdaten zur Sicherheit.</w:t>
      </w:r>
    </w:p>
    <w:bookmarkEnd w:id="1272"/>
    <w:bookmarkEnd w:id="1273"/>
    <w:bookmarkStart w:id="1313" w:name="tesamorelin"/>
    <w:p>
      <w:pPr>
        <w:pStyle w:val="Heading2"/>
      </w:pPr>
      <w:r>
        <w:t xml:space="preserve">Tesamorelin</w:t>
      </w:r>
    </w:p>
    <w:p>
      <w:pPr>
        <w:pStyle w:val="FirstParagraph"/>
      </w:pPr>
      <w:r>
        <w:t xml:space="preserve">Tesamorelin ist das einzige Peptid dieser Gruppe, das in den USA heute als Arzneimittel zur Dauerbehandlung zugelassen ist – allerdings für eine sehr spezielle Situation: übermäßiges Bauchfett bei Menschen mit HIV. Gerade deshalb ist es lehrreich. An Tesamorelin lässt sich zeigen, was eine Steigerung der körpereigenen Wachstumshormon-Ausschüttung in sauberen, placebokontrollierten Studien tatsächlich bewirkt – und was nicht. Im Internet wird es dagegen gern als „Bauchfett-Peptid“ für alle beworben. Dieses Kapitel trennt die belegte Anwendung von den Hoffnungen.</w:t>
      </w:r>
    </w:p>
    <w:bookmarkStart w:id="1276" w:name="steckbrief-24"/>
    <w:p>
      <w:pPr>
        <w:pStyle w:val="Heading3"/>
      </w:pPr>
      <w:r>
        <w:t xml:space="preserve">Steckbrief</w:t>
      </w:r>
    </w:p>
    <w:p>
      <w:pPr>
        <w:numPr>
          <w:ilvl w:val="0"/>
          <w:numId w:val="1151"/>
        </w:numPr>
        <w:pStyle w:val="Compact"/>
      </w:pPr>
      <w:r>
        <w:rPr>
          <w:bCs/>
          <w:b/>
        </w:rPr>
        <w:t xml:space="preserve">Art und Struktur:</w:t>
      </w:r>
      <w:r>
        <w:t xml:space="preserve"> </w:t>
      </w:r>
      <w:r>
        <w:t xml:space="preserve">synthetisches Peptid aus 44 Aminosäuren; es entspricht dem vollständigen menschlichen Wachstumshormon-Releasing-Hormon, GHRH(1-44)</w:t>
      </w:r>
      <w:r>
        <w:rPr>
          <w:rStyle w:val="FootnoteReference"/>
        </w:rPr>
        <w:footnoteReference w:id="1274"/>
      </w:r>
      <w:r>
        <w:t xml:space="preserve">, an dessen Anfang eine zusätzliche chemische Gruppe gekoppelt ist, die den raschen Abbau im Blut verzögert.</w:t>
      </w:r>
    </w:p>
    <w:p>
      <w:pPr>
        <w:numPr>
          <w:ilvl w:val="0"/>
          <w:numId w:val="1151"/>
        </w:numPr>
        <w:pStyle w:val="Compact"/>
      </w:pPr>
      <w:r>
        <w:rPr>
          <w:bCs/>
          <w:b/>
        </w:rPr>
        <w:t xml:space="preserve">Herkunft:</w:t>
      </w:r>
      <w:r>
        <w:t xml:space="preserve"> </w:t>
      </w:r>
      <w:r>
        <w:t xml:space="preserve">entwickelt von der kanadischen Firma Theratechnologies (Entwicklungsname TH9507).</w:t>
      </w:r>
    </w:p>
    <w:p>
      <w:pPr>
        <w:numPr>
          <w:ilvl w:val="0"/>
          <w:numId w:val="1151"/>
        </w:numPr>
        <w:pStyle w:val="Compact"/>
      </w:pPr>
      <w:r>
        <w:rPr>
          <w:bCs/>
          <w:b/>
        </w:rPr>
        <w:t xml:space="preserve">Wirkprinzip:</w:t>
      </w:r>
      <w:r>
        <w:t xml:space="preserve"> </w:t>
      </w:r>
      <w:r>
        <w:t xml:space="preserve">bindet wie das körpereigene GHRH an dessen Rezeptor in der Hirnanhangdrüse und steigert so die eigene, weiterhin pulsartige Ausschüttung von Wachstumshormon (GH); in der Folge steigt der Botenstoff IGF-1.</w:t>
      </w:r>
    </w:p>
    <w:p>
      <w:pPr>
        <w:numPr>
          <w:ilvl w:val="0"/>
          <w:numId w:val="1151"/>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ja (Egrifta, seit 2010) zur Verringerung von überschüssigem Bauchfett bei Erwachsenen mit HIV und Lipodystrophie</w:t>
      </w:r>
      <w:r>
        <w:rPr>
          <w:rStyle w:val="FootnoteReference"/>
        </w:rPr>
        <w:footnoteReference w:id="1275"/>
      </w:r>
      <w:r>
        <w:t xml:space="preserve">.</w:t>
      </w:r>
    </w:p>
    <w:p>
      <w:pPr>
        <w:numPr>
          <w:ilvl w:val="0"/>
          <w:numId w:val="1151"/>
        </w:numPr>
        <w:pStyle w:val="Compact"/>
      </w:pPr>
      <w:r>
        <w:rPr>
          <w:bCs/>
          <w:b/>
        </w:rPr>
        <w:t xml:space="preserve">WADA:</w:t>
      </w:r>
      <w:r>
        <w:t xml:space="preserve"> </w:t>
      </w:r>
      <w:r>
        <w:t xml:space="preserve">verboten, Gruppe S2 (Peptidhormone, Wachstumsfaktoren, verwandte Substanzen) – als GHRH-Analogon ausdrücklich erfasst.</w:t>
      </w:r>
    </w:p>
    <w:p>
      <w:pPr>
        <w:numPr>
          <w:ilvl w:val="0"/>
          <w:numId w:val="1151"/>
        </w:numPr>
        <w:pStyle w:val="Compact"/>
      </w:pPr>
      <w:r>
        <w:rPr>
          <w:bCs/>
          <w:b/>
        </w:rPr>
        <w:t xml:space="preserve">Evidenzstufe: A</w:t>
      </w:r>
      <w:r>
        <w:t xml:space="preserve"> </w:t>
      </w:r>
      <w:r>
        <w:t xml:space="preserve">– zwei große Phase-3-Studien mit zusammen 806 Teilnehmenden, mehrere weitere randomisierte Studien, Zulassung in den USA.</w:t>
      </w:r>
    </w:p>
    <w:bookmarkEnd w:id="1276"/>
    <w:bookmarkStart w:id="1277" w:name="wie-es-wirken-soll-24"/>
    <w:p>
      <w:pPr>
        <w:pStyle w:val="Heading3"/>
      </w:pPr>
      <w:r>
        <w:t xml:space="preserve">Wie es wirken soll</w:t>
      </w:r>
    </w:p>
    <w:p>
      <w:pPr>
        <w:pStyle w:val="FirstParagraph"/>
      </w:pPr>
      <w:r>
        <w:t xml:space="preserve">Wachstumshormon wird von der Hirnanhangdrüse (Hypophyse) nicht gleichmäßig, sondern in Stößen abgegeben, vor allem nachts. Gesteuert wird das von zwei Gegenspielern aus dem Zwischenhirn: GHRH gibt Gas, Somatostatin bremst. Wachstumshormon selbst baut Fett ab – besonders das Fett zwischen den Organen im Bauchraum (viszerales Fett) – und regt die Leber zur Bildung von IGF-1 an, das viele der aufbauenden Wirkungen vermittelt.</w:t>
      </w:r>
    </w:p>
    <w:p>
      <w:pPr>
        <w:pStyle w:val="BodyText"/>
      </w:pPr>
      <w:r>
        <w:t xml:space="preserve">Unter bestimmten HIV-Therapien, vor allem den älteren, sammelt sich bei manchen Menschen auffällig viel Bauchfett an, während Arme und Beine eher dünner werden. Diese Fettumverteilung nennt man Lipodystrophie. Bei Betroffenen ist die Wachstumshormon-Ausschüttung oft vermindert. Die Idee hinter Tesamorelin: Statt Wachstumshormon von außen zu spritzen, regt man die eigene Hypophyse an. Weil die körpereigenen Rückkopplungsschleifen erhalten bleiben, sollen überhöhte Spiegel und deren Nebenwirkungen seltener sein als bei direkter GH-Gabe – eine Annahme, die die Studien teilweise, aber nicht vollständig stützen.</w:t>
      </w:r>
    </w:p>
    <w:bookmarkEnd w:id="1277"/>
    <w:bookmarkStart w:id="1295" w:name="studien-am-menschen-24"/>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23</w:t>
      </w:r>
      <w:r>
        <w:t xml:space="preserve"> </w:t>
      </w:r>
      <w:r>
        <w:t xml:space="preserve">Humanstudien in PubMed (</w:t>
      </w:r>
      <w:r>
        <w:rPr>
          <w:rStyle w:val="VerbatimChar"/>
        </w:rPr>
        <w:t xml:space="preserve">humanstudien_alle</w:t>
      </w:r>
      <w:r>
        <w:t xml:space="preserve">) und</w:t>
      </w:r>
      <w:r>
        <w:t xml:space="preserve"> </w:t>
      </w:r>
      <w:r>
        <w:rPr>
          <w:bCs/>
          <w:b/>
        </w:rPr>
        <w:t xml:space="preserve">24</w:t>
      </w:r>
      <w:r>
        <w:t xml:space="preserve"> </w:t>
      </w:r>
      <w:r>
        <w:t xml:space="preserve">Einträge bei ClinicalTrials.gov; einer davon (Sponsor „Hudson Biotech“, Titelzusatz „Mock Study“) ist offenbar ein fiktiver Beispieleintrag und wird hier nicht mitgezählt, sodass</w:t>
      </w:r>
      <w:r>
        <w:t xml:space="preserve"> </w:t>
      </w:r>
      <w:r>
        <w:rPr>
          <w:bCs/>
          <w:b/>
        </w:rPr>
        <w:t xml:space="preserve">23</w:t>
      </w:r>
      <w:r>
        <w:t xml:space="preserve"> </w:t>
      </w:r>
      <w:r>
        <w:t xml:space="preserve">echte Registerstudien bleiben. Dazu kommen drei systematische Übersichten mit Meta-Analysen.</w:t>
      </w:r>
    </w:p>
    <w:bookmarkStart w:id="1283" w:name="die-zulassungsstudien"/>
    <w:p>
      <w:pPr>
        <w:pStyle w:val="Heading4"/>
      </w:pPr>
      <w:r>
        <w:t xml:space="preserve">Die Zulassungsstudien</w:t>
      </w:r>
    </w:p>
    <w:p>
      <w:pPr>
        <w:pStyle w:val="FirstParagraph"/>
      </w:pPr>
      <w:r>
        <w:t xml:space="preserve">Die Zulassung beruht auf zwei fast gleich aufgebauten Phase-3-Studien bei Menschen mit HIV und vermehrtem Bauchfett. In beiden erhielten die Teilnehmenden im Verhältnis 2:1 täglich Tesamorelin oder ein Scheinmedikament (Placebo) unter die Haut gespritzt; nach 26 Wochen folgte eine Verlängerungsphase, in der ein Teil der Tesamorelin-Gruppe weiterbehandelt, ein anderer auf Placebo umgestellt wurde.</w:t>
      </w:r>
    </w:p>
    <w:p>
      <w:pPr>
        <w:pStyle w:val="BodyText"/>
      </w:pPr>
      <w:r>
        <w:t xml:space="preserve">In der ersten Studie mit 412 Teilnehmenden (86 % Männer) sank das viszerale Fett, gemessen per Computertomografie, unter Tesamorelin um 15,2 %, unter Placebo stieg es um 5,0 %. Die Triglyzeride (Blutfette) fielen um 50 mg/dl gegenüber einem Anstieg um 9 mg/dl. IGF-1 stieg um 81,0 %. Die Blutzuckerwerte unterschieden sich nicht signifikant; allerdings brachen in der Tesamorelin-Gruppe mehr Teilnehmende wegen Nebenwirkungen ab</w:t>
      </w:r>
      <w:r>
        <w:rPr>
          <w:rStyle w:val="FootnoteReference"/>
        </w:rPr>
        <w:footnoteReference w:id="1278"/>
      </w:r>
      <w:r>
        <w:t xml:space="preserve">. Über 52 Wochen blieb die Abnahme des Bauchfetts bei durchgehender Behandlung bei etwa −18 %; nach dem Absetzen kehrte das Fett zurück</w:t>
      </w:r>
      <w:r>
        <w:rPr>
          <w:rStyle w:val="FootnoteReference"/>
        </w:rPr>
        <w:footnoteReference w:id="1279"/>
      </w:r>
      <w:r>
        <w:t xml:space="preserve">.</w:t>
      </w:r>
    </w:p>
    <w:p>
      <w:pPr>
        <w:pStyle w:val="BodyText"/>
      </w:pPr>
      <w:r>
        <w:t xml:space="preserve">Die zweite Studie mit 404 Teilnehmenden bestätigte das: −10,9 % viszerales Fett unter Tesamorelin gegenüber −0,6 % unter Placebo nach sechs Monaten, keine Veränderung des Unterhautfetts an Armen, Beinen und Bauch, und ein rascher Verlust des Effekts nach Umstellung auf Placebo</w:t>
      </w:r>
      <w:r>
        <w:rPr>
          <w:rStyle w:val="FootnoteReference"/>
        </w:rPr>
        <w:footnoteReference w:id="1280"/>
      </w:r>
      <w:r>
        <w:t xml:space="preserve">.</w:t>
      </w:r>
    </w:p>
    <w:p>
      <w:pPr>
        <w:pStyle w:val="BodyText"/>
      </w:pPr>
      <w:r>
        <w:t xml:space="preserve">Die gemeinsame Auswertung beider Studien mit 806 Personen ergab nach 26 Wochen einen Behandlungseffekt von −15,4 % beim viszeralen Fett, Verbesserungen bei Triglyzeriden und beim Verhältnis von Gesamt- zu HDL-Cholesterin sowie bei der Zufriedenheit mit dem Aussehen des Bauches. Klinisch bedeutsame Unterschiede bei den Blutzuckerwerten fanden die Autoren nicht</w:t>
      </w:r>
      <w:r>
        <w:rPr>
          <w:rStyle w:val="FootnoteReference"/>
        </w:rPr>
        <w:footnoteReference w:id="1281"/>
      </w:r>
      <w:r>
        <w:t xml:space="preserve">. Nicht alle profitieren gleichermaßen: Eine Folgeauswertung definierte vorab eine Abnahme des Bauchfetts um mindestens 8 % als „Ansprechen“. Bei diesen Respondern sanken die Triglyzeride deutlich stärker, und Blutzucker und HbA1c blieben weitgehend stabil; bei Nicht-Respondern stiegen Nüchternzucker und HbA1c leicht an (nachträgliche Auswertung)</w:t>
      </w:r>
      <w:r>
        <w:rPr>
          <w:rStyle w:val="FootnoteReference"/>
        </w:rPr>
        <w:footnoteReference w:id="1282"/>
      </w:r>
      <w:r>
        <w:t xml:space="preserve">.</w:t>
      </w:r>
    </w:p>
    <w:bookmarkEnd w:id="1283"/>
    <w:bookmarkStart w:id="1286" w:name="leberfett"/>
    <w:p>
      <w:pPr>
        <w:pStyle w:val="Heading4"/>
      </w:pPr>
      <w:r>
        <w:t xml:space="preserve">Leberfett</w:t>
      </w:r>
    </w:p>
    <w:p>
      <w:pPr>
        <w:pStyle w:val="FirstParagraph"/>
      </w:pPr>
      <w:r>
        <w:t xml:space="preserve">Besonders interessant ist die Wirkung auf die Fettleber. In einer kleineren Studie mit 50 Personen mit HIV sank neben dem Bauchfett auch das Leberfett; der Nüchternzucker stieg nach zwei Wochen vorübergehend an, nach sechs Monaten bestand kein signifikanter Unterschied mehr</w:t>
      </w:r>
      <w:r>
        <w:rPr>
          <w:rStyle w:val="FootnoteReference"/>
        </w:rPr>
        <w:footnoteReference w:id="1284"/>
      </w:r>
      <w:r>
        <w:t xml:space="preserve">. Eine anschließende randomisierte, doppelblinde Studie untersuchte gezielt 61 Menschen mit HIV und nichtalkoholischer Fettlebererkrankung über zwölf Monate mit Leberbiopsien. Der Leberfettanteil sank absolut um 4,1 Prozentpunkte stärker als unter Placebo, relativ um 37 %; 35 % der Tesamorelin-Gruppe, aber nur 4 % der Placebo-Gruppe lagen am Ende unter der Fettleber-Grenze von 5 %</w:t>
      </w:r>
      <w:r>
        <w:rPr>
          <w:rStyle w:val="FootnoteReference"/>
        </w:rPr>
        <w:footnoteReference w:id="1285"/>
      </w:r>
      <w:r>
        <w:t xml:space="preserve">. Ob das langfristig Leberzirrhose oder Leberkrebs verhindert, ist nicht untersucht.</w:t>
      </w:r>
    </w:p>
    <w:bookmarkEnd w:id="1286"/>
    <w:bookmarkStart w:id="1291" w:name="weitere-anwendungen"/>
    <w:p>
      <w:pPr>
        <w:pStyle w:val="Heading4"/>
      </w:pPr>
      <w:r>
        <w:t xml:space="preserve">Weitere Anwendungen</w:t>
      </w:r>
    </w:p>
    <w:p>
      <w:pPr>
        <w:pStyle w:val="FirstParagraph"/>
      </w:pPr>
      <w:r>
        <w:t xml:space="preserve">Außerhalb von HIV liegen nur kleinere Studien vor:</w:t>
      </w:r>
    </w:p>
    <w:p>
      <w:pPr>
        <w:numPr>
          <w:ilvl w:val="0"/>
          <w:numId w:val="1152"/>
        </w:numPr>
        <w:pStyle w:val="Compact"/>
      </w:pPr>
      <w:r>
        <w:t xml:space="preserve">Bei 60 Menschen mit Bauchfettleibigkeit und verminderter GH-Ausschüttung (ohne HIV) senkte Tesamorelin über zwölf Monate das viszerale Fett, die Triglyzeride, das C-reaktive Protein und die Dicke der Halsschlagaderwand, ohne die Blutzuckerwerte zu verschlechtern</w:t>
      </w:r>
      <w:r>
        <w:rPr>
          <w:rStyle w:val="FootnoteReference"/>
        </w:rPr>
        <w:footnoteReference w:id="1287"/>
      </w:r>
      <w:r>
        <w:t xml:space="preserve">.</w:t>
      </w:r>
    </w:p>
    <w:p>
      <w:pPr>
        <w:numPr>
          <w:ilvl w:val="0"/>
          <w:numId w:val="1152"/>
        </w:numPr>
        <w:pStyle w:val="Compact"/>
      </w:pPr>
      <w:r>
        <w:t xml:space="preserve">Bei 53 Menschen mit Typ-2-Diabetes veränderten sich über zwölf Wochen weder Insulinantwort noch HbA1c gegenüber Placebo</w:t>
      </w:r>
      <w:r>
        <w:rPr>
          <w:rStyle w:val="FootnoteReference"/>
        </w:rPr>
        <w:footnoteReference w:id="1288"/>
      </w:r>
      <w:r>
        <w:t xml:space="preserve">.</w:t>
      </w:r>
    </w:p>
    <w:p>
      <w:pPr>
        <w:numPr>
          <w:ilvl w:val="0"/>
          <w:numId w:val="1152"/>
        </w:numPr>
        <w:pStyle w:val="Compact"/>
      </w:pPr>
      <w:r>
        <w:t xml:space="preserve">In einer Studie mit 152 älteren Erwachsenen (55 bis 87 Jahre), davon 66 mit leichter kognitiver Beeinträchtigung, zeigte sich nach 20 Wochen ein günstiger Effekt auf die Gesamtbewertung der Denkleistung, vor allem auf die exekutiven Funktionen. Nebenwirkungen – meist leicht – berichteten 68 % unter Tesamorelin gegenüber 36 % unter Placebo</w:t>
      </w:r>
      <w:r>
        <w:rPr>
          <w:rStyle w:val="FootnoteReference"/>
        </w:rPr>
        <w:footnoteReference w:id="1289"/>
      </w:r>
      <w:r>
        <w:t xml:space="preserve">. Eine Bestätigungsstudie fehlt.</w:t>
      </w:r>
    </w:p>
    <w:p>
      <w:pPr>
        <w:numPr>
          <w:ilvl w:val="0"/>
          <w:numId w:val="1152"/>
        </w:numPr>
        <w:pStyle w:val="Compact"/>
      </w:pPr>
      <w:r>
        <w:t xml:space="preserve">Bei 73 Menschen mit HIV, Bauchfettleibigkeit und kognitiven Einschränkungen ergab eine offene Phase-2-Studie keinen signifikanten Unterschied in der Denkleistung gegenüber der Standardbehandlung</w:t>
      </w:r>
      <w:r>
        <w:rPr>
          <w:rStyle w:val="FootnoteReference"/>
        </w:rPr>
        <w:footnoteReference w:id="1290"/>
      </w:r>
      <w:r>
        <w:t xml:space="preserve">.</w:t>
      </w:r>
    </w:p>
    <w:bookmarkEnd w:id="1291"/>
    <w:bookmarkStart w:id="1294" w:name="meta-analysen"/>
    <w:p>
      <w:pPr>
        <w:pStyle w:val="Heading4"/>
      </w:pPr>
      <w:r>
        <w:t xml:space="preserve">Meta-Analysen</w:t>
      </w:r>
    </w:p>
    <w:p>
      <w:pPr>
        <w:pStyle w:val="FirstParagraph"/>
      </w:pPr>
      <w:r>
        <w:t xml:space="preserve">Zwei Meta-Analysen aus dem Jahr 2026 fassen die randomisierten Studien bei HIV-Lipodystrophie zusammen. Die eine (vier Studien, 909 Personen) fand eine Verringerung des viszeralen Fetts, des Taillenumfangs um 1,61 cm und des Rumpffetts sowie eine Zunahme der fettfreien Masse um 1,42 kg; die Abbruchrate wegen Nebenwirkungen war tendenziell höher (Risikoverhältnis 2,25, statistisch knapp nicht signifikant)</w:t>
      </w:r>
      <w:r>
        <w:rPr>
          <w:rStyle w:val="FootnoteReference"/>
        </w:rPr>
        <w:footnoteReference w:id="1292"/>
      </w:r>
      <w:r>
        <w:t xml:space="preserve">. Die andere (fünf Studien) bestätigte die Abnahme des Leberfetts um 4,28 Prozentpunkte und nannte Gelenk- und Muskelschmerzen, Missempfindungen und Hautreaktionen an der Einstichstelle als typische Nebenwirkungen</w:t>
      </w:r>
      <w:r>
        <w:rPr>
          <w:rStyle w:val="FootnoteReference"/>
        </w:rPr>
        <w:footnoteReference w:id="129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(Falutz 2007), PMID 18057338</w:t>
            </w:r>
          </w:p>
        </w:tc>
        <w:tc>
          <w:tcPr/>
          <w:p>
            <w:pPr>
              <w:pStyle w:val="Compact"/>
              <w:jc w:val="left"/>
            </w:pPr>
            <w:r>
              <w:t xml:space="preserve">412 Personen mit HIV und Bauchfett, RCT gegen Placebo</w:t>
            </w:r>
          </w:p>
        </w:tc>
        <w:tc>
          <w:tcPr/>
          <w:p>
            <w:pPr>
              <w:pStyle w:val="Compact"/>
              <w:jc w:val="left"/>
            </w:pPr>
            <w:r>
              <w:t xml:space="preserve">26 Wochen</w:t>
            </w:r>
          </w:p>
        </w:tc>
        <w:tc>
          <w:tcPr/>
          <w:p>
            <w:pPr>
              <w:pStyle w:val="Compact"/>
              <w:jc w:val="left"/>
            </w:pPr>
            <w:r>
              <w:t xml:space="preserve">viszerales Fett −15,2 % vs. +5,0 %</w:t>
            </w:r>
          </w:p>
        </w:tc>
      </w:tr>
      <w:tr>
        <w:tc>
          <w:tcPr/>
          <w:p>
            <w:pPr>
              <w:pStyle w:val="Compact"/>
              <w:jc w:val="left"/>
            </w:pPr>
            <w:r>
              <w:t xml:space="preserve">Phase 3, Studie 2 (Falutz 2010), PMID 20101189</w:t>
            </w:r>
          </w:p>
        </w:tc>
        <w:tc>
          <w:tcPr/>
          <w:p>
            <w:pPr>
              <w:pStyle w:val="Compact"/>
              <w:jc w:val="left"/>
            </w:pPr>
            <w:r>
              <w:t xml:space="preserve">404 Personen mit HIV, RCT mit Verlängerungsphase</w:t>
            </w:r>
          </w:p>
        </w:tc>
        <w:tc>
          <w:tcPr/>
          <w:p>
            <w:pPr>
              <w:pStyle w:val="Compact"/>
              <w:jc w:val="left"/>
            </w:pPr>
            <w:r>
              <w:t xml:space="preserve">12 Monate</w:t>
            </w:r>
          </w:p>
        </w:tc>
        <w:tc>
          <w:tcPr/>
          <w:p>
            <w:pPr>
              <w:pStyle w:val="Compact"/>
              <w:jc w:val="left"/>
            </w:pPr>
            <w:r>
              <w:t xml:space="preserve">−10,9 % vs. −0,6 % nach 6 Monaten; Effekt geht nach Absetzen verloren</w:t>
            </w:r>
          </w:p>
        </w:tc>
      </w:tr>
      <w:tr>
        <w:tc>
          <w:tcPr/>
          <w:p>
            <w:pPr>
              <w:pStyle w:val="Compact"/>
              <w:jc w:val="left"/>
            </w:pPr>
            <w:r>
              <w:t xml:space="preserve">Gepoolte Analyse (Falutz 2010), PMID 20554713</w:t>
            </w:r>
          </w:p>
        </w:tc>
        <w:tc>
          <w:tcPr/>
          <w:p>
            <w:pPr>
              <w:pStyle w:val="Compact"/>
              <w:jc w:val="left"/>
            </w:pPr>
            <w:r>
              <w:t xml:space="preserve">806 Personen aus beiden Phase-3-Studien</w:t>
            </w:r>
          </w:p>
        </w:tc>
        <w:tc>
          <w:tcPr/>
          <w:p>
            <w:pPr>
              <w:pStyle w:val="Compact"/>
              <w:jc w:val="left"/>
            </w:pPr>
            <w:r>
              <w:t xml:space="preserve">26–52 Wochen</w:t>
            </w:r>
          </w:p>
        </w:tc>
        <w:tc>
          <w:tcPr/>
          <w:p>
            <w:pPr>
              <w:pStyle w:val="Compact"/>
              <w:jc w:val="left"/>
            </w:pPr>
            <w:r>
              <w:t xml:space="preserve">Behandlungseffekt −15,4 %; Blutzucker ohne klinisch relevante Änderung</w:t>
            </w:r>
          </w:p>
        </w:tc>
      </w:tr>
      <w:tr>
        <w:tc>
          <w:tcPr/>
          <w:p>
            <w:pPr>
              <w:pStyle w:val="Compact"/>
              <w:jc w:val="left"/>
            </w:pPr>
            <w:r>
              <w:t xml:space="preserve">Fettleber bei HIV (Stanley 2019), PMID 31611038</w:t>
            </w:r>
          </w:p>
        </w:tc>
        <w:tc>
          <w:tcPr/>
          <w:p>
            <w:pPr>
              <w:pStyle w:val="Compact"/>
              <w:jc w:val="left"/>
            </w:pPr>
            <w:r>
              <w:t xml:space="preserve">61 Personen mit HIV und Fettleber, RCT</w:t>
            </w:r>
          </w:p>
        </w:tc>
        <w:tc>
          <w:tcPr/>
          <w:p>
            <w:pPr>
              <w:pStyle w:val="Compact"/>
              <w:jc w:val="left"/>
            </w:pPr>
            <w:r>
              <w:t xml:space="preserve">12 Monate</w:t>
            </w:r>
          </w:p>
        </w:tc>
        <w:tc>
          <w:tcPr/>
          <w:p>
            <w:pPr>
              <w:pStyle w:val="Compact"/>
              <w:jc w:val="left"/>
            </w:pPr>
            <w:r>
              <w:t xml:space="preserve">Leberfettanteil −4,1 Prozentpunkte vs. Placebo</w:t>
            </w:r>
          </w:p>
        </w:tc>
      </w:tr>
      <w:tr>
        <w:tc>
          <w:tcPr/>
          <w:p>
            <w:pPr>
              <w:pStyle w:val="Compact"/>
              <w:jc w:val="left"/>
            </w:pPr>
            <w:r>
              <w:t xml:space="preserve">Ohne HIV (Makimura 2012), PMID 23015655</w:t>
            </w:r>
          </w:p>
        </w:tc>
        <w:tc>
          <w:tcPr/>
          <w:p>
            <w:pPr>
              <w:pStyle w:val="Compact"/>
              <w:jc w:val="left"/>
            </w:pPr>
            <w:r>
              <w:t xml:space="preserve">60 Erwachsene mit Bauchfettleibigkeit, RCT</w:t>
            </w:r>
          </w:p>
        </w:tc>
        <w:tc>
          <w:tcPr/>
          <w:p>
            <w:pPr>
              <w:pStyle w:val="Compact"/>
              <w:jc w:val="left"/>
            </w:pPr>
            <w:r>
              <w:t xml:space="preserve">12 Monate</w:t>
            </w:r>
          </w:p>
        </w:tc>
        <w:tc>
          <w:tcPr/>
          <w:p>
            <w:pPr>
              <w:pStyle w:val="Compact"/>
              <w:jc w:val="left"/>
            </w:pPr>
            <w:r>
              <w:t xml:space="preserve">viszerales Fett −35 cm² gegenüber Placebo</w:t>
            </w:r>
          </w:p>
        </w:tc>
      </w:tr>
      <w:tr>
        <w:tc>
          <w:tcPr/>
          <w:p>
            <w:pPr>
              <w:pStyle w:val="Compact"/>
              <w:jc w:val="left"/>
            </w:pPr>
            <w:r>
              <w:t xml:space="preserve">Kognition im Alter (Baker 2012), PMID 22869065</w:t>
            </w:r>
          </w:p>
        </w:tc>
        <w:tc>
          <w:tcPr/>
          <w:p>
            <w:pPr>
              <w:pStyle w:val="Compact"/>
              <w:jc w:val="left"/>
            </w:pPr>
            <w:r>
              <w:t xml:space="preserve">152 Ältere, davon 66 mit leichter kognitiver Störung, RCT</w:t>
            </w:r>
          </w:p>
        </w:tc>
        <w:tc>
          <w:tcPr/>
          <w:p>
            <w:pPr>
              <w:pStyle w:val="Compact"/>
              <w:jc w:val="left"/>
            </w:pPr>
            <w:r>
              <w:t xml:space="preserve">20 Wochen</w:t>
            </w:r>
          </w:p>
        </w:tc>
        <w:tc>
          <w:tcPr/>
          <w:p>
            <w:pPr>
              <w:pStyle w:val="Compact"/>
              <w:jc w:val="left"/>
            </w:pPr>
            <w:r>
              <w:t xml:space="preserve">günstiger Effekt auf Denkleistung; mehr Nebenwirkungen</w:t>
            </w:r>
          </w:p>
        </w:tc>
      </w:tr>
      <w:tr>
        <w:tc>
          <w:tcPr/>
          <w:p>
            <w:pPr>
              <w:pStyle w:val="Compact"/>
              <w:jc w:val="left"/>
            </w:pPr>
            <w:r>
              <w:t xml:space="preserve">Meta-Analyse (Ditta 2026), PMID 42538058</w:t>
            </w:r>
          </w:p>
        </w:tc>
        <w:tc>
          <w:tcPr/>
          <w:p>
            <w:pPr>
              <w:pStyle w:val="Compact"/>
              <w:jc w:val="left"/>
            </w:pPr>
            <w:r>
              <w:t xml:space="preserve">4 RCTs, 909 Personen mit HIV</w:t>
            </w:r>
          </w:p>
        </w:tc>
        <w:tc>
          <w:tcPr/>
          <w:p>
            <w:pPr>
              <w:pStyle w:val="Compact"/>
              <w:jc w:val="left"/>
            </w:pPr>
            <w:r>
              <w:t xml:space="preserve">–</w:t>
            </w:r>
          </w:p>
        </w:tc>
        <w:tc>
          <w:tcPr/>
          <w:p>
            <w:pPr>
              <w:pStyle w:val="Compact"/>
              <w:jc w:val="left"/>
            </w:pPr>
            <w:r>
              <w:t xml:space="preserve">weniger viszerales Fett, +1,42 kg fettfreie Masse</w:t>
            </w:r>
          </w:p>
        </w:tc>
      </w:tr>
    </w:tbl>
    <w:bookmarkEnd w:id="1294"/>
    <w:bookmarkEnd w:id="1295"/>
    <w:bookmarkStart w:id="1299" w:name="tier--und-laborstudien-24"/>
    <w:p>
      <w:pPr>
        <w:pStyle w:val="Heading3"/>
      </w:pPr>
      <w:r>
        <w:t xml:space="preserve">Tier- und Laborstudien</w:t>
      </w:r>
    </w:p>
    <w:p>
      <w:pPr>
        <w:pStyle w:val="FirstParagraph"/>
      </w:pPr>
      <w:r>
        <w:t xml:space="preserve">Für Tesamorelin selbst gibt es vergleichsweise wenig eigenständige Tierforschung; die Entwicklung baute auf dem gut untersuchten körpereigenen GHRH auf. Eine Übersichtsarbeit diskutiert, ob eine Anregung der Wachstumshormon-Achse die Regeneration verletzter Nerven fördern könnte, und stützt sich dabei überwiegend auf Tier- und Mechanismusstudien</w:t>
      </w:r>
      <w:r>
        <w:rPr>
          <w:rStyle w:val="FootnoteReference"/>
        </w:rPr>
        <w:footnoteReference w:id="1296"/>
      </w:r>
      <w:r>
        <w:t xml:space="preserve">. Eine kleine Phase-2-Studie dazu am Menschen ist registriert</w:t>
      </w:r>
      <w:r>
        <w:rPr>
          <w:rStyle w:val="FootnoteReference"/>
        </w:rPr>
        <w:footnoteReference w:id="1297"/>
      </w:r>
      <w:r>
        <w:t xml:space="preserve">.</w:t>
      </w:r>
    </w:p>
    <w:p>
      <w:pPr>
        <w:pStyle w:val="BodyText"/>
      </w:pPr>
      <w:r>
        <w:t xml:space="preserve">Eine Gewebeanalyse der Leberbiopsien aus der Fettleberstudie ergab, dass unter Tesamorelin Gengruppen der Energiegewinnung in den Mitochondrien aktiver und Gengruppen für Entzündung, Gewebeumbau und Zellteilung weniger aktiv waren als unter Placebo</w:t>
      </w:r>
      <w:r>
        <w:rPr>
          <w:rStyle w:val="FootnoteReference"/>
        </w:rPr>
        <w:footnoteReference w:id="1298"/>
      </w:r>
      <w:r>
        <w:t xml:space="preserve">. Das sind Befunde aus Gewebeproben von Menschen, aber keine klinischen Endpunkte.</w:t>
      </w:r>
    </w:p>
    <w:bookmarkEnd w:id="1299"/>
    <w:bookmarkStart w:id="1308" w:name="risiken-und-nebenwirkungen-24"/>
    <w:p>
      <w:pPr>
        <w:pStyle w:val="Heading3"/>
      </w:pPr>
      <w:r>
        <w:t xml:space="preserve">Risiken und Nebenwirkungen</w:t>
      </w:r>
    </w:p>
    <w:p>
      <w:pPr>
        <w:pStyle w:val="FirstParagraph"/>
      </w:pPr>
      <w:r>
        <w:rPr>
          <w:bCs/>
          <w:b/>
        </w:rPr>
        <w:t xml:space="preserve">Belegt aus den Studien:</w:t>
      </w:r>
    </w:p>
    <w:p>
      <w:pPr>
        <w:numPr>
          <w:ilvl w:val="0"/>
          <w:numId w:val="1153"/>
        </w:numPr>
        <w:pStyle w:val="Compact"/>
      </w:pPr>
      <w:r>
        <w:t xml:space="preserve">Reaktionen an der Einstichstelle (Rötung, Juckreiz) – in der Fettleberstudie häufiger als unter Placebo, aber nicht schwerwiegend</w:t>
      </w:r>
      <w:r>
        <w:rPr>
          <w:rStyle w:val="FootnoteReference"/>
        </w:rPr>
        <w:footnoteReference w:id="1300"/>
      </w:r>
      <w:r>
        <w:t xml:space="preserve">.</w:t>
      </w:r>
    </w:p>
    <w:p>
      <w:pPr>
        <w:numPr>
          <w:ilvl w:val="0"/>
          <w:numId w:val="1153"/>
        </w:numPr>
        <w:pStyle w:val="Compact"/>
      </w:pPr>
      <w:r>
        <w:t xml:space="preserve">Typische Wachstumshormon-Effekte wie Gelenk- und Muskelschmerzen sowie Missempfindungen</w:t>
      </w:r>
      <w:r>
        <w:rPr>
          <w:rStyle w:val="FootnoteReference"/>
        </w:rPr>
        <w:footnoteReference w:id="1301"/>
      </w:r>
      <w:r>
        <w:t xml:space="preserve">.</w:t>
      </w:r>
    </w:p>
    <w:p>
      <w:pPr>
        <w:numPr>
          <w:ilvl w:val="0"/>
          <w:numId w:val="1153"/>
        </w:numPr>
        <w:pStyle w:val="Compact"/>
      </w:pPr>
      <w:r>
        <w:t xml:space="preserve">Blutzucker: In den großen Studien keine klinisch relevante Verschlechterung im Mittel, aber ein vorübergehender Anstieg des Nüchternzuckers in den ersten Wochen</w:t>
      </w:r>
      <w:r>
        <w:rPr>
          <w:rStyle w:val="FootnoteReference"/>
        </w:rPr>
        <w:footnoteReference w:id="1302"/>
      </w:r>
      <w:r>
        <w:t xml:space="preserve"> </w:t>
      </w:r>
      <w:r>
        <w:t xml:space="preserve">und ein leichter Anstieg bei Menschen, deren Bauchfett nicht ansprach</w:t>
      </w:r>
      <w:r>
        <w:rPr>
          <w:rStyle w:val="FootnoteReference"/>
        </w:rPr>
        <w:footnoteReference w:id="1303"/>
      </w:r>
      <w:r>
        <w:t xml:space="preserve">. Menschen mit Diabetes sollten ärztlich überwacht werden.</w:t>
      </w:r>
    </w:p>
    <w:p>
      <w:pPr>
        <w:numPr>
          <w:ilvl w:val="0"/>
          <w:numId w:val="1153"/>
        </w:numPr>
        <w:pStyle w:val="Compact"/>
      </w:pPr>
      <w:r>
        <w:t xml:space="preserve">Mehr Therapieabbrüche wegen Nebenwirkungen als unter Placebo</w:t>
      </w:r>
      <w:r>
        <w:rPr>
          <w:rStyle w:val="FootnoteReference"/>
        </w:rPr>
        <w:footnoteReference w:id="1304"/>
      </w:r>
      <w:r>
        <w:t xml:space="preserve">.</w:t>
      </w:r>
    </w:p>
    <w:p>
      <w:pPr>
        <w:numPr>
          <w:ilvl w:val="0"/>
          <w:numId w:val="1153"/>
        </w:numPr>
        <w:pStyle w:val="Compact"/>
      </w:pPr>
      <w:r>
        <w:t xml:space="preserve">Der Effekt ist nicht dauerhaft: Nach dem Absetzen kehrt das Bauchfett zurück</w:t>
      </w:r>
      <w:r>
        <w:rPr>
          <w:rStyle w:val="FootnoteReference"/>
        </w:rPr>
        <w:footnoteReference w:id="1305"/>
      </w:r>
      <w:r>
        <w:t xml:space="preserve">.</w:t>
      </w:r>
    </w:p>
    <w:p>
      <w:pPr>
        <w:pStyle w:val="FirstParagraph"/>
      </w:pPr>
      <w:r>
        <w:rPr>
          <w:bCs/>
          <w:b/>
        </w:rPr>
        <w:t xml:space="preserve">Offen bzw. theoretisch:</w:t>
      </w:r>
      <w:r>
        <w:t xml:space="preserve"> </w:t>
      </w:r>
      <w:r>
        <w:t xml:space="preserve">Tesamorelin erhöht IGF-1 deutlich – in der ersten Phase-3-Studie um 81 %. Hohe IGF-1-Spiegel sind in Beobachtungsstudien mit einem etwas höheren Risiko für einige Krebsarten verbunden (Details in der Einleitung zu dieser Gruppe und in Teil IV). Aus den Tesamorelin-Studien selbst lässt sich kein erhöhtes Krebsrisiko ablesen, sie waren dafür aber zu kurz. Eine Langzeit-Beobachtungsstudie des Herstellers mit 391 Teilnehmenden</w:t>
      </w:r>
      <w:r>
        <w:rPr>
          <w:rStyle w:val="FootnoteReference"/>
        </w:rPr>
        <w:footnoteReference w:id="1306"/>
      </w:r>
      <w:r>
        <w:t xml:space="preserve"> </w:t>
      </w:r>
      <w:r>
        <w:t xml:space="preserve">und eine Studie zur diabetischen Netzhauterkrankung</w:t>
      </w:r>
      <w:r>
        <w:rPr>
          <w:rStyle w:val="FootnoteReference"/>
        </w:rPr>
        <w:footnoteReference w:id="1307"/>
      </w:r>
      <w:r>
        <w:t xml:space="preserve"> </w:t>
      </w:r>
      <w:r>
        <w:t xml:space="preserve">wurden vorzeitig beendet; veröffentlichte Ergebnisse dazu habe ich in PubMed nicht gefunden. Laut Fachinformation soll Tesamorelin bei aktiver Krebserkrankung nicht angewendet werden; Einzelheiten regelt die Fachinformation, die Anwendung gehört in ärztliche Hände.</w:t>
      </w:r>
    </w:p>
    <w:bookmarkEnd w:id="1308"/>
    <w:bookmarkStart w:id="1310" w:name="rechtslage-24"/>
    <w:p>
      <w:pPr>
        <w:pStyle w:val="Heading3"/>
      </w:pPr>
      <w:r>
        <w:t xml:space="preserve">Rechtslage</w:t>
      </w:r>
    </w:p>
    <w:p>
      <w:pPr>
        <w:pStyle w:val="FirstParagraph"/>
      </w:pPr>
      <w:r>
        <w:rPr>
          <w:iCs/>
          <w:i/>
        </w:rPr>
        <w:t xml:space="preserve">Stand 2026, bitte aktuell prüfen.</w:t>
      </w:r>
    </w:p>
    <w:p>
      <w:pPr>
        <w:numPr>
          <w:ilvl w:val="0"/>
          <w:numId w:val="1154"/>
        </w:numPr>
        <w:pStyle w:val="Compact"/>
      </w:pPr>
      <w:r>
        <w:rPr>
          <w:bCs/>
          <w:b/>
        </w:rPr>
        <w:t xml:space="preserve">EU:</w:t>
      </w:r>
      <w:r>
        <w:t xml:space="preserve"> </w:t>
      </w:r>
      <w:r>
        <w:t xml:space="preserve">nicht zugelassen. Tesamorelin ist in keinem EU-Staat als Fertigarzneimittel im Handel.</w:t>
      </w:r>
    </w:p>
    <w:p>
      <w:pPr>
        <w:numPr>
          <w:ilvl w:val="0"/>
          <w:numId w:val="1154"/>
        </w:numPr>
        <w:pStyle w:val="Compact"/>
      </w:pPr>
      <w:r>
        <w:rPr>
          <w:bCs/>
          <w:b/>
        </w:rPr>
        <w:t xml:space="preserve">Deutschland und Österreich:</w:t>
      </w:r>
      <w:r>
        <w:t xml:space="preserve"> </w:t>
      </w:r>
      <w:r>
        <w:t xml:space="preserve">keine Zulassung. Ein Bezug wäre allenfalls über eine ärztlich verantwortete Einzeleinfuhr eines im Ausland zugelassenen Arzneimittels denkbar; die Abgabe von Graumarkt-Produkten zur Anwendung am Menschen ist unzulässig.</w:t>
      </w:r>
    </w:p>
    <w:p>
      <w:pPr>
        <w:numPr>
          <w:ilvl w:val="0"/>
          <w:numId w:val="1154"/>
        </w:numPr>
        <w:pStyle w:val="Compact"/>
      </w:pPr>
      <w:r>
        <w:rPr>
          <w:bCs/>
          <w:b/>
        </w:rPr>
        <w:t xml:space="preserve">USA:</w:t>
      </w:r>
      <w:r>
        <w:t xml:space="preserve"> </w:t>
      </w:r>
      <w:r>
        <w:t xml:space="preserve">zugelassen als Egrifta (verschreibungspflichtig) ausschließlich zur Verringerung von überschüssigem Bauchfett bei HIV-assoziierter Lipodystrophie. Jede andere Anwendung – etwa „zum Abnehmen“ oder „gegen das Altern“ – ist Off-Label.</w:t>
      </w:r>
    </w:p>
    <w:p>
      <w:pPr>
        <w:numPr>
          <w:ilvl w:val="0"/>
          <w:numId w:val="1154"/>
        </w:numPr>
        <w:pStyle w:val="Compact"/>
      </w:pPr>
      <w:r>
        <w:rPr>
          <w:bCs/>
          <w:b/>
        </w:rPr>
        <w:t xml:space="preserve">WADA:</w:t>
      </w:r>
      <w:r>
        <w:t xml:space="preserve"> </w:t>
      </w:r>
      <w:r>
        <w:t xml:space="preserve">verboten (S2), im Wettkampf und außerhalb. Anti-Doping-Labore haben Nachweisverfahren für Tesamorelin und andere GHRH-Analoga im Urin entwickelt</w:t>
      </w:r>
      <w:r>
        <w:rPr>
          <w:rStyle w:val="FootnoteReference"/>
        </w:rPr>
        <w:footnoteReference w:id="1309"/>
      </w:r>
      <w:r>
        <w:t xml:space="preserve">.</w:t>
      </w:r>
    </w:p>
    <w:bookmarkEnd w:id="1310"/>
    <w:bookmarkStart w:id="1311" w:name="laufende-studien-und-ausblick-24"/>
    <w:p>
      <w:pPr>
        <w:pStyle w:val="Heading3"/>
      </w:pPr>
      <w:r>
        <w:t xml:space="preserve">Laufende Studien und Ausblick</w:t>
      </w:r>
    </w:p>
    <w:p>
      <w:pPr>
        <w:pStyle w:val="FirstParagraph"/>
      </w:pPr>
      <w:r>
        <w:t xml:space="preserve">Bei ClinicalTrials.gov sind im Oktober 2026 unter anderem folgende offene Studien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NCT06554717</w:t>
            </w:r>
          </w:p>
        </w:tc>
        <w:tc>
          <w:tcPr/>
          <w:p>
            <w:pPr>
              <w:pStyle w:val="Compact"/>
              <w:jc w:val="left"/>
            </w:pPr>
            <w:r>
              <w:t xml:space="preserve">Phase 2, 100 Personen</w:t>
            </w:r>
          </w:p>
        </w:tc>
        <w:tc>
          <w:tcPr/>
          <w:p>
            <w:pPr>
              <w:pStyle w:val="Compact"/>
              <w:jc w:val="left"/>
            </w:pPr>
            <w:r>
              <w:t xml:space="preserve">rekrutierend (Start 2025)</w:t>
            </w:r>
          </w:p>
        </w:tc>
        <w:tc>
          <w:tcPr/>
          <w:p>
            <w:pPr>
              <w:pStyle w:val="Compact"/>
              <w:jc w:val="left"/>
            </w:pPr>
            <w:r>
              <w:t xml:space="preserve">Tesamorelin zusätzlich zu Training bei HIV – körperliche Leistungsfähigkeit</w:t>
            </w:r>
          </w:p>
        </w:tc>
      </w:tr>
      <w:tr>
        <w:tc>
          <w:tcPr/>
          <w:p>
            <w:pPr>
              <w:pStyle w:val="Compact"/>
              <w:jc w:val="left"/>
            </w:pPr>
            <w:r>
              <w:t xml:space="preserve">NCT03150511</w:t>
            </w:r>
          </w:p>
        </w:tc>
        <w:tc>
          <w:tcPr/>
          <w:p>
            <w:pPr>
              <w:pStyle w:val="Compact"/>
              <w:jc w:val="left"/>
            </w:pPr>
            <w:r>
              <w:t xml:space="preserve">Phase 2, 36 Personen</w:t>
            </w:r>
          </w:p>
        </w:tc>
        <w:tc>
          <w:tcPr/>
          <w:p>
            <w:pPr>
              <w:pStyle w:val="Compact"/>
              <w:jc w:val="left"/>
            </w:pPr>
            <w:r>
              <w:t xml:space="preserve">rekrutierend (seit 2018)</w:t>
            </w:r>
          </w:p>
        </w:tc>
        <w:tc>
          <w:tcPr/>
          <w:p>
            <w:pPr>
              <w:pStyle w:val="Compact"/>
              <w:jc w:val="left"/>
            </w:pPr>
            <w:r>
              <w:t xml:space="preserve">Erholung nach Verletzung peripherer Nerven</w:t>
            </w:r>
          </w:p>
        </w:tc>
      </w:tr>
    </w:tbl>
    <w:p>
      <w:pPr>
        <w:pStyle w:val="BodyText"/>
      </w:pPr>
      <w:r>
        <w:rPr>
          <w:iCs/>
          <w:i/>
        </w:rPr>
        <w:t xml:space="preserve">Gesichert</w:t>
      </w:r>
      <w:r>
        <w:t xml:space="preserve"> </w:t>
      </w:r>
      <w:r>
        <w:t xml:space="preserve">ist damit nur, dass weiter in kleinen Phase-2-Studien geforscht wird.</w:t>
      </w:r>
      <w:r>
        <w:t xml:space="preserve"> </w:t>
      </w:r>
      <w:r>
        <w:rPr>
          <w:iCs/>
          <w:i/>
        </w:rPr>
        <w:t xml:space="preserve">Einschätzung des Autors:</w:t>
      </w:r>
      <w:r>
        <w:t xml:space="preserve"> </w:t>
      </w:r>
      <w:r>
        <w:t xml:space="preserve">Die Fettleber außerhalb von HIV wäre das naheliegendste neue Anwendungsgebiet, doch dort konkurrieren inzwischen andere Wirkstoffe mit deutlich größeren Studienprogrammen. Eine Zulassung in der EU ist in absehbarer Zeit nicht erkennbar.</w:t>
      </w:r>
    </w:p>
    <w:bookmarkEnd w:id="1311"/>
    <w:bookmarkStart w:id="1312" w:name="fazit-24"/>
    <w:p>
      <w:pPr>
        <w:pStyle w:val="Heading3"/>
      </w:pPr>
      <w:r>
        <w:t xml:space="preserve">Fazit</w:t>
      </w:r>
    </w:p>
    <w:p>
      <w:pPr>
        <w:pStyle w:val="FirstParagraph"/>
      </w:pPr>
      <w:r>
        <w:t xml:space="preserve">Tesamorelin ist das am besten untersuchte Peptid der Wachstumshormon-Achse: Zwei große Phase-3-Studien zeigen, dass es bei Menschen mit HIV das viszerale Bauchfett um etwa 15 bis 18 % senkt und auch das Leberfett verringert. Der Effekt hält nur so lange an wie die Behandlung, und nicht alle sprechen an. Für Gesunde, Sportlerinnen und Sportler oder als „Anti-Aging“-Mittel gibt es keine belastbaren Daten. Die Langzeitsicherheit, insbesondere im Hinblick auf das erhöhte IGF-1, ist nicht abschließend geklärt.</w:t>
      </w:r>
    </w:p>
    <w:bookmarkEnd w:id="1312"/>
    <w:bookmarkEnd w:id="1313"/>
    <w:bookmarkStart w:id="1338" w:name="cjc-1295"/>
    <w:p>
      <w:pPr>
        <w:pStyle w:val="Heading2"/>
      </w:pPr>
      <w:r>
        <w:t xml:space="preserve">CJC-1295</w:t>
      </w:r>
    </w:p>
    <w:p>
      <w:pPr>
        <w:pStyle w:val="FirstParagraph"/>
      </w:pPr>
      <w:r>
        <w:t xml:space="preserve">Unter dem Namen CJC-1295 werden im Internet zwei verschiedene Stoffe verkauft – und das ist der wichtigste Punkt dieses Kapitels. Das ursprüngliche CJC-1295 der Firma ConjuChem ist ein Wachstumshormon-Releasing-Hormon mit einem chemischen „Anker“, der sich im Blut an das Eiweiß Albumin heftet und die Wirkung auf rund eine Woche verlängert. Graumarkt-Händler bieten daneben „CJC-1295 ohne DAC“ an, das in der Fachliteratur meist „modifiziertes GRF (1-29)“ heißt. Für das erste gibt es zwei kleine Studien an gesunden Menschen, für das zweite keine einzige.</w:t>
      </w:r>
    </w:p>
    <w:bookmarkStart w:id="1315" w:name="steckbrief-25"/>
    <w:p>
      <w:pPr>
        <w:pStyle w:val="Heading3"/>
      </w:pPr>
      <w:r>
        <w:t xml:space="preserve">Steckbrief</w:t>
      </w:r>
    </w:p>
    <w:p>
      <w:pPr>
        <w:numPr>
          <w:ilvl w:val="0"/>
          <w:numId w:val="1155"/>
        </w:numPr>
        <w:pStyle w:val="Compact"/>
      </w:pPr>
      <w:r>
        <w:rPr>
          <w:bCs/>
          <w:b/>
        </w:rPr>
        <w:t xml:space="preserve">Art und Struktur:</w:t>
      </w:r>
      <w:r>
        <w:t xml:space="preserve"> </w:t>
      </w:r>
      <w:r>
        <w:t xml:space="preserve">synthetisches Analogon des Wachstumshormon-Releasing-Hormons, aufgebaut auf dessen ersten 29 Aminosäuren mit vier ausgetauschten Bausteinen, die den Abbau erschweren.</w:t>
      </w:r>
    </w:p>
    <w:p>
      <w:pPr>
        <w:numPr>
          <w:ilvl w:val="1"/>
          <w:numId w:val="1156"/>
        </w:numPr>
        <w:pStyle w:val="Compact"/>
      </w:pPr>
      <w:r>
        <w:rPr>
          <w:iCs/>
          <w:i/>
        </w:rPr>
        <w:t xml:space="preserve">CJC-1295 mit DAC</w:t>
      </w:r>
      <w:r>
        <w:t xml:space="preserve"> </w:t>
      </w:r>
      <w:r>
        <w:t xml:space="preserve">(Drug Affinity Complex): zusätzlich ein reaktiver Anker am Ende der Kette, der sich nach der Injektion fest an Albumin bindet</w:t>
      </w:r>
      <w:r>
        <w:rPr>
          <w:rStyle w:val="FootnoteReference"/>
        </w:rPr>
        <w:footnoteReference w:id="1314"/>
      </w:r>
      <w:r>
        <w:t xml:space="preserve">.</w:t>
      </w:r>
    </w:p>
    <w:p>
      <w:pPr>
        <w:numPr>
          <w:ilvl w:val="1"/>
          <w:numId w:val="1156"/>
        </w:numPr>
        <w:pStyle w:val="Compact"/>
      </w:pPr>
      <w:r>
        <w:rPr>
          <w:iCs/>
          <w:i/>
        </w:rPr>
        <w:t xml:space="preserve">CJC-1295 ohne DAC</w:t>
      </w:r>
      <w:r>
        <w:t xml:space="preserve"> </w:t>
      </w:r>
      <w:r>
        <w:t xml:space="preserve">(„Mod GRF 1-29“): dieselbe Kette ohne Anker; kurze Wirkdauer.</w:t>
      </w:r>
    </w:p>
    <w:p>
      <w:pPr>
        <w:numPr>
          <w:ilvl w:val="0"/>
          <w:numId w:val="1155"/>
        </w:numPr>
        <w:pStyle w:val="Compact"/>
      </w:pPr>
      <w:r>
        <w:rPr>
          <w:bCs/>
          <w:b/>
        </w:rPr>
        <w:t xml:space="preserve">Herkunft:</w:t>
      </w:r>
      <w:r>
        <w:t xml:space="preserve"> </w:t>
      </w:r>
      <w:r>
        <w:t xml:space="preserve">entwickelt von ConjuChem (Kanada) in den 2000er-Jahren; die klinische Entwicklung wurde nicht fortgeführt.</w:t>
      </w:r>
    </w:p>
    <w:p>
      <w:pPr>
        <w:numPr>
          <w:ilvl w:val="0"/>
          <w:numId w:val="1155"/>
        </w:numPr>
        <w:pStyle w:val="Compact"/>
      </w:pPr>
      <w:r>
        <w:rPr>
          <w:bCs/>
          <w:b/>
        </w:rPr>
        <w:t xml:space="preserve">Wirkprinzip:</w:t>
      </w:r>
      <w:r>
        <w:t xml:space="preserve"> </w:t>
      </w:r>
      <w:r>
        <w:t xml:space="preserve">Bindung an den GHRH-Rezeptor der Hirnanhangdrüse; Anstieg von Wachstumshormon und IGF-1.</w:t>
      </w:r>
    </w:p>
    <w:p>
      <w:pPr>
        <w:numPr>
          <w:ilvl w:val="0"/>
          <w:numId w:val="115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5"/>
        </w:numPr>
        <w:pStyle w:val="Compact"/>
      </w:pPr>
      <w:r>
        <w:rPr>
          <w:bCs/>
          <w:b/>
        </w:rPr>
        <w:t xml:space="preserve">WADA:</w:t>
      </w:r>
      <w:r>
        <w:t xml:space="preserve"> </w:t>
      </w:r>
      <w:r>
        <w:t xml:space="preserve">verboten, Gruppe S2 – CJC-1295 wird als GHRH-Analogon ausdrücklich genannt.</w:t>
      </w:r>
    </w:p>
    <w:p>
      <w:pPr>
        <w:numPr>
          <w:ilvl w:val="0"/>
          <w:numId w:val="1155"/>
        </w:numPr>
        <w:pStyle w:val="Compact"/>
      </w:pPr>
      <w:r>
        <w:rPr>
          <w:bCs/>
          <w:b/>
        </w:rPr>
        <w:t xml:space="preserve">Evidenzstufe: C</w:t>
      </w:r>
      <w:r>
        <w:t xml:space="preserve"> </w:t>
      </w:r>
      <w:r>
        <w:t xml:space="preserve">– zwei kleine Phase-1-Studien an Gesunden (mit DAC); keine Studie zu einem klinischen Nutzen; für die Variante ohne DAC keine Humanstudie.</w:t>
      </w:r>
    </w:p>
    <w:bookmarkEnd w:id="1315"/>
    <w:bookmarkStart w:id="1317" w:name="wie-es-wirken-soll-25"/>
    <w:p>
      <w:pPr>
        <w:pStyle w:val="Heading3"/>
      </w:pPr>
      <w:r>
        <w:t xml:space="preserve">Wie es wirken soll</w:t>
      </w:r>
    </w:p>
    <w:p>
      <w:pPr>
        <w:pStyle w:val="FirstParagraph"/>
      </w:pPr>
      <w:r>
        <w:t xml:space="preserve">Natürliches GHRH wird im Blut innerhalb von Minuten durch das Enzym Dipeptidylpeptidase-4 und über die Nieren beseitigt. Der DAC-Anker sollte dieses Problem lösen: Nach der Injektion reagiert er mit einer freien Schwefelgruppe des Albumins. Das Peptid „reitet“ dann auf dem Albumin, das eine Lebensdauer von Wochen hat, und wird langsam abgegeben. Bei Ratten blieb CJC-1295 so über 72 Stunden im Blut nachweisbar</w:t>
      </w:r>
      <w:r>
        <w:rPr>
          <w:rStyle w:val="FootnoteReference"/>
        </w:rPr>
        <w:footnoteReference w:id="1316"/>
      </w:r>
      <w:r>
        <w:t xml:space="preserve">.</w:t>
      </w:r>
    </w:p>
    <w:p>
      <w:pPr>
        <w:pStyle w:val="BodyText"/>
      </w:pPr>
      <w:r>
        <w:t xml:space="preserve">Damit unterscheidet sich CJC-1295 mit DAC grundlegend von allen anderen GH-Freisetzern: Statt kurzer Impulse erzeugt es eine Dauerstimulation der Hirnanhangdrüse. Ob das physiologisch günstig ist, war eine der offenen Fragen der Entwicklung. Die Variante ohne DAC wirkt dagegen ähnlich kurz wie Sermorelin und wird auf dem Graumarkt oft mit GH-Freisetzern aus der Ghrelin-Gruppe (etwa Ipamorelin) kombiniert angeboten – eine Praxis, für die es keine Studien gibt.</w:t>
      </w:r>
    </w:p>
    <w:bookmarkEnd w:id="1317"/>
    <w:bookmarkStart w:id="1323" w:name="studien-am-menschen-2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1</w:t>
      </w:r>
      <w:r>
        <w:t xml:space="preserve"> </w:t>
      </w:r>
      <w:r>
        <w:t xml:space="preserve">Eintrag bei ClinicalTrials.gov. Eine gezielte Nachsuche ergab zusätzlich eine Folgeauswertung von Blutproben aus einer der beiden Studien. Alle Arbeiten betreffen CJC-1295</w:t>
      </w:r>
      <w:r>
        <w:t xml:space="preserve"> </w:t>
      </w:r>
      <w:r>
        <w:rPr>
          <w:iCs/>
          <w:i/>
        </w:rPr>
        <w:t xml:space="preserve">mit</w:t>
      </w:r>
      <w:r>
        <w:t xml:space="preserve"> </w:t>
      </w:r>
      <w:r>
        <w:t xml:space="preserve">DAC.</w:t>
      </w:r>
    </w:p>
    <w:p>
      <w:pPr>
        <w:pStyle w:val="BodyText"/>
      </w:pPr>
      <w:r>
        <w:rPr>
          <w:bCs/>
          <w:b/>
        </w:rPr>
        <w:t xml:space="preserve">Dosisfindung bei Gesunden:</w:t>
      </w:r>
      <w:r>
        <w:t xml:space="preserve"> </w:t>
      </w:r>
      <w:r>
        <w:t xml:space="preserve">In zwei randomisierten, placebokontrollierten, doppelblinden Studien mit aufsteigenden Dosen erhielten gesunde Erwachsene zwischen 21 und 61 Jahren eine einzelne bzw. zwei bis drei wöchentliche oder zweiwöchentliche Injektionen. Nach einer einzigen Injektion stieg Wachstumshormon im Mittel auf das 2- bis 10-Fache für sechs Tage oder länger, IGF-1 auf das 1,5- bis 3-Fache für 9 bis 11 Tage. Die Halbwertszeit lag bei 5,8 bis 8,1 Tagen. Nach mehreren Dosen blieb IGF-1 bis zu 28 Tage über dem Ausgangswert. Schwere Nebenwirkungen wurden nicht berichtet</w:t>
      </w:r>
      <w:r>
        <w:rPr>
          <w:rStyle w:val="FootnoteReference"/>
        </w:rPr>
        <w:footnoteReference w:id="1318"/>
      </w:r>
      <w:r>
        <w:t xml:space="preserve">.</w:t>
      </w:r>
    </w:p>
    <w:p>
      <w:pPr>
        <w:pStyle w:val="BodyText"/>
      </w:pPr>
      <w:r>
        <w:rPr>
          <w:bCs/>
          <w:b/>
        </w:rPr>
        <w:t xml:space="preserve">Pulsatilität:</w:t>
      </w:r>
      <w:r>
        <w:t xml:space="preserve"> </w:t>
      </w:r>
      <w:r>
        <w:t xml:space="preserve">Eine zweite Studie untersuchte bei gesunden Männern zwischen 20 und 40 Jahren, ob die natürliche Stoßweise der GH-Ausschüttung erhalten bleibt. Eine Woche nach der Injektion waren Frequenz und Höhe der GH-Stöße unverändert, der Grundspiegel zwischen den Stößen aber 7,5-fach erhöht; mittleres GH stieg um 46 %, IGF-1 um 45 %</w:t>
      </w:r>
      <w:r>
        <w:rPr>
          <w:rStyle w:val="FootnoteReference"/>
        </w:rPr>
        <w:footnoteReference w:id="1319"/>
      </w:r>
      <w:r>
        <w:t xml:space="preserve">.</w:t>
      </w:r>
    </w:p>
    <w:p>
      <w:pPr>
        <w:pStyle w:val="BodyText"/>
      </w:pPr>
      <w:r>
        <w:rPr>
          <w:bCs/>
          <w:b/>
        </w:rPr>
        <w:t xml:space="preserve">Blutproteine:</w:t>
      </w:r>
      <w:r>
        <w:t xml:space="preserve"> </w:t>
      </w:r>
      <w:r>
        <w:t xml:space="preserve">Eine Auswertung von Serumproben von 11 jungen Männern vor und eine Woche nach der Injektion suchte nach neuen Markern für die Wirkung von Wachstumshormon und fand Veränderungen einzelner Bluteiweiße</w:t>
      </w:r>
      <w:r>
        <w:rPr>
          <w:rStyle w:val="FootnoteReference"/>
        </w:rPr>
        <w:footnoteReference w:id="1320"/>
      </w:r>
      <w:r>
        <w:t xml:space="preserve">. Das ist Grundlagenforschung ohne klinische Aussage.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(Teichman 2006), PMID 16352683</w:t>
            </w:r>
          </w:p>
        </w:tc>
        <w:tc>
          <w:tcPr/>
          <w:p>
            <w:pPr>
              <w:pStyle w:val="Compact"/>
              <w:jc w:val="left"/>
            </w:pPr>
            <w:r>
              <w:t xml:space="preserve">gesunde Erwachsene 21–61 Jahre, zwei RCTs gegen Placebo, aufsteigende Dosen</w:t>
            </w:r>
          </w:p>
        </w:tc>
        <w:tc>
          <w:tcPr/>
          <w:p>
            <w:pPr>
              <w:pStyle w:val="Compact"/>
              <w:jc w:val="left"/>
            </w:pPr>
            <w:r>
              <w:t xml:space="preserve">28 bzw. 49 Tage</w:t>
            </w:r>
          </w:p>
        </w:tc>
        <w:tc>
          <w:tcPr/>
          <w:p>
            <w:pPr>
              <w:pStyle w:val="Compact"/>
              <w:jc w:val="left"/>
            </w:pPr>
            <w:r>
              <w:t xml:space="preserve">GH 2- bis 10-fach, IGF-1 1,5- bis 3-fach erhöht; Halbwertszeit 5,8–8,1 Tage</w:t>
            </w:r>
          </w:p>
        </w:tc>
      </w:tr>
      <w:tr>
        <w:tc>
          <w:tcPr/>
          <w:p>
            <w:pPr>
              <w:pStyle w:val="Compact"/>
              <w:jc w:val="left"/>
            </w:pPr>
            <w:r>
              <w:t xml:space="preserve">GH-Pulsatilität (Ionescu 2006), PMID 17018654</w:t>
            </w:r>
          </w:p>
        </w:tc>
        <w:tc>
          <w:tcPr/>
          <w:p>
            <w:pPr>
              <w:pStyle w:val="Compact"/>
              <w:jc w:val="left"/>
            </w:pPr>
            <w:r>
              <w:t xml:space="preserve">gesunde Männer 20–40 Jahre, Vorher-nachher-Vergleich</w:t>
            </w:r>
          </w:p>
        </w:tc>
        <w:tc>
          <w:tcPr/>
          <w:p>
            <w:pPr>
              <w:pStyle w:val="Compact"/>
              <w:jc w:val="left"/>
            </w:pPr>
            <w:r>
              <w:t xml:space="preserve">1 Woche nach Einzeldosis</w:t>
            </w:r>
          </w:p>
        </w:tc>
        <w:tc>
          <w:tcPr/>
          <w:p>
            <w:pPr>
              <w:pStyle w:val="Compact"/>
              <w:jc w:val="left"/>
            </w:pPr>
            <w:r>
              <w:t xml:space="preserve">Pulse erhalten, Grund-GH 7,5-fach, IGF-1 +45 %</w:t>
            </w:r>
          </w:p>
        </w:tc>
      </w:tr>
      <w:tr>
        <w:tc>
          <w:tcPr/>
          <w:p>
            <w:pPr>
              <w:pStyle w:val="Compact"/>
              <w:jc w:val="left"/>
            </w:pPr>
            <w:r>
              <w:t xml:space="preserve">HIV-Bauchfett, NCT00267527</w:t>
            </w:r>
          </w:p>
        </w:tc>
        <w:tc>
          <w:tcPr/>
          <w:p>
            <w:pPr>
              <w:pStyle w:val="Compact"/>
              <w:jc w:val="left"/>
            </w:pPr>
            <w:r>
              <w:t xml:space="preserve">geplant 120 Personen, Phase 2, RCT</w:t>
            </w:r>
          </w:p>
        </w:tc>
        <w:tc>
          <w:tcPr/>
          <w:p>
            <w:pPr>
              <w:pStyle w:val="Compact"/>
              <w:jc w:val="left"/>
            </w:pPr>
            <w:r>
              <w:t xml:space="preserve">geplant 12 Wochen</w:t>
            </w:r>
          </w:p>
        </w:tc>
        <w:tc>
          <w:tcPr/>
          <w:p>
            <w:pPr>
              <w:pStyle w:val="Compact"/>
              <w:jc w:val="left"/>
            </w:pPr>
            <w:r>
              <w:t xml:space="preserve">2006 abgebrochen; keine Ergebnisse veröffentlicht</w:t>
            </w:r>
          </w:p>
        </w:tc>
      </w:tr>
    </w:tbl>
    <w:bookmarkStart w:id="1322" w:name="Xf9c70d5c8bdd50898bb6f168b4ac0b61157cb10"/>
    <w:p>
      <w:pPr>
        <w:pStyle w:val="Heading4"/>
      </w:pPr>
      <w:r>
        <w:t xml:space="preserve">Die abgebrochene Phase-2-Studie und der berichtete Todesfall</w:t>
      </w:r>
    </w:p>
    <w:p>
      <w:pPr>
        <w:pStyle w:val="FirstParagraph"/>
      </w:pPr>
      <w:r>
        <w:t xml:space="preserve">ConjuChem startete Ende 2005 eine randomisierte, placebokontrollierte Phase-2-Studie mit zwei Dosen CJC-1295 bei Menschen mit HIV und vermehrtem Bauchfett – also im selben Anwendungsgebiet, in dem später Tesamorelin zugelassen wurde</w:t>
      </w:r>
      <w:r>
        <w:rPr>
          <w:rStyle w:val="FootnoteReference"/>
        </w:rPr>
        <w:footnoteReference w:id="1321"/>
      </w:r>
      <w:r>
        <w:t xml:space="preserve">. Der Registereintrag nennt den Status „abgebrochen“ (letzte Aktualisierung Oktober 2006), aber keinen Abbruchgrund und keine Ergebnisse.</w:t>
      </w:r>
    </w:p>
    <w:p>
      <w:pPr>
        <w:pStyle w:val="BodyText"/>
      </w:pPr>
      <w:r>
        <w:t xml:space="preserve">In Online-Foren und manchen Übersichten heißt es, die Studie sei nach dem Tod eines Teilnehmenden gestoppt worden.</w:t>
      </w:r>
      <w:r>
        <w:t xml:space="preserve"> </w:t>
      </w:r>
      <w:r>
        <w:rPr>
          <w:bCs/>
          <w:b/>
        </w:rPr>
        <w:t xml:space="preserve">Dieser Todesfall ist in den für dieses Buch geprüften Quellen nicht belegt:</w:t>
      </w:r>
      <w:r>
        <w:t xml:space="preserve"> </w:t>
      </w:r>
      <w:r>
        <w:t xml:space="preserve">Weder der Registereintrag noch eine PubMed-Veröffentlichung dokumentieren ihn. Es lässt sich daher weder bestätigen, dass er sich ereignet hat, noch beurteilen, ob er mit dem Wirkstoff zusammenhing. Belegt ist nur, dass die Studie vorzeitig endete und dass CJC-1295 danach nicht weiterentwickelt wurde.</w:t>
      </w:r>
    </w:p>
    <w:bookmarkEnd w:id="1322"/>
    <w:bookmarkEnd w:id="1323"/>
    <w:bookmarkStart w:id="1326" w:name="tier--und-laborstudien-25"/>
    <w:p>
      <w:pPr>
        <w:pStyle w:val="Heading3"/>
      </w:pPr>
      <w:r>
        <w:t xml:space="preserve">Tier- und Laborstudien</w:t>
      </w:r>
    </w:p>
    <w:p>
      <w:pPr>
        <w:numPr>
          <w:ilvl w:val="0"/>
          <w:numId w:val="1157"/>
        </w:numPr>
        <w:pStyle w:val="Compact"/>
      </w:pPr>
      <w:r>
        <w:rPr>
          <w:bCs/>
          <w:b/>
        </w:rPr>
        <w:t xml:space="preserve">Ratten:</w:t>
      </w:r>
      <w:r>
        <w:t xml:space="preserve"> </w:t>
      </w:r>
      <w:r>
        <w:t xml:space="preserve">Von drei getesteten Albumin-Ankervarianten setzte CJC-1295 am meisten Wachstumshormon frei – über zwei Stunden rund viermal so viel wie unverändertes GRF(1-29) – und blieb über 72 Stunden im Blut</w:t>
      </w:r>
      <w:r>
        <w:rPr>
          <w:rStyle w:val="FootnoteReference"/>
        </w:rPr>
        <w:footnoteReference w:id="1324"/>
      </w:r>
      <w:r>
        <w:t xml:space="preserve">.</w:t>
      </w:r>
    </w:p>
    <w:p>
      <w:pPr>
        <w:numPr>
          <w:ilvl w:val="0"/>
          <w:numId w:val="1157"/>
        </w:numPr>
        <w:pStyle w:val="Compact"/>
      </w:pPr>
      <w:r>
        <w:rPr>
          <w:bCs/>
          <w:b/>
        </w:rPr>
        <w:t xml:space="preserve">Mäuse:</w:t>
      </w:r>
      <w:r>
        <w:t xml:space="preserve"> </w:t>
      </w:r>
      <w:r>
        <w:t xml:space="preserve">Bei Mäusen ohne eigenes GHRH normalisierte die tägliche Gabe Gewicht und Länge; die Gabe alle 48 oder 72 Stunden reichte dafür nicht vollständig. In der Hirnanhangdrüse nahm die Zahl der GH-bildenden Zellen zu</w:t>
      </w:r>
      <w:r>
        <w:rPr>
          <w:rStyle w:val="FootnoteReference"/>
        </w:rPr>
        <w:footnoteReference w:id="1325"/>
      </w:r>
      <w:r>
        <w:t xml:space="preserve">. Eine Vermehrung von Hypophysenzellen ist erwünscht, wenn ein Mangel ausgeglichen werden soll – bei Gesunden ist ihre Langzeitbedeutung unbekannt.</w:t>
      </w:r>
    </w:p>
    <w:bookmarkEnd w:id="1326"/>
    <w:bookmarkStart w:id="1331" w:name="risiken-und-nebenwirkungen-25"/>
    <w:p>
      <w:pPr>
        <w:pStyle w:val="Heading3"/>
      </w:pPr>
      <w:r>
        <w:t xml:space="preserve">Risiken und Nebenwirkungen</w:t>
      </w:r>
    </w:p>
    <w:p>
      <w:pPr>
        <w:pStyle w:val="FirstParagraph"/>
      </w:pPr>
      <w:r>
        <w:rPr>
          <w:bCs/>
          <w:b/>
        </w:rPr>
        <w:t xml:space="preserve">Belegt aus den Phase-1-Studien:</w:t>
      </w:r>
      <w:r>
        <w:t xml:space="preserve"> </w:t>
      </w:r>
      <w:r>
        <w:t xml:space="preserve">keine schweren Nebenwirkungen bei wenigen, kurz behandelten Gesunden; die Verträglichkeit wurde als relativ gut, besonders bei den niedrigeren Dosen, beschrieben</w:t>
      </w:r>
      <w:r>
        <w:rPr>
          <w:rStyle w:val="FootnoteReference"/>
        </w:rPr>
        <w:footnoteReference w:id="1327"/>
      </w:r>
      <w:r>
        <w:t xml:space="preserve">. Diese Datenbasis ist zu klein, um seltene oder langfristige Risiken zu erkennen.</w:t>
      </w:r>
    </w:p>
    <w:p>
      <w:pPr>
        <w:pStyle w:val="BodyText"/>
      </w:pPr>
      <w:r>
        <w:rPr>
          <w:bCs/>
          <w:b/>
        </w:rPr>
        <w:t xml:space="preserve">Plausibel, aber nicht untersucht:</w:t>
      </w:r>
      <w:r>
        <w:t xml:space="preserve"> </w:t>
      </w:r>
      <w:r>
        <w:t xml:space="preserve">Die DAC-Variante hält Wachstumshormon und IGF-1 über Tage dauerhaft erhöht. Typische Folgen erhöhter GH-Spiegel sind Wassereinlagerungen, Gelenkschmerzen, Karpaltunnelbeschwerden und eine verschlechterte Insulinempfindlichkeit. Ob ein dauerhaft erhöhtes IGF-1 langfristig das Krebsrisiko steigert, ist für CJC-1295 nicht untersucht; zur allgemeinen Datenlage siehe die Einleitung dieser Gruppe und Teil IV.</w:t>
      </w:r>
    </w:p>
    <w:p>
      <w:pPr>
        <w:pStyle w:val="BodyText"/>
      </w:pPr>
      <w:r>
        <w:rPr>
          <w:bCs/>
          <w:b/>
        </w:rPr>
        <w:t xml:space="preserve">Graumarkt:</w:t>
      </w:r>
      <w:r>
        <w:t xml:space="preserve"> </w:t>
      </w:r>
      <w:r>
        <w:t xml:space="preserve">Bereits 2009 analysierte ein norwegisches Labor im Auftrag von Polizei und Zoll ein unbekanntes Präparat und fand ein Peptid aus 29 Aminosäuren, das der als CJC-1295 verkauften Sequenz entsprach</w:t>
      </w:r>
      <w:r>
        <w:rPr>
          <w:rStyle w:val="FootnoteReference"/>
        </w:rPr>
        <w:footnoteReference w:id="1328"/>
      </w:r>
      <w:r>
        <w:t xml:space="preserve">. Dänische Zollproben enthielten „modifiziertes GRF 1-29“ und Ghrelin-Mimetika mit einer zusätzlichen, nicht deklarierten Aminosäure Glycin</w:t>
      </w:r>
      <w:r>
        <w:rPr>
          <w:rStyle w:val="FootnoteReference"/>
        </w:rPr>
        <w:footnoteReference w:id="1329"/>
      </w:r>
      <w:r>
        <w:t xml:space="preserve">. Käuferinnen und Käufer können also nicht wissen, ob sie die Variante mit oder ohne DAC, ein abgewandeltes Molekül oder etwas ganz anderes erhalten. Eine Auswertung von Bodybuilding-Foren zeigt, dass auch Frauen CJC-1295 zur Gewichtsabnahme, für die Haut oder den Schlaf verwenden und sich dabei auf Erfahrungsberichte statt auf Studien stützen</w:t>
      </w:r>
      <w:r>
        <w:rPr>
          <w:rStyle w:val="FootnoteReference"/>
        </w:rPr>
        <w:footnoteReference w:id="1330"/>
      </w:r>
      <w:r>
        <w:t xml:space="preserve">.</w:t>
      </w:r>
    </w:p>
    <w:bookmarkEnd w:id="1331"/>
    <w:bookmarkStart w:id="1335" w:name="rechtslage-25"/>
    <w:p>
      <w:pPr>
        <w:pStyle w:val="Heading3"/>
      </w:pPr>
      <w:r>
        <w:t xml:space="preserve">Rechtslage</w:t>
      </w:r>
    </w:p>
    <w:p>
      <w:pPr>
        <w:pStyle w:val="FirstParagraph"/>
      </w:pPr>
      <w:r>
        <w:rPr>
          <w:iCs/>
          <w:i/>
        </w:rPr>
        <w:t xml:space="preserve">Stand 2026, bitte aktuell prüfen.</w:t>
      </w:r>
    </w:p>
    <w:p>
      <w:pPr>
        <w:numPr>
          <w:ilvl w:val="0"/>
          <w:numId w:val="1158"/>
        </w:numPr>
        <w:pStyle w:val="Compact"/>
      </w:pPr>
      <w:r>
        <w:rPr>
          <w:bCs/>
          <w:b/>
        </w:rPr>
        <w:t xml:space="preserve">EU, Deutschland, Österreich:</w:t>
      </w:r>
      <w:r>
        <w:t xml:space="preserve"> </w:t>
      </w:r>
      <w:r>
        <w:t xml:space="preserve">keine Zulassung. CJC-1295 ist ein nicht zugelassener Arzneistoff; Abgabe und Handel zur Anwendung am Menschen sind nach den Arzneimittelgesetzen unzulässig, auch wenn Produkte als „Research Peptide“ deklariert sind.</w:t>
      </w:r>
    </w:p>
    <w:p>
      <w:pPr>
        <w:numPr>
          <w:ilvl w:val="0"/>
          <w:numId w:val="1158"/>
        </w:numPr>
        <w:pStyle w:val="Compact"/>
      </w:pPr>
      <w:r>
        <w:rPr>
          <w:bCs/>
          <w:b/>
        </w:rPr>
        <w:t xml:space="preserve">USA:</w:t>
      </w:r>
      <w:r>
        <w:t xml:space="preserve"> </w:t>
      </w:r>
      <w:r>
        <w:t xml:space="preserve">keine Zulassung. Die FDA hat CJC-1295 – wie mehrere andere Peptide dieses Buches – unter den Ausgangsstoffen für Rezepturapotheken als Stoff mit Sicherheitsbedenken eingestuft (Kategorie 2). Diese Einstufungen wurden seither im zuständigen Beratungsgremium und in Fachkreisen kontrovers diskutiert</w:t>
      </w:r>
      <w:r>
        <w:rPr>
          <w:rStyle w:val="FootnoteReference"/>
        </w:rPr>
        <w:footnoteReference w:id="1332"/>
      </w:r>
      <w:r>
        <w:t xml:space="preserve">; Änderungen sind möglich.</w:t>
      </w:r>
    </w:p>
    <w:p>
      <w:pPr>
        <w:numPr>
          <w:ilvl w:val="0"/>
          <w:numId w:val="1158"/>
        </w:numPr>
        <w:pStyle w:val="Compact"/>
      </w:pPr>
      <w:r>
        <w:rPr>
          <w:bCs/>
          <w:b/>
        </w:rPr>
        <w:t xml:space="preserve">WADA:</w:t>
      </w:r>
      <w:r>
        <w:t xml:space="preserve"> </w:t>
      </w:r>
      <w:r>
        <w:t xml:space="preserve">verboten (S2). Nachweisverfahren für CJC-1295 mit und ohne DAC im Urin wurden beschrieben</w:t>
      </w:r>
      <w:r>
        <w:rPr>
          <w:rStyle w:val="FootnoteReference"/>
        </w:rPr>
        <w:footnoteReference w:id="1333"/>
      </w:r>
      <w:r>
        <w:t xml:space="preserve">; auch im Pferdesport wird danach gesucht</w:t>
      </w:r>
      <w:r>
        <w:rPr>
          <w:rStyle w:val="FootnoteReference"/>
        </w:rPr>
        <w:footnoteReference w:id="1334"/>
      </w:r>
      <w:r>
        <w:t xml:space="preserve">.</w:t>
      </w:r>
    </w:p>
    <w:bookmarkEnd w:id="1335"/>
    <w:bookmarkStart w:id="1336" w:name="laufende-studien-und-ausblick-25"/>
    <w:p>
      <w:pPr>
        <w:pStyle w:val="Heading3"/>
      </w:pPr>
      <w:r>
        <w:t xml:space="preserve">Laufende Studien und Ausblick</w:t>
      </w:r>
    </w:p>
    <w:p>
      <w:pPr>
        <w:pStyle w:val="FirstParagraph"/>
      </w:pPr>
      <w:r>
        <w:t xml:space="preserve">Bei ClinicalTrials.gov ist im Oktober 2026 außer der 2006 abgebrochenen Phase-2-Studie kein Eintrag zu CJC-1295 verzeichnet.</w:t>
      </w:r>
      <w:r>
        <w:t xml:space="preserve"> </w:t>
      </w:r>
      <w:r>
        <w:rPr>
          <w:iCs/>
          <w:i/>
        </w:rPr>
        <w:t xml:space="preserve">Einschätzung des Autors:</w:t>
      </w:r>
      <w:r>
        <w:t xml:space="preserve"> </w:t>
      </w:r>
      <w:r>
        <w:t xml:space="preserve">Eine klinische Weiterentwicklung ist nicht erkennbar. Das Prinzip „Peptid mit Albumin-Anker für längere Wirkung“ lebt dagegen in anderen Wirkstoffen weiter, etwa bei lang wirksamen Wachstumshormon-Präparaten und GLP-1-Medikamenten.</w:t>
      </w:r>
    </w:p>
    <w:bookmarkEnd w:id="1336"/>
    <w:bookmarkStart w:id="1337" w:name="fazit-25"/>
    <w:p>
      <w:pPr>
        <w:pStyle w:val="Heading3"/>
      </w:pPr>
      <w:r>
        <w:t xml:space="preserve">Fazit</w:t>
      </w:r>
    </w:p>
    <w:p>
      <w:pPr>
        <w:pStyle w:val="FirstParagraph"/>
      </w:pPr>
      <w:r>
        <w:t xml:space="preserve">CJC-1295 mit DAC erhöht bei gesunden Menschen Wachstumshormon und IGF-1 für ein bis zwei Wochen nach einer einzigen Injektion – mehr ist am Menschen nicht untersucht. Die einzige Patientenstudie wurde 2006 ohne veröffentlichten Grund abgebrochen; ein häufig behaupteter Todesfall ist in Register und Fachliteratur nicht dokumentiert. Für die im Internet meist verkaufte Variante ohne DAC gibt es keine einzige Humanstudie, und Laboranalysen zeigen, dass der Inhalt von Graumarkt-Produkten unsicher ist.</w:t>
      </w:r>
    </w:p>
    <w:bookmarkEnd w:id="1337"/>
    <w:bookmarkEnd w:id="1338"/>
    <w:bookmarkStart w:id="1361" w:name="ipamorelin"/>
    <w:p>
      <w:pPr>
        <w:pStyle w:val="Heading2"/>
      </w:pPr>
      <w:r>
        <w:t xml:space="preserve">Ipamorelin</w:t>
      </w:r>
    </w:p>
    <w:p>
      <w:pPr>
        <w:pStyle w:val="FirstParagraph"/>
      </w:pPr>
      <w:r>
        <w:t xml:space="preserve">Ipamorelin gilt in Fitness- und Anti-Aging-Kreisen als der „saubere“ Wachstumshormon-Freisetzer: Es soll gezielt Wachstumshormon ausschütten, ohne Stresshormone und Appetit anzutreiben. Diese Eigenschaft stammt aus Tierversuchen der 1990er-Jahre. Am Menschen wurde Ipamorelin tatsächlich klinisch geprüft – allerdings nicht für Muskelaufbau oder Verjüngung, sondern für etwas ganz anderes: die Darmlähmung nach Bauchoperationen. Dort brachte es keinen nachweisbaren Nutzen.</w:t>
      </w:r>
    </w:p>
    <w:bookmarkStart w:id="1340" w:name="steckbrief-26"/>
    <w:p>
      <w:pPr>
        <w:pStyle w:val="Heading3"/>
      </w:pPr>
      <w:r>
        <w:t xml:space="preserve">Steckbrief</w:t>
      </w:r>
    </w:p>
    <w:p>
      <w:pPr>
        <w:numPr>
          <w:ilvl w:val="0"/>
          <w:numId w:val="1159"/>
        </w:numPr>
        <w:pStyle w:val="Compact"/>
      </w:pPr>
      <w:r>
        <w:rPr>
          <w:bCs/>
          <w:b/>
        </w:rPr>
        <w:t xml:space="preserve">Art und Struktur:</w:t>
      </w:r>
      <w:r>
        <w:t xml:space="preserve"> </w:t>
      </w:r>
      <w:r>
        <w:t xml:space="preserve">synthetisches Pentapeptid (5 Aminosäuren, teils nicht natürlich: Aib-His-D-2-Nal-D-Phe-Lys-NH2)</w:t>
      </w:r>
      <w:r>
        <w:rPr>
          <w:rStyle w:val="FootnoteReference"/>
        </w:rPr>
        <w:footnoteReference w:id="1339"/>
      </w:r>
      <w:r>
        <w:t xml:space="preserve">.</w:t>
      </w:r>
    </w:p>
    <w:p>
      <w:pPr>
        <w:numPr>
          <w:ilvl w:val="0"/>
          <w:numId w:val="1159"/>
        </w:numPr>
        <w:pStyle w:val="Compact"/>
      </w:pPr>
      <w:r>
        <w:rPr>
          <w:bCs/>
          <w:b/>
        </w:rPr>
        <w:t xml:space="preserve">Herkunft:</w:t>
      </w:r>
      <w:r>
        <w:t xml:space="preserve"> </w:t>
      </w:r>
      <w:r>
        <w:t xml:space="preserve">entwickelt von Novo Nordisk (Dänemark) aus der Familie der Wachstumshormon-freisetzenden Peptide (GHRP); später von Helsinn für den Magen-Darm-Bereich weiterentwickelt.</w:t>
      </w:r>
    </w:p>
    <w:p>
      <w:pPr>
        <w:numPr>
          <w:ilvl w:val="0"/>
          <w:numId w:val="1159"/>
        </w:numPr>
        <w:pStyle w:val="Compact"/>
      </w:pPr>
      <w:r>
        <w:rPr>
          <w:bCs/>
          <w:b/>
        </w:rPr>
        <w:t xml:space="preserve">Wirkprinzip:</w:t>
      </w:r>
      <w:r>
        <w:t xml:space="preserve"> </w:t>
      </w:r>
      <w:r>
        <w:t xml:space="preserve">bindet an den Ghrelin-Rezeptor (GHS-R1a) in Hirnanhangdrüse und Zwischenhirn sowie im Magen-Darm-Trakt; löst einen kurzen Stoß Wachstumshormon aus und soll die Darmbewegung anregen.</w:t>
      </w:r>
    </w:p>
    <w:p>
      <w:pPr>
        <w:numPr>
          <w:ilvl w:val="0"/>
          <w:numId w:val="1159"/>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9"/>
        </w:numPr>
        <w:pStyle w:val="Compact"/>
      </w:pPr>
      <w:r>
        <w:rPr>
          <w:bCs/>
          <w:b/>
        </w:rPr>
        <w:t xml:space="preserve">WADA:</w:t>
      </w:r>
      <w:r>
        <w:t xml:space="preserve"> </w:t>
      </w:r>
      <w:r>
        <w:t xml:space="preserve">verboten, Gruppe S2 (Wachstumshormon-Sekretagoga; Ipamorelin wird ausdrücklich genannt).</w:t>
      </w:r>
    </w:p>
    <w:p>
      <w:pPr>
        <w:numPr>
          <w:ilvl w:val="0"/>
          <w:numId w:val="1159"/>
        </w:numPr>
        <w:pStyle w:val="Compact"/>
      </w:pPr>
      <w:r>
        <w:rPr>
          <w:bCs/>
          <w:b/>
        </w:rPr>
        <w:t xml:space="preserve">Evidenzstufe: B</w:t>
      </w:r>
      <w:r>
        <w:t xml:space="preserve"> </w:t>
      </w:r>
      <w:r>
        <w:t xml:space="preserve">– eine randomisierte Phase-2-Studie mit 117 Personen (ohne Wirksamkeitsnachweis) und eine kleine pharmakologische Studie an Gesunden; eine zweite Phase-2-Studie ist abgeschlossen, aber unveröffentlicht.</w:t>
      </w:r>
    </w:p>
    <w:bookmarkEnd w:id="1340"/>
    <w:bookmarkStart w:id="1343" w:name="wie-es-wirken-soll-26"/>
    <w:p>
      <w:pPr>
        <w:pStyle w:val="Heading3"/>
      </w:pPr>
      <w:r>
        <w:t xml:space="preserve">Wie es wirken soll</w:t>
      </w:r>
    </w:p>
    <w:p>
      <w:pPr>
        <w:pStyle w:val="FirstParagraph"/>
      </w:pPr>
      <w:r>
        <w:t xml:space="preserve">Der Ghrelin-Rezeptor ist die zweite große Stellschraube für die Wachstumshormon-Ausschüttung neben dem GHRH-Rezeptor. Sein natürlicher Schlüssel ist Ghrelin, ein Hormon aus dem Magen, das 1999 entdeckt wurde</w:t>
      </w:r>
      <w:r>
        <w:rPr>
          <w:rStyle w:val="FootnoteReference"/>
        </w:rPr>
        <w:footnoteReference w:id="1341"/>
      </w:r>
      <w:r>
        <w:t xml:space="preserve">. Ghrelin steigert nicht nur Wachstumshormon, sondern auch Hunger, und es regt die Bewegungen von Magen und Darm an.</w:t>
      </w:r>
    </w:p>
    <w:p>
      <w:pPr>
        <w:pStyle w:val="BodyText"/>
      </w:pPr>
      <w:r>
        <w:t xml:space="preserve">Ältere synthetische Freisetzer wie GHRP-6 oder GHRP-2 setzen neben Wachstumshormon auch das Stresshormon-System (ACTH und Cortisol) und Prolaktin frei. Ipamorelin wurde gezielt so entwickelt, dass dieser Nebeneffekt fehlt: Bei Schweinen setzte es Wachstumshormon ähnlich stark frei wie GHRP-6, ACTH und Cortisol stiegen dagegen auch bei mehr als 200-fach höheren Dosen nicht stärker an als unter GHRH</w:t>
      </w:r>
      <w:r>
        <w:rPr>
          <w:rStyle w:val="FootnoteReference"/>
        </w:rPr>
        <w:footnoteReference w:id="1342"/>
      </w:r>
      <w:r>
        <w:t xml:space="preserve">. Ob diese Selektivität beim Menschen in gleichem Maß gilt, ist nicht systematisch untersucht.</w:t>
      </w:r>
    </w:p>
    <w:p>
      <w:pPr>
        <w:pStyle w:val="BodyText"/>
      </w:pPr>
      <w:r>
        <w:t xml:space="preserve">Für die Klinik interessierte man sich vor allem für die Darmwirkung: Nach Bauchoperationen kommt die Darmtätigkeit oft tagelang zum Erliegen (postoperativer Ileus), was den Krankenhausaufenthalt verlängert. Ein Ghrelin-Mimetikum, das man intravenös geben kann, schien eine elegante Lösung.</w:t>
      </w:r>
    </w:p>
    <w:bookmarkEnd w:id="1343"/>
    <w:bookmarkStart w:id="1348" w:name="studien-am-menschen-2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3</w:t>
      </w:r>
      <w:r>
        <w:t xml:space="preserve"> </w:t>
      </w:r>
      <w:r>
        <w:t xml:space="preserve">Einträge bei ClinicalTrials.gov. Einer dieser Registereinträge</w:t>
      </w:r>
      <w:r>
        <w:rPr>
          <w:rStyle w:val="FootnoteReference"/>
        </w:rPr>
        <w:footnoteReference w:id="1344"/>
      </w:r>
      <w:r>
        <w:t xml:space="preserve"> </w:t>
      </w:r>
      <w:r>
        <w:t xml:space="preserve">betrifft eine Beobachtungsstudie zu Psychedelika bei Veteranen und untersucht Ipamorelin nicht als Prüfmedikament; es wird dort nur als einer von mehreren Bestandteilen einer „physiologischen Supplementierung“ (neben Testosteron, Fischöl und Vitaminen) aufgezählt. Klinisch relevant sind damit zwei Studien zum postoperativen Ileus.</w:t>
      </w:r>
    </w:p>
    <w:p>
      <w:pPr>
        <w:pStyle w:val="BodyText"/>
      </w:pPr>
      <w:r>
        <w:rPr>
          <w:bCs/>
          <w:b/>
        </w:rPr>
        <w:t xml:space="preserve">Pharmakologie bei Gesunden:</w:t>
      </w:r>
      <w:r>
        <w:t xml:space="preserve"> </w:t>
      </w:r>
      <w:r>
        <w:t xml:space="preserve">In einer Studie mit aufsteigenden Dosen erhielten jeweils acht gesunde Männer pro Dosisstufe eine 15-minütige Infusion. Ipamorelin hatte eine kurze Halbwertszeit von etwa 2 Stunden und löste bei allen Dosen einen einzelnen GH-Stoß aus, der nach etwa 40 Minuten seinen Gipfel erreichte und danach rasch abfiel</w:t>
      </w:r>
      <w:r>
        <w:rPr>
          <w:rStyle w:val="FootnoteReference"/>
        </w:rPr>
        <w:footnoteReference w:id="1345"/>
      </w:r>
      <w:r>
        <w:t xml:space="preserve">.</w:t>
      </w:r>
    </w:p>
    <w:p>
      <w:pPr>
        <w:pStyle w:val="BodyText"/>
      </w:pPr>
      <w:r>
        <w:rPr>
          <w:bCs/>
          <w:b/>
        </w:rPr>
        <w:t xml:space="preserve">Postoperativer Ileus, erste Phase-2-Studie:</w:t>
      </w:r>
      <w:r>
        <w:t xml:space="preserve"> </w:t>
      </w:r>
      <w:r>
        <w:t xml:space="preserve">In einer multizentrischen, doppelblinden, placebokontrollierten Studie erhielten 117 Erwachsene nach Dünn- oder Dickdarmresektion bis zu sieben Tage lang zweimal täglich Ipamorelin oder Placebo als Infusion. Die mittlere Zeit bis zur ersten vertragenen festen Mahlzeit betrug 25,3 Stunden unter Ipamorelin und 32,6 Stunden unter Placebo – ein Unterschied, der statistisch nicht signifikant war (p = 0,15). Auch die übrigen Wirksamkeitsziele unterschieden sich nicht. Nebenwirkungen traten bei 87,5 % unter Ipamorelin und 94,8 % unter Placebo auf, was nach großen Bauchoperationen nicht ungewöhnlich ist</w:t>
      </w:r>
      <w:r>
        <w:rPr>
          <w:rStyle w:val="FootnoteReference"/>
        </w:rPr>
        <w:footnoteReference w:id="1346"/>
      </w:r>
      <w:r>
        <w:t xml:space="preserve">.</w:t>
      </w:r>
    </w:p>
    <w:p>
      <w:pPr>
        <w:pStyle w:val="BodyText"/>
      </w:pPr>
      <w:r>
        <w:rPr>
          <w:bCs/>
          <w:b/>
        </w:rPr>
        <w:t xml:space="preserve">Zweite Phase-2-Studie:</w:t>
      </w:r>
      <w:r>
        <w:t xml:space="preserve"> </w:t>
      </w:r>
      <w:r>
        <w:t xml:space="preserve">Eine größere Folgestudie mit 320 Teilnehmenden zur Erholung der Magen-Darm-Funktion wurde 2014 abgeschlossen</w:t>
      </w:r>
      <w:r>
        <w:rPr>
          <w:rStyle w:val="FootnoteReference"/>
        </w:rPr>
        <w:footnoteReference w:id="1347"/>
      </w:r>
      <w:r>
        <w:t xml:space="preserve">. Eine Veröffentlichung der Ergebnisse habe ich in PubMed nicht gefunden, und der Registereintrag enthält keine Ergebnisse. Danach wurde die Entwicklung nicht fortgesetzt.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Pharmakologie (Gobburu 1999), PMID 10496658</w:t>
            </w:r>
          </w:p>
        </w:tc>
        <w:tc>
          <w:tcPr/>
          <w:p>
            <w:pPr>
              <w:pStyle w:val="Compact"/>
              <w:jc w:val="left"/>
            </w:pPr>
            <w:r>
              <w:t xml:space="preserve">gesunde Männer, 5 Dosisstufen à 8 Personen</w:t>
            </w:r>
          </w:p>
        </w:tc>
        <w:tc>
          <w:tcPr/>
          <w:p>
            <w:pPr>
              <w:pStyle w:val="Compact"/>
              <w:jc w:val="left"/>
            </w:pPr>
            <w:r>
              <w:t xml:space="preserve">Einzelinfusion</w:t>
            </w:r>
          </w:p>
        </w:tc>
        <w:tc>
          <w:tcPr/>
          <w:p>
            <w:pPr>
              <w:pStyle w:val="Compact"/>
              <w:jc w:val="left"/>
            </w:pPr>
            <w:r>
              <w:t xml:space="preserve">Halbwertszeit ca. 2 h; ein GH-Stoß pro Gabe</w:t>
            </w:r>
          </w:p>
        </w:tc>
      </w:tr>
      <w:tr>
        <w:tc>
          <w:tcPr/>
          <w:p>
            <w:pPr>
              <w:pStyle w:val="Compact"/>
              <w:jc w:val="left"/>
            </w:pPr>
            <w:r>
              <w:t xml:space="preserve">Ileus-Studie 1 (Beck 2014), PMID 25331030</w:t>
            </w:r>
          </w:p>
        </w:tc>
        <w:tc>
          <w:tcPr/>
          <w:p>
            <w:pPr>
              <w:pStyle w:val="Compact"/>
              <w:jc w:val="left"/>
            </w:pPr>
            <w:r>
              <w:t xml:space="preserve">117 Erwachsene nach Darmresektion, RCT gegen Placebo</w:t>
            </w:r>
          </w:p>
        </w:tc>
        <w:tc>
          <w:tcPr/>
          <w:p>
            <w:pPr>
              <w:pStyle w:val="Compact"/>
              <w:jc w:val="left"/>
            </w:pPr>
            <w:r>
              <w:t xml:space="preserve">bis 7 Tage</w:t>
            </w:r>
          </w:p>
        </w:tc>
        <w:tc>
          <w:tcPr/>
          <w:p>
            <w:pPr>
              <w:pStyle w:val="Compact"/>
              <w:jc w:val="left"/>
            </w:pPr>
            <w:r>
              <w:t xml:space="preserve">25,3 vs. 32,6 h bis zur ersten Mahlzeit, nicht signifikant</w:t>
            </w:r>
          </w:p>
        </w:tc>
      </w:tr>
      <w:tr>
        <w:tc>
          <w:tcPr/>
          <w:p>
            <w:pPr>
              <w:pStyle w:val="Compact"/>
              <w:jc w:val="left"/>
            </w:pPr>
            <w:r>
              <w:t xml:space="preserve">Ileus-Studie 2, NCT01280344</w:t>
            </w:r>
          </w:p>
        </w:tc>
        <w:tc>
          <w:tcPr/>
          <w:p>
            <w:pPr>
              <w:pStyle w:val="Compact"/>
              <w:jc w:val="left"/>
            </w:pPr>
            <w:r>
              <w:t xml:space="preserve">320 Erwachsene, Phase 2 gegen Placebo</w:t>
            </w:r>
          </w:p>
        </w:tc>
        <w:tc>
          <w:tcPr/>
          <w:p>
            <w:pPr>
              <w:pStyle w:val="Compact"/>
              <w:jc w:val="left"/>
            </w:pPr>
            <w:r>
              <w:t xml:space="preserve">–</w:t>
            </w:r>
          </w:p>
        </w:tc>
        <w:tc>
          <w:tcPr/>
          <w:p>
            <w:pPr>
              <w:pStyle w:val="Compact"/>
              <w:jc w:val="left"/>
            </w:pPr>
            <w:r>
              <w:t xml:space="preserve">abgeschlossen 2014, Ergebnisse nicht veröffentlicht</w:t>
            </w:r>
          </w:p>
        </w:tc>
      </w:tr>
    </w:tbl>
    <w:p>
      <w:pPr>
        <w:pStyle w:val="BodyText"/>
      </w:pPr>
      <w:r>
        <w:t xml:space="preserve">Es gibt</w:t>
      </w:r>
      <w:r>
        <w:t xml:space="preserve"> </w:t>
      </w:r>
      <w:r>
        <w:rPr>
          <w:bCs/>
          <w:b/>
        </w:rPr>
        <w:t xml:space="preserve">keine</w:t>
      </w:r>
      <w:r>
        <w:t xml:space="preserve"> </w:t>
      </w:r>
      <w:r>
        <w:t xml:space="preserve">veröffentlichte Studie, die Ipamorelin bei gesunden Erwachsenen, Sportlerinnen und Sportlern oder älteren Menschen auf Muskelmasse, Fettabbau, Schlaf, Haut oder Leistungsfähigkeit untersucht hat.</w:t>
      </w:r>
    </w:p>
    <w:bookmarkEnd w:id="1348"/>
    <w:bookmarkStart w:id="1352" w:name="tier--und-laborstudien-26"/>
    <w:p>
      <w:pPr>
        <w:pStyle w:val="Heading3"/>
      </w:pPr>
      <w:r>
        <w:t xml:space="preserve">Tier- und Laborstudien</w:t>
      </w:r>
    </w:p>
    <w:p>
      <w:pPr>
        <w:numPr>
          <w:ilvl w:val="0"/>
          <w:numId w:val="1160"/>
        </w:numPr>
        <w:pStyle w:val="Compact"/>
      </w:pPr>
      <w:r>
        <w:rPr>
          <w:bCs/>
          <w:b/>
        </w:rPr>
        <w:t xml:space="preserve">Darm (Ratten):</w:t>
      </w:r>
      <w:r>
        <w:t xml:space="preserve"> </w:t>
      </w:r>
      <w:r>
        <w:t xml:space="preserve">Bei Ratten mit operativ ausgelöster Darmlähmung verkürzte eine Einzeldosis Ipamorelin die Zeit bis zum ersten Stuhlgang; wiederholte Gaben steigerten Stuhlmenge, Futteraufnahme und Gewichtszunahme</w:t>
      </w:r>
      <w:r>
        <w:rPr>
          <w:rStyle w:val="FootnoteReference"/>
        </w:rPr>
        <w:footnoteReference w:id="1349"/>
      </w:r>
      <w:r>
        <w:t xml:space="preserve">. Diese Ergebnisse waren die Grundlage der Ileus-Studien am Menschen – die den Effekt nicht bestätigten.</w:t>
      </w:r>
    </w:p>
    <w:p>
      <w:pPr>
        <w:numPr>
          <w:ilvl w:val="0"/>
          <w:numId w:val="1160"/>
        </w:numPr>
        <w:pStyle w:val="Compact"/>
      </w:pPr>
      <w:r>
        <w:rPr>
          <w:bCs/>
          <w:b/>
        </w:rPr>
        <w:t xml:space="preserve">Knochen (Ratten):</w:t>
      </w:r>
      <w:r>
        <w:t xml:space="preserve"> </w:t>
      </w:r>
      <w:r>
        <w:t xml:space="preserve">Bei ausgewachsenen weiblichen Ratten steigerte Ipamorelin über 15 Tage dosisabhängig das Längenwachstum der Knochen und die Gewichtszunahme, ohne IGF-1 messbar zu erhöhen</w:t>
      </w:r>
      <w:r>
        <w:rPr>
          <w:rStyle w:val="FootnoteReference"/>
        </w:rPr>
        <w:footnoteReference w:id="1350"/>
      </w:r>
      <w:r>
        <w:t xml:space="preserve">.</w:t>
      </w:r>
    </w:p>
    <w:p>
      <w:pPr>
        <w:numPr>
          <w:ilvl w:val="0"/>
          <w:numId w:val="1160"/>
        </w:numPr>
        <w:pStyle w:val="Compact"/>
      </w:pPr>
      <w:r>
        <w:rPr>
          <w:bCs/>
          <w:b/>
        </w:rPr>
        <w:t xml:space="preserve">Selektivität (Schweine, Rattenzellen):</w:t>
      </w:r>
      <w:r>
        <w:t xml:space="preserve"> </w:t>
      </w:r>
      <w:r>
        <w:t xml:space="preserve">siehe oben</w:t>
      </w:r>
      <w:r>
        <w:rPr>
          <w:rStyle w:val="FootnoteReference"/>
        </w:rPr>
        <w:footnoteReference w:id="1351"/>
      </w:r>
      <w:r>
        <w:t xml:space="preserve">.</w:t>
      </w:r>
    </w:p>
    <w:bookmarkEnd w:id="1352"/>
    <w:bookmarkStart w:id="1355" w:name="risiken-und-nebenwirkungen-26"/>
    <w:p>
      <w:pPr>
        <w:pStyle w:val="Heading3"/>
      </w:pPr>
      <w:r>
        <w:t xml:space="preserve">Risiken und Nebenwirkungen</w:t>
      </w:r>
    </w:p>
    <w:p>
      <w:pPr>
        <w:pStyle w:val="FirstParagraph"/>
      </w:pPr>
      <w:r>
        <w:rPr>
          <w:bCs/>
          <w:b/>
        </w:rPr>
        <w:t xml:space="preserve">Belegt:</w:t>
      </w:r>
      <w:r>
        <w:t xml:space="preserve"> </w:t>
      </w:r>
      <w:r>
        <w:t xml:space="preserve">In der Ileus-Studie wurde Ipamorelin über bis zu sieben Tage als gut verträglich beschrieben, ohne Häufung von Nebenwirkungen gegenüber Placebo</w:t>
      </w:r>
      <w:r>
        <w:rPr>
          <w:rStyle w:val="FootnoteReference"/>
        </w:rPr>
        <w:footnoteReference w:id="1353"/>
      </w:r>
      <w:r>
        <w:t xml:space="preserve">. Das ist eine kurze Anwendung im Krankenhaus mit intravenöser Gabe.</w:t>
      </w:r>
    </w:p>
    <w:p>
      <w:pPr>
        <w:pStyle w:val="BodyText"/>
      </w:pPr>
      <w:r>
        <w:rPr>
          <w:bCs/>
          <w:b/>
        </w:rPr>
        <w:t xml:space="preserve">Unbekannt:</w:t>
      </w:r>
      <w:r>
        <w:t xml:space="preserve"> </w:t>
      </w:r>
      <w:r>
        <w:t xml:space="preserve">Daten zur wiederholten Anwendung über Wochen oder Monate, wie sie im Internet beschrieben wird, gibt es nicht. Theoretisch zu erwarten sind die Wirkungen erhöhter GH-Spiegel (Wassereinlagerungen, Gelenkbeschwerden, verminderte Insulinempfindlichkeit) sowie über den Ghrelin-Rezeptor ein gesteigerter Appetit. Zur Frage eines Krebsrisikos durch dauerhaft erhöhtes IGF-1 siehe die Einleitung dieser Gruppe und Teil IV.</w:t>
      </w:r>
    </w:p>
    <w:p>
      <w:pPr>
        <w:pStyle w:val="BodyText"/>
      </w:pPr>
      <w:r>
        <w:rPr>
          <w:bCs/>
          <w:b/>
        </w:rPr>
        <w:t xml:space="preserve">Graumarkt:</w:t>
      </w:r>
      <w:r>
        <w:t xml:space="preserve"> </w:t>
      </w:r>
      <w:r>
        <w:t xml:space="preserve">Laboranalysen beschlagnahmter Produkte fanden „Gly-Ipamorelin“, also Ipamorelin mit einer zusätzlichen, nicht deklarierten Aminosäure am Anfang – vermutlich um Doping-Tests zu umgehen</w:t>
      </w:r>
      <w:r>
        <w:rPr>
          <w:rStyle w:val="FootnoteReference"/>
        </w:rPr>
        <w:footnoteReference w:id="1354"/>
      </w:r>
      <w:r>
        <w:t xml:space="preserve">. Wie sich solche Abwandlungen im Körper verhalten, ist unbekannt.</w:t>
      </w:r>
    </w:p>
    <w:bookmarkEnd w:id="1355"/>
    <w:bookmarkStart w:id="1358" w:name="rechtslage-26"/>
    <w:p>
      <w:pPr>
        <w:pStyle w:val="Heading3"/>
      </w:pPr>
      <w:r>
        <w:t xml:space="preserve">Rechtslage</w:t>
      </w:r>
    </w:p>
    <w:p>
      <w:pPr>
        <w:pStyle w:val="FirstParagraph"/>
      </w:pPr>
      <w:r>
        <w:rPr>
          <w:iCs/>
          <w:i/>
        </w:rPr>
        <w:t xml:space="preserve">Stand 2026, bitte aktuell prüfen.</w:t>
      </w:r>
    </w:p>
    <w:p>
      <w:pPr>
        <w:numPr>
          <w:ilvl w:val="0"/>
          <w:numId w:val="1161"/>
        </w:numPr>
        <w:pStyle w:val="Compact"/>
      </w:pPr>
      <w:r>
        <w:rPr>
          <w:bCs/>
          <w:b/>
        </w:rPr>
        <w:t xml:space="preserve">EU, Deutschland, Österreich:</w:t>
      </w:r>
      <w:r>
        <w:t xml:space="preserve"> </w:t>
      </w:r>
      <w:r>
        <w:t xml:space="preserve">keine Zulassung; Abgabe zur Anwendung am Menschen unzulässig.</w:t>
      </w:r>
    </w:p>
    <w:p>
      <w:pPr>
        <w:numPr>
          <w:ilvl w:val="0"/>
          <w:numId w:val="1161"/>
        </w:numPr>
        <w:pStyle w:val="Compact"/>
      </w:pPr>
      <w:r>
        <w:rPr>
          <w:bCs/>
          <w:b/>
        </w:rPr>
        <w:t xml:space="preserve">USA:</w:t>
      </w:r>
      <w:r>
        <w:t xml:space="preserve"> </w:t>
      </w:r>
      <w:r>
        <w:t xml:space="preserve">keine Zulassung. Die FDA hat Ipamorelin unter den Ausgangsstoffen für Rezepturapotheken als Stoff mit Sicherheitsbedenken eingestuft (Kategorie 2); die Einstufung von Peptiden wird seither kontrovers diskutiert</w:t>
      </w:r>
      <w:r>
        <w:rPr>
          <w:rStyle w:val="FootnoteReference"/>
        </w:rPr>
        <w:footnoteReference w:id="1356"/>
      </w:r>
      <w:r>
        <w:t xml:space="preserve">.</w:t>
      </w:r>
    </w:p>
    <w:p>
      <w:pPr>
        <w:numPr>
          <w:ilvl w:val="0"/>
          <w:numId w:val="1161"/>
        </w:numPr>
        <w:pStyle w:val="Compact"/>
      </w:pPr>
      <w:r>
        <w:rPr>
          <w:bCs/>
          <w:b/>
        </w:rPr>
        <w:t xml:space="preserve">WADA:</w:t>
      </w:r>
      <w:r>
        <w:t xml:space="preserve"> </w:t>
      </w:r>
      <w:r>
        <w:t xml:space="preserve">verboten (S2), im Wettkampf und außerhalb. Ipamorelin und seine Abbauprodukte lassen sich im Urin nachweisen, auch nach Anwendung als Nasenspray</w:t>
      </w:r>
      <w:r>
        <w:rPr>
          <w:rStyle w:val="FootnoteReference"/>
        </w:rPr>
        <w:footnoteReference w:id="1357"/>
      </w:r>
      <w:r>
        <w:t xml:space="preserve">.</w:t>
      </w:r>
    </w:p>
    <w:bookmarkEnd w:id="1358"/>
    <w:bookmarkStart w:id="1359" w:name="laufende-studien-und-ausblick-26"/>
    <w:p>
      <w:pPr>
        <w:pStyle w:val="Heading3"/>
      </w:pPr>
      <w:r>
        <w:t xml:space="preserve">Laufende Studien und Ausblick</w:t>
      </w:r>
    </w:p>
    <w:p>
      <w:pPr>
        <w:pStyle w:val="FirstParagraph"/>
      </w:pPr>
      <w:r>
        <w:t xml:space="preserve">Bei ClinicalTrials.gov ist im Oktober 2026 keine laufende Studie verzeichnet, die Ipamorelin als Prüfmedikament untersucht.</w:t>
      </w:r>
      <w:r>
        <w:t xml:space="preserve"> </w:t>
      </w:r>
      <w:r>
        <w:rPr>
          <w:iCs/>
          <w:i/>
        </w:rPr>
        <w:t xml:space="preserve">Einschätzung des Autors:</w:t>
      </w:r>
      <w:r>
        <w:t xml:space="preserve"> </w:t>
      </w:r>
      <w:r>
        <w:t xml:space="preserve">Nach dem negativen Ergebnis beim postoperativen Ileus fehlt ein Unternehmen, das die Substanz weiterentwickelt. Neue Daten sind am ehesten aus Fallberichten über Graumarkt-Anwendungen zu erwarten.</w:t>
      </w:r>
    </w:p>
    <w:bookmarkEnd w:id="1359"/>
    <w:bookmarkStart w:id="1360" w:name="fazit-26"/>
    <w:p>
      <w:pPr>
        <w:pStyle w:val="Heading3"/>
      </w:pPr>
      <w:r>
        <w:t xml:space="preserve">Fazit</w:t>
      </w:r>
    </w:p>
    <w:p>
      <w:pPr>
        <w:pStyle w:val="FirstParagraph"/>
      </w:pPr>
      <w:r>
        <w:t xml:space="preserve">Ipamorelin ist ein gezielt entwickelter Ghrelin-Rezeptor-Agonist, der bei Tieren Wachstumshormon ohne nennenswerte Stresshormon-Ausschüttung freisetzt. Die einzige veröffentlichte Wirksamkeitsstudie am Menschen – 117 Patientinnen und Patienten nach Darmoperationen – fand keinen signifikanten Nutzen; eine größere Folgestudie blieb unveröffentlicht. Für die im Internet beworbenen Anwendungen (Muskelaufbau, Fettabbau, Schlaf, Anti-Aging) gibt es keine Humanstudien, und Graumarkt-Produkte enthalten nachweislich auch abgewandelte Moleküle.</w:t>
      </w:r>
    </w:p>
    <w:bookmarkEnd w:id="1360"/>
    <w:bookmarkEnd w:id="1361"/>
    <w:bookmarkStart w:id="1394" w:name="ghrp-2-pralmorelin"/>
    <w:p>
      <w:pPr>
        <w:pStyle w:val="Heading2"/>
      </w:pPr>
      <w:r>
        <w:t xml:space="preserve">GHRP-2 (Pralmorelin)</w:t>
      </w:r>
    </w:p>
    <w:p>
      <w:pPr>
        <w:pStyle w:val="FirstParagraph"/>
      </w:pPr>
      <w:r>
        <w:t xml:space="preserve">GHRP-2 ist ein kleines Kunstpeptid aus sechs Aminosäuren, das die Hirnanhangdrüse kräftiger zur Ausschüttung von Wachstumshormon anregt als fast jeder andere bekannte Reiz. Diese Stärke hat es in Japan zu einem zugelassenen Arzneimittel gemacht – nicht als Therapie, sondern als Testsubstanz: Mit einer einzigen Injektion lässt sich prüfen, ob ein Erwachsener einen Wachstumshormon-Mangel hat. Auf dem Graumarkt wird dasselbe Peptid als „Muskel- und Anti-Aging-Peptid“ verkauft. Dafür gibt es keine Belege.</w:t>
      </w:r>
    </w:p>
    <w:bookmarkStart w:id="1364" w:name="steckbrief-27"/>
    <w:p>
      <w:pPr>
        <w:pStyle w:val="Heading3"/>
      </w:pPr>
      <w:r>
        <w:t xml:space="preserve">Steckbrief</w:t>
      </w:r>
    </w:p>
    <w:p>
      <w:pPr>
        <w:numPr>
          <w:ilvl w:val="0"/>
          <w:numId w:val="1162"/>
        </w:numPr>
        <w:pStyle w:val="Compact"/>
      </w:pPr>
      <w:r>
        <w:rPr>
          <w:bCs/>
          <w:b/>
        </w:rPr>
        <w:t xml:space="preserve">Art und Struktur:</w:t>
      </w:r>
      <w:r>
        <w:t xml:space="preserve"> </w:t>
      </w:r>
      <w:r>
        <w:t xml:space="preserve">synthetisches Hexapeptid (D-Ala-D-2-Nal-Ala-Trp-D-Phe-Lys-NH2) mit mehreren nicht natürlichen Aminosäuren; Entwicklungsnamen KP-102 und GPA-748, internationaler Freiname Pralmorelin</w:t>
      </w:r>
      <w:r>
        <w:rPr>
          <w:rStyle w:val="FootnoteReference"/>
        </w:rPr>
        <w:footnoteReference w:id="1362"/>
      </w:r>
      <w:r>
        <w:t xml:space="preserve">.</w:t>
      </w:r>
    </w:p>
    <w:p>
      <w:pPr>
        <w:numPr>
          <w:ilvl w:val="0"/>
          <w:numId w:val="1162"/>
        </w:numPr>
        <w:pStyle w:val="Compact"/>
      </w:pPr>
      <w:r>
        <w:rPr>
          <w:bCs/>
          <w:b/>
        </w:rPr>
        <w:t xml:space="preserve">Herkunft:</w:t>
      </w:r>
      <w:r>
        <w:t xml:space="preserve"> </w:t>
      </w:r>
      <w:r>
        <w:t xml:space="preserve">entwickelt in den 1990er-Jahren aus der von Cyril Bowers (Tulane University, USA) begründeten Reihe der GH-freisetzenden Peptide; Rechte bei Kaken (Japan)</w:t>
      </w:r>
      <w:r>
        <w:rPr>
          <w:rStyle w:val="FootnoteReference"/>
        </w:rPr>
        <w:footnoteReference w:id="1363"/>
      </w:r>
      <w:r>
        <w:t xml:space="preserve">.</w:t>
      </w:r>
    </w:p>
    <w:p>
      <w:pPr>
        <w:numPr>
          <w:ilvl w:val="0"/>
          <w:numId w:val="1162"/>
        </w:numPr>
        <w:pStyle w:val="Compact"/>
      </w:pPr>
      <w:r>
        <w:rPr>
          <w:bCs/>
          <w:b/>
        </w:rPr>
        <w:t xml:space="preserve">Wirkprinzip:</w:t>
      </w:r>
      <w:r>
        <w:t xml:space="preserve"> </w:t>
      </w:r>
      <w:r>
        <w:t xml:space="preserve">Agonist am Ghrelin-Rezeptor (GHS-R1a) in Hirnanhangdrüse und Zwischenhirn; setzt Wachstumshormon frei, in geringerem Maß auch ACTH, Cortisol und Prolaktin; steigert den Appetit.</w:t>
      </w:r>
    </w:p>
    <w:p>
      <w:pPr>
        <w:numPr>
          <w:ilvl w:val="0"/>
          <w:numId w:val="1162"/>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r>
        <w:t xml:space="preserve"> </w:t>
      </w:r>
      <w:r>
        <w:rPr>
          <w:bCs/>
          <w:b/>
        </w:rPr>
        <w:t xml:space="preserve">Japan:</w:t>
      </w:r>
      <w:r>
        <w:t xml:space="preserve"> </w:t>
      </w:r>
      <w:r>
        <w:t xml:space="preserve">als Diagnostikum für die Funktion der Hirnanhangdrüse zugelassen.</w:t>
      </w:r>
    </w:p>
    <w:p>
      <w:pPr>
        <w:numPr>
          <w:ilvl w:val="0"/>
          <w:numId w:val="1162"/>
        </w:numPr>
        <w:pStyle w:val="Compact"/>
      </w:pPr>
      <w:r>
        <w:rPr>
          <w:bCs/>
          <w:b/>
        </w:rPr>
        <w:t xml:space="preserve">WADA:</w:t>
      </w:r>
      <w:r>
        <w:t xml:space="preserve"> </w:t>
      </w:r>
      <w:r>
        <w:t xml:space="preserve">verboten, Gruppe S2 – GHRP-2 (Pralmorelin) wird als Wachstumshormon-freisetzendes Peptid ausdrücklich genannt.</w:t>
      </w:r>
    </w:p>
    <w:p>
      <w:pPr>
        <w:numPr>
          <w:ilvl w:val="0"/>
          <w:numId w:val="1162"/>
        </w:numPr>
        <w:pStyle w:val="Compact"/>
      </w:pPr>
      <w:r>
        <w:rPr>
          <w:bCs/>
          <w:b/>
        </w:rPr>
        <w:t xml:space="preserve">Evidenzstufe: B</w:t>
      </w:r>
      <w:r>
        <w:t xml:space="preserve"> </w:t>
      </w:r>
      <w:r>
        <w:t xml:space="preserve">– zahlreiche kleine randomisierte Studien zur Hormonphysiologie und eine Validierungsstudie als Diagnostikum; keine randomisierte Studie zu einem therapeutischen Nutzen.</w:t>
      </w:r>
    </w:p>
    <w:bookmarkEnd w:id="1364"/>
    <w:bookmarkStart w:id="1367" w:name="wie-es-wirken-soll-27"/>
    <w:p>
      <w:pPr>
        <w:pStyle w:val="Heading3"/>
      </w:pPr>
      <w:r>
        <w:t xml:space="preserve">Wie es wirken soll</w:t>
      </w:r>
    </w:p>
    <w:p>
      <w:pPr>
        <w:pStyle w:val="FirstParagraph"/>
      </w:pPr>
      <w:r>
        <w:t xml:space="preserve">GHRP-2 ahmt Ghrelin nach, das Hungerhormon aus dem Magen, das zugleich die Wachstumshormon-Ausschüttung steuert</w:t>
      </w:r>
      <w:r>
        <w:rPr>
          <w:rStyle w:val="FootnoteReference"/>
        </w:rPr>
        <w:footnoteReference w:id="1365"/>
      </w:r>
      <w:r>
        <w:t xml:space="preserve">. Historisch war es umgekehrt: Die synthetischen GHRPs waren zuerst da, ihr Rezeptor wurde gefunden, und erst danach entdeckte man Ghrelin als dessen natürlichen Schlüssel.</w:t>
      </w:r>
    </w:p>
    <w:p>
      <w:pPr>
        <w:pStyle w:val="BodyText"/>
      </w:pPr>
      <w:r>
        <w:t xml:space="preserve">GHRP-2 wirkt auf zwei Ebenen: direkt an der Hirnanhangdrüse und indirekt über das Zwischenhirn, wo es die Bremse Somatostatin abschwächt und das körpereigene GHRH unterstützt. Für die volle Wirkung braucht es deshalb ein intaktes Zwischenhirn: Bei Ratten ohne Hirnanhangdrüse wirkte es gar nicht, bei Ratten mit zerstörter Verbindung zwischen Zwischenhirn und Hypophyse nur abgeschwächt</w:t>
      </w:r>
      <w:r>
        <w:rPr>
          <w:rStyle w:val="FootnoteReference"/>
        </w:rPr>
        <w:footnoteReference w:id="1366"/>
      </w:r>
      <w:r>
        <w:t xml:space="preserve">. Gibt man GHRP-2 und GHRH zusammen, ist die Ausschüttung deutlich größer als die Summe der Einzelwirkungen.</w:t>
      </w:r>
    </w:p>
    <w:bookmarkEnd w:id="1367"/>
    <w:bookmarkStart w:id="1381" w:name="studien-am-menschen-2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55</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große Zahl täuscht: Die meisten Arbeiten (vor allem einer Forschungsgruppe der Mayo Clinic) nutzen GHRP-2 als Werkzeug, um die Steuerung der Wachstumshormon-Ausschüttung bei Frauen und Männern, unter Sexualhormonen oder im Alter zu untersuchen. Sie sagen nichts über einen Nutzen für die Gesundheit aus.</w:t>
      </w:r>
    </w:p>
    <w:bookmarkStart w:id="1372" w:name="diagnostik-des-wachstumshormon-mangels"/>
    <w:p>
      <w:pPr>
        <w:pStyle w:val="Heading4"/>
      </w:pPr>
      <w:r>
        <w:t xml:space="preserve">Diagnostik des Wachstumshormon-Mangels</w:t>
      </w:r>
    </w:p>
    <w:p>
      <w:pPr>
        <w:pStyle w:val="FirstParagraph"/>
      </w:pPr>
      <w:r>
        <w:t xml:space="preserve">Die wichtigste Anwendung ist der GHRP-2-Test. In einer Validierungsstudie erhielten 77 Gesunde und 58 Patientinnen und Patienten mit gesichertem schwerem Wachstumshormon-Mangel eine intravenöse Einzeldosis. Der GH-Gipfel lag bei den Gesunden im Mittel bei 84,6 µg/l, bei den Betroffenen bei 1,36 µg/l. Der Test war gut wiederholbar und wurde durch Alter und Übergewicht nur wenig beeinflusst; ein Grenzwert von 15 µg/l entsprach dem gebräuchlichen Grenzwert des Insulin-Hypoglykämie-Tests</w:t>
      </w:r>
      <w:r>
        <w:rPr>
          <w:rStyle w:val="FootnoteReference"/>
        </w:rPr>
        <w:footnoteReference w:id="1368"/>
      </w:r>
      <w:r>
        <w:t xml:space="preserve">. In einem Vergleich bei 71 Menschen mit Hypophysentumoren erreichte der GHRP-2-Test gegenüber dem Insulintest eine Sensitivität von 81,3 % und eine Spezifität von 94,5 %</w:t>
      </w:r>
      <w:r>
        <w:rPr>
          <w:rStyle w:val="FootnoteReference"/>
        </w:rPr>
        <w:footnoteReference w:id="1369"/>
      </w:r>
      <w:r>
        <w:t xml:space="preserve">.</w:t>
      </w:r>
    </w:p>
    <w:p>
      <w:pPr>
        <w:pStyle w:val="BodyText"/>
      </w:pPr>
      <w:r>
        <w:t xml:space="preserve">Weil GHRP-2 auch ACTH freisetzt, wurde geprüft, ob der Test zusätzlich eine Unterfunktion der Nebennieren-Achse erkennt. Die Ergebnisse sind gemischt: In einer Studie mit 47 Personen erreichte er eine Sensitivität von 89,7 %</w:t>
      </w:r>
      <w:r>
        <w:rPr>
          <w:rStyle w:val="FootnoteReference"/>
        </w:rPr>
        <w:footnoteReference w:id="1370"/>
      </w:r>
      <w:r>
        <w:t xml:space="preserve">; in einer größeren Auswertung von 254 Personen war er insgesamt nicht ausreichend zuverlässig (Sensitivität 64 %, Spezifität 79 %), nur bei Männern ohne hormonaktiven Tumor schnitt er gut ab</w:t>
      </w:r>
      <w:r>
        <w:rPr>
          <w:rStyle w:val="FootnoteReference"/>
        </w:rPr>
        <w:footnoteReference w:id="1371"/>
      </w:r>
      <w:r>
        <w:t xml:space="preserve">.</w:t>
      </w:r>
    </w:p>
    <w:bookmarkEnd w:id="1372"/>
    <w:bookmarkStart w:id="1377" w:name="behandlungsversuche-bei-kindern"/>
    <w:p>
      <w:pPr>
        <w:pStyle w:val="Heading4"/>
      </w:pPr>
      <w:r>
        <w:t xml:space="preserve">Behandlungsversuche bei Kindern</w:t>
      </w:r>
    </w:p>
    <w:p>
      <w:pPr>
        <w:pStyle w:val="FirstParagraph"/>
      </w:pPr>
      <w:r>
        <w:t xml:space="preserve">In den 1990er-Jahren wurde GHRP-2 als Therapie für kleinwüchsige Kinder erprobt. Bei sechs Kindern mit Wachstumshormon-Mangel stieg die nächtliche GH-Ausschüttung dosisabhängig, IGF-1 aber nicht; die Wachstumsgeschwindigkeit war während der Behandlung höher</w:t>
      </w:r>
      <w:r>
        <w:rPr>
          <w:rStyle w:val="FootnoteReference"/>
        </w:rPr>
        <w:footnoteReference w:id="1373"/>
      </w:r>
      <w:r>
        <w:t xml:space="preserve">. Als Nasenspray erhöhte GHRP-2 bei 15 Kindern die Wachstumsgeschwindigkeit von 3,7 auf 6,1 cm pro Jahr, wiederum ohne Anstieg von IGF-1</w:t>
      </w:r>
      <w:r>
        <w:rPr>
          <w:rStyle w:val="FootnoteReference"/>
        </w:rPr>
        <w:footnoteReference w:id="1374"/>
      </w:r>
      <w:r>
        <w:t xml:space="preserve">. Bei zehn Kindern, die GHRP-2 zwölf Monate als Tablette erhielten, berichteten sieben über deutlich mehr Appetit in den ersten Monaten</w:t>
      </w:r>
      <w:r>
        <w:rPr>
          <w:rStyle w:val="FootnoteReference"/>
        </w:rPr>
        <w:footnoteReference w:id="1375"/>
      </w:r>
      <w:r>
        <w:t xml:space="preserve">. Eine Weiterentwicklung zur Therapie wurde in den USA eingestellt</w:t>
      </w:r>
      <w:r>
        <w:rPr>
          <w:rStyle w:val="FootnoteReference"/>
        </w:rPr>
        <w:footnoteReference w:id="1376"/>
      </w:r>
      <w:r>
        <w:t xml:space="preserve">.</w:t>
      </w:r>
    </w:p>
    <w:bookmarkEnd w:id="1377"/>
    <w:bookmarkStart w:id="1380" w:name="appetit-und-intensivmedizin"/>
    <w:p>
      <w:pPr>
        <w:pStyle w:val="Heading4"/>
      </w:pPr>
      <w:r>
        <w:t xml:space="preserve">Appetit und Intensivmedizin</w:t>
      </w:r>
    </w:p>
    <w:p>
      <w:pPr>
        <w:pStyle w:val="FirstParagraph"/>
      </w:pPr>
      <w:r>
        <w:t xml:space="preserve">Bei 19 schlanken und übergewichtigen Erwachsenen steigerte eine Infusion von GHRP-2 die frei gewählte Essensmenge dosisabhängig um 10,2 % bzw. 33,5 % gegenüber Placebo</w:t>
      </w:r>
      <w:r>
        <w:rPr>
          <w:rStyle w:val="FootnoteReference"/>
        </w:rPr>
        <w:footnoteReference w:id="1378"/>
      </w:r>
      <w:r>
        <w:t xml:space="preserve">. Bei 14 Langzeit-Intensivpatientinnen und -patienten reaktivierte eine fünftägige Infusion von GHRP-2 zusammen mit dem Schilddrüsen-Freisetzungshormon TRH die unterdrückte GH- und Schilddrüsenachse und verschob Stoffwechselmarker in Richtung Aufbau</w:t>
      </w:r>
      <w:r>
        <w:rPr>
          <w:rStyle w:val="FootnoteReference"/>
        </w:rPr>
        <w:footnoteReference w:id="1379"/>
      </w:r>
      <w:r>
        <w:t xml:space="preserve">. Ob das die Überlebenschancen ändert, wurde nie in einer Endpunktstudie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(Chihara 2007), PMID 17609397</w:t>
            </w:r>
          </w:p>
        </w:tc>
        <w:tc>
          <w:tcPr/>
          <w:p>
            <w:pPr>
              <w:pStyle w:val="Compact"/>
              <w:jc w:val="left"/>
            </w:pPr>
            <w:r>
              <w:t xml:space="preserve">77 Gesunde, 58 Betroffene mit GH-Mangel, kontrollierte Validierung</w:t>
            </w:r>
          </w:p>
        </w:tc>
        <w:tc>
          <w:tcPr/>
          <w:p>
            <w:pPr>
              <w:pStyle w:val="Compact"/>
              <w:jc w:val="left"/>
            </w:pPr>
            <w:r>
              <w:t xml:space="preserve">Einzeltest</w:t>
            </w:r>
          </w:p>
        </w:tc>
        <w:tc>
          <w:tcPr/>
          <w:p>
            <w:pPr>
              <w:pStyle w:val="Compact"/>
              <w:jc w:val="left"/>
            </w:pPr>
            <w:r>
              <w:t xml:space="preserve">GH-Gipfel 84,6 vs. 1,36 µg/l; Grenzwert 15 µg/l</w:t>
            </w:r>
          </w:p>
        </w:tc>
      </w:tr>
      <w:tr>
        <w:tc>
          <w:tcPr/>
          <w:p>
            <w:pPr>
              <w:pStyle w:val="Compact"/>
              <w:jc w:val="left"/>
            </w:pPr>
            <w:r>
              <w:t xml:space="preserve">Diagnostik (Kinoshita 2013), PMID 23079545</w:t>
            </w:r>
          </w:p>
        </w:tc>
        <w:tc>
          <w:tcPr/>
          <w:p>
            <w:pPr>
              <w:pStyle w:val="Compact"/>
              <w:jc w:val="left"/>
            </w:pPr>
            <w:r>
              <w:t xml:space="preserve">71 Personen mit Hypophysentumoren, Vergleich mit Insulintest</w:t>
            </w:r>
          </w:p>
        </w:tc>
        <w:tc>
          <w:tcPr/>
          <w:p>
            <w:pPr>
              <w:pStyle w:val="Compact"/>
              <w:jc w:val="left"/>
            </w:pPr>
            <w:r>
              <w:t xml:space="preserve">Einzeltest</w:t>
            </w:r>
          </w:p>
        </w:tc>
        <w:tc>
          <w:tcPr/>
          <w:p>
            <w:pPr>
              <w:pStyle w:val="Compact"/>
              <w:jc w:val="left"/>
            </w:pPr>
            <w:r>
              <w:t xml:space="preserve">Sensitivität 81,3 %, Spezifität 94,5 %</w:t>
            </w:r>
          </w:p>
        </w:tc>
      </w:tr>
      <w:tr>
        <w:tc>
          <w:tcPr/>
          <w:p>
            <w:pPr>
              <w:pStyle w:val="Compact"/>
              <w:jc w:val="left"/>
            </w:pPr>
            <w:r>
              <w:t xml:space="preserve">Kinder, Nasenspray (Pihoker 1997), PMID 9390009</w:t>
            </w:r>
          </w:p>
        </w:tc>
        <w:tc>
          <w:tcPr/>
          <w:p>
            <w:pPr>
              <w:pStyle w:val="Compact"/>
              <w:jc w:val="left"/>
            </w:pPr>
            <w:r>
              <w:t xml:space="preserve">15 kleinwüchsige Kinder, ohne Kontrollgruppe</w:t>
            </w:r>
          </w:p>
        </w:tc>
        <w:tc>
          <w:tcPr/>
          <w:p>
            <w:pPr>
              <w:pStyle w:val="Compact"/>
              <w:jc w:val="left"/>
            </w:pPr>
            <w:r>
              <w:t xml:space="preserve">6–24 Monate</w:t>
            </w:r>
          </w:p>
        </w:tc>
        <w:tc>
          <w:tcPr/>
          <w:p>
            <w:pPr>
              <w:pStyle w:val="Compact"/>
              <w:jc w:val="left"/>
            </w:pPr>
            <w:r>
              <w:t xml:space="preserve">Wachstum 3,7 → 6,1 cm/Jahr</w:t>
            </w:r>
          </w:p>
        </w:tc>
      </w:tr>
      <w:tr>
        <w:tc>
          <w:tcPr/>
          <w:p>
            <w:pPr>
              <w:pStyle w:val="Compact"/>
              <w:jc w:val="left"/>
            </w:pPr>
            <w:r>
              <w:t xml:space="preserve">Appetit (Laferrère 2006), PMID 16861611</w:t>
            </w:r>
          </w:p>
        </w:tc>
        <w:tc>
          <w:tcPr/>
          <w:p>
            <w:pPr>
              <w:pStyle w:val="Compact"/>
              <w:jc w:val="left"/>
            </w:pPr>
            <w:r>
              <w:t xml:space="preserve">19 Erwachsene, RCT-Überkreuzdesign gegen Placebo</w:t>
            </w:r>
          </w:p>
        </w:tc>
        <w:tc>
          <w:tcPr/>
          <w:p>
            <w:pPr>
              <w:pStyle w:val="Compact"/>
              <w:jc w:val="left"/>
            </w:pPr>
            <w:r>
              <w:t xml:space="preserve">3 Einzelinfusionen</w:t>
            </w:r>
          </w:p>
        </w:tc>
        <w:tc>
          <w:tcPr/>
          <w:p>
            <w:pPr>
              <w:pStyle w:val="Compact"/>
              <w:jc w:val="left"/>
            </w:pPr>
            <w:r>
              <w:t xml:space="preserve">Essensmenge +10,2 % bzw. +33,5 %</w:t>
            </w:r>
          </w:p>
        </w:tc>
      </w:tr>
      <w:tr>
        <w:tc>
          <w:tcPr/>
          <w:p>
            <w:pPr>
              <w:pStyle w:val="Compact"/>
              <w:jc w:val="left"/>
            </w:pPr>
            <w:r>
              <w:t xml:space="preserve">Intensivmedizin (Van den Berghe 1999), PMID 10199772</w:t>
            </w:r>
          </w:p>
        </w:tc>
        <w:tc>
          <w:tcPr/>
          <w:p>
            <w:pPr>
              <w:pStyle w:val="Compact"/>
              <w:jc w:val="left"/>
            </w:pPr>
            <w:r>
              <w:t xml:space="preserve">14 Langzeit-Intensivpatienten, randomisiertes Überkreuzdesign</w:t>
            </w:r>
          </w:p>
        </w:tc>
        <w:tc>
          <w:tcPr/>
          <w:p>
            <w:pPr>
              <w:pStyle w:val="Compact"/>
              <w:jc w:val="left"/>
            </w:pPr>
            <w:r>
              <w:t xml:space="preserve">5 Tage</w:t>
            </w:r>
          </w:p>
        </w:tc>
        <w:tc>
          <w:tcPr/>
          <w:p>
            <w:pPr>
              <w:pStyle w:val="Compact"/>
              <w:jc w:val="left"/>
            </w:pPr>
            <w:r>
              <w:t xml:space="preserve">GH- und Schilddrüsenachse reaktiviert</w:t>
            </w:r>
          </w:p>
        </w:tc>
      </w:tr>
    </w:tbl>
    <w:bookmarkEnd w:id="1380"/>
    <w:bookmarkEnd w:id="1381"/>
    <w:bookmarkStart w:id="1384" w:name="tier--und-laborstudien-27"/>
    <w:p>
      <w:pPr>
        <w:pStyle w:val="Heading3"/>
      </w:pPr>
      <w:r>
        <w:t xml:space="preserve">Tier- und Laborstudien</w:t>
      </w:r>
    </w:p>
    <w:p>
      <w:pPr>
        <w:pStyle w:val="FirstParagraph"/>
      </w:pPr>
      <w:r>
        <w:t xml:space="preserve">Bei wachen Ratten setzte GHRP-2 mehr Wachstumshormon frei als GHRH und wirkte auch bei Hunden, bei denen GHRH versagte; es steigerte bei Ratten ACTH und Corticosteron, nicht aber Prolaktin, und beschleunigte über drei Wochen das Wachstum</w:t>
      </w:r>
      <w:r>
        <w:rPr>
          <w:rStyle w:val="FootnoteReference"/>
        </w:rPr>
        <w:footnoteReference w:id="1382"/>
      </w:r>
      <w:r>
        <w:t xml:space="preserve">. Bei Schweinen war GHRP-2 in einer Vergleichsstudie besonders potent, setzte aber anders als Ipamorelin auch ACTH und Cortisol frei</w:t>
      </w:r>
      <w:r>
        <w:rPr>
          <w:rStyle w:val="FootnoteReference"/>
        </w:rPr>
        <w:footnoteReference w:id="1383"/>
      </w:r>
      <w:r>
        <w:t xml:space="preserve">.</w:t>
      </w:r>
    </w:p>
    <w:bookmarkEnd w:id="1384"/>
    <w:bookmarkStart w:id="1389" w:name="risiken-und-nebenwirkungen-27"/>
    <w:p>
      <w:pPr>
        <w:pStyle w:val="Heading3"/>
      </w:pPr>
      <w:r>
        <w:t xml:space="preserve">Risiken und Nebenwirkungen</w:t>
      </w:r>
    </w:p>
    <w:p>
      <w:pPr>
        <w:pStyle w:val="FirstParagraph"/>
      </w:pPr>
      <w:r>
        <w:rPr>
          <w:bCs/>
          <w:b/>
        </w:rPr>
        <w:t xml:space="preserve">Belegt:</w:t>
      </w:r>
      <w:r>
        <w:t xml:space="preserve"> </w:t>
      </w:r>
      <w:r>
        <w:t xml:space="preserve">In den Studien wurde GHRP-2 kurzfristig gut vertragen. Wiederholt beschrieben sind ein gesteigerter Appetit</w:t>
      </w:r>
      <w:r>
        <w:rPr>
          <w:rStyle w:val="FootnoteReference"/>
        </w:rPr>
        <w:footnoteReference w:id="1385"/>
      </w:r>
      <w:r>
        <w:t xml:space="preserve"> </w:t>
      </w:r>
      <w:r>
        <w:t xml:space="preserve">sowie die Freisetzung von ACTH und Cortisol</w:t>
      </w:r>
      <w:r>
        <w:rPr>
          <w:rStyle w:val="FootnoteReference"/>
        </w:rPr>
        <w:footnoteReference w:id="1386"/>
      </w:r>
      <w:r>
        <w:t xml:space="preserve">. Eine Übersicht über GH-Freisetzer nennt außerdem einen möglichen Anstieg des Blutzuckers durch verminderte Insulinempfindlichkeit und fordert Langzeitdaten zu Krebs und Sterblichkeit</w:t>
      </w:r>
      <w:r>
        <w:rPr>
          <w:rStyle w:val="FootnoteReference"/>
        </w:rPr>
        <w:footnoteReference w:id="1387"/>
      </w:r>
      <w:r>
        <w:t xml:space="preserve">.</w:t>
      </w:r>
    </w:p>
    <w:p>
      <w:pPr>
        <w:pStyle w:val="BodyText"/>
      </w:pPr>
      <w:r>
        <w:rPr>
          <w:bCs/>
          <w:b/>
        </w:rPr>
        <w:t xml:space="preserve">Unbekannt:</w:t>
      </w:r>
      <w:r>
        <w:t xml:space="preserve"> </w:t>
      </w:r>
      <w:r>
        <w:t xml:space="preserve">Daten zur Anwendung über Monate oder Jahre bei Erwachsenen gibt es nicht. Zur Frage, ob ein dauerhaft erhöhtes Wachstumshormon/IGF-1 das Krebsrisiko steigert, siehe die Einleitung dieser Gruppe und Teil IV.</w:t>
      </w:r>
    </w:p>
    <w:p>
      <w:pPr>
        <w:pStyle w:val="BodyText"/>
      </w:pPr>
      <w:r>
        <w:rPr>
          <w:bCs/>
          <w:b/>
        </w:rPr>
        <w:t xml:space="preserve">Graumarkt:</w:t>
      </w:r>
      <w:r>
        <w:t xml:space="preserve"> </w:t>
      </w:r>
      <w:r>
        <w:t xml:space="preserve">In beschlagnahmten Produkten wurde „Gly-GHRP-2“ gefunden, also GHRP-2 mit einer zusätzlichen Aminosäure, die nicht deklariert war</w:t>
      </w:r>
      <w:r>
        <w:rPr>
          <w:rStyle w:val="FootnoteReference"/>
        </w:rPr>
        <w:footnoteReference w:id="1388"/>
      </w:r>
      <w:r>
        <w:t xml:space="preserve">.</w:t>
      </w:r>
    </w:p>
    <w:bookmarkEnd w:id="1389"/>
    <w:bookmarkStart w:id="1391" w:name="rechtslage-27"/>
    <w:p>
      <w:pPr>
        <w:pStyle w:val="Heading3"/>
      </w:pPr>
      <w:r>
        <w:t xml:space="preserve">Rechtslage</w:t>
      </w:r>
    </w:p>
    <w:p>
      <w:pPr>
        <w:pStyle w:val="FirstParagraph"/>
      </w:pPr>
      <w:r>
        <w:rPr>
          <w:iCs/>
          <w:i/>
        </w:rPr>
        <w:t xml:space="preserve">Stand 2026, bitte aktuell prüfen.</w:t>
      </w:r>
    </w:p>
    <w:p>
      <w:pPr>
        <w:numPr>
          <w:ilvl w:val="0"/>
          <w:numId w:val="1163"/>
        </w:numPr>
        <w:pStyle w:val="Compact"/>
      </w:pPr>
      <w:r>
        <w:rPr>
          <w:bCs/>
          <w:b/>
        </w:rPr>
        <w:t xml:space="preserve">Japan:</w:t>
      </w:r>
      <w:r>
        <w:t xml:space="preserve"> </w:t>
      </w:r>
      <w:r>
        <w:t xml:space="preserve">als Diagnostikum zugelassen; Anwendung ausschließlich im Rahmen ärztlicher Funktionstests.</w:t>
      </w:r>
    </w:p>
    <w:p>
      <w:pPr>
        <w:numPr>
          <w:ilvl w:val="0"/>
          <w:numId w:val="1163"/>
        </w:numPr>
        <w:pStyle w:val="Compact"/>
      </w:pPr>
      <w:r>
        <w:rPr>
          <w:bCs/>
          <w:b/>
        </w:rPr>
        <w:t xml:space="preserve">EU, Deutschland, Österreich:</w:t>
      </w:r>
      <w:r>
        <w:t xml:space="preserve"> </w:t>
      </w:r>
      <w:r>
        <w:t xml:space="preserve">keine Zulassung; Abgabe zur Anwendung am Menschen unzulässig.</w:t>
      </w:r>
    </w:p>
    <w:p>
      <w:pPr>
        <w:numPr>
          <w:ilvl w:val="0"/>
          <w:numId w:val="1163"/>
        </w:numPr>
        <w:pStyle w:val="Compact"/>
      </w:pPr>
      <w:r>
        <w:rPr>
          <w:bCs/>
          <w:b/>
        </w:rPr>
        <w:t xml:space="preserve">USA:</w:t>
      </w:r>
      <w:r>
        <w:t xml:space="preserve"> </w:t>
      </w:r>
      <w:r>
        <w:t xml:space="preserve">keine Zulassung.</w:t>
      </w:r>
    </w:p>
    <w:p>
      <w:pPr>
        <w:numPr>
          <w:ilvl w:val="0"/>
          <w:numId w:val="1163"/>
        </w:numPr>
        <w:pStyle w:val="Compact"/>
      </w:pPr>
      <w:r>
        <w:rPr>
          <w:bCs/>
          <w:b/>
        </w:rPr>
        <w:t xml:space="preserve">WADA:</w:t>
      </w:r>
      <w:r>
        <w:t xml:space="preserve"> </w:t>
      </w:r>
      <w:r>
        <w:t xml:space="preserve">verboten (S2). GHRP-2 und seine Abbauprodukte sind nach Gabe als Nasenspray bei einem Freiwilligen bis zu 47 Stunden im Urin nachweisbar</w:t>
      </w:r>
      <w:r>
        <w:rPr>
          <w:rStyle w:val="FootnoteReference"/>
        </w:rPr>
        <w:footnoteReference w:id="1390"/>
      </w:r>
      <w:r>
        <w:t xml:space="preserve">.</w:t>
      </w:r>
    </w:p>
    <w:bookmarkEnd w:id="1391"/>
    <w:bookmarkStart w:id="1392" w:name="laufende-studien-und-ausblick-27"/>
    <w:p>
      <w:pPr>
        <w:pStyle w:val="Heading3"/>
      </w:pPr>
      <w:r>
        <w:t xml:space="preserve">Laufende Studien und Ausblick</w:t>
      </w:r>
    </w:p>
    <w:p>
      <w:pPr>
        <w:pStyle w:val="FirstParagraph"/>
      </w:pPr>
      <w:r>
        <w:t xml:space="preserve">Bei ClinicalTrials.gov ist im Oktober 2026 keine Studie mit GHRP-2 oder Pralmorelin eingetragen.</w:t>
      </w:r>
      <w:r>
        <w:t xml:space="preserve"> </w:t>
      </w:r>
      <w:r>
        <w:rPr>
          <w:iCs/>
          <w:i/>
        </w:rPr>
        <w:t xml:space="preserve">Einschätzung des Autors:</w:t>
      </w:r>
      <w:r>
        <w:t xml:space="preserve"> </w:t>
      </w:r>
      <w:r>
        <w:t xml:space="preserve">GHRP-2 wird ein Werkzeug der Diagnostik in Japan und der Hormonforschung bleiben. In anderen Ländern konkurriert es als Testsubstanz mit dem in Tablettenform verfügbaren Macimorelin.</w:t>
      </w:r>
    </w:p>
    <w:bookmarkEnd w:id="1392"/>
    <w:bookmarkStart w:id="1393" w:name="fazit-27"/>
    <w:p>
      <w:pPr>
        <w:pStyle w:val="Heading3"/>
      </w:pPr>
      <w:r>
        <w:t xml:space="preserve">Fazit</w:t>
      </w:r>
    </w:p>
    <w:p>
      <w:pPr>
        <w:pStyle w:val="FirstParagraph"/>
      </w:pPr>
      <w:r>
        <w:t xml:space="preserve">GHRP-2 ist einer der stärksten bekannten Auslöser der Wachstumshormon-Ausschüttung und in Japan als Diagnostikum für den Wachstumshormon-Mangel etabliert. Behandlungsversuche bei Kindern zeigten nur bescheidene Effekte und wurden nicht weiterverfolgt. Für Muskelaufbau, Fettabbau oder „Anti-Aging“ bei Gesunden gibt es keine Studien; belegt sind dagegen Nebeneffekte wie Heißhunger und eine Aktivierung der Stresshormone.</w:t>
      </w:r>
    </w:p>
    <w:bookmarkEnd w:id="1393"/>
    <w:bookmarkEnd w:id="1394"/>
    <w:bookmarkStart w:id="1424" w:name="ghrp-6"/>
    <w:p>
      <w:pPr>
        <w:pStyle w:val="Heading2"/>
      </w:pPr>
      <w:r>
        <w:t xml:space="preserve">GHRP-6</w:t>
      </w:r>
    </w:p>
    <w:p>
      <w:pPr>
        <w:pStyle w:val="FirstParagraph"/>
      </w:pPr>
      <w:r>
        <w:t xml:space="preserve">GHRP-6 ist der Urahn aller Wachstumshormon-freisetzenden Peptide. 1984 beschrieb der US-Endokrinologe Cyril Bowers ein künstliches Hexapeptid, das gezielt Wachstumshormon freisetzt – 15 Jahre bevor man den natürlichen Gegenspieler Ghrelin kannte. In der Forschung wurde GHRP-6 zum Standardwerkzeug, um die Wachstumshormon-Achse zu testen. In Bodybuilding-Kreisen gilt es dagegen als preiswerter GH-Booster mit dem Nebeneffekt „Heißhunger“. Ein Arzneimittel ist daraus nie geworden.</w:t>
      </w:r>
    </w:p>
    <w:bookmarkStart w:id="1396" w:name="steckbrief-28"/>
    <w:p>
      <w:pPr>
        <w:pStyle w:val="Heading3"/>
      </w:pPr>
      <w:r>
        <w:t xml:space="preserve">Steckbrief</w:t>
      </w:r>
    </w:p>
    <w:p>
      <w:pPr>
        <w:numPr>
          <w:ilvl w:val="0"/>
          <w:numId w:val="1164"/>
        </w:numPr>
        <w:pStyle w:val="Compact"/>
      </w:pPr>
      <w:r>
        <w:rPr>
          <w:bCs/>
          <w:b/>
        </w:rPr>
        <w:t xml:space="preserve">Art und Struktur:</w:t>
      </w:r>
      <w:r>
        <w:t xml:space="preserve"> </w:t>
      </w:r>
      <w:r>
        <w:t xml:space="preserve">synthetisches Hexapeptid His-D-Trp-Ala-Trp-D-Phe-Lys-NH2 mit zwei nicht natürlichen D-Aminosäuren</w:t>
      </w:r>
      <w:r>
        <w:rPr>
          <w:rStyle w:val="FootnoteReference"/>
        </w:rPr>
        <w:footnoteReference w:id="1395"/>
      </w:r>
      <w:r>
        <w:t xml:space="preserve">.</w:t>
      </w:r>
    </w:p>
    <w:p>
      <w:pPr>
        <w:numPr>
          <w:ilvl w:val="0"/>
          <w:numId w:val="1164"/>
        </w:numPr>
        <w:pStyle w:val="Compact"/>
      </w:pPr>
      <w:r>
        <w:rPr>
          <w:bCs/>
          <w:b/>
        </w:rPr>
        <w:t xml:space="preserve">Herkunft:</w:t>
      </w:r>
      <w:r>
        <w:t xml:space="preserve"> </w:t>
      </w:r>
      <w:r>
        <w:t xml:space="preserve">Tulane University (USA), Anfang der 1980er-Jahre.</w:t>
      </w:r>
    </w:p>
    <w:p>
      <w:pPr>
        <w:numPr>
          <w:ilvl w:val="0"/>
          <w:numId w:val="1164"/>
        </w:numPr>
        <w:pStyle w:val="Compact"/>
      </w:pPr>
      <w:r>
        <w:rPr>
          <w:bCs/>
          <w:b/>
        </w:rPr>
        <w:t xml:space="preserve">Wirkprinzip:</w:t>
      </w:r>
      <w:r>
        <w:t xml:space="preserve"> </w:t>
      </w:r>
      <w:r>
        <w:t xml:space="preserve">Agonist am Ghrelin-Rezeptor (GHS-R1a) in Hirnanhangdrüse und Zwischenhirn; setzt Wachstumshormon frei, daneben ACTH, Cortisol und Prolaktin; steigert den Appetit.</w:t>
      </w:r>
    </w:p>
    <w:p>
      <w:pPr>
        <w:numPr>
          <w:ilvl w:val="0"/>
          <w:numId w:val="1164"/>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Auch sonst nirgends als Arzneimittel zugelassen (Stand 2026).</w:t>
      </w:r>
    </w:p>
    <w:p>
      <w:pPr>
        <w:numPr>
          <w:ilvl w:val="0"/>
          <w:numId w:val="1164"/>
        </w:numPr>
        <w:pStyle w:val="Compact"/>
      </w:pPr>
      <w:r>
        <w:rPr>
          <w:bCs/>
          <w:b/>
        </w:rPr>
        <w:t xml:space="preserve">WADA:</w:t>
      </w:r>
      <w:r>
        <w:t xml:space="preserve"> </w:t>
      </w:r>
      <w:r>
        <w:t xml:space="preserve">verboten, Gruppe S2 – GHRP-6 wird als Wachstumshormon-freisetzendes Peptid ausdrücklich genannt.</w:t>
      </w:r>
    </w:p>
    <w:p>
      <w:pPr>
        <w:numPr>
          <w:ilvl w:val="0"/>
          <w:numId w:val="1164"/>
        </w:numPr>
        <w:pStyle w:val="Compact"/>
      </w:pPr>
      <w:r>
        <w:rPr>
          <w:bCs/>
          <w:b/>
        </w:rPr>
        <w:t xml:space="preserve">Evidenzstufe: C</w:t>
      </w:r>
      <w:r>
        <w:t xml:space="preserve"> </w:t>
      </w:r>
      <w:r>
        <w:t xml:space="preserve">– viele kleine Studien zur Hormonphysiologie und Diagnostik mit jeweils 10 bis 250 Personen, aber keine einzige kontrollierte Studie zu einem therapeutischen Nutzen.</w:t>
      </w:r>
    </w:p>
    <w:bookmarkEnd w:id="1396"/>
    <w:bookmarkStart w:id="1399" w:name="wie-es-wirken-soll-28"/>
    <w:p>
      <w:pPr>
        <w:pStyle w:val="Heading3"/>
      </w:pPr>
      <w:r>
        <w:t xml:space="preserve">Wie es wirken soll</w:t>
      </w:r>
    </w:p>
    <w:p>
      <w:pPr>
        <w:pStyle w:val="FirstParagraph"/>
      </w:pPr>
      <w:r>
        <w:t xml:space="preserve">Bowers und Kollegen zeigten 1984, dass das Hexapeptid bei Ratten, Affen, Lämmern und Kälbern innerhalb von Minuten Wachstumshormon freisetzt, ohne andere Hypophysenhormone wie LH, FSH oder TSH zu beeinflussen; Ratten, die es wiederholt erhielten, nahmen stärker an Gewicht zu</w:t>
      </w:r>
      <w:r>
        <w:rPr>
          <w:rStyle w:val="FootnoteReference"/>
        </w:rPr>
        <w:footnoteReference w:id="1397"/>
      </w:r>
      <w:r>
        <w:t xml:space="preserve">. Später stellte sich heraus, dass GHRP-6 am selben Rezeptor wirkt wie das Magenhormon Ghrelin</w:t>
      </w:r>
      <w:r>
        <w:rPr>
          <w:rStyle w:val="FootnoteReference"/>
        </w:rPr>
        <w:footnoteReference w:id="1398"/>
      </w:r>
      <w:r>
        <w:t xml:space="preserve">.</w:t>
      </w:r>
    </w:p>
    <w:p>
      <w:pPr>
        <w:pStyle w:val="BodyText"/>
      </w:pPr>
      <w:r>
        <w:t xml:space="preserve">Wie GHRP-2 wirkt GHRP-6 am stärksten, wenn das körpereigene GHRH aus dem Zwischenhirn mitspielt. Kombiniert man beide, ist die Ausschüttung von Wachstumshormon größer als die Summe der Einzelwirkungen. Gerade diese Eigenschaft machte GHRP-6 als Diagnostikum interessant. Anders als Ipamorelin aktiviert GHRP-6 auch die Stresshormon-Achse (ACTH und Cortisol).</w:t>
      </w:r>
    </w:p>
    <w:bookmarkEnd w:id="1399"/>
    <w:bookmarkStart w:id="1410" w:name="studien-am-menschen-2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40</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Fast alle Arbeiten verwenden GHRP-6 als einmal gegebene Testsubstanz, um die Hormonregulation bei Krankheiten wie Cushing-Syndrom, Schilddrüsenüberfunktion, Übergewicht oder im Alter zu untersuchen. Eine Studie dieser Liste wurde an Hunden durchgeführt.</w:t>
      </w:r>
    </w:p>
    <w:bookmarkStart w:id="1404" w:name="diagnostik-des-wachstumshormon-mangels-1"/>
    <w:p>
      <w:pPr>
        <w:pStyle w:val="Heading4"/>
      </w:pPr>
      <w:r>
        <w:t xml:space="preserve">Diagnostik des Wachstumshormon-Mangels</w:t>
      </w:r>
    </w:p>
    <w:p>
      <w:pPr>
        <w:pStyle w:val="FirstParagraph"/>
      </w:pPr>
      <w:r>
        <w:t xml:space="preserve">Die bekannteste Studie erschien 2000 in der Fachzeitschrift Lancet: 125 Erwachsene mit Erkrankungen der Hirnanhangdrüse und 125 Gesunde erhielten GHRH plus GHRP-6 als Kombinationstest. Der mittlere GH-Gipfel lag bei den Gesunden bei 59,2 µg/l, bei den Betroffenen bei 4,1 µg/l; ein Grenzwert von 15 µg/l trennte beide Gruppen zuverlässig. Nebenwirkungen traten nicht auf, und Alter, Geschlecht und Körperfett beeinflussten das Ergebnis nicht</w:t>
      </w:r>
      <w:r>
        <w:rPr>
          <w:rStyle w:val="FootnoteReference"/>
        </w:rPr>
        <w:footnoteReference w:id="1400"/>
      </w:r>
      <w:r>
        <w:t xml:space="preserve">. In einer kleineren Studie mit 20 Personen erkannte der Test alle Fälle eines Wachstumshormon-Mangels richtig; als einzige Nebenwirkung wurde ein Hitzegefühl (Flush) beobachtet</w:t>
      </w:r>
      <w:r>
        <w:rPr>
          <w:rStyle w:val="FootnoteReference"/>
        </w:rPr>
        <w:footnoteReference w:id="1401"/>
      </w:r>
      <w:r>
        <w:t xml:space="preserve">. Bei 21 Erwachsenen, bei denen zuvor mit herkömmlichen Tests ein Mangel festgestellt worden war, reagierten etwa 40 % auf die Kombination doch noch deutlich</w:t>
      </w:r>
      <w:r>
        <w:rPr>
          <w:rStyle w:val="FootnoteReference"/>
        </w:rPr>
        <w:footnoteReference w:id="1402"/>
      </w:r>
      <w:r>
        <w:t xml:space="preserve"> </w:t>
      </w:r>
      <w:r>
        <w:t xml:space="preserve">– ein Hinweis darauf, dass verschiedene Tests unterschiedliche Fragen beantworten.</w:t>
      </w:r>
    </w:p>
    <w:p>
      <w:pPr>
        <w:pStyle w:val="BodyText"/>
      </w:pPr>
      <w:r>
        <w:t xml:space="preserve">Als Test für eine Unterfunktion der Nebennieren-Achse war GHRP-6 dagegen nur begrenzt brauchbar: Bei 49 Patientinnen und Patienten erreichte er im Vergleich mit dem Insulintest eine Sensitivität von 71,0 % und eine Spezifität von 77,8 %</w:t>
      </w:r>
      <w:r>
        <w:rPr>
          <w:rStyle w:val="FootnoteReference"/>
        </w:rPr>
        <w:footnoteReference w:id="1403"/>
      </w:r>
      <w:r>
        <w:t xml:space="preserve">.</w:t>
      </w:r>
    </w:p>
    <w:bookmarkEnd w:id="1404"/>
    <w:bookmarkStart w:id="1409" w:name="pharmakologie-schlaf-alter"/>
    <w:p>
      <w:pPr>
        <w:pStyle w:val="Heading4"/>
      </w:pPr>
      <w:r>
        <w:t xml:space="preserve">Pharmakologie, Schlaf, Alter</w:t>
      </w:r>
    </w:p>
    <w:p>
      <w:pPr>
        <w:numPr>
          <w:ilvl w:val="0"/>
          <w:numId w:val="1165"/>
        </w:numPr>
        <w:pStyle w:val="Compact"/>
      </w:pPr>
      <w:r>
        <w:rPr>
          <w:bCs/>
          <w:b/>
        </w:rPr>
        <w:t xml:space="preserve">Pharmakokinetik:</w:t>
      </w:r>
      <w:r>
        <w:t xml:space="preserve"> </w:t>
      </w:r>
      <w:r>
        <w:t xml:space="preserve">Bei neun gesunden Männern betrug die Eliminations-Halbwertszeit nach intravenöser Gabe im Mittel 2,5 Stunden</w:t>
      </w:r>
      <w:r>
        <w:rPr>
          <w:rStyle w:val="FootnoteReference"/>
        </w:rPr>
        <w:footnoteReference w:id="1405"/>
      </w:r>
      <w:r>
        <w:t xml:space="preserve">.</w:t>
      </w:r>
    </w:p>
    <w:p>
      <w:pPr>
        <w:numPr>
          <w:ilvl w:val="0"/>
          <w:numId w:val="1165"/>
        </w:numPr>
        <w:pStyle w:val="Compact"/>
      </w:pPr>
      <w:r>
        <w:rPr>
          <w:bCs/>
          <w:b/>
        </w:rPr>
        <w:t xml:space="preserve">Schlaf:</w:t>
      </w:r>
      <w:r>
        <w:t xml:space="preserve"> </w:t>
      </w:r>
      <w:r>
        <w:t xml:space="preserve">Bei gesunden Männern steigerte GHRP-6 nachts Wachstumshormon, ACTH und Cortisol und verlängerte den leichten Schlaf (Stadium 2), nicht aber den Tiefschlaf</w:t>
      </w:r>
      <w:r>
        <w:rPr>
          <w:rStyle w:val="FootnoteReference"/>
        </w:rPr>
        <w:footnoteReference w:id="1406"/>
      </w:r>
      <w:r>
        <w:t xml:space="preserve">.</w:t>
      </w:r>
    </w:p>
    <w:p>
      <w:pPr>
        <w:numPr>
          <w:ilvl w:val="0"/>
          <w:numId w:val="1165"/>
        </w:numPr>
        <w:pStyle w:val="Compact"/>
      </w:pPr>
      <w:r>
        <w:rPr>
          <w:bCs/>
          <w:b/>
        </w:rPr>
        <w:t xml:space="preserve">Alter:</w:t>
      </w:r>
      <w:r>
        <w:t xml:space="preserve"> </w:t>
      </w:r>
      <w:r>
        <w:t xml:space="preserve">Bei jeweils neun jungen und älteren Erwachsenen sprach die Hirnanhangdrüse im Alter schwächer auf GHRH an, nicht aber auf GHRP-6</w:t>
      </w:r>
      <w:r>
        <w:rPr>
          <w:rStyle w:val="FootnoteReference"/>
        </w:rPr>
        <w:footnoteReference w:id="1407"/>
      </w:r>
      <w:r>
        <w:t xml:space="preserve">.</w:t>
      </w:r>
    </w:p>
    <w:p>
      <w:pPr>
        <w:numPr>
          <w:ilvl w:val="0"/>
          <w:numId w:val="1165"/>
        </w:numPr>
        <w:pStyle w:val="Compact"/>
      </w:pPr>
      <w:r>
        <w:rPr>
          <w:bCs/>
          <w:b/>
        </w:rPr>
        <w:t xml:space="preserve">Kinder:</w:t>
      </w:r>
      <w:r>
        <w:t xml:space="preserve"> </w:t>
      </w:r>
      <w:r>
        <w:t xml:space="preserve">Als Tablette löste GHRP-6 bei kleinwüchsigen Kindern ohne Hormonmangel einen GH-Anstieg aus, der dem nach GHRH-Injektion ähnelte</w:t>
      </w:r>
      <w:r>
        <w:rPr>
          <w:rStyle w:val="FootnoteReference"/>
        </w:rPr>
        <w:footnoteReference w:id="1408"/>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(Popovic 2000), PMID 11030292</w:t>
            </w:r>
          </w:p>
        </w:tc>
        <w:tc>
          <w:tcPr/>
          <w:p>
            <w:pPr>
              <w:pStyle w:val="Compact"/>
              <w:jc w:val="left"/>
            </w:pPr>
            <w:r>
              <w:t xml:space="preserve">125 Betroffene, 125 Gesunde; multizentrische Vergleichsstudie</w:t>
            </w:r>
          </w:p>
        </w:tc>
        <w:tc>
          <w:tcPr/>
          <w:p>
            <w:pPr>
              <w:pStyle w:val="Compact"/>
              <w:jc w:val="left"/>
            </w:pPr>
            <w:r>
              <w:t xml:space="preserve">Einzeltest</w:t>
            </w:r>
          </w:p>
        </w:tc>
        <w:tc>
          <w:tcPr/>
          <w:p>
            <w:pPr>
              <w:pStyle w:val="Compact"/>
              <w:jc w:val="left"/>
            </w:pPr>
            <w:r>
              <w:t xml:space="preserve">GH-Gipfel 59,2 vs. 4,1 µg/l; Grenzwert 15 µg/l</w:t>
            </w:r>
          </w:p>
        </w:tc>
      </w:tr>
      <w:tr>
        <w:tc>
          <w:tcPr/>
          <w:p>
            <w:pPr>
              <w:pStyle w:val="Compact"/>
              <w:jc w:val="left"/>
            </w:pPr>
            <w:r>
              <w:t xml:space="preserve">Diagnostik (Petersenn 2002), PMID 11980622</w:t>
            </w:r>
          </w:p>
        </w:tc>
        <w:tc>
          <w:tcPr/>
          <w:p>
            <w:pPr>
              <w:pStyle w:val="Compact"/>
              <w:jc w:val="left"/>
            </w:pPr>
            <w:r>
              <w:t xml:space="preserve">20 Personen, Vergleich mit Insulintest</w:t>
            </w:r>
          </w:p>
        </w:tc>
        <w:tc>
          <w:tcPr/>
          <w:p>
            <w:pPr>
              <w:pStyle w:val="Compact"/>
              <w:jc w:val="left"/>
            </w:pPr>
            <w:r>
              <w:t xml:space="preserve">Einzeltests</w:t>
            </w:r>
          </w:p>
        </w:tc>
        <w:tc>
          <w:tcPr/>
          <w:p>
            <w:pPr>
              <w:pStyle w:val="Compact"/>
              <w:jc w:val="left"/>
            </w:pPr>
            <w:r>
              <w:t xml:space="preserve">alle Fälle mit GH-Mangel erkannt</w:t>
            </w:r>
          </w:p>
        </w:tc>
      </w:tr>
      <w:tr>
        <w:tc>
          <w:tcPr/>
          <w:p>
            <w:pPr>
              <w:pStyle w:val="Compact"/>
              <w:jc w:val="left"/>
            </w:pPr>
            <w:r>
              <w:t xml:space="preserve">Nebennieren-Test (Alaioubi 2010), PMID 19946832</w:t>
            </w:r>
          </w:p>
        </w:tc>
        <w:tc>
          <w:tcPr/>
          <w:p>
            <w:pPr>
              <w:pStyle w:val="Compact"/>
              <w:jc w:val="left"/>
            </w:pPr>
            <w:r>
              <w:t xml:space="preserve">49 Betroffene, 20 Gesunde</w:t>
            </w:r>
          </w:p>
        </w:tc>
        <w:tc>
          <w:tcPr/>
          <w:p>
            <w:pPr>
              <w:pStyle w:val="Compact"/>
              <w:jc w:val="left"/>
            </w:pPr>
            <w:r>
              <w:t xml:space="preserve">Einzeltest</w:t>
            </w:r>
          </w:p>
        </w:tc>
        <w:tc>
          <w:tcPr/>
          <w:p>
            <w:pPr>
              <w:pStyle w:val="Compact"/>
              <w:jc w:val="left"/>
            </w:pPr>
            <w:r>
              <w:t xml:space="preserve">Sensitivität 71,0 %, Spezifität 77,8 %</w:t>
            </w:r>
          </w:p>
        </w:tc>
      </w:tr>
      <w:tr>
        <w:tc>
          <w:tcPr/>
          <w:p>
            <w:pPr>
              <w:pStyle w:val="Compact"/>
              <w:jc w:val="left"/>
            </w:pPr>
            <w:r>
              <w:t xml:space="preserve">Pharmakokinetik (Cabrales 2013), PMID 23099431</w:t>
            </w:r>
          </w:p>
        </w:tc>
        <w:tc>
          <w:tcPr/>
          <w:p>
            <w:pPr>
              <w:pStyle w:val="Compact"/>
              <w:jc w:val="left"/>
            </w:pPr>
            <w:r>
              <w:t xml:space="preserve">9 gesunde Männer, Phase 1</w:t>
            </w:r>
          </w:p>
        </w:tc>
        <w:tc>
          <w:tcPr/>
          <w:p>
            <w:pPr>
              <w:pStyle w:val="Compact"/>
              <w:jc w:val="left"/>
            </w:pPr>
            <w:r>
              <w:t xml:space="preserve">Einzeldosen</w:t>
            </w:r>
          </w:p>
        </w:tc>
        <w:tc>
          <w:tcPr/>
          <w:p>
            <w:pPr>
              <w:pStyle w:val="Compact"/>
              <w:jc w:val="left"/>
            </w:pPr>
            <w:r>
              <w:t xml:space="preserve">Halbwertszeit 2,5 h</w:t>
            </w:r>
          </w:p>
        </w:tc>
      </w:tr>
      <w:tr>
        <w:tc>
          <w:tcPr/>
          <w:p>
            <w:pPr>
              <w:pStyle w:val="Compact"/>
              <w:jc w:val="left"/>
            </w:pPr>
            <w:r>
              <w:t xml:space="preserve">Schlaf (Frieboes 1995), PMID 7617137</w:t>
            </w:r>
          </w:p>
        </w:tc>
        <w:tc>
          <w:tcPr/>
          <w:p>
            <w:pPr>
              <w:pStyle w:val="Compact"/>
              <w:jc w:val="left"/>
            </w:pPr>
            <w:r>
              <w:t xml:space="preserve">gesunde Männer, Vergleich mit Placebo</w:t>
            </w:r>
          </w:p>
        </w:tc>
        <w:tc>
          <w:tcPr/>
          <w:p>
            <w:pPr>
              <w:pStyle w:val="Compact"/>
              <w:jc w:val="left"/>
            </w:pPr>
            <w:r>
              <w:t xml:space="preserve">1 Nacht</w:t>
            </w:r>
          </w:p>
        </w:tc>
        <w:tc>
          <w:tcPr/>
          <w:p>
            <w:pPr>
              <w:pStyle w:val="Compact"/>
              <w:jc w:val="left"/>
            </w:pPr>
            <w:r>
              <w:t xml:space="preserve">GH, ACTH, Cortisol ↑; Tiefschlaf unverändert</w:t>
            </w:r>
          </w:p>
        </w:tc>
      </w:tr>
    </w:tbl>
    <w:bookmarkEnd w:id="1409"/>
    <w:bookmarkEnd w:id="1410"/>
    <w:bookmarkStart w:id="1414" w:name="tier--und-laborstudien-28"/>
    <w:p>
      <w:pPr>
        <w:pStyle w:val="Heading3"/>
      </w:pPr>
      <w:r>
        <w:t xml:space="preserve">Tier- und Laborstudien</w:t>
      </w:r>
    </w:p>
    <w:p>
      <w:pPr>
        <w:pStyle w:val="FirstParagraph"/>
      </w:pPr>
      <w:r>
        <w:t xml:space="preserve">Ein großer Teil der neueren Forschung betrifft den Schutz von Organen:</w:t>
      </w:r>
    </w:p>
    <w:p>
      <w:pPr>
        <w:numPr>
          <w:ilvl w:val="0"/>
          <w:numId w:val="1166"/>
        </w:numPr>
        <w:pStyle w:val="Compact"/>
      </w:pPr>
      <w:r>
        <w:rPr>
          <w:bCs/>
          <w:b/>
        </w:rPr>
        <w:t xml:space="preserve">Herz (Ratten):</w:t>
      </w:r>
      <w:r>
        <w:t xml:space="preserve"> </w:t>
      </w:r>
      <w:r>
        <w:t xml:space="preserve">Bei Ratten, die das herzschädigende Krebsmedikament Doxorubicin erhielten, verhinderte die gleichzeitige Gabe von GHRP-6 die Erweiterung der Herzkammern und erhielt die Pumpfunktion</w:t>
      </w:r>
      <w:r>
        <w:rPr>
          <w:rStyle w:val="FootnoteReference"/>
        </w:rPr>
        <w:footnoteReference w:id="1411"/>
      </w:r>
      <w:r>
        <w:t xml:space="preserve">.</w:t>
      </w:r>
    </w:p>
    <w:p>
      <w:pPr>
        <w:numPr>
          <w:ilvl w:val="0"/>
          <w:numId w:val="1166"/>
        </w:numPr>
        <w:pStyle w:val="Compact"/>
      </w:pPr>
      <w:r>
        <w:rPr>
          <w:bCs/>
          <w:b/>
        </w:rPr>
        <w:t xml:space="preserve">Mehrorganversagen (Ratten, Zellkulturen):</w:t>
      </w:r>
      <w:r>
        <w:t xml:space="preserve"> </w:t>
      </w:r>
      <w:r>
        <w:t xml:space="preserve">Nach vorübergehender Unterbrechung der Leberdurchblutung verringerte GHRP-6 Leber- und Darmschäden; in Zellkulturen beschleunigte es die Wanderung von Darmzellen</w:t>
      </w:r>
      <w:r>
        <w:rPr>
          <w:rStyle w:val="FootnoteReference"/>
        </w:rPr>
        <w:footnoteReference w:id="1412"/>
      </w:r>
      <w:r>
        <w:t xml:space="preserve">.</w:t>
      </w:r>
    </w:p>
    <w:p>
      <w:pPr>
        <w:numPr>
          <w:ilvl w:val="0"/>
          <w:numId w:val="1166"/>
        </w:numPr>
        <w:pStyle w:val="Compact"/>
      </w:pPr>
      <w:r>
        <w:rPr>
          <w:bCs/>
          <w:b/>
        </w:rPr>
        <w:t xml:space="preserve">Nervensystem (Ratten, Mäuse):</w:t>
      </w:r>
      <w:r>
        <w:t xml:space="preserve"> </w:t>
      </w:r>
      <w:r>
        <w:t xml:space="preserve">In einem Tiermodell der multiplen Sklerose verbesserte nur die Kombination von GHRP-6 mit dem Wachstumsfaktor EGF den Krankheitsverlauf, nicht GHRP-6 allein</w:t>
      </w:r>
      <w:r>
        <w:rPr>
          <w:rStyle w:val="FootnoteReference"/>
        </w:rPr>
        <w:footnoteReference w:id="1413"/>
      </w:r>
      <w:r>
        <w:t xml:space="preserve">.</w:t>
      </w:r>
    </w:p>
    <w:p>
      <w:pPr>
        <w:pStyle w:val="FirstParagraph"/>
      </w:pPr>
      <w:r>
        <w:t xml:space="preserve">Keiner dieser Ansätze hat bisher zu einer veröffentlichten kontrollierten Studie am Menschen geführt.</w:t>
      </w:r>
    </w:p>
    <w:bookmarkEnd w:id="1414"/>
    <w:bookmarkStart w:id="1419" w:name="risiken-und-nebenwirkungen-28"/>
    <w:p>
      <w:pPr>
        <w:pStyle w:val="Heading3"/>
      </w:pPr>
      <w:r>
        <w:t xml:space="preserve">Risiken und Nebenwirkungen</w:t>
      </w:r>
    </w:p>
    <w:p>
      <w:pPr>
        <w:pStyle w:val="FirstParagraph"/>
      </w:pPr>
      <w:r>
        <w:rPr>
          <w:bCs/>
          <w:b/>
        </w:rPr>
        <w:t xml:space="preserve">Belegt aus den Kurzzeitstudien:</w:t>
      </w:r>
      <w:r>
        <w:t xml:space="preserve"> </w:t>
      </w:r>
      <w:r>
        <w:t xml:space="preserve">Hitzegefühl (Flush)</w:t>
      </w:r>
      <w:r>
        <w:rPr>
          <w:rStyle w:val="FootnoteReference"/>
        </w:rPr>
        <w:footnoteReference w:id="1415"/>
      </w:r>
      <w:r>
        <w:t xml:space="preserve">; Anstieg von ACTH, Cortisol und Prolaktin</w:t>
      </w:r>
      <w:r>
        <w:rPr>
          <w:rStyle w:val="FootnoteReference"/>
        </w:rPr>
        <w:footnoteReference w:id="1416"/>
      </w:r>
      <w:r>
        <w:t xml:space="preserve">; Hunger als bekannte Ghrelin-Wirkung. In den Diagnostik-Studien mit Einzeldosen traten sonst keine relevanten Nebenwirkungen auf.</w:t>
      </w:r>
    </w:p>
    <w:p>
      <w:pPr>
        <w:pStyle w:val="BodyText"/>
      </w:pPr>
      <w:r>
        <w:rPr>
          <w:bCs/>
          <w:b/>
        </w:rPr>
        <w:t xml:space="preserve">Unbekannt:</w:t>
      </w:r>
      <w:r>
        <w:t xml:space="preserve"> </w:t>
      </w:r>
      <w:r>
        <w:t xml:space="preserve">Zur wiederholten Anwendung über Wochen oder Monate gibt es keine Humanstudien. Bei dauerhafter Anwendung sind die bekannten Folgen erhöhter Wachstumshormon-Spiegel und einer wiederholten Cortisol-Stimulation denkbar, etwa eine verschlechterte Blutzuckerregulation. Ein Fallbericht schildert einen Bodybuilder, der über Jahrzehnte Wachstumshormon und Freisetzer – darunter eine Kombination aus Sermorelin und GHRP-6 – verwendete und einen großen Knochensporn an der Halswirbelsäule entwickelte; ein ursächlicher Zusammenhang ist nicht bewiesen</w:t>
      </w:r>
      <w:r>
        <w:rPr>
          <w:rStyle w:val="FootnoteReference"/>
        </w:rPr>
        <w:footnoteReference w:id="1417"/>
      </w:r>
      <w:r>
        <w:t xml:space="preserve">. Zur Krebsfrage siehe die Einleitung dieser Gruppe und Teil IV.</w:t>
      </w:r>
    </w:p>
    <w:p>
      <w:pPr>
        <w:pStyle w:val="BodyText"/>
      </w:pPr>
      <w:r>
        <w:rPr>
          <w:bCs/>
          <w:b/>
        </w:rPr>
        <w:t xml:space="preserve">Graumarkt:</w:t>
      </w:r>
      <w:r>
        <w:t xml:space="preserve"> </w:t>
      </w:r>
      <w:r>
        <w:t xml:space="preserve">In beschlagnahmten Produkten wurde „Gly-GHRP-6“ nachgewiesen, eine nicht deklarierte Abwandlung mit einer zusätzlichen Aminosäure</w:t>
      </w:r>
      <w:r>
        <w:rPr>
          <w:rStyle w:val="FootnoteReference"/>
        </w:rPr>
        <w:footnoteReference w:id="1418"/>
      </w:r>
      <w:r>
        <w:t xml:space="preserve">.</w:t>
      </w:r>
    </w:p>
    <w:bookmarkEnd w:id="1419"/>
    <w:bookmarkStart w:id="1421" w:name="rechtslage-28"/>
    <w:p>
      <w:pPr>
        <w:pStyle w:val="Heading3"/>
      </w:pPr>
      <w:r>
        <w:t xml:space="preserve">Rechtslage</w:t>
      </w:r>
    </w:p>
    <w:p>
      <w:pPr>
        <w:pStyle w:val="FirstParagraph"/>
      </w:pPr>
      <w:r>
        <w:rPr>
          <w:iCs/>
          <w:i/>
        </w:rPr>
        <w:t xml:space="preserve">Stand 2026, bitte aktuell prüfen.</w:t>
      </w:r>
    </w:p>
    <w:p>
      <w:pPr>
        <w:numPr>
          <w:ilvl w:val="0"/>
          <w:numId w:val="1167"/>
        </w:numPr>
        <w:pStyle w:val="Compact"/>
      </w:pPr>
      <w:r>
        <w:rPr>
          <w:bCs/>
          <w:b/>
        </w:rPr>
        <w:t xml:space="preserve">EU, Deutschland, Österreich, USA:</w:t>
      </w:r>
      <w:r>
        <w:t xml:space="preserve"> </w:t>
      </w:r>
      <w:r>
        <w:t xml:space="preserve">keine Zulassung als Arzneimittel; die Abgabe zur Anwendung am Menschen ist unzulässig. In der Forschung wird GHRP-6 im Rahmen genehmigter Studien eingesetzt.</w:t>
      </w:r>
    </w:p>
    <w:p>
      <w:pPr>
        <w:numPr>
          <w:ilvl w:val="0"/>
          <w:numId w:val="1167"/>
        </w:numPr>
        <w:pStyle w:val="Compact"/>
      </w:pPr>
      <w:r>
        <w:rPr>
          <w:bCs/>
          <w:b/>
        </w:rPr>
        <w:t xml:space="preserve">WADA:</w:t>
      </w:r>
      <w:r>
        <w:t xml:space="preserve"> </w:t>
      </w:r>
      <w:r>
        <w:t xml:space="preserve">verboten (S2). GHRP-6 wird größtenteils unverändert über den Urin ausgeschieden und war nach Gabe als Nasenspray bei einem Freiwilligen 23 Stunden lang nachweisbar</w:t>
      </w:r>
      <w:r>
        <w:rPr>
          <w:rStyle w:val="FootnoteReference"/>
        </w:rPr>
        <w:footnoteReference w:id="1420"/>
      </w:r>
      <w:r>
        <w:t xml:space="preserve">.</w:t>
      </w:r>
    </w:p>
    <w:bookmarkEnd w:id="1421"/>
    <w:bookmarkStart w:id="1422" w:name="laufende-studien-und-ausblick-28"/>
    <w:p>
      <w:pPr>
        <w:pStyle w:val="Heading3"/>
      </w:pPr>
      <w:r>
        <w:t xml:space="preserve">Laufende Studien und Ausblick</w:t>
      </w:r>
    </w:p>
    <w:p>
      <w:pPr>
        <w:pStyle w:val="FirstParagraph"/>
      </w:pPr>
      <w:r>
        <w:t xml:space="preserve">Bei ClinicalTrials.gov ist im Oktober 2026 keine Studie mit GHRP-6 eingetragen.</w:t>
      </w:r>
      <w:r>
        <w:t xml:space="preserve"> </w:t>
      </w:r>
      <w:r>
        <w:rPr>
          <w:iCs/>
          <w:i/>
        </w:rPr>
        <w:t xml:space="preserve">Einschätzung des Autors:</w:t>
      </w:r>
      <w:r>
        <w:t xml:space="preserve"> </w:t>
      </w:r>
      <w:r>
        <w:t xml:space="preserve">Die Tierarbeiten zum Organschutz sind der einzige erkennbare Entwicklungsstrang; ob daraus Humanstudien entstehen, ist offen. Für die Diagnostik wurde GHRP-6 weitgehend von anderen Tests abgelöst.</w:t>
      </w:r>
    </w:p>
    <w:bookmarkEnd w:id="1422"/>
    <w:bookmarkStart w:id="1423" w:name="fazit-28"/>
    <w:p>
      <w:pPr>
        <w:pStyle w:val="Heading3"/>
      </w:pPr>
      <w:r>
        <w:t xml:space="preserve">Fazit</w:t>
      </w:r>
    </w:p>
    <w:p>
      <w:pPr>
        <w:pStyle w:val="FirstParagraph"/>
      </w:pPr>
      <w:r>
        <w:t xml:space="preserve">GHRP-6 war das erste künstliche Peptid, das gezielt Wachstumshormon freisetzt, und hat entscheidend zur Entdeckung des Ghrelin-Systems beigetragen. Am Menschen ist es fast nur als einmal gegebene Testsubstanz untersucht, unter anderem in einer großen Lancet-Studie zur Diagnose des Wachstumshormon-Mangels. Einen nachgewiesenen therapeutischen Nutzen gibt es nicht, und zur wiederholten Anwendung, wie sie auf dem Graumarkt beworben wird, fehlen Daten völlig.</w:t>
      </w:r>
    </w:p>
    <w:bookmarkEnd w:id="1423"/>
    <w:bookmarkEnd w:id="1424"/>
    <w:bookmarkStart w:id="1457" w:name="hexarelin"/>
    <w:p>
      <w:pPr>
        <w:pStyle w:val="Heading2"/>
      </w:pPr>
      <w:r>
        <w:t xml:space="preserve">Hexarelin</w:t>
      </w:r>
    </w:p>
    <w:p>
      <w:pPr>
        <w:pStyle w:val="FirstParagraph"/>
      </w:pPr>
      <w:r>
        <w:t xml:space="preserve">Hexarelin ist ein enger Verwandter von GHRP-6 – und einer der stärksten künstlichen Wachstumshormon-Freisetzer überhaupt. In den 1990er-Jahren wurde es vor allem in Italien intensiv am Menschen untersucht. Dabei fiel etwas Unerwartetes auf: Hexarelin scheint direkt auf das Herz zu wirken, unabhängig vom Wachstumshormon. Eine Zulassung folgte trotzdem nicht. Ein Grund lag in einer typischen Schwäche dieser Substanzklasse: Bei Dauergebrauch lässt die Wirkung nach.</w:t>
      </w:r>
    </w:p>
    <w:bookmarkStart w:id="1427" w:name="steckbrief-29"/>
    <w:p>
      <w:pPr>
        <w:pStyle w:val="Heading3"/>
      </w:pPr>
      <w:r>
        <w:t xml:space="preserve">Steckbrief</w:t>
      </w:r>
    </w:p>
    <w:p>
      <w:pPr>
        <w:numPr>
          <w:ilvl w:val="0"/>
          <w:numId w:val="1168"/>
        </w:numPr>
        <w:pStyle w:val="Compact"/>
      </w:pPr>
      <w:r>
        <w:rPr>
          <w:bCs/>
          <w:b/>
        </w:rPr>
        <w:t xml:space="preserve">Art und Struktur:</w:t>
      </w:r>
      <w:r>
        <w:t xml:space="preserve"> </w:t>
      </w:r>
      <w:r>
        <w:t xml:space="preserve">synthetisches Hexapeptid His-D-2-Methyl-Trp-Ala-Trp-D-Phe-Lys-NH2; es unterscheidet sich von GHRP-6 durch eine zusätzliche Methylgruppe am zweiten Baustein</w:t>
      </w:r>
      <w:r>
        <w:rPr>
          <w:rStyle w:val="FootnoteReference"/>
        </w:rPr>
        <w:footnoteReference w:id="1425"/>
      </w:r>
      <w:r>
        <w:t xml:space="preserve">.</w:t>
      </w:r>
    </w:p>
    <w:p>
      <w:pPr>
        <w:numPr>
          <w:ilvl w:val="0"/>
          <w:numId w:val="1168"/>
        </w:numPr>
        <w:pStyle w:val="Compact"/>
      </w:pPr>
      <w:r>
        <w:rPr>
          <w:bCs/>
          <w:b/>
        </w:rPr>
        <w:t xml:space="preserve">Herkunft:</w:t>
      </w:r>
      <w:r>
        <w:t xml:space="preserve"> </w:t>
      </w:r>
      <w:r>
        <w:t xml:space="preserve">Anfang der 1990er-Jahre als Abwandlung von GHRP-6 entwickelt; ein Großteil der klinischen Forschung stammt von italienischen Universitätszentren.</w:t>
      </w:r>
    </w:p>
    <w:p>
      <w:pPr>
        <w:numPr>
          <w:ilvl w:val="0"/>
          <w:numId w:val="1168"/>
        </w:numPr>
        <w:pStyle w:val="Compact"/>
      </w:pPr>
      <w:r>
        <w:rPr>
          <w:bCs/>
          <w:b/>
        </w:rPr>
        <w:t xml:space="preserve">Wirkprinzip:</w:t>
      </w:r>
      <w:r>
        <w:t xml:space="preserve"> </w:t>
      </w:r>
      <w:r>
        <w:t xml:space="preserve">Agonist am Ghrelin-Rezeptor (GHS-R1a); setzt Wachstumshormon, ACTH, Cortisol und Prolaktin frei. Zusätzlich bindet Hexarelin an den Rezeptor CD36 im Herzgewebe, über den GH-unabhängige Herzwirkungen vermutet werden</w:t>
      </w:r>
      <w:r>
        <w:rPr>
          <w:rStyle w:val="FootnoteReference"/>
        </w:rPr>
        <w:footnoteReference w:id="1426"/>
      </w:r>
      <w:r>
        <w:t xml:space="preserve">.</w:t>
      </w:r>
    </w:p>
    <w:p>
      <w:pPr>
        <w:numPr>
          <w:ilvl w:val="0"/>
          <w:numId w:val="1168"/>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68"/>
        </w:numPr>
        <w:pStyle w:val="Compact"/>
      </w:pPr>
      <w:r>
        <w:rPr>
          <w:bCs/>
          <w:b/>
        </w:rPr>
        <w:t xml:space="preserve">WADA:</w:t>
      </w:r>
      <w:r>
        <w:t xml:space="preserve"> </w:t>
      </w:r>
      <w:r>
        <w:t xml:space="preserve">verboten, Gruppe S2 – Hexarelin wird als Wachstumshormon-freisetzendes Peptid ausdrücklich genannt.</w:t>
      </w:r>
    </w:p>
    <w:p>
      <w:pPr>
        <w:numPr>
          <w:ilvl w:val="0"/>
          <w:numId w:val="1168"/>
        </w:numPr>
        <w:pStyle w:val="Compact"/>
      </w:pPr>
      <w:r>
        <w:rPr>
          <w:bCs/>
          <w:b/>
        </w:rPr>
        <w:t xml:space="preserve">Evidenzstufe: C</w:t>
      </w:r>
      <w:r>
        <w:t xml:space="preserve"> </w:t>
      </w:r>
      <w:r>
        <w:t xml:space="preserve">– zahlreiche kleine Studien, viele davon randomisiert, aber fast ausschließlich mit Einzelgaben und hormonellen oder kreislaufphysiologischen Messgrößen; keine Studie zu einem klinischen Endpunkt.</w:t>
      </w:r>
    </w:p>
    <w:bookmarkEnd w:id="1427"/>
    <w:bookmarkStart w:id="1429" w:name="wie-es-wirken-soll-29"/>
    <w:p>
      <w:pPr>
        <w:pStyle w:val="Heading3"/>
      </w:pPr>
      <w:r>
        <w:t xml:space="preserve">Wie es wirken soll</w:t>
      </w:r>
    </w:p>
    <w:p>
      <w:pPr>
        <w:pStyle w:val="FirstParagraph"/>
      </w:pPr>
      <w:r>
        <w:t xml:space="preserve">Wie GHRP-6 und GHRP-2 ahmt Hexarelin das Magenhormon Ghrelin nach und stößt so die Wachstumshormon-Ausschüttung an. Seine Wirkung ist abhängig von einer intakten Verbindung zwischen Zwischenhirn und Hirnanhangdrüse: Bei Kindern und Erwachsenen, bei denen diese Verbindung anatomisch unterbrochen war, blieb die GH-Antwort aus oder war stark abgeschwächt, bei idiopathischem Mangel war sie dagegen kräftig</w:t>
      </w:r>
      <w:r>
        <w:rPr>
          <w:rStyle w:val="FootnoteReference"/>
        </w:rPr>
        <w:footnoteReference w:id="1428"/>
      </w:r>
      <w:r>
        <w:t xml:space="preserve">.</w:t>
      </w:r>
    </w:p>
    <w:p>
      <w:pPr>
        <w:pStyle w:val="BodyText"/>
      </w:pPr>
      <w:r>
        <w:t xml:space="preserve">Die zweite, eigenständige Idee betrifft das Herz. Ghrelin-Rezeptoren und das Fängermolekül CD36 kommen auch im Herzmuskel vor. Hexarelin könnte deshalb die Pumpkraft des Herzens direkt steigern – ein möglicher Ansatz bei Herzschwäche, unabhängig vom Wachstumshormon.</w:t>
      </w:r>
    </w:p>
    <w:bookmarkEnd w:id="1429"/>
    <w:bookmarkStart w:id="1443" w:name="studien-am-menschen-2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58</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meisten Studien stammen aus den Jahren 1994 bis 2004 und untersuchen mit Einzelgaben, wie die Hormonantwort von Alter, Geschlecht, Ernährung, Medikamenten oder Krankheiten abhängt. Einige Einträge der Liste befassen sich hauptsächlich mit Ghrelin oder GHRP-6 und verwenden Hexarelin nur als Vergleich.</w:t>
      </w:r>
    </w:p>
    <w:bookmarkStart w:id="1433" w:name="hormonwirkung-und-dosis"/>
    <w:p>
      <w:pPr>
        <w:pStyle w:val="Heading4"/>
      </w:pPr>
      <w:r>
        <w:t xml:space="preserve">Hormonwirkung und Dosis</w:t>
      </w:r>
    </w:p>
    <w:p>
      <w:pPr>
        <w:pStyle w:val="FirstParagraph"/>
      </w:pPr>
      <w:r>
        <w:t xml:space="preserve">In einer doppelblinden, placebokontrollierten Studie mit zwölf gesunden Männern stieg Wachstumshormon nach intravenöser Gabe dosisabhängig an, mit einem Gipfel nach etwa 30 Minuten und Rückkehr zum Ausgangswert innerhalb von vier Stunden</w:t>
      </w:r>
      <w:r>
        <w:rPr>
          <w:rStyle w:val="FootnoteReference"/>
        </w:rPr>
        <w:footnoteReference w:id="1430"/>
      </w:r>
      <w:r>
        <w:t xml:space="preserve">. Hexarelin setzte dabei auch Prolaktin und Cortisol dosisabhängig frei; kombiniert mit GHRH genügte eine niedrige Hexarelin-Dosis für eine massive GH-Ausschüttung ohne Cortisol-Anstieg</w:t>
      </w:r>
      <w:r>
        <w:rPr>
          <w:rStyle w:val="FootnoteReference"/>
        </w:rPr>
        <w:footnoteReference w:id="1431"/>
      </w:r>
      <w:r>
        <w:t xml:space="preserve">. Die Aktivierung der Stresshormon-Achse läuft offenbar über das Zwischenhirn; in einer Studie mit 15 jungen Männern steigerte Hexarelin auch kurzfristig den Appetit</w:t>
      </w:r>
      <w:r>
        <w:rPr>
          <w:rStyle w:val="FootnoteReference"/>
        </w:rPr>
        <w:footnoteReference w:id="1432"/>
      </w:r>
      <w:r>
        <w:t xml:space="preserve">.</w:t>
      </w:r>
    </w:p>
    <w:bookmarkEnd w:id="1433"/>
    <w:bookmarkStart w:id="1438" w:name="langzeitgabe-die-wirkung-lässt-nach"/>
    <w:p>
      <w:pPr>
        <w:pStyle w:val="Heading4"/>
      </w:pPr>
      <w:r>
        <w:t xml:space="preserve">Langzeitgabe: die Wirkung lässt nach</w:t>
      </w:r>
    </w:p>
    <w:p>
      <w:pPr>
        <w:pStyle w:val="FirstParagraph"/>
      </w:pPr>
      <w:r>
        <w:t xml:space="preserve">Entscheidend für eine Therapie ist, ob die Wirkung bei wiederholter Gabe anhält. Bei Erwachsenen, die 16 Wochen lang zweimal täglich Hexarelin unter die Haut spritzten, nahm die GH-Antwort deutlich ab und erholte sich erst vier Wochen nach dem Absetzen. IGF-1, Körperfett, Muskelmasse und Knochendichte änderten sich nicht signifikant</w:t>
      </w:r>
      <w:r>
        <w:rPr>
          <w:rStyle w:val="FootnoteReference"/>
        </w:rPr>
        <w:footnoteReference w:id="1434"/>
      </w:r>
      <w:r>
        <w:t xml:space="preserve">. Die Cortisol-Antwort schwächte sich in derselben Studie ebenfalls vorübergehend ab</w:t>
      </w:r>
      <w:r>
        <w:rPr>
          <w:rStyle w:val="FootnoteReference"/>
        </w:rPr>
        <w:footnoteReference w:id="1435"/>
      </w:r>
      <w:r>
        <w:t xml:space="preserve">.</w:t>
      </w:r>
    </w:p>
    <w:p>
      <w:pPr>
        <w:pStyle w:val="BodyText"/>
      </w:pPr>
      <w:r>
        <w:t xml:space="preserve">Bei kleinwüchsigen Kindern war das Bild etwas günstiger: Unter Nasenspray stieg die Wachstumsgeschwindigkeit bei acht Kindern von 5,3 auf 8,3 cm pro Jahr, IGF-1 nahm zu</w:t>
      </w:r>
      <w:r>
        <w:rPr>
          <w:rStyle w:val="FootnoteReference"/>
        </w:rPr>
        <w:footnoteReference w:id="1436"/>
      </w:r>
      <w:r>
        <w:t xml:space="preserve">. Eine Folgestudie mit sieben Kindern zeigte, dass die GH-Antwort der Hirnanhangdrüse bereits nach sieben Tagen etwa halbiert war, das schnellere Wachstum aber dennoch anhielt</w:t>
      </w:r>
      <w:r>
        <w:rPr>
          <w:rStyle w:val="FootnoteReference"/>
        </w:rPr>
        <w:footnoteReference w:id="1437"/>
      </w:r>
      <w:r>
        <w:t xml:space="preserve">.</w:t>
      </w:r>
    </w:p>
    <w:bookmarkEnd w:id="1438"/>
    <w:bookmarkStart w:id="1442" w:name="herzwirkungen"/>
    <w:p>
      <w:pPr>
        <w:pStyle w:val="Heading4"/>
      </w:pPr>
      <w:r>
        <w:t xml:space="preserve">Herzwirkungen</w:t>
      </w:r>
    </w:p>
    <w:p>
      <w:pPr>
        <w:pStyle w:val="FirstParagraph"/>
      </w:pPr>
      <w:r>
        <w:t xml:space="preserve">Mehrere kleine Studien einer italienischen Arbeitsgruppe untersuchten das Herz:</w:t>
      </w:r>
    </w:p>
    <w:p>
      <w:pPr>
        <w:numPr>
          <w:ilvl w:val="0"/>
          <w:numId w:val="1169"/>
        </w:numPr>
        <w:pStyle w:val="Compact"/>
      </w:pPr>
      <w:r>
        <w:t xml:space="preserve">Bei sieben Männern mit Wachstumshormon-Mangel und neun gesunden Kontrollpersonen stieg die linksventrikuläre Auswurffraktion (der Anteil Blut, den die linke Herzkammer pro Schlag auswirft) nach einer Einzelgabe von Hexarelin bei beiden Gruppen an, obwohl die Betroffenen kaum Wachstumshormon ausschütteten. Die Autoren schließen auf eine GH-unabhängige Wirkung</w:t>
      </w:r>
      <w:r>
        <w:rPr>
          <w:rStyle w:val="FootnoteReference"/>
        </w:rPr>
        <w:footnoteReference w:id="1439"/>
      </w:r>
      <w:r>
        <w:t xml:space="preserve">.</w:t>
      </w:r>
    </w:p>
    <w:p>
      <w:pPr>
        <w:numPr>
          <w:ilvl w:val="0"/>
          <w:numId w:val="1169"/>
        </w:numPr>
        <w:pStyle w:val="Compact"/>
      </w:pPr>
      <w:r>
        <w:t xml:space="preserve">Bei Patientinnen und Patienten mit schwerer erweiterter Herzmuskelerkrankung (dilatative Kardiomyopathie) blieb dieser Effekt dagegen aus</w:t>
      </w:r>
      <w:r>
        <w:rPr>
          <w:rStyle w:val="FootnoteReference"/>
        </w:rPr>
        <w:footnoteReference w:id="1440"/>
      </w:r>
      <w:r>
        <w:t xml:space="preserve">.</w:t>
      </w:r>
    </w:p>
    <w:p>
      <w:pPr>
        <w:numPr>
          <w:ilvl w:val="0"/>
          <w:numId w:val="1169"/>
        </w:numPr>
        <w:pStyle w:val="Compact"/>
      </w:pPr>
      <w:r>
        <w:t xml:space="preserve">Bei 24 Männern mit koronarer Herzkrankheit während einer Bypass-Operation steigerte Hexarelin Auswurffraktion und Herzzeitvolumen für bis zu 90 Minuten, während GHRH, Wachstumshormon und Placebo keinen Effekt hatten</w:t>
      </w:r>
      <w:r>
        <w:rPr>
          <w:rStyle w:val="FootnoteReference"/>
        </w:rPr>
        <w:footnoteReference w:id="144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(Imbimbo 1994), PMID 7957536</w:t>
            </w:r>
          </w:p>
        </w:tc>
        <w:tc>
          <w:tcPr/>
          <w:p>
            <w:pPr>
              <w:pStyle w:val="Compact"/>
              <w:jc w:val="left"/>
            </w:pPr>
            <w:r>
              <w:t xml:space="preserve">12 gesunde Männer, doppelblind, Placebo, aufsteigende Dosen</w:t>
            </w:r>
          </w:p>
        </w:tc>
        <w:tc>
          <w:tcPr/>
          <w:p>
            <w:pPr>
              <w:pStyle w:val="Compact"/>
              <w:jc w:val="left"/>
            </w:pPr>
            <w:r>
              <w:t xml:space="preserve">Einzelgaben</w:t>
            </w:r>
          </w:p>
        </w:tc>
        <w:tc>
          <w:tcPr/>
          <w:p>
            <w:pPr>
              <w:pStyle w:val="Compact"/>
              <w:jc w:val="left"/>
            </w:pPr>
            <w:r>
              <w:t xml:space="preserve">GH-Gipfel nach ca. 30 min, dosisabhängig</w:t>
            </w:r>
          </w:p>
        </w:tc>
      </w:tr>
      <w:tr>
        <w:tc>
          <w:tcPr/>
          <w:p>
            <w:pPr>
              <w:pStyle w:val="Compact"/>
              <w:jc w:val="left"/>
            </w:pPr>
            <w:r>
              <w:t xml:space="preserve">Langzeitgabe (Rahim 1998), PMID 9589671</w:t>
            </w:r>
          </w:p>
        </w:tc>
        <w:tc>
          <w:tcPr/>
          <w:p>
            <w:pPr>
              <w:pStyle w:val="Compact"/>
              <w:jc w:val="left"/>
            </w:pPr>
            <w:r>
              <w:t xml:space="preserve">Erwachsene, ohne Kontrollgruppe</w:t>
            </w:r>
          </w:p>
        </w:tc>
        <w:tc>
          <w:tcPr/>
          <w:p>
            <w:pPr>
              <w:pStyle w:val="Compact"/>
              <w:jc w:val="left"/>
            </w:pPr>
            <w:r>
              <w:t xml:space="preserve">16 Wochen</w:t>
            </w:r>
          </w:p>
        </w:tc>
        <w:tc>
          <w:tcPr/>
          <w:p>
            <w:pPr>
              <w:pStyle w:val="Compact"/>
              <w:jc w:val="left"/>
            </w:pPr>
            <w:r>
              <w:t xml:space="preserve">GH-Antwort abgeschwächt; IGF-1 und Körperzusammensetzung unverändert</w:t>
            </w:r>
          </w:p>
        </w:tc>
      </w:tr>
      <w:tr>
        <w:tc>
          <w:tcPr/>
          <w:p>
            <w:pPr>
              <w:pStyle w:val="Compact"/>
              <w:jc w:val="left"/>
            </w:pPr>
            <w:r>
              <w:t xml:space="preserve">Kinder, Nasenspray (Laron 1995), PMID 8548949</w:t>
            </w:r>
          </w:p>
        </w:tc>
        <w:tc>
          <w:tcPr/>
          <w:p>
            <w:pPr>
              <w:pStyle w:val="Compact"/>
              <w:jc w:val="left"/>
            </w:pPr>
            <w:r>
              <w:t xml:space="preserve">8 kleinwüchsige Kinder, ohne Kontrollgruppe</w:t>
            </w:r>
          </w:p>
        </w:tc>
        <w:tc>
          <w:tcPr/>
          <w:p>
            <w:pPr>
              <w:pStyle w:val="Compact"/>
              <w:jc w:val="left"/>
            </w:pPr>
            <w:r>
              <w:t xml:space="preserve">bis 8 Monate</w:t>
            </w:r>
          </w:p>
        </w:tc>
        <w:tc>
          <w:tcPr/>
          <w:p>
            <w:pPr>
              <w:pStyle w:val="Compact"/>
              <w:jc w:val="left"/>
            </w:pPr>
            <w:r>
              <w:t xml:space="preserve">Wachstum 5,3 → 8,3 cm/Jahr</w:t>
            </w:r>
          </w:p>
        </w:tc>
      </w:tr>
      <w:tr>
        <w:tc>
          <w:tcPr/>
          <w:p>
            <w:pPr>
              <w:pStyle w:val="Compact"/>
              <w:jc w:val="left"/>
            </w:pPr>
            <w:r>
              <w:t xml:space="preserve">Herz, GH-Mangel (Bisi 1999), PMID 10528131</w:t>
            </w:r>
          </w:p>
        </w:tc>
        <w:tc>
          <w:tcPr/>
          <w:p>
            <w:pPr>
              <w:pStyle w:val="Compact"/>
              <w:jc w:val="left"/>
            </w:pPr>
            <w:r>
              <w:t xml:space="preserve">7 Männer mit GH-Mangel, 9 Gesunde</w:t>
            </w:r>
          </w:p>
        </w:tc>
        <w:tc>
          <w:tcPr/>
          <w:p>
            <w:pPr>
              <w:pStyle w:val="Compact"/>
              <w:jc w:val="left"/>
            </w:pPr>
            <w:r>
              <w:t xml:space="preserve">Einzelgabe</w:t>
            </w:r>
          </w:p>
        </w:tc>
        <w:tc>
          <w:tcPr/>
          <w:p>
            <w:pPr>
              <w:pStyle w:val="Compact"/>
              <w:jc w:val="left"/>
            </w:pPr>
            <w:r>
              <w:t xml:space="preserve">Auswurffraktion 50 → 57 % bzw. 63 → 70 %</w:t>
            </w:r>
          </w:p>
        </w:tc>
      </w:tr>
      <w:tr>
        <w:tc>
          <w:tcPr/>
          <w:p>
            <w:pPr>
              <w:pStyle w:val="Compact"/>
              <w:jc w:val="left"/>
            </w:pPr>
            <w:r>
              <w:t xml:space="preserve">Herz, Bypass-OP (Broglio 2002), PMID 12144941</w:t>
            </w:r>
          </w:p>
        </w:tc>
        <w:tc>
          <w:tcPr/>
          <w:p>
            <w:pPr>
              <w:pStyle w:val="Compact"/>
              <w:jc w:val="left"/>
            </w:pPr>
            <w:r>
              <w:t xml:space="preserve">24 Männer mit KHK, Vergleich mit GHRH, GH, Placebo</w:t>
            </w:r>
          </w:p>
        </w:tc>
        <w:tc>
          <w:tcPr/>
          <w:p>
            <w:pPr>
              <w:pStyle w:val="Compact"/>
              <w:jc w:val="left"/>
            </w:pPr>
            <w:r>
              <w:t xml:space="preserve">Einzelgabe</w:t>
            </w:r>
          </w:p>
        </w:tc>
        <w:tc>
          <w:tcPr/>
          <w:p>
            <w:pPr>
              <w:pStyle w:val="Compact"/>
              <w:jc w:val="left"/>
            </w:pPr>
            <w:r>
              <w:t xml:space="preserve">Auswurffraktion und Herzzeitvolumen ↑</w:t>
            </w:r>
          </w:p>
        </w:tc>
      </w:tr>
    </w:tbl>
    <w:bookmarkEnd w:id="1442"/>
    <w:bookmarkEnd w:id="1443"/>
    <w:bookmarkStart w:id="1447" w:name="tier--und-laborstudien-29"/>
    <w:p>
      <w:pPr>
        <w:pStyle w:val="Heading3"/>
      </w:pPr>
      <w:r>
        <w:t xml:space="preserve">Tier- und Laborstudien</w:t>
      </w:r>
    </w:p>
    <w:p>
      <w:pPr>
        <w:numPr>
          <w:ilvl w:val="0"/>
          <w:numId w:val="1170"/>
        </w:numPr>
        <w:pStyle w:val="Compact"/>
      </w:pPr>
      <w:r>
        <w:rPr>
          <w:bCs/>
          <w:b/>
        </w:rPr>
        <w:t xml:space="preserve">Herzinfarkt (Ratten, Mäuse):</w:t>
      </w:r>
      <w:r>
        <w:t xml:space="preserve"> </w:t>
      </w:r>
      <w:r>
        <w:t xml:space="preserve">Bei Ratten vier Wochen nach einem künstlich ausgelösten Herzinfarkt verbesserte Hexarelin über zwei Wochen das Schlagvolumen und senkte den Gefäßwiderstand ähnlich wie Wachstumshormon</w:t>
      </w:r>
      <w:r>
        <w:rPr>
          <w:rStyle w:val="FootnoteReference"/>
        </w:rPr>
        <w:footnoteReference w:id="1444"/>
      </w:r>
      <w:r>
        <w:t xml:space="preserve">. Bei Mäusen nach Herzinfarkt erhielt es die Pumpfunktion und verringerte die Vernarbung des Herzmuskels</w:t>
      </w:r>
      <w:r>
        <w:rPr>
          <w:rStyle w:val="FootnoteReference"/>
        </w:rPr>
        <w:footnoteReference w:id="1445"/>
      </w:r>
      <w:r>
        <w:t xml:space="preserve">.</w:t>
      </w:r>
    </w:p>
    <w:p>
      <w:pPr>
        <w:numPr>
          <w:ilvl w:val="0"/>
          <w:numId w:val="1170"/>
        </w:numPr>
        <w:pStyle w:val="Compact"/>
      </w:pPr>
      <w:r>
        <w:rPr>
          <w:bCs/>
          <w:b/>
        </w:rPr>
        <w:t xml:space="preserve">Mechanismus:</w:t>
      </w:r>
      <w:r>
        <w:t xml:space="preserve"> </w:t>
      </w:r>
      <w:r>
        <w:t xml:space="preserve">Eine Übersicht beschreibt CD36 als spezifischen Herzrezeptor für Hexarelin, der die schützenden Effekte vermitteln soll</w:t>
      </w:r>
      <w:r>
        <w:rPr>
          <w:rStyle w:val="FootnoteReference"/>
        </w:rPr>
        <w:footnoteReference w:id="1446"/>
      </w:r>
      <w:r>
        <w:t xml:space="preserve">.</w:t>
      </w:r>
    </w:p>
    <w:bookmarkEnd w:id="1447"/>
    <w:bookmarkStart w:id="1452" w:name="risiken-und-nebenwirkungen-29"/>
    <w:p>
      <w:pPr>
        <w:pStyle w:val="Heading3"/>
      </w:pPr>
      <w:r>
        <w:t xml:space="preserve">Risiken und Nebenwirkungen</w:t>
      </w:r>
    </w:p>
    <w:p>
      <w:pPr>
        <w:pStyle w:val="FirstParagraph"/>
      </w:pPr>
      <w:r>
        <w:rPr>
          <w:bCs/>
          <w:b/>
        </w:rPr>
        <w:t xml:space="preserve">Belegt:</w:t>
      </w:r>
      <w:r>
        <w:t xml:space="preserve"> </w:t>
      </w:r>
      <w:r>
        <w:t xml:space="preserve">Anstieg von Cortisol, ACTH und Prolaktin</w:t>
      </w:r>
      <w:r>
        <w:rPr>
          <w:rStyle w:val="FootnoteReference"/>
        </w:rPr>
        <w:footnoteReference w:id="1448"/>
      </w:r>
      <w:r>
        <w:t xml:space="preserve">; kurzfristig gesteigerter Appetit</w:t>
      </w:r>
      <w:r>
        <w:rPr>
          <w:rStyle w:val="FootnoteReference"/>
        </w:rPr>
        <w:footnoteReference w:id="1449"/>
      </w:r>
      <w:r>
        <w:t xml:space="preserve">; nachlassende Wirkung bei Dauergabe</w:t>
      </w:r>
      <w:r>
        <w:rPr>
          <w:rStyle w:val="FootnoteReference"/>
        </w:rPr>
        <w:footnoteReference w:id="1450"/>
      </w:r>
      <w:r>
        <w:t xml:space="preserve">. Schwere Nebenwirkungen wurden in den kleinen Studien nicht berichtet; bei Kindern fanden die Autoren keine unerwünschten Effekte</w:t>
      </w:r>
      <w:r>
        <w:rPr>
          <w:rStyle w:val="FootnoteReference"/>
        </w:rPr>
        <w:footnoteReference w:id="1451"/>
      </w:r>
      <w:r>
        <w:t xml:space="preserve">.</w:t>
      </w:r>
    </w:p>
    <w:p>
      <w:pPr>
        <w:pStyle w:val="BodyText"/>
      </w:pPr>
      <w:r>
        <w:rPr>
          <w:bCs/>
          <w:b/>
        </w:rPr>
        <w:t xml:space="preserve">Unbekannt:</w:t>
      </w:r>
      <w:r>
        <w:t xml:space="preserve"> </w:t>
      </w:r>
      <w:r>
        <w:t xml:space="preserve">Langzeitdaten zur Sicherheit, insbesondere am Herzen, fehlen. Dass eine Substanz die Pumpkraft akut steigert, sagt nichts darüber aus, ob sie bei Herzschwäche langfristig nützt oder schadet – das ließe sich nur in eigenen Langzeitstudien mit klinischen Endpunkten klären, die es nicht gibt. Zur Frage eines Krebsrisikos bei dauerhaft erhöhtem Wachstumshormon siehe die Einleitung dieser Gruppe und Teil IV.</w:t>
      </w:r>
    </w:p>
    <w:bookmarkEnd w:id="1452"/>
    <w:bookmarkStart w:id="1454" w:name="rechtslage-29"/>
    <w:p>
      <w:pPr>
        <w:pStyle w:val="Heading3"/>
      </w:pPr>
      <w:r>
        <w:t xml:space="preserve">Rechtslage</w:t>
      </w:r>
    </w:p>
    <w:p>
      <w:pPr>
        <w:pStyle w:val="FirstParagraph"/>
      </w:pPr>
      <w:r>
        <w:rPr>
          <w:iCs/>
          <w:i/>
        </w:rPr>
        <w:t xml:space="preserve">Stand 2026, bitte aktuell prüfen.</w:t>
      </w:r>
    </w:p>
    <w:p>
      <w:pPr>
        <w:numPr>
          <w:ilvl w:val="0"/>
          <w:numId w:val="1171"/>
        </w:numPr>
        <w:pStyle w:val="Compact"/>
      </w:pPr>
      <w:r>
        <w:rPr>
          <w:bCs/>
          <w:b/>
        </w:rPr>
        <w:t xml:space="preserve">EU, Deutschland, Österreich, USA:</w:t>
      </w:r>
      <w:r>
        <w:t xml:space="preserve"> </w:t>
      </w:r>
      <w:r>
        <w:t xml:space="preserve">keine Zulassung als Arzneimittel; die Abgabe zur Anwendung am Menschen ist unzulässig.</w:t>
      </w:r>
    </w:p>
    <w:p>
      <w:pPr>
        <w:numPr>
          <w:ilvl w:val="0"/>
          <w:numId w:val="1171"/>
        </w:numPr>
        <w:pStyle w:val="Compact"/>
      </w:pPr>
      <w:r>
        <w:rPr>
          <w:bCs/>
          <w:b/>
        </w:rPr>
        <w:t xml:space="preserve">WADA:</w:t>
      </w:r>
      <w:r>
        <w:t xml:space="preserve"> </w:t>
      </w:r>
      <w:r>
        <w:t xml:space="preserve">verboten (S2). Hexarelin wird im Körper stark abgebaut; Abbauprodukte bleiben nach dem Verschwinden der Ausgangssubstanz im Urin nachweisbar</w:t>
      </w:r>
      <w:r>
        <w:rPr>
          <w:rStyle w:val="FootnoteReference"/>
        </w:rPr>
        <w:footnoteReference w:id="1453"/>
      </w:r>
      <w:r>
        <w:t xml:space="preserve">.</w:t>
      </w:r>
    </w:p>
    <w:bookmarkEnd w:id="1454"/>
    <w:bookmarkStart w:id="1455" w:name="laufende-studien-und-ausblick-29"/>
    <w:p>
      <w:pPr>
        <w:pStyle w:val="Heading3"/>
      </w:pPr>
      <w:r>
        <w:t xml:space="preserve">Laufende Studien und Ausblick</w:t>
      </w:r>
    </w:p>
    <w:p>
      <w:pPr>
        <w:pStyle w:val="FirstParagraph"/>
      </w:pPr>
      <w:r>
        <w:t xml:space="preserve">Bei ClinicalTrials.gov ist im Oktober 2026 keine Studie mit Hexarelin eingetragen.</w:t>
      </w:r>
      <w:r>
        <w:t xml:space="preserve"> </w:t>
      </w:r>
      <w:r>
        <w:rPr>
          <w:iCs/>
          <w:i/>
        </w:rPr>
        <w:t xml:space="preserve">Einschätzung des Autors:</w:t>
      </w:r>
      <w:r>
        <w:t xml:space="preserve"> </w:t>
      </w:r>
      <w:r>
        <w:t xml:space="preserve">Die Herzforschung läuft weiter, aber nur im Tiermodell. Eine klinische Entwicklung würde ein Unternehmen voraussetzen, das die Rechte hält und Studien finanziert – ein solches ist derzeit nicht erkennbar.</w:t>
      </w:r>
    </w:p>
    <w:bookmarkEnd w:id="1455"/>
    <w:bookmarkStart w:id="1456" w:name="fazit-29"/>
    <w:p>
      <w:pPr>
        <w:pStyle w:val="Heading3"/>
      </w:pPr>
      <w:r>
        <w:t xml:space="preserve">Fazit</w:t>
      </w:r>
    </w:p>
    <w:p>
      <w:pPr>
        <w:pStyle w:val="FirstParagraph"/>
      </w:pPr>
      <w:r>
        <w:t xml:space="preserve">Hexarelin setzt beim Menschen kräftig Wachstumshormon frei, aber auch Stresshormone und Prolaktin, und bei Dauergabe lässt die Wirkung deutlich nach; IGF-1 und Körperzusammensetzung veränderten sich in einer 16-wöchigen Studie nicht. Interessant sind kleine Studien, in denen eine Einzelgabe die Pumpkraft des Herzens steigerte, offenbar unabhängig vom Wachstumshormon. Ob daraus je ein Nutzen für Menschen mit Herzerkrankungen entsteht, ist völlig offen; für Muskelaufbau oder Verjüngung gibt es keine Belege.</w:t>
      </w:r>
    </w:p>
    <w:bookmarkEnd w:id="1456"/>
    <w:bookmarkEnd w:id="1457"/>
    <w:bookmarkStart w:id="1489" w:name="macimorelin"/>
    <w:p>
      <w:pPr>
        <w:pStyle w:val="Heading2"/>
      </w:pPr>
      <w:r>
        <w:t xml:space="preserve">Macimorelin</w:t>
      </w:r>
    </w:p>
    <w:p>
      <w:pPr>
        <w:pStyle w:val="FirstParagraph"/>
      </w:pPr>
      <w:r>
        <w:t xml:space="preserve">Macimorelin ist das nüchternste Mitglied dieser Gruppe – und gerade deshalb ein gutes Gegenbeispiel zu den Graumarkt-Peptiden. Es wird nicht zur Behandlung eingesetzt, sondern als Test: Eine Person trinkt eine Lösung mit Macimorelin, danach wird mehrmals Blut abgenommen. Steigt das Wachstumshormon kaum an, spricht das für einen Wachstumshormon-Mangel. Dafür ist Macimorelin in den USA und der EU zugelassen. Es ist ein Beispiel dafür, wie ein Ghrelin-Mimetikum mit sauberen Vergleichsstudien zu einem echten Arzneimittel werden kann.</w:t>
      </w:r>
    </w:p>
    <w:bookmarkStart w:id="1459" w:name="steckbrief-30"/>
    <w:p>
      <w:pPr>
        <w:pStyle w:val="Heading3"/>
      </w:pPr>
      <w:r>
        <w:t xml:space="preserve">Steckbrief</w:t>
      </w:r>
    </w:p>
    <w:p>
      <w:pPr>
        <w:numPr>
          <w:ilvl w:val="0"/>
          <w:numId w:val="1172"/>
        </w:numPr>
        <w:pStyle w:val="Compact"/>
      </w:pPr>
      <w:r>
        <w:rPr>
          <w:bCs/>
          <w:b/>
        </w:rPr>
        <w:t xml:space="preserve">Art und Struktur:</w:t>
      </w:r>
      <w:r>
        <w:t xml:space="preserve"> </w:t>
      </w:r>
      <w:r>
        <w:t xml:space="preserve">kleines peptidähnliches Molekül (Peptidomimetikum), das nach dem Schlucken wirksam ist</w:t>
      </w:r>
      <w:r>
        <w:rPr>
          <w:rStyle w:val="FootnoteReference"/>
        </w:rPr>
        <w:footnoteReference w:id="1458"/>
      </w:r>
      <w:r>
        <w:t xml:space="preserve">. Frühere Bezeichnungen: EP01572, ARD-07, AEZS-130.</w:t>
      </w:r>
    </w:p>
    <w:p>
      <w:pPr>
        <w:numPr>
          <w:ilvl w:val="0"/>
          <w:numId w:val="1172"/>
        </w:numPr>
        <w:pStyle w:val="Compact"/>
      </w:pPr>
      <w:r>
        <w:rPr>
          <w:bCs/>
          <w:b/>
        </w:rPr>
        <w:t xml:space="preserve">Herkunft:</w:t>
      </w:r>
      <w:r>
        <w:t xml:space="preserve"> </w:t>
      </w:r>
      <w:r>
        <w:t xml:space="preserve">entwickelt aus der Forschung zu oral wirksamen Wachstumshormon-Freisetzern; zugelassen auf Antrag von Aeterna Zentaris.</w:t>
      </w:r>
    </w:p>
    <w:p>
      <w:pPr>
        <w:numPr>
          <w:ilvl w:val="0"/>
          <w:numId w:val="1172"/>
        </w:numPr>
        <w:pStyle w:val="Compact"/>
      </w:pPr>
      <w:r>
        <w:rPr>
          <w:bCs/>
          <w:b/>
        </w:rPr>
        <w:t xml:space="preserve">Wirkprinzip:</w:t>
      </w:r>
      <w:r>
        <w:t xml:space="preserve"> </w:t>
      </w:r>
      <w:r>
        <w:t xml:space="preserve">Agonist am Ghrelin-Rezeptor (GHS-R1a); löst einmalig eine Wachstumshormon-Ausschüttung aus, deren Höhe die Leistungsfähigkeit der Hirnanhangdrüse widerspiegelt.</w:t>
      </w:r>
    </w:p>
    <w:p>
      <w:pPr>
        <w:numPr>
          <w:ilvl w:val="0"/>
          <w:numId w:val="1172"/>
        </w:numPr>
        <w:pStyle w:val="Compact"/>
      </w:pPr>
      <w:r>
        <w:rPr>
          <w:bCs/>
          <w:b/>
        </w:rPr>
        <w:t xml:space="preserve">Zulassung USA:</w:t>
      </w:r>
      <w:r>
        <w:t xml:space="preserve"> </w:t>
      </w:r>
      <w:r>
        <w:t xml:space="preserve">ja (Macrilen, seit 2017) zur Diagnose des Wachstumshormon-Mangels bei Erwachsenen.</w:t>
      </w:r>
      <w:r>
        <w:t xml:space="preserve"> </w:t>
      </w:r>
      <w:r>
        <w:rPr>
          <w:bCs/>
          <w:b/>
        </w:rPr>
        <w:t xml:space="preserve">Zulassung EU:</w:t>
      </w:r>
      <w:r>
        <w:t xml:space="preserve"> </w:t>
      </w:r>
      <w:r>
        <w:t xml:space="preserve">ja (zentral zugelassen 2019) für dieselbe Indikation. Zur aktuellen Verfügbarkeit in einzelnen Ländern siehe unten.</w:t>
      </w:r>
    </w:p>
    <w:p>
      <w:pPr>
        <w:numPr>
          <w:ilvl w:val="0"/>
          <w:numId w:val="1172"/>
        </w:numPr>
        <w:pStyle w:val="Compact"/>
      </w:pPr>
      <w:r>
        <w:rPr>
          <w:bCs/>
          <w:b/>
        </w:rPr>
        <w:t xml:space="preserve">WADA:</w:t>
      </w:r>
      <w:r>
        <w:t xml:space="preserve"> </w:t>
      </w:r>
      <w:r>
        <w:t xml:space="preserve">verboten, Gruppe S2 (Wachstumshormon-Sekretagoga; Macimorelin wird ausdrücklich genannt).</w:t>
      </w:r>
    </w:p>
    <w:p>
      <w:pPr>
        <w:numPr>
          <w:ilvl w:val="0"/>
          <w:numId w:val="1172"/>
        </w:numPr>
        <w:pStyle w:val="Compact"/>
      </w:pPr>
      <w:r>
        <w:rPr>
          <w:bCs/>
          <w:b/>
        </w:rPr>
        <w:t xml:space="preserve">Evidenzstufe: A</w:t>
      </w:r>
      <w:r>
        <w:t xml:space="preserve"> </w:t>
      </w:r>
      <w:r>
        <w:t xml:space="preserve">– zwei Phase-3-Studien zur diagnostischen Genauigkeit, Zulassung in USA und EU. Einschränkung: Es handelt sich um ein Diagnostikum, nicht um eine Therapie.</w:t>
      </w:r>
    </w:p>
    <w:bookmarkEnd w:id="1459"/>
    <w:bookmarkStart w:id="1460" w:name="wie-es-wirken-soll-30"/>
    <w:p>
      <w:pPr>
        <w:pStyle w:val="Heading3"/>
      </w:pPr>
      <w:r>
        <w:t xml:space="preserve">Wie es wirken soll</w:t>
      </w:r>
    </w:p>
    <w:p>
      <w:pPr>
        <w:pStyle w:val="FirstParagraph"/>
      </w:pPr>
      <w:r>
        <w:t xml:space="preserve">Die Diagnose eines Wachstumshormon-Mangels bei Erwachsenen ist schwierig. Ein einzelner Blutwert reicht nicht, weil Wachstumshormon in Stößen ausgeschüttet wird. Man braucht einen Stimulationstest: Die Hirnanhangdrüse wird gezielt gereizt, und man misst, wie viel Wachstumshormon sie freisetzt.</w:t>
      </w:r>
    </w:p>
    <w:p>
      <w:pPr>
        <w:pStyle w:val="BodyText"/>
      </w:pPr>
      <w:r>
        <w:t xml:space="preserve">Der Referenztest ist der Insulin-Hypoglykämie-Test (Insulintoleranztest, ITT). Dabei wird der Blutzucker mit Insulin absichtlich stark gesenkt – das ist unangenehm, erfordert ärztliche Überwachung und ist bei Herzkrankheiten oder Krampfanfällen nicht erlaubt. Macimorelin bietet eine Alternative: Es aktiviert den Ghrelin-Rezeptor, der direkt die Wachstumshormon-Ausschüttung auslöst, ohne den Blutzucker zu senken. Weil es geschluckt wird, entfällt auch eine Infusion.</w:t>
      </w:r>
    </w:p>
    <w:bookmarkEnd w:id="1460"/>
    <w:bookmarkStart w:id="1474" w:name="studien-am-menschen-3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w:t>
      </w:r>
      <w:r>
        <w:t xml:space="preserve"> </w:t>
      </w:r>
      <w:r>
        <w:t xml:space="preserve">Humanstudien in PubMed (</w:t>
      </w:r>
      <w:r>
        <w:rPr>
          <w:rStyle w:val="VerbatimChar"/>
        </w:rPr>
        <w:t xml:space="preserve">humanstudien_alle</w:t>
      </w:r>
      <w:r>
        <w:t xml:space="preserve">) und</w:t>
      </w:r>
      <w:r>
        <w:t xml:space="preserve"> </w:t>
      </w:r>
      <w:r>
        <w:rPr>
          <w:bCs/>
          <w:b/>
        </w:rPr>
        <w:t xml:space="preserve">6</w:t>
      </w:r>
      <w:r>
        <w:t xml:space="preserve"> </w:t>
      </w:r>
      <w:r>
        <w:t xml:space="preserve">Einträge bei ClinicalTrials.gov. Eine gezielte Nachsuche ergab weitere Studien, darunter die erste Phase-3-Studie, eine Kinderstudie, mehrere Arbeiten an Gesunden und eine Auswertung aus der Praxis.</w:t>
      </w:r>
    </w:p>
    <w:bookmarkStart w:id="1463" w:name="frühe-pharmakologie"/>
    <w:p>
      <w:pPr>
        <w:pStyle w:val="Heading4"/>
      </w:pPr>
      <w:r>
        <w:t xml:space="preserve">Frühe Pharmakologie</w:t>
      </w:r>
    </w:p>
    <w:p>
      <w:pPr>
        <w:pStyle w:val="FirstParagraph"/>
      </w:pPr>
      <w:r>
        <w:t xml:space="preserve">Bereits 2007 zeigte eine Studie mit 36 gesunden Männern, dass die Substanz (damals EP01572) nach dem Schlucken rasch und dosisabhängig ins Blut gelangt und kräftig Wachstumshormon freisetzt</w:t>
      </w:r>
      <w:r>
        <w:rPr>
          <w:rStyle w:val="FootnoteReference"/>
        </w:rPr>
        <w:footnoteReference w:id="1461"/>
      </w:r>
      <w:r>
        <w:t xml:space="preserve">. In einer randomisierten Phase-1-Studie mit 28 Gesunden lag die Halbwertszeit bei 3,5 Stunden für die beiden niedrigeren Dosen; der GH-Gipfel trat nach 45 bis 60 Minuten auf. ACTH, Cortisol und Prolaktin stiegen vorübergehend an</w:t>
      </w:r>
      <w:r>
        <w:rPr>
          <w:rStyle w:val="FootnoteReference"/>
        </w:rPr>
        <w:footnoteReference w:id="1462"/>
      </w:r>
      <w:r>
        <w:t xml:space="preserve">.</w:t>
      </w:r>
    </w:p>
    <w:bookmarkEnd w:id="1463"/>
    <w:bookmarkStart w:id="1467" w:name="die-zulassungsstudien-1"/>
    <w:p>
      <w:pPr>
        <w:pStyle w:val="Heading4"/>
      </w:pPr>
      <w:r>
        <w:t xml:space="preserve">Die Zulassungsstudien</w:t>
      </w:r>
    </w:p>
    <w:p>
      <w:pPr>
        <w:pStyle w:val="FirstParagraph"/>
      </w:pPr>
      <w:r>
        <w:rPr>
          <w:bCs/>
          <w:b/>
        </w:rPr>
        <w:t xml:space="preserve">Erste Phase-3-Studie:</w:t>
      </w:r>
      <w:r>
        <w:t xml:space="preserve"> </w:t>
      </w:r>
      <w:r>
        <w:t xml:space="preserve">In einer offenen multizentrischen Studie wurde Macimorelin mit dem damals üblichen Kombinationstest aus Arginin und GHRH verglichen. Ausgewertet wurden 50 Erwachsene mit Wachstumshormon-Mangel und 48 Gesunde. Der GH-Gipfel lag bei den Betroffenen im Mittel bei 2,36 ng/ml, bei den Gesunden bei 17,71 ng/ml. Mit einem Grenzwert von 2,7 ng/ml erreichte der Test eine Sensitivität von 82 % und eine Spezifität von 92 %. Als einzige schwere, medikamentenbezogene Nebenwirkung wurde eine symptomlose Verlängerung der QT-Zeit im EKG berichtet. Während der Studie wurde das GHRH-Präparat (Sermorelin) in den USA vom Markt genommen, sodass ein Teil der Teilnehmenden nur mit Macimorelin getestet wurde</w:t>
      </w:r>
      <w:r>
        <w:rPr>
          <w:rStyle w:val="FootnoteReference"/>
        </w:rPr>
        <w:footnoteReference w:id="1464"/>
      </w:r>
      <w:r>
        <w:t xml:space="preserve">.</w:t>
      </w:r>
    </w:p>
    <w:p>
      <w:pPr>
        <w:pStyle w:val="BodyText"/>
      </w:pPr>
      <w:r>
        <w:rPr>
          <w:bCs/>
          <w:b/>
        </w:rPr>
        <w:t xml:space="preserve">Zweite Phase-3-Studie (Zulassungsgrundlage):</w:t>
      </w:r>
      <w:r>
        <w:t xml:space="preserve"> </w:t>
      </w:r>
      <w:r>
        <w:t xml:space="preserve">In einer randomisierten Überkreuzstudie erhielten Erwachsene mit hoher, mittlerer und niedriger Wahrscheinlichkeit für einen Wachstumshormon-Mangel sowie gesunde Vergleichspersonen sowohl den Macimorelin-Test als auch den Insulintest. 99 % der Macimorelin-Tests, aber nur 82 % der Insulintests waren auswertbar. Mit den Grenzwerten 2,8 ng/ml (Macimorelin) und 5,1 ng/ml (ITT) betrugen Sensitivität 87 % und Spezifität 96 %; bei Wiederholung war das Ergebnis in 97 % gleich. Schwere Nebenwirkungen durch Macimorelin traten nicht auf. Ein einheitlicher Grenzwert von 5,1 ng/ml für beide Tests ergab in einer nachträglichen Analyse 92 % Sensitivität bei 96 % Spezifität</w:t>
      </w:r>
      <w:r>
        <w:rPr>
          <w:rStyle w:val="FootnoteReference"/>
        </w:rPr>
        <w:footnoteReference w:id="1465"/>
      </w:r>
      <w:r>
        <w:t xml:space="preserve">. Weitere Auswertungen zeigten, dass Alter, Körpergewicht und Geschlecht die Testgenauigkeit nicht wesentlich beeinflussten</w:t>
      </w:r>
      <w:r>
        <w:rPr>
          <w:rStyle w:val="FootnoteReference"/>
        </w:rPr>
        <w:footnoteReference w:id="1466"/>
      </w:r>
      <w:r>
        <w:t xml:space="preserve">.</w:t>
      </w:r>
    </w:p>
    <w:bookmarkEnd w:id="1467"/>
    <w:bookmarkStart w:id="1469" w:name="erfahrungen-aus-der-praxis"/>
    <w:p>
      <w:pPr>
        <w:pStyle w:val="Heading4"/>
      </w:pPr>
      <w:r>
        <w:t xml:space="preserve">Erfahrungen aus der Praxis</w:t>
      </w:r>
    </w:p>
    <w:p>
      <w:pPr>
        <w:pStyle w:val="FirstParagraph"/>
      </w:pPr>
      <w:r>
        <w:t xml:space="preserve">Eine rückblickende Auswertung von 37 Patientinnen und Patienten einer Klinik fand, dass mit dem in den USA zugelassenen Grenzwert von 2,8 ng/ml 40,5 %, mit 5,1 ng/ml dagegen 54,0 % als Wachstumshormon-Mangel eingestuft wurden. Die abweichenden Einstufungen betrafen vor allem stark übergewichtige Personen mit niedriger Vortestwahrscheinlichkeit</w:t>
      </w:r>
      <w:r>
        <w:rPr>
          <w:rStyle w:val="FootnoteReference"/>
        </w:rPr>
        <w:footnoteReference w:id="1468"/>
      </w:r>
      <w:r>
        <w:t xml:space="preserve">. Das zeigt: Der Grenzwert ist nicht trivial, und bei starkem Übergewicht ist Vorsicht bei der Deutung geboten.</w:t>
      </w:r>
    </w:p>
    <w:bookmarkEnd w:id="1469"/>
    <w:bookmarkStart w:id="1473" w:name="kinder-und-andere-anwendungen"/>
    <w:p>
      <w:pPr>
        <w:pStyle w:val="Heading4"/>
      </w:pPr>
      <w:r>
        <w:t xml:space="preserve">Kinder und andere Anwendungen</w:t>
      </w:r>
    </w:p>
    <w:p>
      <w:pPr>
        <w:numPr>
          <w:ilvl w:val="0"/>
          <w:numId w:val="1173"/>
        </w:numPr>
        <w:pStyle w:val="Compact"/>
      </w:pPr>
      <w:r>
        <w:rPr>
          <w:bCs/>
          <w:b/>
        </w:rPr>
        <w:t xml:space="preserve">Kinder:</w:t>
      </w:r>
      <w:r>
        <w:t xml:space="preserve"> </w:t>
      </w:r>
      <w:r>
        <w:t xml:space="preserve">Eine offene Dosisfindungsstudie mit 24 Kindern und Jugendlichen mit Verdacht auf Wachstumshormon-Mangel fand keine Macimorelin-bedingten Nebenwirkungen</w:t>
      </w:r>
      <w:r>
        <w:rPr>
          <w:rStyle w:val="FootnoteReference"/>
        </w:rPr>
        <w:footnoteReference w:id="1470"/>
      </w:r>
      <w:r>
        <w:t xml:space="preserve">. Die anschließende Phase-3-Studie DETECT mit 101 Kindern</w:t>
      </w:r>
      <w:r>
        <w:rPr>
          <w:rStyle w:val="FootnoteReference"/>
        </w:rPr>
        <w:footnoteReference w:id="1471"/>
      </w:r>
      <w:r>
        <w:t xml:space="preserve"> </w:t>
      </w:r>
      <w:r>
        <w:t xml:space="preserve">wurde im Juni 2024 abgeschlossen; Ergebnisse sind im Register nicht hinterlegt, und eine Veröffentlichung habe ich in PubMed nicht gefunden.</w:t>
      </w:r>
    </w:p>
    <w:p>
      <w:pPr>
        <w:numPr>
          <w:ilvl w:val="0"/>
          <w:numId w:val="1173"/>
        </w:numPr>
        <w:pStyle w:val="Compact"/>
      </w:pPr>
      <w:r>
        <w:rPr>
          <w:bCs/>
          <w:b/>
        </w:rPr>
        <w:t xml:space="preserve">Tumorkachexie:</w:t>
      </w:r>
      <w:r>
        <w:t xml:space="preserve"> </w:t>
      </w:r>
      <w:r>
        <w:t xml:space="preserve">In einer Pilotstudie mit 15 Krebspatientinnen und -patienten mit krankhaftem Gewichtsverlust war Macimorelin über eine Woche gut verträglich; Gewicht und Lebensqualität besserten sich zahlenmäßig, aber ohne signifikanten Unterschied zu Placebo</w:t>
      </w:r>
      <w:r>
        <w:rPr>
          <w:rStyle w:val="FootnoteReference"/>
        </w:rPr>
        <w:footnoteReference w:id="14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(Garcia 2013), PMID 23559086</w:t>
            </w:r>
          </w:p>
        </w:tc>
        <w:tc>
          <w:tcPr/>
          <w:p>
            <w:pPr>
              <w:pStyle w:val="Compact"/>
              <w:jc w:val="left"/>
            </w:pPr>
            <w:r>
              <w:t xml:space="preserve">50 Erwachsene mit GH-Mangel, 48 Gesunde; Vergleich mit Arginin+GHRH</w:t>
            </w:r>
          </w:p>
        </w:tc>
        <w:tc>
          <w:tcPr/>
          <w:p>
            <w:pPr>
              <w:pStyle w:val="Compact"/>
              <w:jc w:val="left"/>
            </w:pPr>
            <w:r>
              <w:t xml:space="preserve">Einzeltest</w:t>
            </w:r>
          </w:p>
        </w:tc>
        <w:tc>
          <w:tcPr/>
          <w:p>
            <w:pPr>
              <w:pStyle w:val="Compact"/>
              <w:jc w:val="left"/>
            </w:pPr>
            <w:r>
              <w:t xml:space="preserve">Sensitivität 82 %, Spezifität 92 %</w:t>
            </w:r>
          </w:p>
        </w:tc>
      </w:tr>
      <w:tr>
        <w:tc>
          <w:tcPr/>
          <w:p>
            <w:pPr>
              <w:pStyle w:val="Compact"/>
              <w:jc w:val="left"/>
            </w:pPr>
            <w:r>
              <w:t xml:space="preserve">Phase 3, Studie 2 (Garcia 2018), PMID 29860473</w:t>
            </w:r>
          </w:p>
        </w:tc>
        <w:tc>
          <w:tcPr/>
          <w:p>
            <w:pPr>
              <w:pStyle w:val="Compact"/>
              <w:jc w:val="left"/>
            </w:pPr>
            <w:r>
              <w:t xml:space="preserve">Erwachsene mit unterschiedlicher Vortestwahrscheinlichkeit und Gesunde; randomisierte Überkreuzstudie gegen ITT</w:t>
            </w:r>
          </w:p>
        </w:tc>
        <w:tc>
          <w:tcPr/>
          <w:p>
            <w:pPr>
              <w:pStyle w:val="Compact"/>
              <w:jc w:val="left"/>
            </w:pPr>
            <w:r>
              <w:t xml:space="preserve">Einzeltests</w:t>
            </w:r>
          </w:p>
        </w:tc>
        <w:tc>
          <w:tcPr/>
          <w:p>
            <w:pPr>
              <w:pStyle w:val="Compact"/>
              <w:jc w:val="left"/>
            </w:pPr>
            <w:r>
              <w:t xml:space="preserve">Sensitivität 87 %, Spezifität 96 %; Wiederholbarkeit 97 %</w:t>
            </w:r>
          </w:p>
        </w:tc>
      </w:tr>
      <w:tr>
        <w:tc>
          <w:tcPr/>
          <w:p>
            <w:pPr>
              <w:pStyle w:val="Compact"/>
              <w:jc w:val="left"/>
            </w:pPr>
            <w:r>
              <w:t xml:space="preserve">QT-Studie (Lissy 2021), PMID 32961034</w:t>
            </w:r>
          </w:p>
        </w:tc>
        <w:tc>
          <w:tcPr/>
          <w:p>
            <w:pPr>
              <w:pStyle w:val="Compact"/>
              <w:jc w:val="left"/>
            </w:pPr>
            <w:r>
              <w:t xml:space="preserve">60 Gesunde, randomisiert, Placebo und Moxifloxacin</w:t>
            </w:r>
          </w:p>
        </w:tc>
        <w:tc>
          <w:tcPr/>
          <w:p>
            <w:pPr>
              <w:pStyle w:val="Compact"/>
              <w:jc w:val="left"/>
            </w:pPr>
            <w:r>
              <w:t xml:space="preserve">Einzeldosen</w:t>
            </w:r>
          </w:p>
        </w:tc>
        <w:tc>
          <w:tcPr/>
          <w:p>
            <w:pPr>
              <w:pStyle w:val="Compact"/>
              <w:jc w:val="left"/>
            </w:pPr>
            <w:r>
              <w:t xml:space="preserve">QT-Verlängerung bis 9,61 ms bei überhöhter Dosis</w:t>
            </w:r>
          </w:p>
        </w:tc>
      </w:tr>
      <w:tr>
        <w:tc>
          <w:tcPr/>
          <w:p>
            <w:pPr>
              <w:pStyle w:val="Compact"/>
              <w:jc w:val="left"/>
            </w:pPr>
            <w:r>
              <w:t xml:space="preserve">Praxisdaten (Yadav 2026), PMID 41793495</w:t>
            </w:r>
          </w:p>
        </w:tc>
        <w:tc>
          <w:tcPr/>
          <w:p>
            <w:pPr>
              <w:pStyle w:val="Compact"/>
              <w:jc w:val="left"/>
            </w:pPr>
            <w:r>
              <w:t xml:space="preserve">37 Personen, rückblickend</w:t>
            </w:r>
          </w:p>
        </w:tc>
        <w:tc>
          <w:tcPr/>
          <w:p>
            <w:pPr>
              <w:pStyle w:val="Compact"/>
              <w:jc w:val="left"/>
            </w:pPr>
            <w:r>
              <w:t xml:space="preserve">Einzeltest</w:t>
            </w:r>
          </w:p>
        </w:tc>
        <w:tc>
          <w:tcPr/>
          <w:p>
            <w:pPr>
              <w:pStyle w:val="Compact"/>
              <w:jc w:val="left"/>
            </w:pPr>
            <w:r>
              <w:t xml:space="preserve">Grenzwert beeinflusst Diagnose, vor allem bei Adipositas</w:t>
            </w:r>
          </w:p>
        </w:tc>
      </w:tr>
      <w:tr>
        <w:tc>
          <w:tcPr/>
          <w:p>
            <w:pPr>
              <w:pStyle w:val="Compact"/>
              <w:jc w:val="left"/>
            </w:pPr>
            <w:r>
              <w:t xml:space="preserve">Kachexie (Herodes 2023), PMID 36860137</w:t>
            </w:r>
          </w:p>
        </w:tc>
        <w:tc>
          <w:tcPr/>
          <w:p>
            <w:pPr>
              <w:pStyle w:val="Compact"/>
              <w:jc w:val="left"/>
            </w:pPr>
            <w:r>
              <w:t xml:space="preserve">15 Krebspatienten, RCT-Pilotstudie</w:t>
            </w:r>
          </w:p>
        </w:tc>
        <w:tc>
          <w:tcPr/>
          <w:p>
            <w:pPr>
              <w:pStyle w:val="Compact"/>
              <w:jc w:val="left"/>
            </w:pPr>
            <w:r>
              <w:t xml:space="preserve">1 Woche</w:t>
            </w:r>
          </w:p>
        </w:tc>
        <w:tc>
          <w:tcPr/>
          <w:p>
            <w:pPr>
              <w:pStyle w:val="Compact"/>
              <w:jc w:val="left"/>
            </w:pPr>
            <w:r>
              <w:t xml:space="preserve">gut verträglich, kein signifikanter Effekt</w:t>
            </w:r>
          </w:p>
        </w:tc>
      </w:tr>
    </w:tbl>
    <w:bookmarkEnd w:id="1473"/>
    <w:bookmarkEnd w:id="1474"/>
    <w:bookmarkStart w:id="1477" w:name="tier--und-laborstudien-30"/>
    <w:p>
      <w:pPr>
        <w:pStyle w:val="Heading3"/>
      </w:pPr>
      <w:r>
        <w:t xml:space="preserve">Tier- und Laborstudien</w:t>
      </w:r>
    </w:p>
    <w:p>
      <w:pPr>
        <w:pStyle w:val="FirstParagraph"/>
      </w:pPr>
      <w:r>
        <w:t xml:space="preserve">Bei Mäusen mit schwer behandelbarer Epilepsie verringerte Macimorelin während der zweiwöchigen Behandlung Zahl und Dauer der Anfälle, veränderte aber den Krankheitsverlauf nicht</w:t>
      </w:r>
      <w:r>
        <w:rPr>
          <w:rStyle w:val="FootnoteReference"/>
        </w:rPr>
        <w:footnoteReference w:id="1475"/>
      </w:r>
      <w:r>
        <w:t xml:space="preserve">. Strukturuntersuchungen zeigen, wie Macimorelin im Ghrelin-Rezeptor bindet</w:t>
      </w:r>
      <w:r>
        <w:rPr>
          <w:rStyle w:val="FootnoteReference"/>
        </w:rPr>
        <w:footnoteReference w:id="1476"/>
      </w:r>
      <w:r>
        <w:t xml:space="preserve">. Für die zugelassene Anwendung sind diese Arbeiten nicht relevant.</w:t>
      </w:r>
    </w:p>
    <w:bookmarkEnd w:id="1477"/>
    <w:bookmarkStart w:id="1482" w:name="risiken-und-nebenwirkungen-30"/>
    <w:p>
      <w:pPr>
        <w:pStyle w:val="Heading3"/>
      </w:pPr>
      <w:r>
        <w:t xml:space="preserve">Risiken und Nebenwirkungen</w:t>
      </w:r>
    </w:p>
    <w:p>
      <w:pPr>
        <w:pStyle w:val="FirstParagraph"/>
      </w:pPr>
      <w:r>
        <w:rPr>
          <w:bCs/>
          <w:b/>
        </w:rPr>
        <w:t xml:space="preserve">Belegt:</w:t>
      </w:r>
      <w:r>
        <w:t xml:space="preserve"> </w:t>
      </w:r>
      <w:r>
        <w:t xml:space="preserve">Macimorelin wird nur einmal pro Test eingenommen; die Nebenwirkungen sind entsprechend begrenzt. In der Zulassungsstudie traten keine schweren Nebenwirkungen durch Macimorelin auf</w:t>
      </w:r>
      <w:r>
        <w:rPr>
          <w:rStyle w:val="FootnoteReference"/>
        </w:rPr>
        <w:footnoteReference w:id="1478"/>
      </w:r>
      <w:r>
        <w:t xml:space="preserve">. ACTH, Cortisol und Prolaktin steigen vorübergehend an</w:t>
      </w:r>
      <w:r>
        <w:rPr>
          <w:rStyle w:val="FootnoteReference"/>
        </w:rPr>
        <w:footnoteReference w:id="1479"/>
      </w:r>
      <w:r>
        <w:t xml:space="preserve">.</w:t>
      </w:r>
    </w:p>
    <w:p>
      <w:pPr>
        <w:pStyle w:val="BodyText"/>
      </w:pPr>
      <w:r>
        <w:rPr>
          <w:bCs/>
          <w:b/>
        </w:rPr>
        <w:t xml:space="preserve">QT-Verlängerung:</w:t>
      </w:r>
      <w:r>
        <w:t xml:space="preserve"> </w:t>
      </w:r>
      <w:r>
        <w:t xml:space="preserve">In einer gründlichen EKG-Studie mit 60 Gesunden verlängerte eine bewusst überhöhte (supratherapeutische) Einzeldosis die QT-Zeit – ein Maß für die Erregungsrückbildung des Herzens – im Mittel um bis zu 9,61 Millisekunden; die obere Grenze des Konfidenzintervalls überschritt die regulatorische Schwelle von 10 Millisekunden</w:t>
      </w:r>
      <w:r>
        <w:rPr>
          <w:rStyle w:val="FootnoteReference"/>
        </w:rPr>
        <w:footnoteReference w:id="1480"/>
      </w:r>
      <w:r>
        <w:t xml:space="preserve">. Deshalb ist bei Menschen, die andere QT-verlängernde Medikamente einnehmen, Vorsicht geboten. Einzelheiten zu Gegenanzeigen und Wechselwirkungen regelt die Fachinformation; der Test wird ärztlich durchgeführt.</w:t>
      </w:r>
    </w:p>
    <w:p>
      <w:pPr>
        <w:pStyle w:val="BodyText"/>
      </w:pPr>
      <w:r>
        <w:rPr>
          <w:bCs/>
          <w:b/>
        </w:rPr>
        <w:t xml:space="preserve">Fehldiagnosen:</w:t>
      </w:r>
      <w:r>
        <w:t xml:space="preserve"> </w:t>
      </w:r>
      <w:r>
        <w:t xml:space="preserve">Wie jeder Stimulationstest kann auch der Macimorelin-Test falsch positive und falsch negative Ergebnisse liefern, besonders bei starkem Übergewicht</w:t>
      </w:r>
      <w:r>
        <w:rPr>
          <w:rStyle w:val="FootnoteReference"/>
        </w:rPr>
        <w:footnoteReference w:id="1481"/>
      </w:r>
      <w:r>
        <w:t xml:space="preserve">.</w:t>
      </w:r>
    </w:p>
    <w:p>
      <w:pPr>
        <w:pStyle w:val="BodyText"/>
      </w:pPr>
      <w:r>
        <w:t xml:space="preserve">Ein Krebsrisiko ist bei einmaliger Gabe nicht zu erwarten; die Diskussion um dauerhaft erhöhtes IGF-1 (siehe Einleitung dieser Gruppe) betrifft Macimorelin daher nicht.</w:t>
      </w:r>
    </w:p>
    <w:bookmarkEnd w:id="1482"/>
    <w:bookmarkStart w:id="1484" w:name="rechtslage-30"/>
    <w:p>
      <w:pPr>
        <w:pStyle w:val="Heading3"/>
      </w:pPr>
      <w:r>
        <w:t xml:space="preserve">Rechtslage</w:t>
      </w:r>
    </w:p>
    <w:p>
      <w:pPr>
        <w:pStyle w:val="FirstParagraph"/>
      </w:pPr>
      <w:r>
        <w:rPr>
          <w:iCs/>
          <w:i/>
        </w:rPr>
        <w:t xml:space="preserve">Stand 2026, bitte aktuell prüfen.</w:t>
      </w:r>
    </w:p>
    <w:p>
      <w:pPr>
        <w:numPr>
          <w:ilvl w:val="0"/>
          <w:numId w:val="1174"/>
        </w:numPr>
        <w:pStyle w:val="Compact"/>
      </w:pPr>
      <w:r>
        <w:rPr>
          <w:bCs/>
          <w:b/>
        </w:rPr>
        <w:t xml:space="preserve">EU:</w:t>
      </w:r>
      <w:r>
        <w:t xml:space="preserve"> </w:t>
      </w:r>
      <w:r>
        <w:t xml:space="preserve">zentral zugelassen für die Diagnose des Wachstumshormon-Mangels bei Erwachsenen. Ob das Präparat in Deutschland und Österreich tatsächlich im Handel ist, hängt von den Vertriebsentscheidungen des Zulassungsinhabers ab und sollte aktuell geprüft werden.</w:t>
      </w:r>
    </w:p>
    <w:p>
      <w:pPr>
        <w:numPr>
          <w:ilvl w:val="0"/>
          <w:numId w:val="1174"/>
        </w:numPr>
        <w:pStyle w:val="Compact"/>
      </w:pPr>
      <w:r>
        <w:rPr>
          <w:bCs/>
          <w:b/>
        </w:rPr>
        <w:t xml:space="preserve">USA:</w:t>
      </w:r>
      <w:r>
        <w:t xml:space="preserve"> </w:t>
      </w:r>
      <w:r>
        <w:t xml:space="preserve">zugelassen (Macrilen) für dieselbe Indikation; die Vertriebsrechte haben in den vergangenen Jahren gewechselt.</w:t>
      </w:r>
    </w:p>
    <w:p>
      <w:pPr>
        <w:numPr>
          <w:ilvl w:val="0"/>
          <w:numId w:val="1174"/>
        </w:numPr>
        <w:pStyle w:val="Compact"/>
      </w:pPr>
      <w:r>
        <w:rPr>
          <w:bCs/>
          <w:b/>
        </w:rPr>
        <w:t xml:space="preserve">Anwendung:</w:t>
      </w:r>
      <w:r>
        <w:t xml:space="preserve"> </w:t>
      </w:r>
      <w:r>
        <w:t xml:space="preserve">ausschließlich als ärztlich durchgeführter Funktionstest nach Fachinformation; keine therapeutische Zulassung.</w:t>
      </w:r>
    </w:p>
    <w:p>
      <w:pPr>
        <w:numPr>
          <w:ilvl w:val="0"/>
          <w:numId w:val="1174"/>
        </w:numPr>
        <w:pStyle w:val="Compact"/>
      </w:pPr>
      <w:r>
        <w:rPr>
          <w:bCs/>
          <w:b/>
        </w:rPr>
        <w:t xml:space="preserve">WADA:</w:t>
      </w:r>
      <w:r>
        <w:t xml:space="preserve"> </w:t>
      </w:r>
      <w:r>
        <w:t xml:space="preserve">verboten (S2). Für Dopingkontrollen wurden Abbauprodukte von Macimorelin und verwandten Ghrelin-Mimetika charakterisiert</w:t>
      </w:r>
      <w:r>
        <w:rPr>
          <w:rStyle w:val="FootnoteReference"/>
        </w:rPr>
        <w:footnoteReference w:id="1483"/>
      </w:r>
      <w:r>
        <w:t xml:space="preserve">.</w:t>
      </w:r>
    </w:p>
    <w:bookmarkEnd w:id="1484"/>
    <w:bookmarkStart w:id="1487" w:name="laufende-studien-und-ausblick-30"/>
    <w:p>
      <w:pPr>
        <w:pStyle w:val="Heading3"/>
      </w:pPr>
      <w:r>
        <w:t xml:space="preserve">Laufende Studien und Ausblick</w:t>
      </w:r>
    </w:p>
    <w:p>
      <w:pPr>
        <w:pStyle w:val="FirstParagraph"/>
      </w:pPr>
      <w:r>
        <w:rPr>
          <w:iCs/>
          <w:i/>
        </w:rPr>
        <w:t xml:space="preserve">Gesichert:</w:t>
      </w:r>
      <w:r>
        <w:t xml:space="preserve"> </w:t>
      </w:r>
      <w:r>
        <w:t xml:space="preserve">Die Kinderstudie DETECT</w:t>
      </w:r>
      <w:r>
        <w:rPr>
          <w:rStyle w:val="FootnoteReference"/>
        </w:rPr>
        <w:footnoteReference w:id="1485"/>
      </w:r>
      <w:r>
        <w:t xml:space="preserve"> </w:t>
      </w:r>
      <w:r>
        <w:t xml:space="preserve">ist abgeschlossen; die Ergebnisse stehen aus. Eine weitere Studie untersuchte, wie Macimorelin das Hormon Copeptin beeinflusst</w:t>
      </w:r>
      <w:r>
        <w:rPr>
          <w:rStyle w:val="FootnoteReference"/>
        </w:rPr>
        <w:footnoteReference w:id="1486"/>
      </w:r>
      <w:r>
        <w:t xml:space="preserve">.</w:t>
      </w:r>
      <w:r>
        <w:t xml:space="preserve"> </w:t>
      </w:r>
      <w:r>
        <w:rPr>
          <w:iCs/>
          <w:i/>
        </w:rPr>
        <w:t xml:space="preserve">Einschätzung des Autors:</w:t>
      </w:r>
      <w:r>
        <w:t xml:space="preserve"> </w:t>
      </w:r>
      <w:r>
        <w:t xml:space="preserve">Eine Erweiterung der Zulassung auf Kinder wäre der logische nächste Schritt, hängt aber vom Ergebnis der DETECT-Studie ab. Eine therapeutische Anwendung, etwa bei Kachexie, ist nach den bisherigen Daten nicht absehbar.</w:t>
      </w:r>
    </w:p>
    <w:bookmarkEnd w:id="1487"/>
    <w:bookmarkStart w:id="1488" w:name="fazit-30"/>
    <w:p>
      <w:pPr>
        <w:pStyle w:val="Heading3"/>
      </w:pPr>
      <w:r>
        <w:t xml:space="preserve">Fazit</w:t>
      </w:r>
    </w:p>
    <w:p>
      <w:pPr>
        <w:pStyle w:val="FirstParagraph"/>
      </w:pPr>
      <w:r>
        <w:t xml:space="preserve">Macimorelin ist ein in den USA und der EU zugelassenes Diagnostikum: Ein einmal getrunkener Test erkennt einen Wachstumshormon-Mangel bei Erwachsenen ähnlich zuverlässig wie der belastende Insulintest, mit 87 % Sensitivität und 96 % Spezifität in der Zulassungsstudie. Die wichtigste bekannte Nebenwirkung ist eine geringe Verlängerung der QT-Zeit bei überhöhter Dosis. Für eine Behandlung, für Muskelaufbau oder „Anti-Aging“ ist Macimorelin weder gedacht noch untersucht.</w:t>
      </w:r>
    </w:p>
    <w:bookmarkEnd w:id="1488"/>
    <w:bookmarkEnd w:id="1489"/>
    <w:bookmarkStart w:id="1529" w:name="mecasermin-igf-1"/>
    <w:p>
      <w:pPr>
        <w:pStyle w:val="Heading2"/>
      </w:pPr>
      <w:r>
        <w:t xml:space="preserve">Mecasermin (IGF-1)</w:t>
      </w:r>
    </w:p>
    <w:p>
      <w:pPr>
        <w:pStyle w:val="FirstParagraph"/>
      </w:pPr>
      <w:r>
        <w:t xml:space="preserve">Mecasermin ist gentechnisch hergestelltes menschliches IGF-1 – also der Botenstoff, über den Wachstumshormon einen Großteil seiner Wirkung entfaltet. Als Arzneimittel (Increlex) ist es für eine sehr seltene Gruppe von Kindern zugelassen: Kinder, deren Körper zwar genug Wachstumshormon bildet, aber nicht darauf reagiert und deshalb kaum IGF-1 herstellt. Mecasermin ist damit ein seltenes Beispiel für ein zugelassenes Peptid dieser Gruppe – und zugleich der Wirkstoff, an dem sich die Frage nach Unterzuckerung und Krebsrisiko durch IGF-1 am deutlichsten stellt.</w:t>
      </w:r>
    </w:p>
    <w:bookmarkStart w:id="1490" w:name="steckbrief-31"/>
    <w:p>
      <w:pPr>
        <w:pStyle w:val="Heading3"/>
      </w:pPr>
      <w:r>
        <w:t xml:space="preserve">Steckbrief</w:t>
      </w:r>
    </w:p>
    <w:p>
      <w:pPr>
        <w:numPr>
          <w:ilvl w:val="0"/>
          <w:numId w:val="1175"/>
        </w:numPr>
        <w:pStyle w:val="Compact"/>
      </w:pPr>
      <w:r>
        <w:rPr>
          <w:bCs/>
          <w:b/>
        </w:rPr>
        <w:t xml:space="preserve">Art und Struktur:</w:t>
      </w:r>
      <w:r>
        <w:t xml:space="preserve"> </w:t>
      </w:r>
      <w:r>
        <w:t xml:space="preserve">rekombinantes (gentechnisch in Bakterien hergestelltes) menschliches IGF-1 aus 70 Aminosäuren, identisch mit dem körpereigenen Hormon.</w:t>
      </w:r>
    </w:p>
    <w:p>
      <w:pPr>
        <w:numPr>
          <w:ilvl w:val="0"/>
          <w:numId w:val="1175"/>
        </w:numPr>
        <w:pStyle w:val="Compact"/>
      </w:pPr>
      <w:r>
        <w:rPr>
          <w:bCs/>
          <w:b/>
        </w:rPr>
        <w:t xml:space="preserve">Herkunft:</w:t>
      </w:r>
      <w:r>
        <w:t xml:space="preserve"> </w:t>
      </w:r>
      <w:r>
        <w:t xml:space="preserve">IGF-1 wurde in den 1970er-Jahren als „Somatomedin“ beschrieben; Mecasermin wurde von Tercica entwickelt und von Ipsen vermarktet, inzwischen von einem anderen Zulassungsinhaber.</w:t>
      </w:r>
    </w:p>
    <w:p>
      <w:pPr>
        <w:numPr>
          <w:ilvl w:val="0"/>
          <w:numId w:val="1175"/>
        </w:numPr>
        <w:pStyle w:val="Compact"/>
      </w:pPr>
      <w:r>
        <w:rPr>
          <w:bCs/>
          <w:b/>
        </w:rPr>
        <w:t xml:space="preserve">Wirkprinzip:</w:t>
      </w:r>
      <w:r>
        <w:t xml:space="preserve"> </w:t>
      </w:r>
      <w:r>
        <w:t xml:space="preserve">bindet an den IGF-1-Rezeptor und ersetzt das fehlende IGF-1 direkt; wirkt wachstumsfördernd, aufbauend und – in höherer Dosis – blutzuckersenkend ähnlich wie Insulin.</w:t>
      </w:r>
    </w:p>
    <w:p>
      <w:pPr>
        <w:numPr>
          <w:ilvl w:val="0"/>
          <w:numId w:val="1175"/>
        </w:numPr>
        <w:pStyle w:val="Compact"/>
      </w:pPr>
      <w:r>
        <w:rPr>
          <w:bCs/>
          <w:b/>
        </w:rPr>
        <w:t xml:space="preserve">Zulassung EU:</w:t>
      </w:r>
      <w:r>
        <w:t xml:space="preserve"> </w:t>
      </w:r>
      <w:r>
        <w:t xml:space="preserve">ja (Increlex) zur Langzeitbehandlung von Wachstumsstörungen bei Kindern und Jugendlichen mit schwerem primärem IGF-1-Mangel.</w:t>
      </w:r>
      <w:r>
        <w:t xml:space="preserve"> </w:t>
      </w:r>
      <w:r>
        <w:rPr>
          <w:bCs/>
          <w:b/>
        </w:rPr>
        <w:t xml:space="preserve">Zulassung USA:</w:t>
      </w:r>
      <w:r>
        <w:t xml:space="preserve"> </w:t>
      </w:r>
      <w:r>
        <w:t xml:space="preserve">ja (Increlex), gleiche Indikation.</w:t>
      </w:r>
    </w:p>
    <w:p>
      <w:pPr>
        <w:numPr>
          <w:ilvl w:val="0"/>
          <w:numId w:val="1175"/>
        </w:numPr>
        <w:pStyle w:val="Compact"/>
      </w:pPr>
      <w:r>
        <w:rPr>
          <w:bCs/>
          <w:b/>
        </w:rPr>
        <w:t xml:space="preserve">WADA:</w:t>
      </w:r>
      <w:r>
        <w:t xml:space="preserve"> </w:t>
      </w:r>
      <w:r>
        <w:t xml:space="preserve">verboten, Gruppe S2 (IGF-1 und seine Analoga als Wachstumsfaktoren).</w:t>
      </w:r>
    </w:p>
    <w:p>
      <w:pPr>
        <w:numPr>
          <w:ilvl w:val="0"/>
          <w:numId w:val="1175"/>
        </w:numPr>
        <w:pStyle w:val="Compact"/>
      </w:pPr>
      <w:r>
        <w:rPr>
          <w:bCs/>
          <w:b/>
        </w:rPr>
        <w:t xml:space="preserve">Evidenzstufe: A</w:t>
      </w:r>
      <w:r>
        <w:t xml:space="preserve"> </w:t>
      </w:r>
      <w:r>
        <w:t xml:space="preserve">– zugelassen in EU und USA. Einschränkung: Wegen der Seltenheit der Erkrankung beruht die Zulassung auf offenen Langzeitstudien und Registern, nicht auf großen randomisierten Studien. Randomisierte Studien gibt es zu anderen Anwendungen, etwa ALS (negativ).</w:t>
      </w:r>
    </w:p>
    <w:bookmarkEnd w:id="1490"/>
    <w:bookmarkStart w:id="1492" w:name="wie-es-wirken-soll-31"/>
    <w:p>
      <w:pPr>
        <w:pStyle w:val="Heading3"/>
      </w:pPr>
      <w:r>
        <w:t xml:space="preserve">Wie es wirken soll</w:t>
      </w:r>
    </w:p>
    <w:p>
      <w:pPr>
        <w:pStyle w:val="FirstParagraph"/>
      </w:pPr>
      <w:r>
        <w:t xml:space="preserve">Wachstumshormon aus der Hirnanhangdrüse wirkt vor allem auf die Leber, die daraufhin IGF-1 bildet. IGF-1 lässt dann Knochen in die Länge wachsen und fördert den Aufbau von Muskel- und anderem Gewebe. Bei manchen Kindern ist diese Kette unterbrochen: Ihr Wachstumshormon-Rezeptor ist durch eine Genveränderung funktionslos oder die Signalweiterleitung gestört. Das klassische Beispiel ist das Laron-Syndrom. Diese Kinder haben viel Wachstumshormon, aber kaum IGF-1, und Wachstumshormon-Spritzen helfen ihnen nicht. Ohne Behandlung erreichen sie als Erwachsene oft nur 120 bis 130 cm</w:t>
      </w:r>
      <w:r>
        <w:rPr>
          <w:rStyle w:val="FootnoteReference"/>
        </w:rPr>
        <w:footnoteReference w:id="1491"/>
      </w:r>
      <w:r>
        <w:t xml:space="preserve">.</w:t>
      </w:r>
    </w:p>
    <w:p>
      <w:pPr>
        <w:pStyle w:val="BodyText"/>
      </w:pPr>
      <w:r>
        <w:t xml:space="preserve">Mecasermin überspringt den defekten Schritt und liefert IGF-1 direkt. Weil IGF-1 dem Insulin ähnelt, kann es den Blutzucker senken – die wichtigste Nebenwirkung.</w:t>
      </w:r>
    </w:p>
    <w:bookmarkEnd w:id="1492"/>
    <w:bookmarkStart w:id="1508" w:name="studien-am-menschen-3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21</w:t>
      </w:r>
      <w:r>
        <w:t xml:space="preserve"> </w:t>
      </w:r>
      <w:r>
        <w:t xml:space="preserve">Humanstudien in PubMed (</w:t>
      </w:r>
      <w:r>
        <w:rPr>
          <w:rStyle w:val="VerbatimChar"/>
        </w:rPr>
        <w:t xml:space="preserve">humanstudien_alle</w:t>
      </w:r>
      <w:r>
        <w:t xml:space="preserve">) und</w:t>
      </w:r>
      <w:r>
        <w:t xml:space="preserve"> </w:t>
      </w:r>
      <w:r>
        <w:rPr>
          <w:bCs/>
          <w:b/>
        </w:rPr>
        <w:t xml:space="preserve">37</w:t>
      </w:r>
      <w:r>
        <w:t xml:space="preserve"> </w:t>
      </w:r>
      <w:r>
        <w:t xml:space="preserve">Einträge bei ClinicalTrials.gov; einige dieser Registereinträge betreffen andere Themen und tauchen nur wegen des Suchbegriffs auf. Dazu kommen drei systematische Übersichten. Eine gezielte Nachsuche ergab die wichtigen Langzeitstudien und Registerauswertungen zur zugelassenen Indikation.</w:t>
      </w:r>
    </w:p>
    <w:bookmarkStart w:id="1498" w:name="Xc4c7f711d0788a70bca14e50ec1267515905a1b"/>
    <w:p>
      <w:pPr>
        <w:pStyle w:val="Heading4"/>
      </w:pPr>
      <w:r>
        <w:t xml:space="preserve">Schwerer primärer IGF-1-Mangel bei Kindern</w:t>
      </w:r>
    </w:p>
    <w:p>
      <w:pPr>
        <w:pStyle w:val="FirstParagraph"/>
      </w:pPr>
      <w:r>
        <w:t xml:space="preserve">Die Grundlage der Zulassung ist eine über bis zu zwölf Jahre laufende, überwiegend offene Studie mit 76 Kindern mit IGF-1-Mangel durch Wachstumshormon-Resistenz. Die Wachstumsgeschwindigkeit stieg von durchschnittlich 2,8 cm pro Jahr vor Behandlung auf 8,0 cm im ersten Behandlungsjahr; in den Folgejahren fiel sie ab, blieb aber bis zu acht Jahre über dem Ausgangswert. Häufigste Nebenwirkung war eine Unterzuckerung (bei 49 % der Kinder, allerdings auch schon vor Therapiebeginn beobachtet), gefolgt von Fettgewebsveränderungen an der Einstichstelle (32 %) und Vergrößerung von Mandeln und Polypen (22 %)</w:t>
      </w:r>
      <w:r>
        <w:rPr>
          <w:rStyle w:val="FootnoteReference"/>
        </w:rPr>
        <w:footnoteReference w:id="1493"/>
      </w:r>
      <w:r>
        <w:t xml:space="preserve">.</w:t>
      </w:r>
    </w:p>
    <w:p>
      <w:pPr>
        <w:pStyle w:val="BodyText"/>
      </w:pPr>
      <w:r>
        <w:t xml:space="preserve">Seit 2008 sammelt ein europäisches, inzwischen globales Register Daten aus der Praxis</w:t>
      </w:r>
      <w:r>
        <w:rPr>
          <w:rStyle w:val="FootnoteReference"/>
        </w:rPr>
        <w:footnoteReference w:id="1494"/>
      </w:r>
      <w:r>
        <w:t xml:space="preserve">. Bei 138 zuvor unbehandelten Kindern vor der Pubertät verbesserte sich die Körpergröße im ersten Jahr; Kinder mit Laron-Syndrom sprachen etwas besser an, bei den übrigen galten 56 % als Responder. 65,3 % der Kinder hatten mindestens eine unerwünschte Wirkung, am häufigsten eine Unterzuckerung</w:t>
      </w:r>
      <w:r>
        <w:rPr>
          <w:rStyle w:val="FootnoteReference"/>
        </w:rPr>
        <w:footnoteReference w:id="1495"/>
      </w:r>
      <w:r>
        <w:t xml:space="preserve">. 102 Kinder und Jugendliche, die bereits ihre fast endgültige Körpergröße erreicht hatten, gewannen im Mittel 0,9 Standardabweichungen an Größe, bei Behandlungsbeginn vor der Pubertät 1,4. Fast die Hälfte dieser früh behandelten Kinder erreichte eine Größe im Normalbereich, bei Laron-Syndrom nur 10,5 %</w:t>
      </w:r>
      <w:r>
        <w:rPr>
          <w:rStyle w:val="FootnoteReference"/>
        </w:rPr>
        <w:footnoteReference w:id="1496"/>
      </w:r>
      <w:r>
        <w:t xml:space="preserve">. Schwere Unterzuckerungen waren mit 0,01 Ereignissen pro Patient und Behandlungsjahr selten; gefährdet waren vor allem Kinder mit Laron-Syndrom oder früheren Unterzuckerungen</w:t>
      </w:r>
      <w:r>
        <w:rPr>
          <w:rStyle w:val="FootnoteReference"/>
        </w:rPr>
        <w:footnoteReference w:id="1497"/>
      </w:r>
      <w:r>
        <w:t xml:space="preserve">.</w:t>
      </w:r>
    </w:p>
    <w:bookmarkEnd w:id="1498"/>
    <w:bookmarkStart w:id="1507" w:name="andere-anwendungen"/>
    <w:p>
      <w:pPr>
        <w:pStyle w:val="Heading4"/>
      </w:pPr>
      <w:r>
        <w:t xml:space="preserve">Andere Anwendungen</w:t>
      </w:r>
    </w:p>
    <w:p>
      <w:pPr>
        <w:numPr>
          <w:ilvl w:val="0"/>
          <w:numId w:val="1176"/>
        </w:numPr>
        <w:pStyle w:val="Compact"/>
      </w:pPr>
      <w:r>
        <w:rPr>
          <w:bCs/>
          <w:b/>
        </w:rPr>
        <w:t xml:space="preserve">ALS:</w:t>
      </w:r>
      <w:r>
        <w:t xml:space="preserve"> </w:t>
      </w:r>
      <w:r>
        <w:t xml:space="preserve">In einer Phase-3-Studie mit 330 Menschen mit amyotropher Lateralsklerose brachte IGF-1 über zwei Jahre keinen Unterschied zu Placebo – weder bei der Muskelkraft noch beim Überleben ohne Luftröhrenschnitt</w:t>
      </w:r>
      <w:r>
        <w:rPr>
          <w:rStyle w:val="FootnoteReference"/>
        </w:rPr>
        <w:footnoteReference w:id="1499"/>
      </w:r>
      <w:r>
        <w:t xml:space="preserve">.</w:t>
      </w:r>
    </w:p>
    <w:p>
      <w:pPr>
        <w:numPr>
          <w:ilvl w:val="0"/>
          <w:numId w:val="1176"/>
        </w:numPr>
        <w:pStyle w:val="Compact"/>
      </w:pPr>
      <w:r>
        <w:rPr>
          <w:bCs/>
          <w:b/>
        </w:rPr>
        <w:t xml:space="preserve">Duchenne-Muskeldystrophie:</w:t>
      </w:r>
      <w:r>
        <w:t xml:space="preserve"> </w:t>
      </w:r>
      <w:r>
        <w:t xml:space="preserve">Bei 17 behandelten Jungen gegenüber 21 Kontrollen wuchsen die Jungen über sechs Monate schneller (6,5 vs. 3,3 cm pro Jahr), die Gehstrecke im 6-Minuten-Test änderte sich aber nicht</w:t>
      </w:r>
      <w:r>
        <w:rPr>
          <w:rStyle w:val="FootnoteReference"/>
        </w:rPr>
        <w:footnoteReference w:id="1500"/>
      </w:r>
      <w:r>
        <w:t xml:space="preserve">.</w:t>
      </w:r>
    </w:p>
    <w:p>
      <w:pPr>
        <w:numPr>
          <w:ilvl w:val="0"/>
          <w:numId w:val="1176"/>
        </w:numPr>
        <w:pStyle w:val="Compact"/>
      </w:pPr>
      <w:r>
        <w:rPr>
          <w:bCs/>
          <w:b/>
        </w:rPr>
        <w:t xml:space="preserve">Rett-Syndrom:</w:t>
      </w:r>
      <w:r>
        <w:t xml:space="preserve"> </w:t>
      </w:r>
      <w:r>
        <w:t xml:space="preserve">Eine systematische Übersicht beschreibt Hinweise auf erhaltene soziale und kognitive Fähigkeiten, aber uneinheitliche Ergebnisse und fordert größere Studien</w:t>
      </w:r>
      <w:r>
        <w:rPr>
          <w:rStyle w:val="FootnoteReference"/>
        </w:rPr>
        <w:footnoteReference w:id="1501"/>
      </w:r>
      <w:r>
        <w:t xml:space="preserve">.</w:t>
      </w:r>
    </w:p>
    <w:p>
      <w:pPr>
        <w:numPr>
          <w:ilvl w:val="0"/>
          <w:numId w:val="1176"/>
        </w:numPr>
        <w:pStyle w:val="Compact"/>
      </w:pPr>
      <w:r>
        <w:rPr>
          <w:bCs/>
          <w:b/>
        </w:rPr>
        <w:t xml:space="preserve">Frühgeborene:</w:t>
      </w:r>
      <w:r>
        <w:t xml:space="preserve"> </w:t>
      </w:r>
      <w:r>
        <w:t xml:space="preserve">IGF-1 zusammen mit seinem Bindungsprotein IGFBP-3 verhinderte bei 121 extrem Frühgeborenen die Netzhauterkrankung der Frühgeborenen nicht, verringerte aber schwere bronchopulmonale Dysplasie (21,3 % vs. 44,9 %). Tödliche schwere Ereignisse traten bei 19,7 % der behandelten und 11,7 % der Kontrollkinder auf</w:t>
      </w:r>
      <w:r>
        <w:rPr>
          <w:rStyle w:val="FootnoteReference"/>
        </w:rPr>
        <w:footnoteReference w:id="1502"/>
      </w:r>
      <w:r>
        <w:t xml:space="preserve">. Eine Folgestudie zur Lungenentwicklung läuft</w:t>
      </w:r>
      <w:r>
        <w:rPr>
          <w:rStyle w:val="FootnoteReference"/>
        </w:rPr>
        <w:footnoteReference w:id="1503"/>
      </w:r>
      <w:r>
        <w:t xml:space="preserve">.</w:t>
      </w:r>
    </w:p>
    <w:p>
      <w:pPr>
        <w:numPr>
          <w:ilvl w:val="0"/>
          <w:numId w:val="1176"/>
        </w:numPr>
        <w:pStyle w:val="Compact"/>
      </w:pPr>
      <w:r>
        <w:rPr>
          <w:bCs/>
          <w:b/>
        </w:rPr>
        <w:t xml:space="preserve">Magersucht:</w:t>
      </w:r>
      <w:r>
        <w:t xml:space="preserve"> </w:t>
      </w:r>
      <w:r>
        <w:t xml:space="preserve">Bei 90 Frauen mit Anorexia nervosa erhöhte eine sechsmonatige IGF-1-Behandlung, gefolgt von einem Knochenmedikament, die Knochendichte der Wirbelsäule stärker als Placebo</w:t>
      </w:r>
      <w:r>
        <w:rPr>
          <w:rStyle w:val="FootnoteReference"/>
        </w:rPr>
        <w:footnoteReference w:id="1504"/>
      </w:r>
      <w:r>
        <w:t xml:space="preserve">.</w:t>
      </w:r>
    </w:p>
    <w:p>
      <w:pPr>
        <w:numPr>
          <w:ilvl w:val="0"/>
          <w:numId w:val="1176"/>
        </w:numPr>
        <w:pStyle w:val="Compact"/>
      </w:pPr>
      <w:r>
        <w:rPr>
          <w:bCs/>
          <w:b/>
        </w:rPr>
        <w:t xml:space="preserve">Erwachsene mit Laron-Syndrom:</w:t>
      </w:r>
      <w:r>
        <w:t xml:space="preserve"> </w:t>
      </w:r>
      <w:r>
        <w:t xml:space="preserve">Bei zehn Erwachsenen nahm unter acht Wochen IGF-1 der Fettanteil ab und die Magermasse zu</w:t>
      </w:r>
      <w:r>
        <w:rPr>
          <w:rStyle w:val="FootnoteReference"/>
        </w:rPr>
        <w:footnoteReference w:id="1505"/>
      </w:r>
      <w:r>
        <w:t xml:space="preserve">.</w:t>
      </w:r>
    </w:p>
    <w:p>
      <w:pPr>
        <w:numPr>
          <w:ilvl w:val="0"/>
          <w:numId w:val="1176"/>
        </w:numPr>
        <w:pStyle w:val="Compact"/>
      </w:pPr>
      <w:r>
        <w:rPr>
          <w:bCs/>
          <w:b/>
        </w:rPr>
        <w:t xml:space="preserve">Sportlerinnen und Sportler:</w:t>
      </w:r>
      <w:r>
        <w:t xml:space="preserve"> </w:t>
      </w:r>
      <w:r>
        <w:t xml:space="preserve">In einer randomisierten, doppelblinden Studie mit 56 Freizeitsportlern über 28 Tage veränderten sich unter IGF-1/IGFBP-3 Blutfette und Insulinwerte</w:t>
      </w:r>
      <w:r>
        <w:rPr>
          <w:rStyle w:val="FootnoteReference"/>
        </w:rPr>
        <w:footnoteReference w:id="1506"/>
      </w:r>
      <w:r>
        <w:t xml:space="preserve">. Leistungsdaten liefert diese Studie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Langzeitstudie (Chernausek 2007), PMID 17192294</w:t>
            </w:r>
          </w:p>
        </w:tc>
        <w:tc>
          <w:tcPr/>
          <w:p>
            <w:pPr>
              <w:pStyle w:val="Compact"/>
              <w:jc w:val="left"/>
            </w:pPr>
            <w:r>
              <w:t xml:space="preserve">76 Kinder mit GH-Resistenz, überwiegend offen</w:t>
            </w:r>
          </w:p>
        </w:tc>
        <w:tc>
          <w:tcPr/>
          <w:p>
            <w:pPr>
              <w:pStyle w:val="Compact"/>
              <w:jc w:val="left"/>
            </w:pPr>
            <w:r>
              <w:t xml:space="preserve">bis 12 Jahre</w:t>
            </w:r>
          </w:p>
        </w:tc>
        <w:tc>
          <w:tcPr/>
          <w:p>
            <w:pPr>
              <w:pStyle w:val="Compact"/>
              <w:jc w:val="left"/>
            </w:pPr>
            <w:r>
              <w:t xml:space="preserve">Wachstum 2,8 → 8,0 cm/Jahr im 1. Jahr; Unterzucker bei 49 %</w:t>
            </w:r>
          </w:p>
        </w:tc>
      </w:tr>
      <w:tr>
        <w:tc>
          <w:tcPr/>
          <w:p>
            <w:pPr>
              <w:pStyle w:val="Compact"/>
              <w:jc w:val="left"/>
            </w:pPr>
            <w:r>
              <w:t xml:space="preserve">Register (Bang 2021), PMID 33434161</w:t>
            </w:r>
          </w:p>
        </w:tc>
        <w:tc>
          <w:tcPr/>
          <w:p>
            <w:pPr>
              <w:pStyle w:val="Compact"/>
              <w:jc w:val="left"/>
            </w:pPr>
            <w:r>
              <w:t xml:space="preserve">242 Kinder, davon 138 unbehandelt vor der Pubertät; Beobachtung</w:t>
            </w:r>
          </w:p>
        </w:tc>
        <w:tc>
          <w:tcPr/>
          <w:p>
            <w:pPr>
              <w:pStyle w:val="Compact"/>
              <w:jc w:val="left"/>
            </w:pPr>
            <w:r>
              <w:t xml:space="preserve">bis 5 Jahre</w:t>
            </w:r>
          </w:p>
        </w:tc>
        <w:tc>
          <w:tcPr/>
          <w:p>
            <w:pPr>
              <w:pStyle w:val="Compact"/>
              <w:jc w:val="left"/>
            </w:pPr>
            <w:r>
              <w:t xml:space="preserve">Größenzuwachs; 65,3 % mit Nebenwirkungen</w:t>
            </w:r>
          </w:p>
        </w:tc>
      </w:tr>
      <w:tr>
        <w:tc>
          <w:tcPr/>
          <w:p>
            <w:pPr>
              <w:pStyle w:val="Compact"/>
              <w:jc w:val="left"/>
            </w:pPr>
            <w:r>
              <w:t xml:space="preserve">Register Endgröße (Ramon-Krauel 2026), PMID 40626687</w:t>
            </w:r>
          </w:p>
        </w:tc>
        <w:tc>
          <w:tcPr/>
          <w:p>
            <w:pPr>
              <w:pStyle w:val="Compact"/>
              <w:jc w:val="left"/>
            </w:pPr>
            <w:r>
              <w:t xml:space="preserve">102 Jugendliche mit fast erreichter Endgröße</w:t>
            </w:r>
          </w:p>
        </w:tc>
        <w:tc>
          <w:tcPr/>
          <w:p>
            <w:pPr>
              <w:pStyle w:val="Compact"/>
              <w:jc w:val="left"/>
            </w:pPr>
            <w:r>
              <w:t xml:space="preserve">Median 3,9 Jahre</w:t>
            </w:r>
          </w:p>
        </w:tc>
        <w:tc>
          <w:tcPr/>
          <w:p>
            <w:pPr>
              <w:pStyle w:val="Compact"/>
              <w:jc w:val="left"/>
            </w:pPr>
            <w:r>
              <w:t xml:space="preserve">+0,9 SD (früh behandelt +1,4 SD)</w:t>
            </w:r>
          </w:p>
        </w:tc>
      </w:tr>
      <w:tr>
        <w:tc>
          <w:tcPr/>
          <w:p>
            <w:pPr>
              <w:pStyle w:val="Compact"/>
              <w:jc w:val="left"/>
            </w:pPr>
            <w:r>
              <w:t xml:space="preserve">ALS (Sorenson 2008), PMID 19029516</w:t>
            </w:r>
          </w:p>
        </w:tc>
        <w:tc>
          <w:tcPr/>
          <w:p>
            <w:pPr>
              <w:pStyle w:val="Compact"/>
              <w:jc w:val="left"/>
            </w:pPr>
            <w:r>
              <w:t xml:space="preserve">330 Personen mit ALS, RCT gegen Placebo</w:t>
            </w:r>
          </w:p>
        </w:tc>
        <w:tc>
          <w:tcPr/>
          <w:p>
            <w:pPr>
              <w:pStyle w:val="Compact"/>
              <w:jc w:val="left"/>
            </w:pPr>
            <w:r>
              <w:t xml:space="preserve">2 Jahre</w:t>
            </w:r>
          </w:p>
        </w:tc>
        <w:tc>
          <w:tcPr/>
          <w:p>
            <w:pPr>
              <w:pStyle w:val="Compact"/>
              <w:jc w:val="left"/>
            </w:pPr>
            <w:r>
              <w:t xml:space="preserve">kein Nutzen</w:t>
            </w:r>
          </w:p>
        </w:tc>
      </w:tr>
      <w:tr>
        <w:tc>
          <w:tcPr/>
          <w:p>
            <w:pPr>
              <w:pStyle w:val="Compact"/>
              <w:jc w:val="left"/>
            </w:pPr>
            <w:r>
              <w:t xml:space="preserve">Frühgeborene (Ley 2019), PMID 30471715</w:t>
            </w:r>
          </w:p>
        </w:tc>
        <w:tc>
          <w:tcPr/>
          <w:p>
            <w:pPr>
              <w:pStyle w:val="Compact"/>
              <w:jc w:val="left"/>
            </w:pPr>
            <w:r>
              <w:t xml:space="preserve">121 extrem Frühgeborene, RCT gegen Standardbehandlung</w:t>
            </w:r>
          </w:p>
        </w:tc>
        <w:tc>
          <w:tcPr/>
          <w:p>
            <w:pPr>
              <w:pStyle w:val="Compact"/>
              <w:jc w:val="left"/>
            </w:pPr>
            <w:r>
              <w:t xml:space="preserve">bis 40. Woche</w:t>
            </w:r>
          </w:p>
        </w:tc>
        <w:tc>
          <w:tcPr/>
          <w:p>
            <w:pPr>
              <w:pStyle w:val="Compact"/>
              <w:jc w:val="left"/>
            </w:pPr>
            <w:r>
              <w:t xml:space="preserve">keine Wirkung auf Netzhaut; weniger schwere BPD</w:t>
            </w:r>
          </w:p>
        </w:tc>
      </w:tr>
    </w:tbl>
    <w:bookmarkEnd w:id="1507"/>
    <w:bookmarkEnd w:id="1508"/>
    <w:bookmarkStart w:id="1511" w:name="tier--und-laborstudien-31"/>
    <w:p>
      <w:pPr>
        <w:pStyle w:val="Heading3"/>
      </w:pPr>
      <w:r>
        <w:t xml:space="preserve">Tier- und Laborstudien</w:t>
      </w:r>
    </w:p>
    <w:p>
      <w:pPr>
        <w:pStyle w:val="FirstParagraph"/>
      </w:pPr>
      <w:r>
        <w:t xml:space="preserve">Die Wirkungen von IGF-1 auf Wachstum, Muskel und Stoffwechsel sind in Tier- und Zellstudien sehr umfangreich untersucht und bilden die Grundlage der Therapie. Für die Sicherheitsfrage wichtig sind Zellversuche mit Blutserum von Menschen mit Laron-Syndrom: Zellen, die mit diesem IGF-1-armen Serum behandelt und dann oxidativem Stress ausgesetzt wurden, hatten weniger DNA-Brüche, und geschädigte Zellen starben häufiger ab</w:t>
      </w:r>
      <w:r>
        <w:rPr>
          <w:rStyle w:val="FootnoteReference"/>
        </w:rPr>
        <w:footnoteReference w:id="1509"/>
      </w:r>
      <w:r>
        <w:t xml:space="preserve">. Gab man IGF-1 zum Serum hinzu, verschwanden diese Unterschiede</w:t>
      </w:r>
      <w:r>
        <w:rPr>
          <w:rStyle w:val="FootnoteReference"/>
        </w:rPr>
        <w:footnoteReference w:id="1510"/>
      </w:r>
      <w:r>
        <w:t xml:space="preserve">. IGF-1 hält also auch geschädigte Zellen eher am Leben – ein möglicher Mechanismus für ein Krebsrisiko.</w:t>
      </w:r>
    </w:p>
    <w:bookmarkEnd w:id="1511"/>
    <w:bookmarkStart w:id="1522" w:name="risiken-und-nebenwirkungen-31"/>
    <w:p>
      <w:pPr>
        <w:pStyle w:val="Heading3"/>
      </w:pPr>
      <w:r>
        <w:t xml:space="preserve">Risiken und Nebenwirkungen</w:t>
      </w:r>
    </w:p>
    <w:p>
      <w:pPr>
        <w:pStyle w:val="FirstParagraph"/>
      </w:pPr>
      <w:r>
        <w:rPr>
          <w:bCs/>
          <w:b/>
        </w:rPr>
        <w:t xml:space="preserve">Belegt:</w:t>
      </w:r>
    </w:p>
    <w:p>
      <w:pPr>
        <w:numPr>
          <w:ilvl w:val="0"/>
          <w:numId w:val="1177"/>
        </w:numPr>
        <w:pStyle w:val="Compact"/>
      </w:pPr>
      <w:r>
        <w:rPr>
          <w:bCs/>
          <w:b/>
        </w:rPr>
        <w:t xml:space="preserve">Unterzuckerung (Hypoglykämie)</w:t>
      </w:r>
      <w:r>
        <w:t xml:space="preserve"> </w:t>
      </w:r>
      <w:r>
        <w:t xml:space="preserve">– die häufigste und wichtigste Nebenwirkung, besonders bei kleinen Kindern, bei Laron-Syndrom und nach früheren Unterzuckerungen</w:t>
      </w:r>
      <w:r>
        <w:rPr>
          <w:rStyle w:val="FootnoteReference"/>
        </w:rPr>
        <w:footnoteReference w:id="1512"/>
      </w:r>
      <w:r>
        <w:t xml:space="preserve">. Die Fachinformation schreibt deshalb einen engen zeitlichen Zusammenhang mit Mahlzeiten vor; Einzelheiten regelt sie selbst.</w:t>
      </w:r>
    </w:p>
    <w:p>
      <w:pPr>
        <w:numPr>
          <w:ilvl w:val="0"/>
          <w:numId w:val="1177"/>
        </w:numPr>
        <w:pStyle w:val="Compact"/>
      </w:pPr>
      <w:r>
        <w:rPr>
          <w:bCs/>
          <w:b/>
        </w:rPr>
        <w:t xml:space="preserve">Vergrößerung von Mandeln und Rachenpolypen</w:t>
      </w:r>
      <w:r>
        <w:t xml:space="preserve"> </w:t>
      </w:r>
      <w:r>
        <w:t xml:space="preserve">(22 %) und Veränderungen des Fettgewebes an der Einstichstelle (32 %)</w:t>
      </w:r>
      <w:r>
        <w:rPr>
          <w:rStyle w:val="FootnoteReference"/>
        </w:rPr>
        <w:footnoteReference w:id="1513"/>
      </w:r>
      <w:r>
        <w:t xml:space="preserve">.</w:t>
      </w:r>
    </w:p>
    <w:p>
      <w:pPr>
        <w:numPr>
          <w:ilvl w:val="0"/>
          <w:numId w:val="1177"/>
        </w:numPr>
        <w:pStyle w:val="Compact"/>
      </w:pPr>
      <w:r>
        <w:t xml:space="preserve">In der Frühgeborenen-Studie traten unter IGF-1/IGFBP-3 zahlenmäßig mehr tödliche schwere Ereignisse auf als unter Standardbehandlung</w:t>
      </w:r>
      <w:r>
        <w:rPr>
          <w:rStyle w:val="FootnoteReference"/>
        </w:rPr>
        <w:footnoteReference w:id="1514"/>
      </w:r>
      <w:r>
        <w:t xml:space="preserve">; die Studie war nicht darauf ausgelegt, diesen Unterschied zu bewerten.</w:t>
      </w:r>
    </w:p>
    <w:p>
      <w:pPr>
        <w:pStyle w:val="FirstParagraph"/>
      </w:pPr>
      <w:r>
        <w:rPr>
          <w:bCs/>
          <w:b/>
        </w:rPr>
        <w:t xml:space="preserve">Krebsrisiko – was belegt ist und was nicht:</w:t>
      </w:r>
    </w:p>
    <w:p>
      <w:pPr>
        <w:pStyle w:val="BodyText"/>
      </w:pPr>
      <w:r>
        <w:t xml:space="preserve">IGF-1 ist ein Wachstums- und Überlebenssignal für Zellen. Die Sorge, dass mehr IGF-1 das Krebsrisiko erhöht, ist daher biologisch plausibel und wird durch mehrere Befundtypen gestützt:</w:t>
      </w:r>
    </w:p>
    <w:p>
      <w:pPr>
        <w:numPr>
          <w:ilvl w:val="0"/>
          <w:numId w:val="1178"/>
        </w:numPr>
        <w:pStyle w:val="Compact"/>
      </w:pPr>
      <w:r>
        <w:rPr>
          <w:iCs/>
          <w:i/>
        </w:rPr>
        <w:t xml:space="preserve">Beobachtungsstudien:</w:t>
      </w:r>
      <w:r>
        <w:t xml:space="preserve"> </w:t>
      </w:r>
      <w:r>
        <w:t xml:space="preserve">Menschen mit höheren IGF-1-Spiegeln im Blut erkranken etwas häufiger an Prostatakrebs und Brustkrebs vor den Wechseljahren</w:t>
      </w:r>
      <w:r>
        <w:rPr>
          <w:rStyle w:val="FootnoteReference"/>
        </w:rPr>
        <w:footnoteReference w:id="1515"/>
      </w:r>
      <w:r>
        <w:t xml:space="preserve">. In der UK Biobank war jede Erhöhung um 5 nmol/l mit einem um 11 % höheren Brustkrebsrisiko verbunden</w:t>
      </w:r>
      <w:r>
        <w:rPr>
          <w:rStyle w:val="FootnoteReference"/>
        </w:rPr>
        <w:footnoteReference w:id="1516"/>
      </w:r>
      <w:r>
        <w:t xml:space="preserve">; ähnliche Zusammenhänge zeigen sich für Darmkrebs</w:t>
      </w:r>
      <w:r>
        <w:rPr>
          <w:rStyle w:val="FootnoteReference"/>
        </w:rPr>
        <w:footnoteReference w:id="1517"/>
      </w:r>
      <w:r>
        <w:t xml:space="preserve"> </w:t>
      </w:r>
      <w:r>
        <w:t xml:space="preserve">und Prostatakrebs</w:t>
      </w:r>
      <w:r>
        <w:rPr>
          <w:rStyle w:val="FootnoteReference"/>
        </w:rPr>
        <w:footnoteReference w:id="1518"/>
      </w:r>
      <w:r>
        <w:t xml:space="preserve">.</w:t>
      </w:r>
    </w:p>
    <w:p>
      <w:pPr>
        <w:numPr>
          <w:ilvl w:val="0"/>
          <w:numId w:val="1178"/>
        </w:numPr>
        <w:pStyle w:val="Compact"/>
      </w:pPr>
      <w:r>
        <w:rPr>
          <w:iCs/>
          <w:i/>
        </w:rPr>
        <w:t xml:space="preserve">Genetische Analysen (Mendelsche Randomisierung):</w:t>
      </w:r>
      <w:r>
        <w:t xml:space="preserve"> </w:t>
      </w:r>
      <w:r>
        <w:t xml:space="preserve">Auch Menschen, die genetisch bedingt höhere IGF-1-Spiegel haben, erkranken etwas häufiger an Brust- und Darmkrebs – ein Hinweis darauf, dass der Zusammenhang ursächlich sein könnte</w:t>
      </w:r>
      <w:r>
        <w:rPr>
          <w:rStyle w:val="FootnoteReference"/>
        </w:rPr>
        <w:footnoteReference w:id="1519"/>
      </w:r>
      <w:r>
        <w:t xml:space="preserve">.</w:t>
      </w:r>
    </w:p>
    <w:p>
      <w:pPr>
        <w:numPr>
          <w:ilvl w:val="0"/>
          <w:numId w:val="1178"/>
        </w:numPr>
        <w:pStyle w:val="Compact"/>
      </w:pPr>
      <w:r>
        <w:rPr>
          <w:iCs/>
          <w:i/>
        </w:rPr>
        <w:t xml:space="preserve">Das Gegenbild:</w:t>
      </w:r>
      <w:r>
        <w:t xml:space="preserve"> </w:t>
      </w:r>
      <w:r>
        <w:t xml:space="preserve">In einer ecuadorianischen Gruppe mit Laron-Syndrom, also lebenslangem IGF-1-Mangel, trat über 22 Jahre Beobachtung nur eine einzige, nicht tödliche Krebserkrankung auf, gegenüber 17 % bei nicht betroffenen Verwandten</w:t>
      </w:r>
      <w:r>
        <w:rPr>
          <w:rStyle w:val="FootnoteReference"/>
        </w:rPr>
        <w:footnoteReference w:id="1520"/>
      </w:r>
      <w:r>
        <w:t xml:space="preserve">.</w:t>
      </w:r>
    </w:p>
    <w:p>
      <w:pPr>
        <w:pStyle w:val="FirstParagraph"/>
      </w:pPr>
      <w:r>
        <w:t xml:space="preserve">Wichtig ist die Größenordnung: Die gemessenen Risikoerhöhungen bei natürlich höherem IGF-1 sind mäßig (je nach Vergleich und Krebsart meist zwischen etwa 5 und 65 % relativ). Für die Kinder, für die Mecasermin zugelassen ist, wird ein fehlendes Hormon ersetzt, nicht ein normaler Spiegel überhöht. Dennoch wurden nach der Markteinführung Fälle gutartiger und bösartiger Neubildungen bei behandelten Kindern gemeldet; die Fachinformation in EU und USA wurde daraufhin um entsprechende Warnhinweise ergänzt, und bei aktiver oder vermuteter Krebserkrankung darf Mecasermin nicht angewendet werden (Stand 2026, Einzelheiten siehe aktuelle Fachinformation). Ob ein ursächlicher Zusammenhang besteht, lässt sich aus Einzelmeldungen nicht klären; das Langzeitregister</w:t>
      </w:r>
      <w:r>
        <w:rPr>
          <w:rStyle w:val="FootnoteReference"/>
        </w:rPr>
        <w:footnoteReference w:id="1521"/>
      </w:r>
      <w:r>
        <w:t xml:space="preserve"> </w:t>
      </w:r>
      <w:r>
        <w:t xml:space="preserve">soll dazu Daten liefern.</w:t>
      </w:r>
    </w:p>
    <w:p>
      <w:pPr>
        <w:pStyle w:val="BodyText"/>
      </w:pPr>
      <w:r>
        <w:t xml:space="preserve">Für Erwachsene, die IGF-1 ohne Mangel zur Leistungssteigerung oder „Verjüngung“ anwenden, sind diese Überlegungen deutlich ernster zu nehmen: Hier würde ein normaler Spiegel dauerhaft angehoben – genau die Situation, die in den Beobachtungsstudien mit einem höheren Risiko verbunden ist. Ausführlich wird das Thema in Teil IV behandelt.</w:t>
      </w:r>
    </w:p>
    <w:bookmarkEnd w:id="1522"/>
    <w:bookmarkStart w:id="1525" w:name="rechtslage-31"/>
    <w:p>
      <w:pPr>
        <w:pStyle w:val="Heading3"/>
      </w:pPr>
      <w:r>
        <w:t xml:space="preserve">Rechtslage</w:t>
      </w:r>
    </w:p>
    <w:p>
      <w:pPr>
        <w:pStyle w:val="FirstParagraph"/>
      </w:pPr>
      <w:r>
        <w:rPr>
          <w:iCs/>
          <w:i/>
        </w:rPr>
        <w:t xml:space="preserve">Stand 2026, bitte aktuell prüfen.</w:t>
      </w:r>
    </w:p>
    <w:p>
      <w:pPr>
        <w:numPr>
          <w:ilvl w:val="0"/>
          <w:numId w:val="1179"/>
        </w:numPr>
        <w:pStyle w:val="Compact"/>
      </w:pPr>
      <w:r>
        <w:rPr>
          <w:bCs/>
          <w:b/>
        </w:rPr>
        <w:t xml:space="preserve">EU, Deutschland, Österreich:</w:t>
      </w:r>
      <w:r>
        <w:t xml:space="preserve"> </w:t>
      </w:r>
      <w:r>
        <w:t xml:space="preserve">zugelassen (Increlex) ausschließlich für Kinder und Jugendliche mit schwerem primärem IGF-1-Mangel; verschreibungspflichtig, Behandlung durch kinderendokrinologisch erfahrene Ärztinnen und Ärzte nach Fachinformation. Die EU-Zulassung ist an die Datensammlung im Langzeitregister gekoppelt</w:t>
      </w:r>
      <w:r>
        <w:rPr>
          <w:rStyle w:val="FootnoteReference"/>
        </w:rPr>
        <w:footnoteReference w:id="1523"/>
      </w:r>
      <w:r>
        <w:t xml:space="preserve">.</w:t>
      </w:r>
    </w:p>
    <w:p>
      <w:pPr>
        <w:numPr>
          <w:ilvl w:val="0"/>
          <w:numId w:val="1179"/>
        </w:numPr>
        <w:pStyle w:val="Compact"/>
      </w:pPr>
      <w:r>
        <w:rPr>
          <w:bCs/>
          <w:b/>
        </w:rPr>
        <w:t xml:space="preserve">USA:</w:t>
      </w:r>
      <w:r>
        <w:t xml:space="preserve"> </w:t>
      </w:r>
      <w:r>
        <w:t xml:space="preserve">zugelassen (Increlex) für dieselbe Indikation.</w:t>
      </w:r>
    </w:p>
    <w:p>
      <w:pPr>
        <w:numPr>
          <w:ilvl w:val="0"/>
          <w:numId w:val="1179"/>
        </w:numPr>
        <w:pStyle w:val="Compact"/>
      </w:pPr>
      <w:r>
        <w:rPr>
          <w:bCs/>
          <w:b/>
        </w:rPr>
        <w:t xml:space="preserve">Andere Anwendungen</w:t>
      </w:r>
      <w:r>
        <w:t xml:space="preserve"> </w:t>
      </w:r>
      <w:r>
        <w:t xml:space="preserve">(Erwachsene, Sport, Anti-Aging) sind nicht zugelassen.</w:t>
      </w:r>
    </w:p>
    <w:p>
      <w:pPr>
        <w:numPr>
          <w:ilvl w:val="0"/>
          <w:numId w:val="1179"/>
        </w:numPr>
        <w:pStyle w:val="Compact"/>
      </w:pPr>
      <w:r>
        <w:rPr>
          <w:bCs/>
          <w:b/>
        </w:rPr>
        <w:t xml:space="preserve">WADA:</w:t>
      </w:r>
      <w:r>
        <w:t xml:space="preserve"> </w:t>
      </w:r>
      <w:r>
        <w:t xml:space="preserve">verboten (S2). Für den Nachweis von IGF-1-Missbrauch werden Marker-Methoden ähnlich wie beim Wachstumshormon-Test entwickelt</w:t>
      </w:r>
      <w:r>
        <w:rPr>
          <w:rStyle w:val="FootnoteReference"/>
        </w:rPr>
        <w:footnoteReference w:id="1524"/>
      </w:r>
      <w:r>
        <w:t xml:space="preserve">.</w:t>
      </w:r>
    </w:p>
    <w:bookmarkEnd w:id="1525"/>
    <w:bookmarkStart w:id="1527" w:name="laufende-studien-und-ausblick-31"/>
    <w:p>
      <w:pPr>
        <w:pStyle w:val="Heading3"/>
      </w:pPr>
      <w:r>
        <w:t xml:space="preserve">Laufende Studien und Ausblick</w:t>
      </w:r>
    </w:p>
    <w:p>
      <w:pPr>
        <w:pStyle w:val="FirstParagraph"/>
      </w:pPr>
      <w:r>
        <w:rPr>
          <w:iCs/>
          <w:i/>
        </w:rPr>
        <w:t xml:space="preserve">Gesichert:</w:t>
      </w:r>
      <w:r>
        <w:t xml:space="preserve"> </w:t>
      </w:r>
      <w:r>
        <w:t xml:space="preserve">Das globale Increlex-Register</w:t>
      </w:r>
      <w:r>
        <w:rPr>
          <w:rStyle w:val="FootnoteReference"/>
        </w:rPr>
        <w:footnoteReference w:id="1526"/>
      </w:r>
      <w:r>
        <w:t xml:space="preserve"> </w:t>
      </w:r>
      <w:r>
        <w:t xml:space="preserve">läuft laut Eintrag bis Ende 2027. Eine Phase-2-Studie mit IGF-1/IGFBP-3 zur Vorbeugung der bronchopulmonalen Dysplasie bei extrem Frühgeborenen (NCT03253263, 295 Kinder) ist aktiv, aber nicht mehr rekrutierend.</w:t>
      </w:r>
      <w:r>
        <w:t xml:space="preserve"> </w:t>
      </w:r>
      <w:r>
        <w:rPr>
          <w:iCs/>
          <w:i/>
        </w:rPr>
        <w:t xml:space="preserve">Einschätzung des Autors:</w:t>
      </w:r>
      <w:r>
        <w:t xml:space="preserve"> </w:t>
      </w:r>
      <w:r>
        <w:t xml:space="preserve">Neue Zulassungen für Erwachsene sind nicht in Sicht; die Bedeutung von Mecasermin wird auf seltene Wachstumsstörungen und gegebenenfalls die Frühgeborenenmedizin begrenzt bleiben.</w:t>
      </w:r>
    </w:p>
    <w:bookmarkEnd w:id="1527"/>
    <w:bookmarkStart w:id="1528" w:name="fazit-31"/>
    <w:p>
      <w:pPr>
        <w:pStyle w:val="Heading3"/>
      </w:pPr>
      <w:r>
        <w:t xml:space="preserve">Fazit</w:t>
      </w:r>
    </w:p>
    <w:p>
      <w:pPr>
        <w:pStyle w:val="FirstParagraph"/>
      </w:pPr>
      <w:r>
        <w:t xml:space="preserve">Mecasermin ersetzt das fehlende IGF-1 bei Kindern mit schwerem primärem IGF-1-Mangel und verbessert ihr Wachstum deutlich, besonders bei frühem Behandlungsbeginn. Die häufigste Nebenwirkung ist Unterzuckerung; nach Meldungen von Neubildungen wurden die Warnhinweise verschärft. In anderen Anwendungen, etwa bei ALS, brachte IGF-1 keinen Nutzen. Für Gesunde ist eine Anwendung weder belegt noch vertretbar, weil dauerhaft erhöhtes IGF-1 in großen Beobachtungs- und Genstudien mit einem etwas höheren Krebsrisiko verbunden ist.</w:t>
      </w:r>
    </w:p>
    <w:bookmarkEnd w:id="1528"/>
    <w:bookmarkEnd w:id="1529"/>
    <w:bookmarkStart w:id="1559" w:name="igf-1-lr3"/>
    <w:p>
      <w:pPr>
        <w:pStyle w:val="Heading2"/>
      </w:pPr>
      <w:r>
        <w:t xml:space="preserve">IGF-1 LR3</w:t>
      </w:r>
    </w:p>
    <w:p>
      <w:pPr>
        <w:pStyle w:val="FirstParagraph"/>
      </w:pPr>
      <w:r>
        <w:t xml:space="preserve">IGF-1 LR3 (ausgeschrieben „Long-R3-IGF-I“) ist kein Medikament, sondern ein Laborreagenz. Es wurde entwickelt, um Zellkulturen in der Biotechnologie besser wachsen zu lassen, und wird in Tierversuchen eingesetzt. Dass es im Internet in Fläschchen zur Injektion verkauft wird, ist ein Paradebeispiel für den „Research Peptide“-Markt: ein Stoff, der nie für Menschen gedacht war, nie an Menschen getestet wurde und dessen Eigenschaften genau die Risiken verstärken, die beim natürlichen IGF-1 Sorgen machen.</w:t>
      </w:r>
    </w:p>
    <w:bookmarkStart w:id="1531" w:name="steckbrief-32"/>
    <w:p>
      <w:pPr>
        <w:pStyle w:val="Heading3"/>
      </w:pPr>
      <w:r>
        <w:t xml:space="preserve">Steckbrief</w:t>
      </w:r>
    </w:p>
    <w:p>
      <w:pPr>
        <w:numPr>
          <w:ilvl w:val="0"/>
          <w:numId w:val="1180"/>
        </w:numPr>
        <w:pStyle w:val="Compact"/>
      </w:pPr>
      <w:r>
        <w:rPr>
          <w:bCs/>
          <w:b/>
        </w:rPr>
        <w:t xml:space="preserve">Art und Struktur:</w:t>
      </w:r>
      <w:r>
        <w:t xml:space="preserve"> </w:t>
      </w:r>
      <w:r>
        <w:t xml:space="preserve">abgewandeltes menschliches IGF-1: An Position 3 steht die Aminosäure Arginin („R3“), und am Anfang wurde eine zusätzliche Aminosäurekette angehängt („Long“). Beides verringert die Bindung an die IGF-Bindungsproteine stark</w:t>
      </w:r>
      <w:r>
        <w:rPr>
          <w:rStyle w:val="FootnoteReference"/>
        </w:rPr>
        <w:footnoteReference w:id="1530"/>
      </w:r>
      <w:r>
        <w:t xml:space="preserve">.</w:t>
      </w:r>
    </w:p>
    <w:p>
      <w:pPr>
        <w:numPr>
          <w:ilvl w:val="0"/>
          <w:numId w:val="1180"/>
        </w:numPr>
        <w:pStyle w:val="Compact"/>
      </w:pPr>
      <w:r>
        <w:rPr>
          <w:bCs/>
          <w:b/>
        </w:rPr>
        <w:t xml:space="preserve">Herkunft:</w:t>
      </w:r>
      <w:r>
        <w:t xml:space="preserve"> </w:t>
      </w:r>
      <w:r>
        <w:t xml:space="preserve">Anfang der 1990er-Jahre als Forschungswerkzeug beschrieben; heute als Zusatz für Zellkultur-Nährmedien kommerziell erhältlich.</w:t>
      </w:r>
    </w:p>
    <w:p>
      <w:pPr>
        <w:numPr>
          <w:ilvl w:val="0"/>
          <w:numId w:val="1180"/>
        </w:numPr>
        <w:pStyle w:val="Compact"/>
      </w:pPr>
      <w:r>
        <w:rPr>
          <w:bCs/>
          <w:b/>
        </w:rPr>
        <w:t xml:space="preserve">Wirkprinzip:</w:t>
      </w:r>
      <w:r>
        <w:t xml:space="preserve"> </w:t>
      </w:r>
      <w:r>
        <w:t xml:space="preserve">bindet wie IGF-1 an den IGF-1-Rezeptor; weil es kaum von Bindungsproteinen abgefangen wird, liegt es im Blut überwiegend frei und damit unmittelbar wirksam vor.</w:t>
      </w:r>
    </w:p>
    <w:p>
      <w:pPr>
        <w:numPr>
          <w:ilvl w:val="0"/>
          <w:numId w:val="1180"/>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Nirgends als Arzneimittel zugelassen oder je beantragt.</w:t>
      </w:r>
    </w:p>
    <w:p>
      <w:pPr>
        <w:numPr>
          <w:ilvl w:val="0"/>
          <w:numId w:val="1180"/>
        </w:numPr>
        <w:pStyle w:val="Compact"/>
      </w:pPr>
      <w:r>
        <w:rPr>
          <w:bCs/>
          <w:b/>
        </w:rPr>
        <w:t xml:space="preserve">WADA:</w:t>
      </w:r>
      <w:r>
        <w:t xml:space="preserve"> </w:t>
      </w:r>
      <w:r>
        <w:t xml:space="preserve">verboten, Gruppe S2 (IGF-1-Analoga als Wachstumsfaktoren).</w:t>
      </w:r>
    </w:p>
    <w:p>
      <w:pPr>
        <w:numPr>
          <w:ilvl w:val="0"/>
          <w:numId w:val="1180"/>
        </w:numPr>
        <w:pStyle w:val="Compact"/>
      </w:pPr>
      <w:r>
        <w:rPr>
          <w:bCs/>
          <w:b/>
        </w:rPr>
        <w:t xml:space="preserve">Evidenzstufe: D</w:t>
      </w:r>
      <w:r>
        <w:t xml:space="preserve"> </w:t>
      </w:r>
      <w:r>
        <w:t xml:space="preserve">– keine einzige Studie am Menschen; nur Tier- und Laborstudien.</w:t>
      </w:r>
    </w:p>
    <w:bookmarkEnd w:id="1531"/>
    <w:bookmarkStart w:id="1535" w:name="wie-es-wirken-soll-32"/>
    <w:p>
      <w:pPr>
        <w:pStyle w:val="Heading3"/>
      </w:pPr>
      <w:r>
        <w:t xml:space="preserve">Wie es wirken soll</w:t>
      </w:r>
    </w:p>
    <w:p>
      <w:pPr>
        <w:pStyle w:val="FirstParagraph"/>
      </w:pPr>
      <w:r>
        <w:t xml:space="preserve">Im Blut ist fast das gesamte IGF-1 an Bindungsproteine gekoppelt, vor allem an IGFBP-3. Diese Proteine wirken wie ein Puffer: Sie verlängern die Lebensdauer von IGF-1, halten es aber auch von den Zellen fern und dämpfen so seine Wirkung. In Zellversuchen hemmte IGFBP-3 die Aktivierung des IGF-1-Rezeptors durch IGF-1 und auch durch Long-R3-IGF-I, indem es die Botenstoffe abfängt</w:t>
      </w:r>
      <w:r>
        <w:rPr>
          <w:rStyle w:val="FootnoteReference"/>
        </w:rPr>
        <w:footnoteReference w:id="1532"/>
      </w:r>
      <w:r>
        <w:t xml:space="preserve">.</w:t>
      </w:r>
    </w:p>
    <w:p>
      <w:pPr>
        <w:pStyle w:val="BodyText"/>
      </w:pPr>
      <w:r>
        <w:t xml:space="preserve">LR3 wurde so verändert, dass es diesem Puffer weitgehend entgeht. In Ratten lag es im Blut überwiegend als freies Peptid vor und wurde – bei nicht trächtigen Tieren – rund zehnmal schneller aus dem Blut entfernt als IGF-1 – es verschwindet also rasch in die Gewebe</w:t>
      </w:r>
      <w:r>
        <w:rPr>
          <w:rStyle w:val="FootnoteReference"/>
        </w:rPr>
        <w:footnoteReference w:id="1533"/>
      </w:r>
      <w:r>
        <w:t xml:space="preserve">. Bei zuckerkranken Ratten war es 2,5- bis 3-mal so wirksam wie IGF-1 bei der Wiederherstellung des Wachstums</w:t>
      </w:r>
      <w:r>
        <w:rPr>
          <w:rStyle w:val="FootnoteReference"/>
        </w:rPr>
        <w:footnoteReference w:id="1534"/>
      </w:r>
      <w:r>
        <w:t xml:space="preserve">. Auf dem Graumarkt wird daraus die Erwartung abgeleitet, LR3 baue beim Menschen stärker Muskeln auf als natürliches IGF-1. Belege dafür gibt es nicht.</w:t>
      </w:r>
    </w:p>
    <w:bookmarkEnd w:id="1535"/>
    <w:bookmarkStart w:id="1539" w:name="studien-am-menschen-3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keine</w:t>
      </w:r>
      <w:r>
        <w:t xml:space="preserve"> </w:t>
      </w:r>
      <w:r>
        <w:t xml:space="preserve">Humanstudie in PubMed (</w:t>
      </w:r>
      <w:r>
        <w:rPr>
          <w:rStyle w:val="VerbatimChar"/>
        </w:rPr>
        <w:t xml:space="preserve">humanstudien_alle</w:t>
      </w:r>
      <w:r>
        <w:t xml:space="preserve">: 0) und</w:t>
      </w:r>
      <w:r>
        <w:t xml:space="preserve"> </w:t>
      </w:r>
      <w:r>
        <w:rPr>
          <w:bCs/>
          <w:b/>
        </w:rPr>
        <w:t xml:space="preserve">keinen</w:t>
      </w:r>
      <w:r>
        <w:t xml:space="preserve"> </w:t>
      </w:r>
      <w:r>
        <w:t xml:space="preserve">Eintrag bei ClinicalTrials.gov. Auch eine gezielte Nachsuche nach Pilotstudien, Fallberichten zu Vergiftungen oder Nebenwirkungen ergab keine Veröffentlichung, in der Menschen IGF-1 LR3 erhalten haben.</w:t>
      </w:r>
    </w:p>
    <w:p>
      <w:pPr>
        <w:pStyle w:val="BodyText"/>
      </w:pPr>
      <w:r>
        <w:t xml:space="preserve">Gefunden wurden lediglich:</w:t>
      </w:r>
    </w:p>
    <w:p>
      <w:pPr>
        <w:numPr>
          <w:ilvl w:val="0"/>
          <w:numId w:val="1181"/>
        </w:numPr>
        <w:pStyle w:val="Compact"/>
      </w:pPr>
      <w:r>
        <w:rPr>
          <w:bCs/>
          <w:b/>
        </w:rPr>
        <w:t xml:space="preserve">Graumarkt-Analysen:</w:t>
      </w:r>
      <w:r>
        <w:t xml:space="preserve"> </w:t>
      </w:r>
      <w:r>
        <w:t xml:space="preserve">Ein Dopinglabor fand in einem Injektionsfläschchen vom Schwarzmarkt Long-R3-IGF-I mit einem sogenannten His-Tag – einem Anhängsel aus sechs Histidin-Bausteinen, das bei der Herstellung von Laborproteinen zur Reinigung genutzt wird. Die Autoren vermuten, dass es sich um ein Nebenprodukt aus der biochemischen Forschung handelte, nicht um ein für Injektionen hergestelltes Präparat; die Wirkung dieser Variante beim Menschen ist völlig unbekannt</w:t>
      </w:r>
      <w:r>
        <w:rPr>
          <w:rStyle w:val="FootnoteReference"/>
        </w:rPr>
        <w:footnoteReference w:id="1536"/>
      </w:r>
      <w:r>
        <w:t xml:space="preserve">. Eine andere Arbeitsgruppe fand in Schwarzmarktprodukten zahlreiche Hinweise auf minderwertige, oxidierte Peptidformen</w:t>
      </w:r>
      <w:r>
        <w:rPr>
          <w:rStyle w:val="FootnoteReference"/>
        </w:rPr>
        <w:footnoteReference w:id="1537"/>
      </w:r>
      <w:r>
        <w:t xml:space="preserve">.</w:t>
      </w:r>
    </w:p>
    <w:p>
      <w:pPr>
        <w:numPr>
          <w:ilvl w:val="0"/>
          <w:numId w:val="1181"/>
        </w:numPr>
        <w:pStyle w:val="Compact"/>
      </w:pPr>
      <w:r>
        <w:rPr>
          <w:bCs/>
          <w:b/>
        </w:rPr>
        <w:t xml:space="preserve">Doping-Übersichten:</w:t>
      </w:r>
      <w:r>
        <w:t xml:space="preserve"> </w:t>
      </w:r>
      <w:r>
        <w:t xml:space="preserve">IGF-1 und seine Analoga werden im Internet beworben und sind seit Jahren auf dem Schwarzmarkt erhältlich</w:t>
      </w:r>
      <w:r>
        <w:rPr>
          <w:rStyle w:val="FootnoteReference"/>
        </w:rPr>
        <w:footnoteReference w:id="1538"/>
      </w:r>
      <w:r>
        <w:t xml:space="preserve">.</w:t>
      </w:r>
    </w:p>
    <w:bookmarkEnd w:id="1539"/>
    <w:bookmarkStart w:id="1547" w:name="tier--und-laborstudien-32"/>
    <w:p>
      <w:pPr>
        <w:pStyle w:val="Heading3"/>
      </w:pPr>
      <w:r>
        <w:t xml:space="preserve">Tier- und Laborstudien</w:t>
      </w:r>
    </w:p>
    <w:p>
      <w:pPr>
        <w:pStyle w:val="FirstParagraph"/>
      </w:pPr>
      <w:r>
        <w:t xml:space="preserve">Fast die gesamte Forschung zu LR3 stammt aus der Nutztier- und Entwicklungsbiologie:</w:t>
      </w:r>
    </w:p>
    <w:p>
      <w:pPr>
        <w:numPr>
          <w:ilvl w:val="0"/>
          <w:numId w:val="1182"/>
        </w:numPr>
        <w:pStyle w:val="Compact"/>
      </w:pPr>
      <w:r>
        <w:rPr>
          <w:bCs/>
          <w:b/>
        </w:rPr>
        <w:t xml:space="preserve">Ratten:</w:t>
      </w:r>
      <w:r>
        <w:t xml:space="preserve"> </w:t>
      </w:r>
      <w:r>
        <w:t xml:space="preserve">Rasche Verteilung ins Gewebe, überwiegend als freies Peptid</w:t>
      </w:r>
      <w:r>
        <w:rPr>
          <w:rStyle w:val="FootnoteReference"/>
        </w:rPr>
        <w:footnoteReference w:id="1540"/>
      </w:r>
      <w:r>
        <w:t xml:space="preserve">; stärkere Wachstumswirkung als IGF-1 bei zuckerkranken Ratten, ohne die Zuckerausscheidung im Urin zu senken</w:t>
      </w:r>
      <w:r>
        <w:rPr>
          <w:rStyle w:val="FootnoteReference"/>
        </w:rPr>
        <w:footnoteReference w:id="1541"/>
      </w:r>
      <w:r>
        <w:t xml:space="preserve">.</w:t>
      </w:r>
    </w:p>
    <w:p>
      <w:pPr>
        <w:numPr>
          <w:ilvl w:val="0"/>
          <w:numId w:val="1182"/>
        </w:numPr>
        <w:pStyle w:val="Compact"/>
      </w:pPr>
      <w:r>
        <w:rPr>
          <w:bCs/>
          <w:b/>
        </w:rPr>
        <w:t xml:space="preserve">Schweine:</w:t>
      </w:r>
      <w:r>
        <w:t xml:space="preserve"> </w:t>
      </w:r>
      <w:r>
        <w:t xml:space="preserve">Eine viertägige Infusion</w:t>
      </w:r>
      <w:r>
        <w:t xml:space="preserve"> </w:t>
      </w:r>
      <w:r>
        <w:rPr>
          <w:bCs/>
          <w:b/>
        </w:rPr>
        <w:t xml:space="preserve">verringerte</w:t>
      </w:r>
      <w:r>
        <w:t xml:space="preserve"> </w:t>
      </w:r>
      <w:r>
        <w:t xml:space="preserve">bei Mastschweinen die Gewichtszunahme und die Futteraufnahme und unterdrückte die körpereigenen Spiegel von Wachstumshormon, IGF-1, IGFBP-3 und Insulin</w:t>
      </w:r>
      <w:r>
        <w:rPr>
          <w:rStyle w:val="FootnoteReference"/>
        </w:rPr>
        <w:footnoteReference w:id="1542"/>
      </w:r>
      <w:r>
        <w:t xml:space="preserve">.</w:t>
      </w:r>
    </w:p>
    <w:p>
      <w:pPr>
        <w:numPr>
          <w:ilvl w:val="0"/>
          <w:numId w:val="1182"/>
        </w:numPr>
        <w:pStyle w:val="Compact"/>
      </w:pPr>
      <w:r>
        <w:rPr>
          <w:bCs/>
          <w:b/>
        </w:rPr>
        <w:t xml:space="preserve">Meerschweinchen:</w:t>
      </w:r>
      <w:r>
        <w:t xml:space="preserve"> </w:t>
      </w:r>
      <w:r>
        <w:t xml:space="preserve">Organe wie Darm, Nieren, Milz und Nebennieren wurden schwerer, das Körperwachstum insgesamt nahm aber nicht zu</w:t>
      </w:r>
      <w:r>
        <w:rPr>
          <w:rStyle w:val="FootnoteReference"/>
        </w:rPr>
        <w:footnoteReference w:id="1543"/>
      </w:r>
      <w:r>
        <w:t xml:space="preserve">.</w:t>
      </w:r>
    </w:p>
    <w:p>
      <w:pPr>
        <w:numPr>
          <w:ilvl w:val="0"/>
          <w:numId w:val="1182"/>
        </w:numPr>
        <w:pStyle w:val="Compact"/>
      </w:pPr>
      <w:r>
        <w:rPr>
          <w:bCs/>
          <w:b/>
        </w:rPr>
        <w:t xml:space="preserve">Schaf-Feten:</w:t>
      </w:r>
      <w:r>
        <w:t xml:space="preserve"> </w:t>
      </w:r>
      <w:r>
        <w:t xml:space="preserve">Bei normal wachsenden Feten senkte LR3 die Insulinausschüttung; eine kurze Infusion verringerte die Insulinspiegel unter Zuckerbelastung um 66 %</w:t>
      </w:r>
      <w:r>
        <w:rPr>
          <w:rStyle w:val="FootnoteReference"/>
        </w:rPr>
        <w:footnoteReference w:id="1544"/>
      </w:r>
      <w:r>
        <w:t xml:space="preserve">. Bei wachstumsverzögerten Feten verbesserte eine einwöchige Behandlung das Wachstum nicht</w:t>
      </w:r>
      <w:r>
        <w:rPr>
          <w:rStyle w:val="FootnoteReference"/>
        </w:rPr>
        <w:footnoteReference w:id="1545"/>
      </w:r>
      <w:r>
        <w:t xml:space="preserve">.</w:t>
      </w:r>
    </w:p>
    <w:p>
      <w:pPr>
        <w:numPr>
          <w:ilvl w:val="0"/>
          <w:numId w:val="1182"/>
        </w:numPr>
        <w:pStyle w:val="Compact"/>
      </w:pPr>
      <w:r>
        <w:rPr>
          <w:bCs/>
          <w:b/>
        </w:rPr>
        <w:t xml:space="preserve">Mäuse:</w:t>
      </w:r>
      <w:r>
        <w:t xml:space="preserve"> </w:t>
      </w:r>
      <w:r>
        <w:t xml:space="preserve">In einem Alzheimer-Modell veränderte LR3 als Nasenspray die Amyloid-Ablagerungen, verhinderte aber den Gedächtnisverlust nicht</w:t>
      </w:r>
      <w:r>
        <w:rPr>
          <w:rStyle w:val="FootnoteReference"/>
        </w:rPr>
        <w:footnoteReference w:id="1546"/>
      </w:r>
      <w:r>
        <w:t xml:space="preserve">.</w:t>
      </w:r>
    </w:p>
    <w:p>
      <w:pPr>
        <w:pStyle w:val="FirstParagraph"/>
      </w:pPr>
      <w:r>
        <w:t xml:space="preserve">Die Tierdaten sind widersprüchlich: Je nach Tierart wirkte LR3 wachstumsfördernd, wirkungslos oder sogar wachstumshemmend. Eine Übertragung auf den Menschen ist nicht möglich.</w:t>
      </w:r>
    </w:p>
    <w:bookmarkEnd w:id="1547"/>
    <w:bookmarkStart w:id="1554" w:name="risiken-und-nebenwirkungen-32"/>
    <w:p>
      <w:pPr>
        <w:pStyle w:val="Heading3"/>
      </w:pPr>
      <w:r>
        <w:t xml:space="preserve">Risiken und Nebenwirkungen</w:t>
      </w:r>
    </w:p>
    <w:p>
      <w:pPr>
        <w:pStyle w:val="FirstParagraph"/>
      </w:pPr>
      <w:r>
        <w:t xml:space="preserve">Weil es keine Humanstudien gibt, lassen sich die Risiken nur aus der Biologie und aus Erfahrungen mit dem natürlichen IGF-1 (Mecasermin) ableiten. Diese Ableitungen sind</w:t>
      </w:r>
      <w:r>
        <w:t xml:space="preserve"> </w:t>
      </w:r>
      <w:r>
        <w:rPr>
          <w:bCs/>
          <w:b/>
        </w:rPr>
        <w:t xml:space="preserve">theoretisch</w:t>
      </w:r>
      <w:r>
        <w:t xml:space="preserve">, aber gut begründet:</w:t>
      </w:r>
    </w:p>
    <w:p>
      <w:pPr>
        <w:numPr>
          <w:ilvl w:val="0"/>
          <w:numId w:val="1183"/>
        </w:numPr>
        <w:pStyle w:val="Compact"/>
      </w:pPr>
      <w:r>
        <w:rPr>
          <w:bCs/>
          <w:b/>
        </w:rPr>
        <w:t xml:space="preserve">Unterzuckerung (Hypoglykämie):</w:t>
      </w:r>
      <w:r>
        <w:t xml:space="preserve"> </w:t>
      </w:r>
      <w:r>
        <w:t xml:space="preserve">IGF-1 wirkt in höherer Dosis ähnlich wie Insulin. Beim zugelassenen Mecasermin ist Unterzuckerung die häufigste Nebenwirkung, obwohl dort der Puffer der Bindungsproteine weitgehend erhalten bleibt</w:t>
      </w:r>
      <w:r>
        <w:rPr>
          <w:rStyle w:val="FootnoteReference"/>
        </w:rPr>
        <w:footnoteReference w:id="1548"/>
      </w:r>
      <w:r>
        <w:t xml:space="preserve">. Ein Analogon, das diesem Puffer gezielt entgeht, könnte stärker und weniger vorhersehbar wirken. Gemessen am Menschen ist das nicht. In den Tierversuchen sanken teils die Insulinspiegel</w:t>
      </w:r>
      <w:r>
        <w:rPr>
          <w:rStyle w:val="FootnoteReference"/>
        </w:rPr>
        <w:footnoteReference w:id="1549"/>
      </w:r>
      <w:r>
        <w:t xml:space="preserve">, was die Regulation des Blutzuckers zusätzlich verändern könnte.</w:t>
      </w:r>
    </w:p>
    <w:p>
      <w:pPr>
        <w:numPr>
          <w:ilvl w:val="0"/>
          <w:numId w:val="1183"/>
        </w:numPr>
        <w:pStyle w:val="Compact"/>
      </w:pPr>
      <w:r>
        <w:rPr>
          <w:bCs/>
          <w:b/>
        </w:rPr>
        <w:t xml:space="preserve">Wachstum von Organen und Gewebe:</w:t>
      </w:r>
      <w:r>
        <w:t xml:space="preserve"> </w:t>
      </w:r>
      <w:r>
        <w:t xml:space="preserve">Bei Meerschweinchen vergrößerten sich innere Organe</w:t>
      </w:r>
      <w:r>
        <w:rPr>
          <w:rStyle w:val="FootnoteReference"/>
        </w:rPr>
        <w:footnoteReference w:id="1550"/>
      </w:r>
      <w:r>
        <w:t xml:space="preserve">. Beim Menschen ist unklar, ob Ähnliches geschieht.</w:t>
      </w:r>
    </w:p>
    <w:p>
      <w:pPr>
        <w:numPr>
          <w:ilvl w:val="0"/>
          <w:numId w:val="1183"/>
        </w:numPr>
        <w:pStyle w:val="Compact"/>
      </w:pPr>
      <w:r>
        <w:rPr>
          <w:bCs/>
          <w:b/>
        </w:rPr>
        <w:t xml:space="preserve">Krebs-Theorie:</w:t>
      </w:r>
      <w:r>
        <w:t xml:space="preserve"> </w:t>
      </w:r>
      <w:r>
        <w:t xml:space="preserve">IGF-1 fördert Zellteilung und Zellüberleben. Höhere IGF-1-Spiegel sind in großen Beobachtungs- und Genstudien mit einem etwas höheren Risiko für Brust- und Prostatakrebs verbunden</w:t>
      </w:r>
      <w:r>
        <w:rPr>
          <w:rStyle w:val="FootnoteReference"/>
        </w:rPr>
        <w:footnoteReference w:id="1551"/>
      </w:r>
      <w:r>
        <w:t xml:space="preserve">, und Menschen mit angeborenem IGF-1-Mangel erkranken auffällig selten an Krebs</w:t>
      </w:r>
      <w:r>
        <w:rPr>
          <w:rStyle w:val="FootnoteReference"/>
        </w:rPr>
        <w:footnoteReference w:id="1552"/>
      </w:r>
      <w:r>
        <w:t xml:space="preserve">. Ein Analogon, das stärker und ungepuffert am IGF-1-Rezeptor wirkt, verstärkt genau diesen Signalweg. Ob das beim Menschen das Krebsrisiko messbar erhöht, ist nicht untersucht – und wird es wegen fehlender Studien auch nicht sein. Die Sorge beruht auf Plausibilität, nicht auf Fallberichten.</w:t>
      </w:r>
    </w:p>
    <w:p>
      <w:pPr>
        <w:numPr>
          <w:ilvl w:val="0"/>
          <w:numId w:val="1183"/>
        </w:numPr>
        <w:pStyle w:val="Compact"/>
      </w:pPr>
      <w:r>
        <w:rPr>
          <w:bCs/>
          <w:b/>
        </w:rPr>
        <w:t xml:space="preserve">Produktqualität:</w:t>
      </w:r>
      <w:r>
        <w:t xml:space="preserve"> </w:t>
      </w:r>
      <w:r>
        <w:t xml:space="preserve">Die gefundenen Schwarzmarkt-Präparate enthielten Laborvarianten mit Reinigungsanhängsel und oxidierte Peptide</w:t>
      </w:r>
      <w:r>
        <w:rPr>
          <w:rStyle w:val="FootnoteReference"/>
        </w:rPr>
        <w:footnoteReference w:id="1553"/>
      </w:r>
      <w:r>
        <w:t xml:space="preserve">. Hinzu kommen die allgemeinen Risiken nicht steriler Injektionen. Zellkultur-Reagenzien unterliegen keiner Arzneimittelkontrolle.</w:t>
      </w:r>
    </w:p>
    <w:bookmarkEnd w:id="1554"/>
    <w:bookmarkStart w:id="1556" w:name="rechtslage-32"/>
    <w:p>
      <w:pPr>
        <w:pStyle w:val="Heading3"/>
      </w:pPr>
      <w:r>
        <w:t xml:space="preserve">Rechtslage</w:t>
      </w:r>
    </w:p>
    <w:p>
      <w:pPr>
        <w:pStyle w:val="FirstParagraph"/>
      </w:pPr>
      <w:r>
        <w:rPr>
          <w:iCs/>
          <w:i/>
        </w:rPr>
        <w:t xml:space="preserve">Stand 2026, bitte aktuell prüfen.</w:t>
      </w:r>
    </w:p>
    <w:p>
      <w:pPr>
        <w:numPr>
          <w:ilvl w:val="0"/>
          <w:numId w:val="1184"/>
        </w:numPr>
        <w:pStyle w:val="Compact"/>
      </w:pPr>
      <w:r>
        <w:rPr>
          <w:bCs/>
          <w:b/>
        </w:rPr>
        <w:t xml:space="preserve">EU, Deutschland, Österreich:</w:t>
      </w:r>
      <w:r>
        <w:t xml:space="preserve"> </w:t>
      </w:r>
      <w:r>
        <w:t xml:space="preserve">kein Arzneimittel, keine Zulassung, auch nicht beantragt. Als Laborreagenz darf es für die Forschung verkauft werden; die Abgabe zur Anwendung am Menschen ist nach den Arzneimittelgesetzen unzulässig.</w:t>
      </w:r>
    </w:p>
    <w:p>
      <w:pPr>
        <w:numPr>
          <w:ilvl w:val="0"/>
          <w:numId w:val="1184"/>
        </w:numPr>
        <w:pStyle w:val="Compact"/>
      </w:pPr>
      <w:r>
        <w:rPr>
          <w:bCs/>
          <w:b/>
        </w:rPr>
        <w:t xml:space="preserve">USA:</w:t>
      </w:r>
      <w:r>
        <w:t xml:space="preserve"> </w:t>
      </w:r>
      <w:r>
        <w:t xml:space="preserve">keine Zulassung; Vertrieb nur als Forschungschemikalie.</w:t>
      </w:r>
    </w:p>
    <w:p>
      <w:pPr>
        <w:numPr>
          <w:ilvl w:val="0"/>
          <w:numId w:val="1184"/>
        </w:numPr>
        <w:pStyle w:val="Compact"/>
      </w:pPr>
      <w:r>
        <w:rPr>
          <w:bCs/>
          <w:b/>
        </w:rPr>
        <w:t xml:space="preserve">WADA:</w:t>
      </w:r>
      <w:r>
        <w:t xml:space="preserve"> </w:t>
      </w:r>
      <w:r>
        <w:t xml:space="preserve">verboten (S2). Ein Nachweisverfahren für LR3 und verwandte IGF-1-Analoga im Blut wurde entwickelt; bei Ratten verschwand unverändertes LR3 schon nach etwa 4 Stunden, Abbauprodukte waren bis zu 16 Stunden nachweisbar</w:t>
      </w:r>
      <w:r>
        <w:rPr>
          <w:rStyle w:val="FootnoteReference"/>
        </w:rPr>
        <w:footnoteReference w:id="1555"/>
      </w:r>
      <w:r>
        <w:t xml:space="preserve">.</w:t>
      </w:r>
    </w:p>
    <w:bookmarkEnd w:id="1556"/>
    <w:bookmarkStart w:id="1557" w:name="laufende-studien-und-ausblick-32"/>
    <w:p>
      <w:pPr>
        <w:pStyle w:val="Heading3"/>
      </w:pPr>
      <w:r>
        <w:t xml:space="preserve">Laufende Studien und Ausblick</w:t>
      </w:r>
    </w:p>
    <w:p>
      <w:pPr>
        <w:pStyle w:val="FirstParagraph"/>
      </w:pPr>
      <w:r>
        <w:t xml:space="preserve">Bei ClinicalTrials.gov ist im Oktober 2026 keine Studie mit IGF-1 LR3 eingetragen.</w:t>
      </w:r>
      <w:r>
        <w:t xml:space="preserve"> </w:t>
      </w:r>
      <w:r>
        <w:rPr>
          <w:iCs/>
          <w:i/>
        </w:rPr>
        <w:t xml:space="preserve">Einschätzung des Autors:</w:t>
      </w:r>
      <w:r>
        <w:t xml:space="preserve"> </w:t>
      </w:r>
      <w:r>
        <w:t xml:space="preserve">Eine Entwicklung zum Arzneimittel ist nicht zu erwarten. LR3 bleibt ein Werkzeug für Zellkultur und Tierforschung.</w:t>
      </w:r>
    </w:p>
    <w:bookmarkEnd w:id="1557"/>
    <w:bookmarkStart w:id="1558" w:name="fazit-32"/>
    <w:p>
      <w:pPr>
        <w:pStyle w:val="Heading3"/>
      </w:pPr>
      <w:r>
        <w:t xml:space="preserve">Fazit</w:t>
      </w:r>
    </w:p>
    <w:p>
      <w:pPr>
        <w:pStyle w:val="FirstParagraph"/>
      </w:pPr>
      <w:r>
        <w:t xml:space="preserve">IGF-1 LR3 ist ein Laborreagenz, das nie am Menschen untersucht wurde. In Tierversuchen wirkte es je nach Art wachstumsfördernd, wirkungslos oder sogar wachstumshemmend. Seine besondere Eigenschaft – die fehlende Bindung an die puffernden Bindungsproteine – lässt ein höheres Risiko für Unterzuckerung und eine verstärkte Wachstumssignalisierung erwarten. Schwarzmarkt-Produkte enthielten nachweislich Laborvarianten, die nie für Injektionen gedacht waren.</w:t>
      </w:r>
    </w:p>
    <w:bookmarkEnd w:id="1558"/>
    <w:bookmarkEnd w:id="1559"/>
    <w:bookmarkStart w:id="1601" w:name="ibutamoren-mk-677"/>
    <w:p>
      <w:pPr>
        <w:pStyle w:val="Heading2"/>
      </w:pPr>
      <w:r>
        <w:t xml:space="preserve">Ibutamoren (MK-677)</w:t>
      </w:r>
    </w:p>
    <w:p>
      <w:pPr>
        <w:pStyle w:val="FirstParagraph"/>
      </w:pPr>
      <w:r>
        <w:rPr>
          <w:iCs/>
          <w:i/>
        </w:rPr>
        <w:t xml:space="preserve">Vergleichskapitel:</w:t>
      </w:r>
      <w:r>
        <w:t xml:space="preserve"> </w:t>
      </w:r>
      <w:r>
        <w:t xml:space="preserve">Ibutamoren ist kein Peptid. Es ist ein kleines, synthetisches Molekül, das als Tablette oder Flüssigkeit geschluckt wird – und genau deshalb steht es in diesem Buch: als Vergleich. Es wirkt am selben Rezeptor wie Ipamorelin, GHRP-2 oder Hexarelin, nämlich am Ghrelin-Rezeptor, und hebt Wachstumshormon und IGF-1 über Monate an. Ibutamoren wurde in den 1990er- und 2000er-Jahren vom Pharmaunternehmen Merck in mehreren größeren randomisierten Studien geprüft. Diese Studien zeigen recht genau, was eine dauerhafte Anregung der Wachstumshormon-Achse bei älteren Menschen bringt – und wo die Risiken liegen. Auf dem Graumarkt wird Ibutamoren heute meist als „SARM-ähnliches Supplement“ verkauft.</w:t>
      </w:r>
    </w:p>
    <w:bookmarkStart w:id="1561" w:name="steckbrief-33"/>
    <w:p>
      <w:pPr>
        <w:pStyle w:val="Heading3"/>
      </w:pPr>
      <w:r>
        <w:t xml:space="preserve">Steckbrief</w:t>
      </w:r>
    </w:p>
    <w:p>
      <w:pPr>
        <w:numPr>
          <w:ilvl w:val="0"/>
          <w:numId w:val="1185"/>
        </w:numPr>
        <w:pStyle w:val="Compact"/>
      </w:pPr>
      <w:r>
        <w:rPr>
          <w:bCs/>
          <w:b/>
        </w:rPr>
        <w:t xml:space="preserve">Art und Struktur:</w:t>
      </w:r>
      <w:r>
        <w:t xml:space="preserve"> </w:t>
      </w:r>
      <w:r>
        <w:t xml:space="preserve">kleines synthetisches Molekül, kein Peptid („non-peptide agonist“; Liu 2021, PMID 34737341); oral wirksam. Entwicklungsnamen MK-677 bzw. MK-0677, heute als LUM-201 in der Entwicklung</w:t>
      </w:r>
      <w:r>
        <w:rPr>
          <w:rStyle w:val="FootnoteReference"/>
        </w:rPr>
        <w:footnoteReference w:id="1560"/>
      </w:r>
      <w:r>
        <w:t xml:space="preserve">.</w:t>
      </w:r>
    </w:p>
    <w:p>
      <w:pPr>
        <w:numPr>
          <w:ilvl w:val="0"/>
          <w:numId w:val="1185"/>
        </w:numPr>
        <w:pStyle w:val="Compact"/>
      </w:pPr>
      <w:r>
        <w:rPr>
          <w:bCs/>
          <w:b/>
        </w:rPr>
        <w:t xml:space="preserve">Herkunft:</w:t>
      </w:r>
      <w:r>
        <w:t xml:space="preserve"> </w:t>
      </w:r>
      <w:r>
        <w:t xml:space="preserve">entwickelt von Merck (USA) in den 1990er-Jahren als „Peptid-Mimetikum“ der Wachstumshormon-freisetzenden Peptide.</w:t>
      </w:r>
    </w:p>
    <w:p>
      <w:pPr>
        <w:numPr>
          <w:ilvl w:val="0"/>
          <w:numId w:val="1185"/>
        </w:numPr>
        <w:pStyle w:val="Compact"/>
      </w:pPr>
      <w:r>
        <w:rPr>
          <w:bCs/>
          <w:b/>
        </w:rPr>
        <w:t xml:space="preserve">Wirkprinzip:</w:t>
      </w:r>
      <w:r>
        <w:t xml:space="preserve"> </w:t>
      </w:r>
      <w:r>
        <w:t xml:space="preserve">Agonist am Ghrelin-Rezeptor (GHS-R1a); verstärkt die bestehenden GH-Pulse und hebt IGF-1 dauerhaft an; steigert den Appetit.</w:t>
      </w:r>
    </w:p>
    <w:p>
      <w:pPr>
        <w:numPr>
          <w:ilvl w:val="0"/>
          <w:numId w:val="118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85"/>
        </w:numPr>
        <w:pStyle w:val="Compact"/>
      </w:pPr>
      <w:r>
        <w:rPr>
          <w:bCs/>
          <w:b/>
        </w:rPr>
        <w:t xml:space="preserve">WADA:</w:t>
      </w:r>
      <w:r>
        <w:t xml:space="preserve"> </w:t>
      </w:r>
      <w:r>
        <w:t xml:space="preserve">verboten, Gruppe S2 (Wachstumshormon-Sekretagoga; Ibutamoren wird ausdrücklich genannt).</w:t>
      </w:r>
    </w:p>
    <w:p>
      <w:pPr>
        <w:numPr>
          <w:ilvl w:val="0"/>
          <w:numId w:val="1185"/>
        </w:numPr>
        <w:pStyle w:val="Compact"/>
      </w:pPr>
      <w:r>
        <w:rPr>
          <w:bCs/>
          <w:b/>
        </w:rPr>
        <w:t xml:space="preserve">Evidenzstufe: B</w:t>
      </w:r>
      <w:r>
        <w:t xml:space="preserve"> </w:t>
      </w:r>
      <w:r>
        <w:t xml:space="preserve">– mehrere randomisierte, placebokontrollierte Studien mit bis zu 563 Teilnehmenden, aber keine Zulassung und keine Studie mit positivem klinischem Hauptergebnis.</w:t>
      </w:r>
    </w:p>
    <w:bookmarkEnd w:id="1561"/>
    <w:bookmarkStart w:id="1563" w:name="wie-es-wirken-soll-33"/>
    <w:p>
      <w:pPr>
        <w:pStyle w:val="Heading3"/>
      </w:pPr>
      <w:r>
        <w:t xml:space="preserve">Wie es wirken soll</w:t>
      </w:r>
    </w:p>
    <w:p>
      <w:pPr>
        <w:pStyle w:val="FirstParagraph"/>
      </w:pPr>
      <w:r>
        <w:t xml:space="preserve">Ibutamoren ahmt Ghrelin nach. Im Unterschied zu den Peptiden der Gruppe wird es im Magen nicht zerstört und wirkt lange genug, um mit einer täglichen Einnahme die Wachstumshormon-Ausschüttung rund um die Uhr zu verstärken. Bei gesunden älteren Menschen verdoppelte es in einer Studie die mittlere 24-Stunden-Konzentration von Wachstumshormon annähernd; die Zahl der GH-Pulse blieb gleich, ihre Höhe stieg. IGF-1 erreichte nach vier Wochen Werte wie bei jungen Erwachsenen</w:t>
      </w:r>
      <w:r>
        <w:rPr>
          <w:rStyle w:val="FootnoteReference"/>
        </w:rPr>
        <w:footnoteReference w:id="1562"/>
      </w:r>
      <w:r>
        <w:t xml:space="preserve">.</w:t>
      </w:r>
    </w:p>
    <w:p>
      <w:pPr>
        <w:pStyle w:val="BodyText"/>
      </w:pPr>
      <w:r>
        <w:t xml:space="preserve">Die Hoffnung von Merck war, damit das „Somatopause“ genannte Absinken der Wachstumshormon-Achse im Alter auszugleichen: Muskelschwund (Sarkopenie), Gebrechlichkeit, Knochenschwund und langsame Erholung nach Verletzungen.</w:t>
      </w:r>
    </w:p>
    <w:bookmarkEnd w:id="1563"/>
    <w:bookmarkStart w:id="1578" w:name="studien-am-menschen-3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19</w:t>
      </w:r>
      <w:r>
        <w:t xml:space="preserve"> </w:t>
      </w:r>
      <w:r>
        <w:t xml:space="preserve">Humanstudien in PubMed (</w:t>
      </w:r>
      <w:r>
        <w:rPr>
          <w:rStyle w:val="VerbatimChar"/>
        </w:rPr>
        <w:t xml:space="preserve">humanstudien_alle</w:t>
      </w:r>
      <w:r>
        <w:t xml:space="preserve">) und</w:t>
      </w:r>
      <w:r>
        <w:t xml:space="preserve"> </w:t>
      </w:r>
      <w:r>
        <w:rPr>
          <w:bCs/>
          <w:b/>
        </w:rPr>
        <w:t xml:space="preserve">8</w:t>
      </w:r>
      <w:r>
        <w:t xml:space="preserve"> </w:t>
      </w:r>
      <w:r>
        <w:t xml:space="preserve">Einträge bei ClinicalTrials.gov.</w:t>
      </w:r>
    </w:p>
    <w:bookmarkStart w:id="1565" w:name="gesunde-ältere-erwachsene"/>
    <w:p>
      <w:pPr>
        <w:pStyle w:val="Heading4"/>
      </w:pPr>
      <w:r>
        <w:t xml:space="preserve">Gesunde ältere Erwachsene</w:t>
      </w:r>
    </w:p>
    <w:p>
      <w:pPr>
        <w:pStyle w:val="FirstParagraph"/>
      </w:pPr>
      <w:r>
        <w:t xml:space="preserve">Die wichtigste Studie lief über zwei Jahre: 65 gesunde Frauen und Männer zwischen 60 und 81 Jahren erhielten täglich Ibutamoren oder Placebo. Wachstumshormon und IGF-1 stiegen auf Werte junger Erwachsener. Die fettfreie Masse nahm unter Ibutamoren um 1,1 kg zu, unter Placebo um 0,5 kg ab. Das Bauchfett veränderte sich nicht, das Körpergewicht stieg um 2,7 kg (Placebo: 0,8 kg), und das Fett an Armen und Beinen nahm stärker zu. Die Zunahme der fettfreien Masse führte</w:t>
      </w:r>
      <w:r>
        <w:t xml:space="preserve"> </w:t>
      </w:r>
      <w:r>
        <w:rPr>
          <w:bCs/>
          <w:b/>
        </w:rPr>
        <w:t xml:space="preserve">nicht</w:t>
      </w:r>
      <w:r>
        <w:t xml:space="preserve"> </w:t>
      </w:r>
      <w:r>
        <w:t xml:space="preserve">zu mehr Kraft oder besserer Funktion; die Autoren räumen ein, dass die Studie dafür zu klein war. Der Nüchternzucker stieg im Mittel um 0,3 mmol/l (5 mg/dl), die Insulinempfindlichkeit nahm ab. Häufigste Nebenwirkungen waren ein anfänglich gesteigerter Appetit, leichte Wassereinlagerungen in den Beinen und Muskelschmerzen</w:t>
      </w:r>
      <w:r>
        <w:rPr>
          <w:rStyle w:val="FootnoteReference"/>
        </w:rPr>
        <w:footnoteReference w:id="1564"/>
      </w:r>
      <w:r>
        <w:t xml:space="preserve">.</w:t>
      </w:r>
    </w:p>
    <w:bookmarkEnd w:id="1565"/>
    <w:bookmarkStart w:id="1568" w:name="hüftfraktur"/>
    <w:p>
      <w:pPr>
        <w:pStyle w:val="Heading4"/>
      </w:pPr>
      <w:r>
        <w:t xml:space="preserve">Hüftfraktur</w:t>
      </w:r>
    </w:p>
    <w:p>
      <w:pPr>
        <w:pStyle w:val="FirstParagraph"/>
      </w:pPr>
      <w:r>
        <w:t xml:space="preserve">Zwei Studien prüften, ob Ibutamoren älteren Menschen nach einem Hüftbruch hilft, wieder auf die Beine zu kommen:</w:t>
      </w:r>
    </w:p>
    <w:p>
      <w:pPr>
        <w:numPr>
          <w:ilvl w:val="0"/>
          <w:numId w:val="1186"/>
        </w:numPr>
        <w:pStyle w:val="Compact"/>
      </w:pPr>
      <w:r>
        <w:t xml:space="preserve">In der ersten Studie mit 161 Patientinnen und Patienten aus 13 Zentren stieg IGF-1 um 84 % (Placebo: 17 %). Bei den Funktionstests ergaben sich teils günstige Tendenzen, aber keine statistisch signifikanten Unterschiede</w:t>
      </w:r>
      <w:r>
        <w:rPr>
          <w:rStyle w:val="FootnoteReference"/>
        </w:rPr>
        <w:footnoteReference w:id="1566"/>
      </w:r>
      <w:r>
        <w:t xml:space="preserve">.</w:t>
      </w:r>
    </w:p>
    <w:p>
      <w:pPr>
        <w:numPr>
          <w:ilvl w:val="0"/>
          <w:numId w:val="1186"/>
        </w:numPr>
        <w:pStyle w:val="Compact"/>
      </w:pPr>
      <w:r>
        <w:t xml:space="preserve">Die zweite Studie mit 123 Patientinnen und Patienten wurde</w:t>
      </w:r>
      <w:r>
        <w:t xml:space="preserve"> </w:t>
      </w:r>
      <w:r>
        <w:rPr>
          <w:bCs/>
          <w:b/>
        </w:rPr>
        <w:t xml:space="preserve">vorzeitig abgebrochen, weil bei einer begrenzten Zahl von Behandelten eine Herzinsuffizienz (Herzschwäche) auftrat</w:t>
      </w:r>
      <w:r>
        <w:t xml:space="preserve">. Die Ganggeschwindigkeit hatte sich leicht verbessert, die meisten anderen Funktionsmaße nicht; die Autoren bewerteten das Sicherheitsprofil in dieser Patientengruppe als ungünstig</w:t>
      </w:r>
      <w:r>
        <w:rPr>
          <w:rStyle w:val="FootnoteReference"/>
        </w:rPr>
        <w:footnoteReference w:id="1567"/>
      </w:r>
      <w:r>
        <w:t xml:space="preserve">.</w:t>
      </w:r>
    </w:p>
    <w:p>
      <w:pPr>
        <w:pStyle w:val="FirstParagraph"/>
      </w:pPr>
      <w:r>
        <w:t xml:space="preserve">Ein weiterer Merck-Eintrag zur Sarkopenie nach Hüftfraktur (NCT00128115, 83 Personen) ist als abgebrochen vermerkt, ohne Angabe von Gründen oder Ergebnissen.</w:t>
      </w:r>
    </w:p>
    <w:bookmarkEnd w:id="1568"/>
    <w:bookmarkStart w:id="1570" w:name="alzheimer-krankheit"/>
    <w:p>
      <w:pPr>
        <w:pStyle w:val="Heading4"/>
      </w:pPr>
      <w:r>
        <w:t xml:space="preserve">Alzheimer-Krankheit</w:t>
      </w:r>
    </w:p>
    <w:p>
      <w:pPr>
        <w:pStyle w:val="FirstParagraph"/>
      </w:pPr>
      <w:r>
        <w:t xml:space="preserve">In einer großen Studie erhielten 563 Menschen mit leichter bis mittelschwerer Alzheimer-Demenz ein Jahr lang Ibutamoren oder Placebo. IGF-1 stieg um 60,1 % nach sechs Wochen und um 72,9 % nach zwölf Monaten. Auf keiner der vier Skalen für Denkleistung, Alltagsfähigkeit und Gesamteindruck unterschied sich der Verlauf von Placebo</w:t>
      </w:r>
      <w:r>
        <w:rPr>
          <w:rStyle w:val="FootnoteReference"/>
        </w:rPr>
        <w:footnoteReference w:id="1569"/>
      </w:r>
      <w:r>
        <w:t xml:space="preserve">.</w:t>
      </w:r>
    </w:p>
    <w:bookmarkEnd w:id="1570"/>
    <w:bookmarkStart w:id="1577" w:name="weitere-studien-1"/>
    <w:p>
      <w:pPr>
        <w:pStyle w:val="Heading4"/>
      </w:pPr>
      <w:r>
        <w:t xml:space="preserve">Weitere Studien</w:t>
      </w:r>
    </w:p>
    <w:p>
      <w:pPr>
        <w:numPr>
          <w:ilvl w:val="0"/>
          <w:numId w:val="1187"/>
        </w:numPr>
        <w:pStyle w:val="Compact"/>
      </w:pPr>
      <w:r>
        <w:rPr>
          <w:bCs/>
          <w:b/>
        </w:rPr>
        <w:t xml:space="preserve">Übergewichtige Männer:</w:t>
      </w:r>
      <w:r>
        <w:t xml:space="preserve"> </w:t>
      </w:r>
      <w:r>
        <w:t xml:space="preserve">Bei 24 Männern stieg über acht Wochen die fettfreie Masse, Gesamt- und Bauchfett änderten sich nicht; im Zuckerbelastungstest verschlechterte sich die Blutzuckerregulation</w:t>
      </w:r>
      <w:r>
        <w:rPr>
          <w:rStyle w:val="FootnoteReference"/>
        </w:rPr>
        <w:footnoteReference w:id="1571"/>
      </w:r>
      <w:r>
        <w:t xml:space="preserve">.</w:t>
      </w:r>
    </w:p>
    <w:p>
      <w:pPr>
        <w:numPr>
          <w:ilvl w:val="0"/>
          <w:numId w:val="1187"/>
        </w:numPr>
        <w:pStyle w:val="Compact"/>
      </w:pPr>
      <w:r>
        <w:rPr>
          <w:bCs/>
          <w:b/>
        </w:rPr>
        <w:t xml:space="preserve">Osteoporose:</w:t>
      </w:r>
      <w:r>
        <w:t xml:space="preserve"> </w:t>
      </w:r>
      <w:r>
        <w:t xml:space="preserve">Bei 292 Frauen nach den Wechseljahren erhöhte Ibutamoren zusammen mit dem Knochenmedikament Alendronat die Knochendichte nur am Schenkelhals stärker als Alendronat allein, nicht an Wirbelsäule oder Hüfte gesamt</w:t>
      </w:r>
      <w:r>
        <w:rPr>
          <w:rStyle w:val="FootnoteReference"/>
        </w:rPr>
        <w:footnoteReference w:id="1572"/>
      </w:r>
      <w:r>
        <w:t xml:space="preserve">.</w:t>
      </w:r>
    </w:p>
    <w:p>
      <w:pPr>
        <w:numPr>
          <w:ilvl w:val="0"/>
          <w:numId w:val="1187"/>
        </w:numPr>
        <w:pStyle w:val="Compact"/>
      </w:pPr>
      <w:r>
        <w:rPr>
          <w:bCs/>
          <w:b/>
        </w:rPr>
        <w:t xml:space="preserve">Schlaf:</w:t>
      </w:r>
      <w:r>
        <w:t xml:space="preserve"> </w:t>
      </w:r>
      <w:r>
        <w:t xml:space="preserve">In kleinen Studien mit acht jungen und sechs älteren Personen verlängerten sich Tief- bzw. REM-Schlaf</w:t>
      </w:r>
      <w:r>
        <w:rPr>
          <w:rStyle w:val="FootnoteReference"/>
        </w:rPr>
        <w:footnoteReference w:id="1573"/>
      </w:r>
      <w:r>
        <w:t xml:space="preserve">.</w:t>
      </w:r>
    </w:p>
    <w:p>
      <w:pPr>
        <w:numPr>
          <w:ilvl w:val="0"/>
          <w:numId w:val="1187"/>
        </w:numPr>
        <w:pStyle w:val="Compact"/>
      </w:pPr>
      <w:r>
        <w:rPr>
          <w:bCs/>
          <w:b/>
        </w:rPr>
        <w:t xml:space="preserve">Dialyse:</w:t>
      </w:r>
      <w:r>
        <w:t xml:space="preserve"> </w:t>
      </w:r>
      <w:r>
        <w:t xml:space="preserve">Bei 22 Dialysepatientinnen und -patienten stieg IGF-1 im Vergleich zu Placebo um 65 % stärker, ohne schwere Nebenwirkungen</w:t>
      </w:r>
      <w:r>
        <w:rPr>
          <w:rStyle w:val="FootnoteReference"/>
        </w:rPr>
        <w:footnoteReference w:id="1574"/>
      </w:r>
      <w:r>
        <w:t xml:space="preserve">.</w:t>
      </w:r>
    </w:p>
    <w:p>
      <w:pPr>
        <w:numPr>
          <w:ilvl w:val="0"/>
          <w:numId w:val="1187"/>
        </w:numPr>
        <w:pStyle w:val="Compact"/>
      </w:pPr>
      <w:r>
        <w:rPr>
          <w:bCs/>
          <w:b/>
        </w:rPr>
        <w:t xml:space="preserve">Kinder mit Wachstumshormon-Mangel:</w:t>
      </w:r>
      <w:r>
        <w:t xml:space="preserve"> </w:t>
      </w:r>
      <w:r>
        <w:t xml:space="preserve">Bereits 2001 erhöhte Ibutamoren bei 18 Kindern Wachstumshormon und IGF-1</w:t>
      </w:r>
      <w:r>
        <w:rPr>
          <w:rStyle w:val="FootnoteReference"/>
        </w:rPr>
        <w:footnoteReference w:id="1575"/>
      </w:r>
      <w:r>
        <w:t xml:space="preserve">. Unter dem Namen LUM-201 löste es in einer Studie mit 68 Kindern höhere GH-Antworten aus als die üblichen Stimulationstests</w:t>
      </w:r>
      <w:r>
        <w:rPr>
          <w:rStyle w:val="FootnoteReference"/>
        </w:rPr>
        <w:footnoteReference w:id="157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Ältere Gesunde (Nass 2008), PMID 18981485</w:t>
            </w:r>
          </w:p>
        </w:tc>
        <w:tc>
          <w:tcPr/>
          <w:p>
            <w:pPr>
              <w:pStyle w:val="Compact"/>
              <w:jc w:val="left"/>
            </w:pPr>
            <w:r>
              <w:t xml:space="preserve">65 Personen 60–81 Jahre, RCT gegen Placebo</w:t>
            </w:r>
          </w:p>
        </w:tc>
        <w:tc>
          <w:tcPr/>
          <w:p>
            <w:pPr>
              <w:pStyle w:val="Compact"/>
              <w:jc w:val="left"/>
            </w:pPr>
            <w:r>
              <w:t xml:space="preserve">2 Jahre</w:t>
            </w:r>
          </w:p>
        </w:tc>
        <w:tc>
          <w:tcPr/>
          <w:p>
            <w:pPr>
              <w:pStyle w:val="Compact"/>
              <w:jc w:val="left"/>
            </w:pPr>
            <w:r>
              <w:t xml:space="preserve">fettfreie Masse +1,1 vs. −0,5 kg; Kraft und Funktion unverändert; Nüchternzucker ↑</w:t>
            </w:r>
          </w:p>
        </w:tc>
      </w:tr>
      <w:tr>
        <w:tc>
          <w:tcPr/>
          <w:p>
            <w:pPr>
              <w:pStyle w:val="Compact"/>
              <w:jc w:val="left"/>
            </w:pPr>
            <w:r>
              <w:t xml:space="preserve">Hüftfraktur 1 (Bach 2004), PMID 15066065</w:t>
            </w:r>
          </w:p>
        </w:tc>
        <w:tc>
          <w:tcPr/>
          <w:p>
            <w:pPr>
              <w:pStyle w:val="Compact"/>
              <w:jc w:val="left"/>
            </w:pPr>
            <w:r>
              <w:t xml:space="preserve">161 Ältere nach Hüftbruch, RCT</w:t>
            </w:r>
          </w:p>
        </w:tc>
        <w:tc>
          <w:tcPr/>
          <w:p>
            <w:pPr>
              <w:pStyle w:val="Compact"/>
              <w:jc w:val="left"/>
            </w:pPr>
            <w:r>
              <w:t xml:space="preserve">6 Monate</w:t>
            </w:r>
          </w:p>
        </w:tc>
        <w:tc>
          <w:tcPr/>
          <w:p>
            <w:pPr>
              <w:pStyle w:val="Compact"/>
              <w:jc w:val="left"/>
            </w:pPr>
            <w:r>
              <w:t xml:space="preserve">IGF-1 +84 %; Funktion nicht signifikant besser</w:t>
            </w:r>
          </w:p>
        </w:tc>
      </w:tr>
      <w:tr>
        <w:tc>
          <w:tcPr/>
          <w:p>
            <w:pPr>
              <w:pStyle w:val="Compact"/>
              <w:jc w:val="left"/>
            </w:pPr>
            <w:r>
              <w:t xml:space="preserve">Hüftfraktur 2 (Adunsky 2011), PMID 21067829</w:t>
            </w:r>
          </w:p>
        </w:tc>
        <w:tc>
          <w:tcPr/>
          <w:p>
            <w:pPr>
              <w:pStyle w:val="Compact"/>
              <w:jc w:val="left"/>
            </w:pPr>
            <w:r>
              <w:t xml:space="preserve">123 Ältere nach Hüftbruch, RCT</w:t>
            </w:r>
          </w:p>
        </w:tc>
        <w:tc>
          <w:tcPr/>
          <w:p>
            <w:pPr>
              <w:pStyle w:val="Compact"/>
              <w:jc w:val="left"/>
            </w:pPr>
            <w:r>
              <w:t xml:space="preserve">geplant 24 Wochen</w:t>
            </w:r>
          </w:p>
        </w:tc>
        <w:tc>
          <w:tcPr/>
          <w:p>
            <w:pPr>
              <w:pStyle w:val="Compact"/>
              <w:jc w:val="left"/>
            </w:pPr>
            <w:r>
              <w:t xml:space="preserve">Abbruch wegen Herzinsuffizienz-Signal</w:t>
            </w:r>
          </w:p>
        </w:tc>
      </w:tr>
      <w:tr>
        <w:tc>
          <w:tcPr/>
          <w:p>
            <w:pPr>
              <w:pStyle w:val="Compact"/>
              <w:jc w:val="left"/>
            </w:pPr>
            <w:r>
              <w:t xml:space="preserve">Alzheimer (Sevigny 2008), PMID 19015485</w:t>
            </w:r>
          </w:p>
        </w:tc>
        <w:tc>
          <w:tcPr/>
          <w:p>
            <w:pPr>
              <w:pStyle w:val="Compact"/>
              <w:jc w:val="left"/>
            </w:pPr>
            <w:r>
              <w:t xml:space="preserve">563 Personen mit Alzheimer, RCT</w:t>
            </w:r>
          </w:p>
        </w:tc>
        <w:tc>
          <w:tcPr/>
          <w:p>
            <w:pPr>
              <w:pStyle w:val="Compact"/>
              <w:jc w:val="left"/>
            </w:pPr>
            <w:r>
              <w:t xml:space="preserve">12 Monate</w:t>
            </w:r>
          </w:p>
        </w:tc>
        <w:tc>
          <w:tcPr/>
          <w:p>
            <w:pPr>
              <w:pStyle w:val="Compact"/>
              <w:jc w:val="left"/>
            </w:pPr>
            <w:r>
              <w:t xml:space="preserve">IGF-1 +72,9 %; kein Effekt auf Krankheitsverlauf</w:t>
            </w:r>
          </w:p>
        </w:tc>
      </w:tr>
      <w:tr>
        <w:tc>
          <w:tcPr/>
          <w:p>
            <w:pPr>
              <w:pStyle w:val="Compact"/>
              <w:jc w:val="left"/>
            </w:pPr>
            <w:r>
              <w:t xml:space="preserve">Osteoporose (Murphy 2001), PMID 11238495</w:t>
            </w:r>
          </w:p>
        </w:tc>
        <w:tc>
          <w:tcPr/>
          <w:p>
            <w:pPr>
              <w:pStyle w:val="Compact"/>
              <w:jc w:val="left"/>
            </w:pPr>
            <w:r>
              <w:t xml:space="preserve">292 Frauen, RCT mit Alendronat</w:t>
            </w:r>
          </w:p>
        </w:tc>
        <w:tc>
          <w:tcPr/>
          <w:p>
            <w:pPr>
              <w:pStyle w:val="Compact"/>
              <w:jc w:val="left"/>
            </w:pPr>
            <w:r>
              <w:t xml:space="preserve">12–18 Monate</w:t>
            </w:r>
          </w:p>
        </w:tc>
        <w:tc>
          <w:tcPr/>
          <w:p>
            <w:pPr>
              <w:pStyle w:val="Compact"/>
              <w:jc w:val="left"/>
            </w:pPr>
            <w:r>
              <w:t xml:space="preserve">nur Schenkelhals-Knochendichte etwas höher</w:t>
            </w:r>
          </w:p>
        </w:tc>
      </w:tr>
    </w:tbl>
    <w:bookmarkEnd w:id="1577"/>
    <w:bookmarkEnd w:id="1578"/>
    <w:bookmarkStart w:id="1581" w:name="tier--und-laborstudien-33"/>
    <w:p>
      <w:pPr>
        <w:pStyle w:val="Heading3"/>
      </w:pPr>
      <w:r>
        <w:t xml:space="preserve">Tier- und Laborstudien</w:t>
      </w:r>
    </w:p>
    <w:p>
      <w:pPr>
        <w:pStyle w:val="FirstParagraph"/>
      </w:pPr>
      <w:r>
        <w:t xml:space="preserve">Bei Mäusen mit einem Alzheimer-Modell verringerte Ibutamoren Amyloid-Ablagerungen und Nervenzellverluste im Gehirn</w:t>
      </w:r>
      <w:r>
        <w:rPr>
          <w:rStyle w:val="FootnoteReference"/>
        </w:rPr>
        <w:footnoteReference w:id="1579"/>
      </w:r>
      <w:r>
        <w:t xml:space="preserve"> </w:t>
      </w:r>
      <w:r>
        <w:t xml:space="preserve">– ein Befund, der sich in der großen Alzheimer-Studie am Menschen nicht in einen klinischen Nutzen übersetzte. Die Struktur des Ghrelin-Rezeptors mit gebundenem Ibutamoren wurde 2021 aufgeklärt</w:t>
      </w:r>
      <w:r>
        <w:rPr>
          <w:rStyle w:val="FootnoteReference"/>
        </w:rPr>
        <w:footnoteReference w:id="1580"/>
      </w:r>
      <w:r>
        <w:t xml:space="preserve">.</w:t>
      </w:r>
    </w:p>
    <w:bookmarkEnd w:id="1581"/>
    <w:bookmarkStart w:id="1592" w:name="risiken-und-nebenwirkungen-33"/>
    <w:p>
      <w:pPr>
        <w:pStyle w:val="Heading3"/>
      </w:pPr>
      <w:r>
        <w:t xml:space="preserve">Risiken und Nebenwirkungen</w:t>
      </w:r>
    </w:p>
    <w:p>
      <w:pPr>
        <w:pStyle w:val="FirstParagraph"/>
      </w:pPr>
      <w:r>
        <w:rPr>
          <w:bCs/>
          <w:b/>
        </w:rPr>
        <w:t xml:space="preserve">Belegt aus randomisierten Studien:</w:t>
      </w:r>
    </w:p>
    <w:p>
      <w:pPr>
        <w:numPr>
          <w:ilvl w:val="0"/>
          <w:numId w:val="1188"/>
        </w:numPr>
        <w:pStyle w:val="Compact"/>
      </w:pPr>
      <w:r>
        <w:rPr>
          <w:bCs/>
          <w:b/>
        </w:rPr>
        <w:t xml:space="preserve">Herzinsuffizienz-Signal:</w:t>
      </w:r>
      <w:r>
        <w:t xml:space="preserve"> </w:t>
      </w:r>
      <w:r>
        <w:t xml:space="preserve">Abbruch einer Studie bei älteren Menschen nach Hüftbruch wegen Fällen von Herzschwäche</w:t>
      </w:r>
      <w:r>
        <w:rPr>
          <w:rStyle w:val="FootnoteReference"/>
        </w:rPr>
        <w:footnoteReference w:id="1582"/>
      </w:r>
      <w:r>
        <w:t xml:space="preserve">. Wie viele Fälle es waren, nennt die Zusammenfassung nicht. Wassereinlagerungen gehören zu den bekannten Wirkungen erhöhter Wachstumshormon-Spiegel und belasten ein vorgeschädigtes Herz.</w:t>
      </w:r>
    </w:p>
    <w:p>
      <w:pPr>
        <w:numPr>
          <w:ilvl w:val="0"/>
          <w:numId w:val="1188"/>
        </w:numPr>
        <w:pStyle w:val="Compact"/>
      </w:pPr>
      <w:r>
        <w:rPr>
          <w:bCs/>
          <w:b/>
        </w:rPr>
        <w:t xml:space="preserve">Blutzucker:</w:t>
      </w:r>
      <w:r>
        <w:t xml:space="preserve"> </w:t>
      </w:r>
      <w:r>
        <w:t xml:space="preserve">Anstieg des Nüchternzuckers und verminderte Insulinempfindlichkeit</w:t>
      </w:r>
      <w:r>
        <w:rPr>
          <w:rStyle w:val="FootnoteReference"/>
        </w:rPr>
        <w:footnoteReference w:id="1583"/>
      </w:r>
      <w:r>
        <w:t xml:space="preserve">; verschlechterte Glukosetoleranz bei übergewichtigen Männern</w:t>
      </w:r>
      <w:r>
        <w:rPr>
          <w:rStyle w:val="FootnoteReference"/>
        </w:rPr>
        <w:footnoteReference w:id="1584"/>
      </w:r>
      <w:r>
        <w:t xml:space="preserve">.</w:t>
      </w:r>
    </w:p>
    <w:p>
      <w:pPr>
        <w:numPr>
          <w:ilvl w:val="0"/>
          <w:numId w:val="1188"/>
        </w:numPr>
        <w:pStyle w:val="Compact"/>
      </w:pPr>
      <w:r>
        <w:rPr>
          <w:bCs/>
          <w:b/>
        </w:rPr>
        <w:t xml:space="preserve">Gewichtszunahme und Appetit:</w:t>
      </w:r>
      <w:r>
        <w:t xml:space="preserve"> </w:t>
      </w:r>
      <w:r>
        <w:t xml:space="preserve">mehr Körpergewicht, mehr Fett an Armen und Beinen, gesteigerter Hunger</w:t>
      </w:r>
      <w:r>
        <w:rPr>
          <w:rStyle w:val="FootnoteReference"/>
        </w:rPr>
        <w:footnoteReference w:id="1585"/>
      </w:r>
      <w:r>
        <w:t xml:space="preserve">.</w:t>
      </w:r>
    </w:p>
    <w:p>
      <w:pPr>
        <w:numPr>
          <w:ilvl w:val="0"/>
          <w:numId w:val="1188"/>
        </w:numPr>
        <w:pStyle w:val="Compact"/>
      </w:pPr>
      <w:r>
        <w:rPr>
          <w:bCs/>
          <w:b/>
        </w:rPr>
        <w:t xml:space="preserve">Wassereinlagerungen und Muskelschmerzen</w:t>
      </w:r>
      <w:r>
        <w:rPr>
          <w:rStyle w:val="FootnoteReference"/>
        </w:rPr>
        <w:footnoteReference w:id="1586"/>
      </w:r>
      <w:r>
        <w:t xml:space="preserve">.</w:t>
      </w:r>
    </w:p>
    <w:p>
      <w:pPr>
        <w:pStyle w:val="FirstParagraph"/>
      </w:pPr>
      <w:r>
        <w:rPr>
          <w:bCs/>
          <w:b/>
        </w:rPr>
        <w:t xml:space="preserve">Fallberichte aus der Graumarkt-Anwendung:</w:t>
      </w:r>
      <w:r>
        <w:t xml:space="preserve"> </w:t>
      </w:r>
      <w:r>
        <w:t xml:space="preserve">Ein Mann Anfang 30 entwickelte nach zwei Monaten Einnahme von MK-677 erhöhte Leberwerte, die sich nach dem Absetzen normalisierten</w:t>
      </w:r>
      <w:r>
        <w:rPr>
          <w:rStyle w:val="FootnoteReference"/>
        </w:rPr>
        <w:footnoteReference w:id="1587"/>
      </w:r>
      <w:r>
        <w:t xml:space="preserve">. Ein 40-Jähriger entwickelte Brustwachstum und einen Testosteronmangel; seine Fitness-Supplemente enthielten neben MK-677 auch ein SARM, Cardarine sowie nicht deklarierte Hormone</w:t>
      </w:r>
      <w:r>
        <w:rPr>
          <w:rStyle w:val="FootnoteReference"/>
        </w:rPr>
        <w:footnoteReference w:id="1588"/>
      </w:r>
      <w:r>
        <w:t xml:space="preserve">.</w:t>
      </w:r>
    </w:p>
    <w:p>
      <w:pPr>
        <w:pStyle w:val="BodyText"/>
      </w:pPr>
      <w:r>
        <w:rPr>
          <w:bCs/>
          <w:b/>
        </w:rPr>
        <w:t xml:space="preserve">Krebs:</w:t>
      </w:r>
      <w:r>
        <w:t xml:space="preserve"> </w:t>
      </w:r>
      <w:r>
        <w:t xml:space="preserve">Ibutamoren hebt IGF-1 über Monate bis Jahre auf das Niveau junger Erwachsener. In den Studien wurde kein Krebssignal berichtet, sie waren dafür aber weder groß noch lang genug. Eine Übersicht über GH-Freisetzer fordert ausdrücklich Langzeitdaten zu Krebs und Sterblichkeit</w:t>
      </w:r>
      <w:r>
        <w:rPr>
          <w:rStyle w:val="FootnoteReference"/>
        </w:rPr>
        <w:footnoteReference w:id="1589"/>
      </w:r>
      <w:r>
        <w:t xml:space="preserve">. Zur allgemeinen Datenlage siehe die Einleitung dieser Gruppe und Teil IV.</w:t>
      </w:r>
    </w:p>
    <w:p>
      <w:pPr>
        <w:pStyle w:val="BodyText"/>
      </w:pPr>
      <w:r>
        <w:rPr>
          <w:bCs/>
          <w:b/>
        </w:rPr>
        <w:t xml:space="preserve">Graumarkt-Qualität:</w:t>
      </w:r>
      <w:r>
        <w:t xml:space="preserve"> </w:t>
      </w:r>
      <w:r>
        <w:t xml:space="preserve">In einer US-Analyse von 44 Produkten, die als SARMs im Internet verkauft wurden, enthielten 39 % stattdessen oder zusätzlich andere nicht zugelassene Stoffe, darunter Ibutamoren; nur 41 % enthielten die angegebene Menge des Wirkstoffs</w:t>
      </w:r>
      <w:r>
        <w:rPr>
          <w:rStyle w:val="FootnoteReference"/>
        </w:rPr>
        <w:footnoteReference w:id="1590"/>
      </w:r>
      <w:r>
        <w:t xml:space="preserve">. Eine europäische Marktüberwachung mit 324 Proben aus 13 Ländern fand Ibutamoren als häufigsten Wirkstoff unter den untersuchten Muskelaufbau-Präparaten; 24 % der Produkte waren als Nahrungsergänzungsmittel aufgemacht</w:t>
      </w:r>
      <w:r>
        <w:rPr>
          <w:rStyle w:val="FootnoteReference"/>
        </w:rPr>
        <w:footnoteReference w:id="1591"/>
      </w:r>
      <w:r>
        <w:t xml:space="preserve">.</w:t>
      </w:r>
    </w:p>
    <w:bookmarkEnd w:id="1592"/>
    <w:bookmarkStart w:id="1594" w:name="rechtslage-33"/>
    <w:p>
      <w:pPr>
        <w:pStyle w:val="Heading3"/>
      </w:pPr>
      <w:r>
        <w:t xml:space="preserve">Rechtslage</w:t>
      </w:r>
    </w:p>
    <w:p>
      <w:pPr>
        <w:pStyle w:val="FirstParagraph"/>
      </w:pPr>
      <w:r>
        <w:rPr>
          <w:iCs/>
          <w:i/>
        </w:rPr>
        <w:t xml:space="preserve">Stand 2026, bitte aktuell prüfen.</w:t>
      </w:r>
    </w:p>
    <w:p>
      <w:pPr>
        <w:numPr>
          <w:ilvl w:val="0"/>
          <w:numId w:val="1189"/>
        </w:numPr>
        <w:pStyle w:val="Compact"/>
      </w:pPr>
      <w:r>
        <w:rPr>
          <w:bCs/>
          <w:b/>
        </w:rPr>
        <w:t xml:space="preserve">EU, Deutschland, Österreich:</w:t>
      </w:r>
      <w:r>
        <w:t xml:space="preserve"> </w:t>
      </w:r>
      <w:r>
        <w:t xml:space="preserve">keine Zulassung. Ibutamoren ist ein nicht zugelassener Arzneistoff; als Nahrungsergänzungsmittel ist es nicht verkehrsfähig. Wer es zur Anwendung am Menschen anbietet, verstößt gegen das Arzneimittelrecht.</w:t>
      </w:r>
    </w:p>
    <w:p>
      <w:pPr>
        <w:numPr>
          <w:ilvl w:val="0"/>
          <w:numId w:val="1189"/>
        </w:numPr>
        <w:pStyle w:val="Compact"/>
      </w:pPr>
      <w:r>
        <w:rPr>
          <w:bCs/>
          <w:b/>
        </w:rPr>
        <w:t xml:space="preserve">USA:</w:t>
      </w:r>
      <w:r>
        <w:t xml:space="preserve"> </w:t>
      </w:r>
      <w:r>
        <w:t xml:space="preserve">keine Zulassung; wird dennoch als „Research Chemical“ oder in Supplementen verkauft.</w:t>
      </w:r>
    </w:p>
    <w:p>
      <w:pPr>
        <w:numPr>
          <w:ilvl w:val="0"/>
          <w:numId w:val="1189"/>
        </w:numPr>
        <w:pStyle w:val="Compact"/>
      </w:pPr>
      <w:r>
        <w:rPr>
          <w:bCs/>
          <w:b/>
        </w:rPr>
        <w:t xml:space="preserve">WADA:</w:t>
      </w:r>
      <w:r>
        <w:t xml:space="preserve"> </w:t>
      </w:r>
      <w:r>
        <w:t xml:space="preserve">verboten (S2). Auch im Pferdesport wird es kontrolliert, etwa über Haaranalysen</w:t>
      </w:r>
      <w:r>
        <w:rPr>
          <w:rStyle w:val="FootnoteReference"/>
        </w:rPr>
        <w:footnoteReference w:id="1593"/>
      </w:r>
      <w:r>
        <w:t xml:space="preserve">.</w:t>
      </w:r>
    </w:p>
    <w:bookmarkEnd w:id="1594"/>
    <w:bookmarkStart w:id="1599" w:name="laufende-studien-und-ausblick-33"/>
    <w:p>
      <w:pPr>
        <w:pStyle w:val="Heading3"/>
      </w:pPr>
      <w:r>
        <w:t xml:space="preserve">Laufende Studien und Ausblick</w:t>
      </w:r>
    </w:p>
    <w:p>
      <w:pPr>
        <w:pStyle w:val="FirstParagraph"/>
      </w:pPr>
      <w:r>
        <w:rPr>
          <w:iCs/>
          <w:i/>
        </w:rPr>
        <w:t xml:space="preserve">Gesichert:</w:t>
      </w:r>
      <w:r>
        <w:t xml:space="preserve"> </w:t>
      </w:r>
      <w:r>
        <w:t xml:space="preserve">Unter dem Namen LUM-201 wird Ibutamoren als Tablette für Kinder mit Wachstumshormon-Mangel entwickelt. Eine Phase-2-Studie mit 104 Kindern</w:t>
      </w:r>
      <w:r>
        <w:rPr>
          <w:rStyle w:val="FootnoteReference"/>
        </w:rPr>
        <w:footnoteReference w:id="1595"/>
      </w:r>
      <w:r>
        <w:t xml:space="preserve"> </w:t>
      </w:r>
      <w:r>
        <w:t xml:space="preserve">ist abgeschlossen; eine Phase-3-Studie mit geplant 150 Kindern rekrutiert seit 2026</w:t>
      </w:r>
      <w:r>
        <w:rPr>
          <w:rStyle w:val="FootnoteReference"/>
        </w:rPr>
        <w:footnoteReference w:id="1596"/>
      </w:r>
      <w:r>
        <w:t xml:space="preserve">, eine Langzeit-Sicherheitsstudie ist geplant</w:t>
      </w:r>
      <w:r>
        <w:rPr>
          <w:rStyle w:val="FootnoteReference"/>
        </w:rPr>
        <w:footnoteReference w:id="1597"/>
      </w:r>
      <w:r>
        <w:t xml:space="preserve">. Eine weitere Phase-2-Studie soll ab 2027 LUM-201 zusätzlich zu Semaglutid bei älteren Menschen mit Adipositas untersuchen, um Muskelverlust beim Abnehmen zu begrenzen</w:t>
      </w:r>
      <w:r>
        <w:rPr>
          <w:rStyle w:val="FootnoteReference"/>
        </w:rPr>
        <w:footnoteReference w:id="1598"/>
      </w:r>
      <w:r>
        <w:t xml:space="preserve">.</w:t>
      </w:r>
    </w:p>
    <w:p>
      <w:pPr>
        <w:pStyle w:val="BodyText"/>
      </w:pPr>
      <w:r>
        <w:rPr>
          <w:iCs/>
          <w:i/>
        </w:rPr>
        <w:t xml:space="preserve">Einschätzung des Autors:</w:t>
      </w:r>
      <w:r>
        <w:t xml:space="preserve"> </w:t>
      </w:r>
      <w:r>
        <w:t xml:space="preserve">Eine Zulassung für Kinder ist frühestens nach Abschluss der Phase-3-Studie denkbar, also nicht vor Ende der 2020er-Jahre. Eine Zulassung für ältere Erwachsene ist nach dem Herzinsuffizienz-Signal und den fehlenden Funktionsverbesserungen nicht in Sicht.</w:t>
      </w:r>
    </w:p>
    <w:bookmarkEnd w:id="1599"/>
    <w:bookmarkStart w:id="1600" w:name="fazit-33"/>
    <w:p>
      <w:pPr>
        <w:pStyle w:val="Heading3"/>
      </w:pPr>
      <w:r>
        <w:t xml:space="preserve">Fazit</w:t>
      </w:r>
    </w:p>
    <w:p>
      <w:pPr>
        <w:pStyle w:val="FirstParagraph"/>
      </w:pPr>
      <w:r>
        <w:t xml:space="preserve">Ibutamoren ist das am gründlichsten untersuchte oral wirksame Mittel, das die Wachstumshormon-Achse dauerhaft anregt. Die Studien zeigen das Grundmuster der ganzen Gruppe: IGF-1 und Magermasse steigen, aber Kraft, Funktion und Krankheitsverläufe – bei Alter, Hüftbruch und Alzheimer – verbesserten sich nicht. Dafür stiegen Blutzucker und Gewicht, und eine Studie bei älteren Menschen wurde wegen Herzinsuffizienz abgebrochen. Graumarkt-Produkte mit „MK-677“ sind häufig falsch deklariert.</w:t>
      </w:r>
    </w:p>
    <w:bookmarkEnd w:id="1600"/>
    <w:bookmarkEnd w:id="1601"/>
    <w:bookmarkEnd w:id="1602"/>
    <w:bookmarkStart w:id="1957" w:name="X148d9d501a69aec50e3f555280d48f839acb750"/>
    <w:p>
      <w:pPr>
        <w:pStyle w:val="Heading1"/>
      </w:pPr>
      <w:r>
        <w:t xml:space="preserve">Teil II · D – Gehirn, Schlaf und Langlebigkeit</w:t>
      </w:r>
    </w:p>
    <w:p>
      <w:pPr>
        <w:pStyle w:val="FirstParagraph"/>
      </w:pPr>
      <w:r>
        <w:t xml:space="preserve">Kaum eine Gruppe von Peptiden wird im Internet so vielversprechend beworben wie diese: Mittel für mehr Konzentration und Gedächtnis („Nootropika“), für tieferen Schlaf, für längere Telomere und „jüngere Mitochondrien“. Gemeinsam ist den zwölf Wirkstoffen dieses Abschnitts, dass sie auf Gehirn, Zellalterung oder Energiestoffwechsel zielen – und dass die Kluft zwischen Versprechen und Beweislage hier besonders groß ist.</w:t>
      </w:r>
    </w:p>
    <w:bookmarkStart w:id="1603" w:name="was-diese-peptide-verbindet-1"/>
    <w:p>
      <w:pPr>
        <w:pStyle w:val="Heading3"/>
      </w:pPr>
      <w:r>
        <w:t xml:space="preserve">Was diese Peptide verbindet</w:t>
      </w:r>
    </w:p>
    <w:p>
      <w:pPr>
        <w:pStyle w:val="FirstParagraph"/>
      </w:pPr>
      <w:r>
        <w:t xml:space="preserve">Die Gruppe lässt sich grob in drei Familien einteilen:</w:t>
      </w:r>
    </w:p>
    <w:p>
      <w:pPr>
        <w:numPr>
          <w:ilvl w:val="0"/>
          <w:numId w:val="1190"/>
        </w:numPr>
        <w:pStyle w:val="Compact"/>
      </w:pPr>
      <w:r>
        <w:rPr>
          <w:bCs/>
          <w:b/>
        </w:rPr>
        <w:t xml:space="preserve">Russische Neuropeptide und „Bioregulatoren“:</w:t>
      </w:r>
      <w:r>
        <w:t xml:space="preserve"> </w:t>
      </w:r>
      <w:r>
        <w:t xml:space="preserve">Semax, Selank, DSIP, Epitalon und Pinealon stammen aus der sowjetischen und russischen Forschung. Cerebrolysin, ein Peptidgemisch aus Schweinehirn, kommt aus Österreich, wird aber vor allem in Osteuropa und Asien verwendet.</w:t>
      </w:r>
    </w:p>
    <w:p>
      <w:pPr>
        <w:numPr>
          <w:ilvl w:val="0"/>
          <w:numId w:val="1190"/>
        </w:numPr>
        <w:pStyle w:val="Compact"/>
      </w:pPr>
      <w:r>
        <w:rPr>
          <w:bCs/>
          <w:b/>
        </w:rPr>
        <w:t xml:space="preserve">Mitochondriale Peptide:</w:t>
      </w:r>
      <w:r>
        <w:t xml:space="preserve"> </w:t>
      </w:r>
      <w:r>
        <w:t xml:space="preserve">MOTS-c und Humanin sind körpereigene Signalstoffe, die im Erbgut der Mitochondrien verschlüsselt sind. SS-31 (Elamipretid) ist ein künstliches Peptid, das gezielt an die Mitochondrien-Membran bindet.</w:t>
      </w:r>
    </w:p>
    <w:p>
      <w:pPr>
        <w:numPr>
          <w:ilvl w:val="0"/>
          <w:numId w:val="1190"/>
        </w:numPr>
        <w:pStyle w:val="Compact"/>
      </w:pPr>
      <w:r>
        <w:rPr>
          <w:bCs/>
          <w:b/>
        </w:rPr>
        <w:t xml:space="preserve">Experimentelle „Anti-Aging“-Moleküle:</w:t>
      </w:r>
      <w:r>
        <w:t xml:space="preserve"> </w:t>
      </w:r>
      <w:r>
        <w:t xml:space="preserve">Dihexa (ein Abkömmling von Angiotensin IV) und FOXO4-DRI (ein Senolytikum, das gealterte Zellen beseitigen soll) wurden nie am Menschen untersucht. Glutathion schließlich ist ein körpereigenes Tripeptid, das als Nahrungsergänzung und Infusion verkauft wird.</w:t>
      </w:r>
    </w:p>
    <w:bookmarkEnd w:id="1603"/>
    <w:bookmarkStart w:id="1604" w:name="die-nootropika--und-longevity-szene"/>
    <w:p>
      <w:pPr>
        <w:pStyle w:val="Heading3"/>
      </w:pPr>
      <w:r>
        <w:t xml:space="preserve">Die Nootropika- und Longevity-Szene</w:t>
      </w:r>
    </w:p>
    <w:p>
      <w:pPr>
        <w:pStyle w:val="FirstParagraph"/>
      </w:pPr>
      <w:r>
        <w:t xml:space="preserve">Wer im Internet nach diesen Stoffen sucht, landet schnell in Foren, bei Influencern und „Longevity-Kliniken“. Typisch sind drei Denkfehler, denen du in den folgenden Kapiteln immer wieder begegnen wirst:</w:t>
      </w:r>
    </w:p>
    <w:p>
      <w:pPr>
        <w:numPr>
          <w:ilvl w:val="0"/>
          <w:numId w:val="1191"/>
        </w:numPr>
        <w:pStyle w:val="Compact"/>
      </w:pPr>
      <w:r>
        <w:rPr>
          <w:bCs/>
          <w:b/>
        </w:rPr>
        <w:t xml:space="preserve">Vom Tier auf den Menschen:</w:t>
      </w:r>
      <w:r>
        <w:t xml:space="preserve"> </w:t>
      </w:r>
      <w:r>
        <w:t xml:space="preserve">Dass ein Peptid bei Mäusen das Gedächtnis oder die Lebensdauer verbessert, sagt wenig darüber, ob es beim Menschen wirkt. In der Schlaganfall- und Alzheimerforschung sind Hunderte im Tier erfolgreiche Wirkstoffe am Menschen gescheitert.</w:t>
      </w:r>
    </w:p>
    <w:p>
      <w:pPr>
        <w:numPr>
          <w:ilvl w:val="0"/>
          <w:numId w:val="1191"/>
        </w:numPr>
        <w:pStyle w:val="Compact"/>
      </w:pPr>
      <w:r>
        <w:rPr>
          <w:bCs/>
          <w:b/>
        </w:rPr>
        <w:t xml:space="preserve">Vom Spiegel auf die Spritze:</w:t>
      </w:r>
      <w:r>
        <w:t xml:space="preserve"> </w:t>
      </w:r>
      <w:r>
        <w:t xml:space="preserve">Dass Menschen mit niedrigen MOTS-c- oder Humanin-Spiegeln häufiger krank sind, beweist nicht, dass eine Zufuhr gesund macht.</w:t>
      </w:r>
    </w:p>
    <w:p>
      <w:pPr>
        <w:numPr>
          <w:ilvl w:val="0"/>
          <w:numId w:val="1191"/>
        </w:numPr>
        <w:pStyle w:val="Compact"/>
      </w:pPr>
      <w:r>
        <w:rPr>
          <w:bCs/>
          <w:b/>
        </w:rPr>
        <w:t xml:space="preserve">Vom Mechanismus auf den Nutzen:</w:t>
      </w:r>
      <w:r>
        <w:t xml:space="preserve"> </w:t>
      </w:r>
      <w:r>
        <w:t xml:space="preserve">Ein schlüssiger Mechanismus – „schützt die Mitochondrien“, „verlängert Telomere“ – ist keine Wirksamkeit. SS-31 ist dafür das beste Beispiel: Es wurde in mehreren großen Studien geprüft und verfehlte bei Herzinfarkt, Herzschwäche und mitochondrialer Myopathie die Hauptziele.</w:t>
      </w:r>
    </w:p>
    <w:p>
      <w:pPr>
        <w:pStyle w:val="FirstParagraph"/>
      </w:pPr>
      <w:r>
        <w:t xml:space="preserve">Hinzu kommt, dass fast alle diese Stoffe im Graumarkt als „Research Peptides“ verkauft werden – ohne Qualitätskontrolle (siehe Teil I und Teil IV).</w:t>
      </w:r>
    </w:p>
    <w:bookmarkEnd w:id="1604"/>
    <w:bookmarkStart w:id="1605" w:name="Xedf599180219294ae94c554e13112a584863f38"/>
    <w:p>
      <w:pPr>
        <w:pStyle w:val="Heading3"/>
      </w:pPr>
      <w:r>
        <w:t xml:space="preserve">Russische Peptidforschung und ihre Publikationslage</w:t>
      </w:r>
    </w:p>
    <w:p>
      <w:pPr>
        <w:pStyle w:val="FirstParagraph"/>
      </w:pPr>
      <w:r>
        <w:t xml:space="preserve">Ein großer Teil der Literatur zu Semax, Selank, DSIP, Epitalon und Pinealon stammt aus wenigen Instituten in Moskau und St. Petersburg. Das ist kein Grund, die Forschung pauschal abzulehnen – aber ein Grund für Vorsicht:</w:t>
      </w:r>
    </w:p>
    <w:p>
      <w:pPr>
        <w:numPr>
          <w:ilvl w:val="0"/>
          <w:numId w:val="1192"/>
        </w:numPr>
        <w:pStyle w:val="Compact"/>
      </w:pPr>
      <w:r>
        <w:rPr>
          <w:bCs/>
          <w:b/>
        </w:rPr>
        <w:t xml:space="preserve">Zulassung ohne internationale Standards:</w:t>
      </w:r>
      <w:r>
        <w:t xml:space="preserve"> </w:t>
      </w:r>
      <w:r>
        <w:t xml:space="preserve">Einige Peptide sind in Russland als Arzneimittel registriert, ohne dass große, verblindete, vorab registrierte Studien veröffentlicht wurden, wie sie EU oder USA verlangen.</w:t>
      </w:r>
    </w:p>
    <w:p>
      <w:pPr>
        <w:numPr>
          <w:ilvl w:val="0"/>
          <w:numId w:val="1192"/>
        </w:numPr>
        <w:pStyle w:val="Compact"/>
      </w:pPr>
      <w:r>
        <w:rPr>
          <w:bCs/>
          <w:b/>
        </w:rPr>
        <w:t xml:space="preserve">Kleine, unkontrollierte Studien:</w:t>
      </w:r>
      <w:r>
        <w:t xml:space="preserve"> </w:t>
      </w:r>
      <w:r>
        <w:t xml:space="preserve">Viele klinische Arbeiten haben keine Placebogruppe, keine Zufallszuteilung oder nennen in der Kurzfassung keine Zahlen.</w:t>
      </w:r>
    </w:p>
    <w:p>
      <w:pPr>
        <w:numPr>
          <w:ilvl w:val="0"/>
          <w:numId w:val="1192"/>
        </w:numPr>
        <w:pStyle w:val="Compact"/>
      </w:pPr>
      <w:r>
        <w:rPr>
          <w:bCs/>
          <w:b/>
        </w:rPr>
        <w:t xml:space="preserve">Sprache und Zugang:</w:t>
      </w:r>
      <w:r>
        <w:t xml:space="preserve"> </w:t>
      </w:r>
      <w:r>
        <w:t xml:space="preserve">Viele Arbeiten erscheinen nur auf Russisch, oft in Zeitschriften, in denen die Autorengruppen selbst häufig publizieren.</w:t>
      </w:r>
    </w:p>
    <w:p>
      <w:pPr>
        <w:numPr>
          <w:ilvl w:val="0"/>
          <w:numId w:val="1192"/>
        </w:numPr>
        <w:pStyle w:val="Compact"/>
      </w:pPr>
      <w:r>
        <w:rPr>
          <w:bCs/>
          <w:b/>
        </w:rPr>
        <w:t xml:space="preserve">Fehlende Wiederholung:</w:t>
      </w:r>
      <w:r>
        <w:t xml:space="preserve"> </w:t>
      </w:r>
      <w:r>
        <w:t xml:space="preserve">Unabhängige Gruppen außerhalb Russlands haben die Ergebnisse selten nachgeprüft – und wenn, dann oft mit ernüchterndem Ergebnis, wie bei DSIP.</w:t>
      </w:r>
    </w:p>
    <w:p>
      <w:pPr>
        <w:numPr>
          <w:ilvl w:val="0"/>
          <w:numId w:val="1192"/>
        </w:numPr>
        <w:pStyle w:val="Compact"/>
      </w:pPr>
      <w:r>
        <w:rPr>
          <w:bCs/>
          <w:b/>
        </w:rPr>
        <w:t xml:space="preserve">Keine Registereinträge:</w:t>
      </w:r>
      <w:r>
        <w:t xml:space="preserve"> </w:t>
      </w:r>
      <w:r>
        <w:t xml:space="preserve">Für Semax, Selank, DSIP und Pinealon findet sich auf ClinicalTrials.gov keine einzige Studie.</w:t>
      </w:r>
    </w:p>
    <w:bookmarkEnd w:id="1605"/>
    <w:bookmarkStart w:id="1606" w:name="überblick-2"/>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ACTH-Fragment; kleine Schlaganfallstudien</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Angstlöser; keine Placebostudien</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w:t>
            </w:r>
          </w:p>
        </w:tc>
        <w:tc>
          <w:tcPr/>
          <w:p>
            <w:pPr>
              <w:pStyle w:val="Compact"/>
              <w:jc w:val="left"/>
            </w:pPr>
            <w:r>
              <w:t xml:space="preserve">viele RCTs, Cochrane zurückhaltend</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w:t>
            </w:r>
          </w:p>
        </w:tc>
        <w:tc>
          <w:tcPr/>
          <w:p>
            <w:pPr>
              <w:pStyle w:val="Compact"/>
              <w:jc w:val="left"/>
            </w:pPr>
            <w:r>
              <w:t xml:space="preserve">nur Tierdaten; Krebsfrage offen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w:t>
            </w:r>
          </w:p>
        </w:tc>
        <w:tc>
          <w:tcPr/>
          <w:p>
            <w:pPr>
              <w:pStyle w:val="Compact"/>
              <w:jc w:val="left"/>
            </w:pPr>
            <w:r>
              <w:t xml:space="preserve">„Schlafpeptid“ ohne bestätigten Nutzen</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Telomer-Versprechen nur im Labor</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kleine russische Beobachtungen</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w:t>
            </w:r>
          </w:p>
        </w:tc>
        <w:tc>
          <w:tcPr/>
          <w:p>
            <w:pPr>
              <w:pStyle w:val="Compact"/>
              <w:jc w:val="left"/>
            </w:pPr>
            <w:r>
              <w:t xml:space="preserve">Mäuse ja, Menschen nur Spiegel</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w:t>
            </w:r>
          </w:p>
        </w:tc>
        <w:tc>
          <w:tcPr/>
          <w:p>
            <w:pPr>
              <w:pStyle w:val="Compact"/>
              <w:jc w:val="left"/>
            </w:pPr>
            <w:r>
              <w:t xml:space="preserve">Biomarker; im Tier tumorfördernd</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USA (Barth-Syndrom)</w:t>
            </w:r>
          </w:p>
        </w:tc>
        <w:tc>
          <w:tcPr/>
          <w:p>
            <w:pPr>
              <w:pStyle w:val="Compact"/>
              <w:jc w:val="left"/>
            </w:pPr>
            <w:r>
              <w:t xml:space="preserve">große Studien meist negativ</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w:t>
            </w:r>
          </w:p>
        </w:tc>
        <w:tc>
          <w:tcPr/>
          <w:p>
            <w:pPr>
              <w:pStyle w:val="Compact"/>
              <w:jc w:val="left"/>
            </w:pPr>
            <w:r>
              <w:t xml:space="preserve">Senolytikum, nur Tierdaten</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w:t>
            </w:r>
          </w:p>
        </w:tc>
        <w:tc>
          <w:tcPr/>
          <w:p>
            <w:pPr>
              <w:pStyle w:val="Compact"/>
              <w:jc w:val="left"/>
            </w:pPr>
            <w:r>
              <w:t xml:space="preserve">Infusionen zur Hautaufhellung riskant</w:t>
            </w:r>
          </w:p>
        </w:tc>
      </w:tr>
    </w:tbl>
    <w:bookmarkEnd w:id="1606"/>
    <w:bookmarkStart w:id="1607" w:name="lesehinweis-3"/>
    <w:p>
      <w:pPr>
        <w:pStyle w:val="Heading3"/>
      </w:pPr>
      <w:r>
        <w:t xml:space="preserve">Lesehinweis</w:t>
      </w:r>
    </w:p>
    <w:p>
      <w:pPr>
        <w:pStyle w:val="FirstParagraph"/>
      </w:pPr>
      <w:r>
        <w:t xml:space="preserve">Die Kapitel folgen dem einheitlichen Aufbau dieses Buches. Achte in jedem Kapitel besonders auf den Abschnitt „Studien am Menschen“ und dort auf die Größenordnung der Studienlage: Bei neun der zwölf Peptide gibt es entweder keine Studie, in der Menschen den Wirkstoff erhielten, oder nur sehr kleine, methodisch schwache Untersuchungen. Rechtslage und FDA-Status haben sich 2026 mehrfach geändert; die Angaben entsprechen dem Stand Oktober 2026 und sollten aktuell geprüft werden.</w:t>
      </w:r>
    </w:p>
    <w:bookmarkEnd w:id="1607"/>
    <w:bookmarkStart w:id="1636" w:name="semax"/>
    <w:p>
      <w:pPr>
        <w:pStyle w:val="Heading2"/>
      </w:pPr>
      <w:r>
        <w:t xml:space="preserve">Semax</w:t>
      </w:r>
    </w:p>
    <w:bookmarkStart w:id="1608" w:name="steckbrief-34"/>
    <w:p>
      <w:pPr>
        <w:pStyle w:val="Heading3"/>
      </w:pPr>
      <w:r>
        <w:t xml:space="preserve">Steckbrief</w:t>
      </w:r>
    </w:p>
    <w:p>
      <w:pPr>
        <w:numPr>
          <w:ilvl w:val="0"/>
          <w:numId w:val="1193"/>
        </w:numPr>
        <w:pStyle w:val="Compact"/>
      </w:pPr>
      <w:r>
        <w:rPr>
          <w:bCs/>
          <w:b/>
        </w:rPr>
        <w:t xml:space="preserve">Art und Struktur:</w:t>
      </w:r>
      <w:r>
        <w:t xml:space="preserve"> </w:t>
      </w:r>
      <w:r>
        <w:t xml:space="preserve">synthetisches Heptapeptid (sieben Aminosäuren: Met-Glu-His-Phe-Pro-Gly-Pro). Die ersten vier Bausteine entsprechen einem Bruchstück des Stresshormons ACTH (Adrenocorticotropes Hormon, Abschnitt 4–7), angehängt ist das Tripeptid Pro-Gly-Pro, das den Abbau verlangsamen soll.</w:t>
      </w:r>
    </w:p>
    <w:p>
      <w:pPr>
        <w:numPr>
          <w:ilvl w:val="0"/>
          <w:numId w:val="1193"/>
        </w:numPr>
        <w:pStyle w:val="Compact"/>
      </w:pPr>
      <w:r>
        <w:rPr>
          <w:bCs/>
          <w:b/>
        </w:rPr>
        <w:t xml:space="preserve">Herkunft:</w:t>
      </w:r>
      <w:r>
        <w:t xml:space="preserve"> </w:t>
      </w:r>
      <w:r>
        <w:t xml:space="preserve">entwickelt ab den 1980er-Jahren am Institut für Molekulargenetik der Russischen Akademie der Wissenschaften in Moskau.</w:t>
      </w:r>
    </w:p>
    <w:p>
      <w:pPr>
        <w:numPr>
          <w:ilvl w:val="0"/>
          <w:numId w:val="1193"/>
        </w:numPr>
        <w:pStyle w:val="Compact"/>
      </w:pPr>
      <w:r>
        <w:rPr>
          <w:bCs/>
          <w:b/>
        </w:rPr>
        <w:t xml:space="preserve">Wirkprinzip:</w:t>
      </w:r>
      <w:r>
        <w:t xml:space="preserve"> </w:t>
      </w:r>
      <w:r>
        <w:t xml:space="preserve">soll die Bildung von Nervenwachstumsfaktoren (vor allem BDNF) anregen und Nervenzellen bei Sauerstoffmangel schützen; anders als ACTH regt es die Nebenniere nicht zur Cortisol-Ausschüttung an. Verabreicht wird es als Nasentropfen.</w:t>
      </w:r>
    </w:p>
    <w:p>
      <w:pPr>
        <w:numPr>
          <w:ilvl w:val="0"/>
          <w:numId w:val="1193"/>
        </w:numPr>
        <w:pStyle w:val="Compact"/>
      </w:pPr>
      <w:r>
        <w:rPr>
          <w:bCs/>
          <w:b/>
        </w:rPr>
        <w:t xml:space="preserve">Zulassung EU:</w:t>
      </w:r>
      <w:r>
        <w:t xml:space="preserve"> </w:t>
      </w:r>
      <w:r>
        <w:t xml:space="preserve">nein.</w:t>
      </w:r>
    </w:p>
    <w:p>
      <w:pPr>
        <w:numPr>
          <w:ilvl w:val="0"/>
          <w:numId w:val="1193"/>
        </w:numPr>
        <w:pStyle w:val="Compact"/>
      </w:pPr>
      <w:r>
        <w:rPr>
          <w:bCs/>
          <w:b/>
        </w:rPr>
        <w:t xml:space="preserve">Zulassung USA:</w:t>
      </w:r>
      <w:r>
        <w:t xml:space="preserve"> </w:t>
      </w:r>
      <w:r>
        <w:t xml:space="preserve">nein. Semax stand ab 2023 auf der FDA-Liste von Substanzen mit möglichen Sicherheitsrisiken für Apotheken-Zubereitungen („Kategorie 2“), wurde im April 2026 davon gestrichen und im Juli 2026 vom Beratungsausschuss PCAC knapp für die Aufnahme in die Liste zulässiger Rezeptursubstanzen empfohlen. Eine Zulassung als Arzneimittel ist das nicht.</w:t>
      </w:r>
    </w:p>
    <w:p>
      <w:pPr>
        <w:numPr>
          <w:ilvl w:val="0"/>
          <w:numId w:val="1193"/>
        </w:numPr>
        <w:pStyle w:val="Compact"/>
      </w:pPr>
      <w:r>
        <w:rPr>
          <w:bCs/>
          <w:b/>
        </w:rPr>
        <w:t xml:space="preserve">Russland und einige Nachbarstaaten:</w:t>
      </w:r>
      <w:r>
        <w:t xml:space="preserve"> </w:t>
      </w:r>
      <w:r>
        <w:t xml:space="preserve">als Arzneimittel registriert (Nasentropfen; 0,1-%-Lösung als Nootropikum, 1-%-Lösung für den Schlaganfall).</w:t>
      </w:r>
    </w:p>
    <w:p>
      <w:pPr>
        <w:numPr>
          <w:ilvl w:val="0"/>
          <w:numId w:val="1193"/>
        </w:numPr>
        <w:pStyle w:val="Compact"/>
      </w:pPr>
      <w:r>
        <w:rPr>
          <w:bCs/>
          <w:b/>
        </w:rPr>
        <w:t xml:space="preserve">WADA:</w:t>
      </w:r>
      <w:r>
        <w:t xml:space="preserve"> </w:t>
      </w:r>
      <w:r>
        <w:t xml:space="preserve">nicht namentlich gelistet. Da Semax in Russland zugelassen ist, fällt es nicht eindeutig unter die Sammelkategorie S0 für nicht zugelassene Substanzen.</w:t>
      </w:r>
    </w:p>
    <w:p>
      <w:pPr>
        <w:numPr>
          <w:ilvl w:val="0"/>
          <w:numId w:val="1193"/>
        </w:numPr>
        <w:pStyle w:val="Compact"/>
      </w:pPr>
      <w:r>
        <w:rPr>
          <w:bCs/>
          <w:b/>
        </w:rPr>
        <w:t xml:space="preserve">Evidenzstufe:</w:t>
      </w:r>
      <w:r>
        <w:t xml:space="preserve"> </w:t>
      </w:r>
      <w:r>
        <w:rPr>
          <w:bCs/>
          <w:b/>
        </w:rPr>
        <w:t xml:space="preserve">C</w:t>
      </w:r>
      <w:r>
        <w:t xml:space="preserve"> </w:t>
      </w:r>
      <w:r>
        <w:t xml:space="preserve">– wenige kleine, überwiegend nicht randomisierte Studien aus russischen Zentren.</w:t>
      </w:r>
    </w:p>
    <w:bookmarkEnd w:id="1608"/>
    <w:bookmarkStart w:id="1611" w:name="wie-es-wirken-soll-34"/>
    <w:p>
      <w:pPr>
        <w:pStyle w:val="Heading3"/>
      </w:pPr>
      <w:r>
        <w:t xml:space="preserve">Wie es wirken soll</w:t>
      </w:r>
    </w:p>
    <w:p>
      <w:pPr>
        <w:pStyle w:val="FirstParagraph"/>
      </w:pPr>
      <w:r>
        <w:t xml:space="preserve">ACTH ist ein Hormon der Hirnanhangdrüse, das die Nebenniere zur Cortisolbildung anregt. Schon in den 1970er-Jahren fiel auf, dass kurze Bruchstücke dieses Hormons – ohne die Wirkung auf die Nebenniere – bei Tieren Aufmerksamkeit und Lernen beeinflussen. Solche Fragmente werden im Körper aber in Minuten abgebaut. Die Entwickler von Semax verlängerten deshalb das Bruchstück ACTH(4–7) um die Sequenz Pro-Gly-Pro, die gegen eiweißspaltende Enzyme stabiler ist.</w:t>
      </w:r>
    </w:p>
    <w:p>
      <w:pPr>
        <w:pStyle w:val="BodyText"/>
      </w:pPr>
      <w:r>
        <w:t xml:space="preserve">Für den Wirkmechanismus stützen sich die Entwickler vor allem auf Tierdaten:</w:t>
      </w:r>
    </w:p>
    <w:p>
      <w:pPr>
        <w:numPr>
          <w:ilvl w:val="0"/>
          <w:numId w:val="1194"/>
        </w:numPr>
        <w:pStyle w:val="Compact"/>
      </w:pPr>
      <w:r>
        <w:rPr>
          <w:bCs/>
          <w:b/>
        </w:rPr>
        <w:t xml:space="preserve">Nervenwachstumsfaktoren:</w:t>
      </w:r>
      <w:r>
        <w:t xml:space="preserve"> </w:t>
      </w:r>
      <w:r>
        <w:t xml:space="preserve">Bei Ratten fanden sich spezifische Bindungsstellen für markiertes Semax im basalen Vorderhirn; nach Gabe in die Nase stieg dort innerhalb von drei Stunden der Gehalt an BDNF (Brain-Derived Neurotrophic Factor), einem Eiweiß, das die Anpassungsfähigkeit von Nervenverbindungen fördert. Im Kleinhirn war das nicht der Fall</w:t>
      </w:r>
      <w:r>
        <w:rPr>
          <w:rStyle w:val="FootnoteReference"/>
        </w:rPr>
        <w:footnoteReference w:id="1609"/>
      </w:r>
      <w:r>
        <w:t xml:space="preserve">.</w:t>
      </w:r>
    </w:p>
    <w:p>
      <w:pPr>
        <w:numPr>
          <w:ilvl w:val="0"/>
          <w:numId w:val="1194"/>
        </w:numPr>
        <w:pStyle w:val="Compact"/>
      </w:pPr>
      <w:r>
        <w:rPr>
          <w:bCs/>
          <w:b/>
        </w:rPr>
        <w:t xml:space="preserve">Genaktivität nach Schlaganfall:</w:t>
      </w:r>
      <w:r>
        <w:t xml:space="preserve"> </w:t>
      </w:r>
      <w:r>
        <w:t xml:space="preserve">In einem Schlaganfallmodell bei Ratten veränderte Semax die Aktivität zahlreicher Gene, vor allem solcher des Immunsystems und der Blutgefäßbildung</w:t>
      </w:r>
      <w:r>
        <w:rPr>
          <w:rStyle w:val="FootnoteReference"/>
        </w:rPr>
        <w:footnoteReference w:id="1610"/>
      </w:r>
      <w:r>
        <w:t xml:space="preserve">.</w:t>
      </w:r>
    </w:p>
    <w:p>
      <w:pPr>
        <w:pStyle w:val="FirstParagraph"/>
      </w:pPr>
      <w:r>
        <w:t xml:space="preserve">Ein eigener Rezeptor für Semax ist nicht identifiziert. Ob die bei Ratten gemessenen BDNF-Anstiege beim Menschen in vergleichbarer Form auftreten und ob sie für einen Nutzen ausreichen, ist offen.</w:t>
      </w:r>
    </w:p>
    <w:bookmarkEnd w:id="1611"/>
    <w:bookmarkStart w:id="1623" w:name="studien-am-menschen-3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 4 als Humanstudien klassifizierte Veröffentlichungen; insgesamt führt PubMed rund 210 Arbeiten mit „Semax“ im Titel oder Abstract, ganz überwiegend Tier- und Laborstudien. Auf ClinicalTrials.gov ist keine einzige Studie registriert. Bei einer gezielten Nachsuche fanden sich einige weitere kleine klinische Arbeiten. Praktisch alle stammen aus russischen Einrichtungen, viele aus dem Umfeld der Entwickler, und sind nur auf Russisch mit englischer Kurzfassung erschienen.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Gusev 1997, PMID 11517472</w:t>
            </w:r>
          </w:p>
        </w:tc>
        <w:tc>
          <w:tcPr/>
          <w:p>
            <w:pPr>
              <w:pStyle w:val="Compact"/>
              <w:jc w:val="left"/>
            </w:pPr>
            <w:r>
              <w:t xml:space="preserve">30 Personen mit akutem ischämischem Schlaganfall, Vergleich mit 80 Personen unter Standardtherapie, nicht randomisiert</w:t>
            </w:r>
          </w:p>
        </w:tc>
        <w:tc>
          <w:tcPr/>
          <w:p>
            <w:pPr>
              <w:pStyle w:val="Compact"/>
              <w:jc w:val="left"/>
            </w:pPr>
            <w:r>
              <w:t xml:space="preserve">5–10 Tage Behandlung</w:t>
            </w:r>
          </w:p>
        </w:tc>
        <w:tc>
          <w:tcPr/>
          <w:p>
            <w:pPr>
              <w:pStyle w:val="Compact"/>
              <w:jc w:val="left"/>
            </w:pPr>
            <w:r>
              <w:t xml:space="preserve">„gewisser Einfluss“ auf die Erholungsgeschwindigkeit neurologischer Ausfälle, keine Effektgrößen im Abstract</w:t>
            </w:r>
          </w:p>
        </w:tc>
      </w:tr>
      <w:tr>
        <w:tc>
          <w:tcPr/>
          <w:p>
            <w:pPr>
              <w:pStyle w:val="Compact"/>
              <w:jc w:val="left"/>
            </w:pPr>
            <w:r>
              <w:t xml:space="preserve">Gusev 2005, PMID 15792140</w:t>
            </w:r>
          </w:p>
        </w:tc>
        <w:tc>
          <w:tcPr/>
          <w:p>
            <w:pPr>
              <w:pStyle w:val="Compact"/>
              <w:jc w:val="left"/>
            </w:pPr>
            <w:r>
              <w:t xml:space="preserve">187 Personen mit chronischer Durchblutungsstörung des Gehirns</w:t>
            </w:r>
          </w:p>
        </w:tc>
        <w:tc>
          <w:tcPr/>
          <w:p>
            <w:pPr>
              <w:pStyle w:val="Compact"/>
              <w:jc w:val="left"/>
            </w:pPr>
            <w:r>
              <w:t xml:space="preserve">nicht angegeben</w:t>
            </w:r>
          </w:p>
        </w:tc>
        <w:tc>
          <w:tcPr/>
          <w:p>
            <w:pPr>
              <w:pStyle w:val="Compact"/>
              <w:jc w:val="left"/>
            </w:pPr>
            <w:r>
              <w:t xml:space="preserve">laut Autoren klinische Besserung und weniger Schlaganfälle; Design und Zahlen nicht im Abstract</w:t>
            </w:r>
          </w:p>
        </w:tc>
      </w:tr>
      <w:tr>
        <w:tc>
          <w:tcPr/>
          <w:p>
            <w:pPr>
              <w:pStyle w:val="Compact"/>
              <w:jc w:val="left"/>
            </w:pPr>
            <w:r>
              <w:t xml:space="preserve">Gusev 2018, PMID 29798983</w:t>
            </w:r>
          </w:p>
        </w:tc>
        <w:tc>
          <w:tcPr/>
          <w:p>
            <w:pPr>
              <w:pStyle w:val="Compact"/>
              <w:jc w:val="left"/>
            </w:pPr>
            <w:r>
              <w:t xml:space="preserve">110 Personen nach Schlaganfall, Reha früh oder spät, jeweils mit oder ohne Semax</w:t>
            </w:r>
          </w:p>
        </w:tc>
        <w:tc>
          <w:tcPr/>
          <w:p>
            <w:pPr>
              <w:pStyle w:val="Compact"/>
              <w:jc w:val="left"/>
            </w:pPr>
            <w:r>
              <w:t xml:space="preserve">rund 5 Monate</w:t>
            </w:r>
          </w:p>
        </w:tc>
        <w:tc>
          <w:tcPr/>
          <w:p>
            <w:pPr>
              <w:pStyle w:val="Compact"/>
              <w:jc w:val="left"/>
            </w:pPr>
            <w:r>
              <w:t xml:space="preserve">höherer BDNF-Spiegel im Blut, schnellere Besserung im Barthel-Index</w:t>
            </w:r>
          </w:p>
        </w:tc>
      </w:tr>
      <w:tr>
        <w:tc>
          <w:tcPr/>
          <w:p>
            <w:pPr>
              <w:pStyle w:val="Compact"/>
              <w:jc w:val="left"/>
            </w:pPr>
            <w:r>
              <w:t xml:space="preserve">Serdiuk 2007, PMID 18379501</w:t>
            </w:r>
          </w:p>
        </w:tc>
        <w:tc>
          <w:tcPr/>
          <w:p>
            <w:pPr>
              <w:pStyle w:val="Compact"/>
              <w:jc w:val="left"/>
            </w:pPr>
            <w:r>
              <w:t xml:space="preserve">27 Personen mit Motoneuronerkrankung (z. B. ALS), offen</w:t>
            </w:r>
          </w:p>
        </w:tc>
        <w:tc>
          <w:tcPr/>
          <w:p>
            <w:pPr>
              <w:pStyle w:val="Compact"/>
              <w:jc w:val="left"/>
            </w:pPr>
            <w:r>
              <w:t xml:space="preserve">48 Tage</w:t>
            </w:r>
          </w:p>
        </w:tc>
        <w:tc>
          <w:tcPr/>
          <w:p>
            <w:pPr>
              <w:pStyle w:val="Compact"/>
              <w:jc w:val="left"/>
            </w:pPr>
            <w:r>
              <w:t xml:space="preserve">kein Einfluss auf Krankheitsverlauf und Muskelbefunde; bessere Lebensqualitätswerte</w:t>
            </w:r>
          </w:p>
        </w:tc>
      </w:tr>
      <w:tr>
        <w:tc>
          <w:tcPr/>
          <w:p>
            <w:pPr>
              <w:pStyle w:val="Compact"/>
              <w:jc w:val="left"/>
            </w:pPr>
            <w:r>
              <w:t xml:space="preserve">Polunin 2000, PMID 10741256</w:t>
            </w:r>
          </w:p>
        </w:tc>
        <w:tc>
          <w:tcPr/>
          <w:p>
            <w:pPr>
              <w:pStyle w:val="Compact"/>
              <w:jc w:val="left"/>
            </w:pPr>
            <w:r>
              <w:t xml:space="preserve">Personen mit Sehnerverkrankungen, drei Gruppen inkl. Kontrolle</w:t>
            </w:r>
          </w:p>
        </w:tc>
        <w:tc>
          <w:tcPr/>
          <w:p>
            <w:pPr>
              <w:pStyle w:val="Compact"/>
              <w:jc w:val="left"/>
            </w:pPr>
            <w:r>
              <w:t xml:space="preserve">nicht angegeben</w:t>
            </w:r>
          </w:p>
        </w:tc>
        <w:tc>
          <w:tcPr/>
          <w:p>
            <w:pPr>
              <w:pStyle w:val="Compact"/>
              <w:jc w:val="left"/>
            </w:pPr>
            <w:r>
              <w:t xml:space="preserve">laut Autoren bessere Sehschärfe und Gesichtsfeld; keine Zahlen im Abstract</w:t>
            </w:r>
          </w:p>
        </w:tc>
      </w:tr>
      <w:tr>
        <w:tc>
          <w:tcPr/>
          <w:p>
            <w:pPr>
              <w:pStyle w:val="Compact"/>
              <w:jc w:val="left"/>
            </w:pPr>
            <w:r>
              <w:t xml:space="preserve">Lebedeva 2018, PMID 30225715</w:t>
            </w:r>
          </w:p>
        </w:tc>
        <w:tc>
          <w:tcPr/>
          <w:p>
            <w:pPr>
              <w:pStyle w:val="Compact"/>
              <w:jc w:val="left"/>
            </w:pPr>
            <w:r>
              <w:t xml:space="preserve">24 Gesunde, Semax (14) oder Placebo (10)</w:t>
            </w:r>
          </w:p>
        </w:tc>
        <w:tc>
          <w:tcPr/>
          <w:p>
            <w:pPr>
              <w:pStyle w:val="Compact"/>
              <w:jc w:val="left"/>
            </w:pPr>
            <w:r>
              <w:t xml:space="preserve">einmalige Gabe, Messung nach 20 Minuten</w:t>
            </w:r>
          </w:p>
        </w:tc>
        <w:tc>
          <w:tcPr/>
          <w:p>
            <w:pPr>
              <w:pStyle w:val="Compact"/>
              <w:jc w:val="left"/>
            </w:pPr>
            <w:r>
              <w:t xml:space="preserve">veränderte Ruhe-Netzwerkaktivität im funktionellen MRT</w:t>
            </w:r>
          </w:p>
        </w:tc>
      </w:tr>
    </w:tbl>
    <w:bookmarkStart w:id="1615" w:name="schlaganfall"/>
    <w:p>
      <w:pPr>
        <w:pStyle w:val="Heading4"/>
      </w:pPr>
      <w:r>
        <w:t xml:space="preserve">Schlaganfall</w:t>
      </w:r>
    </w:p>
    <w:p>
      <w:pPr>
        <w:pStyle w:val="FirstParagraph"/>
      </w:pPr>
      <w:r>
        <w:t xml:space="preserve">Der Schlaganfall ist das Hauptanwendungsgebiet, für das Semax in Russland registriert ist. Die Grundlage dafür ist dünn. In der ersten klinischen Studie erhielten 30 Personen mit akutem Schlaganfall Semax zusätzlich zur Standardbehandlung; als Vergleich dienten 80 Personen, die nur die Standardbehandlung bekamen. Die Gruppen wurden nicht per Los zugeteilt. Die Autoren berichten über einen „gewissen Einfluss“ auf die Rückbildung der Ausfälle, vor allem der Lähmungen</w:t>
      </w:r>
      <w:r>
        <w:rPr>
          <w:rStyle w:val="FootnoteReference"/>
        </w:rPr>
        <w:footnoteReference w:id="1612"/>
      </w:r>
      <w:r>
        <w:t xml:space="preserve">. Eine Folgearbeit derselben Gruppe untersuchte Entzündungsbotenstoffe im Blut und war ausdrücklich eine rückblickende Auswertung</w:t>
      </w:r>
      <w:r>
        <w:rPr>
          <w:rStyle w:val="FootnoteReference"/>
        </w:rPr>
        <w:footnoteReference w:id="1613"/>
      </w:r>
      <w:r>
        <w:t xml:space="preserve">.</w:t>
      </w:r>
    </w:p>
    <w:p>
      <w:pPr>
        <w:pStyle w:val="BodyText"/>
      </w:pPr>
      <w:r>
        <w:t xml:space="preserve">Die bisher größte Studie mit 110 Personen nach einem Schlaganfall verglich frühe und späte Rehabilitation, jeweils mit oder ohne Semax. Unter Semax stieg der BDNF-Spiegel im Blutplasma und blieb während der Beobachtung erhöht; der Barthel-Index, ein Maß für die Selbstständigkeit im Alltag, besserte sich schneller</w:t>
      </w:r>
      <w:r>
        <w:rPr>
          <w:rStyle w:val="FootnoteReference"/>
        </w:rPr>
        <w:footnoteReference w:id="1614"/>
      </w:r>
      <w:r>
        <w:t xml:space="preserve">. Das Abstract nennt weder eine Zufallszuteilung noch eine Verblindung, und die Unterschiede zwischen den Gruppen werden nicht als Effektgröße angegeben. Für einen Nutzennachweis reicht das nicht.</w:t>
      </w:r>
    </w:p>
    <w:p>
      <w:pPr>
        <w:pStyle w:val="BodyText"/>
      </w:pPr>
      <w:r>
        <w:t xml:space="preserve">Zum Vergleich: Bei anderen Wirkstoffen, die „Nervenzellen schützen“ sollten, sind beim Schlaganfall in großen, verblindeten internationalen Studien bisher fast alle gescheitert. Eine solche Studie gibt es für Semax nicht.</w:t>
      </w:r>
    </w:p>
    <w:bookmarkEnd w:id="1615"/>
    <w:bookmarkStart w:id="1620" w:name="andere-anwendungen-1"/>
    <w:p>
      <w:pPr>
        <w:pStyle w:val="Heading4"/>
      </w:pPr>
      <w:r>
        <w:t xml:space="preserve">Andere Anwendungen</w:t>
      </w:r>
    </w:p>
    <w:p>
      <w:pPr>
        <w:numPr>
          <w:ilvl w:val="0"/>
          <w:numId w:val="1195"/>
        </w:numPr>
        <w:pStyle w:val="Compact"/>
      </w:pPr>
      <w:r>
        <w:rPr>
          <w:bCs/>
          <w:b/>
        </w:rPr>
        <w:t xml:space="preserve">Motoneuronerkrankungen:</w:t>
      </w:r>
      <w:r>
        <w:t xml:space="preserve"> </w:t>
      </w:r>
      <w:r>
        <w:t xml:space="preserve">In einer offenen Studie mit 27 Personen veränderte Semax weder den Verlauf der Nervenschädigung im Elektromyogramm noch die klinischen Bewertungsskalen. Die Lebensqualitätswerte verbesserten sich, vor allem Stimmung und Motivation, am stärksten am zehnten Tag</w:t>
      </w:r>
      <w:r>
        <w:rPr>
          <w:rStyle w:val="FootnoteReference"/>
        </w:rPr>
        <w:footnoteReference w:id="1616"/>
      </w:r>
      <w:r>
        <w:t xml:space="preserve">. Ohne Placebogruppe lässt sich ein Erwartungseffekt nicht ausschließen.</w:t>
      </w:r>
    </w:p>
    <w:p>
      <w:pPr>
        <w:numPr>
          <w:ilvl w:val="0"/>
          <w:numId w:val="1195"/>
        </w:numPr>
        <w:pStyle w:val="Compact"/>
      </w:pPr>
      <w:r>
        <w:rPr>
          <w:bCs/>
          <w:b/>
        </w:rPr>
        <w:t xml:space="preserve">Sehnerverkrankungen:</w:t>
      </w:r>
      <w:r>
        <w:t xml:space="preserve"> </w:t>
      </w:r>
      <w:r>
        <w:t xml:space="preserve">Eine kontrollierte Studie berichtet über bessere Sehfunktionen bei Zusatzbehandlung mit Semax, ohne Zahlen im Abstract</w:t>
      </w:r>
      <w:r>
        <w:rPr>
          <w:rStyle w:val="FootnoteReference"/>
        </w:rPr>
        <w:footnoteReference w:id="1617"/>
      </w:r>
      <w:r>
        <w:t xml:space="preserve">.</w:t>
      </w:r>
    </w:p>
    <w:p>
      <w:pPr>
        <w:numPr>
          <w:ilvl w:val="0"/>
          <w:numId w:val="1195"/>
        </w:numPr>
        <w:pStyle w:val="Compact"/>
      </w:pPr>
      <w:r>
        <w:rPr>
          <w:bCs/>
          <w:b/>
        </w:rPr>
        <w:t xml:space="preserve">Folgezustände nach Sauerstoffmangel:</w:t>
      </w:r>
      <w:r>
        <w:t xml:space="preserve"> </w:t>
      </w:r>
      <w:r>
        <w:t xml:space="preserve">Bei 73 Personen mit Hirnschädigung nach Sauerstoffmangel beschreiben die Autoren eine Wirkung bei Gedächtnisstörungen. Bei manchen traten nach der Gabe im EEG Episoden anfallsartiger Aktivität auf; die Autoren raten deshalb, die erste Gabe unter EEG-Kontrolle vorzunehmen</w:t>
      </w:r>
      <w:r>
        <w:rPr>
          <w:rStyle w:val="FootnoteReference"/>
        </w:rPr>
        <w:footnoteReference w:id="1618"/>
      </w:r>
      <w:r>
        <w:t xml:space="preserve">.</w:t>
      </w:r>
    </w:p>
    <w:p>
      <w:pPr>
        <w:numPr>
          <w:ilvl w:val="0"/>
          <w:numId w:val="1195"/>
        </w:numPr>
        <w:pStyle w:val="Compact"/>
      </w:pPr>
      <w:r>
        <w:rPr>
          <w:bCs/>
          <w:b/>
        </w:rPr>
        <w:t xml:space="preserve">Magengeschwür:</w:t>
      </w:r>
      <w:r>
        <w:t xml:space="preserve"> </w:t>
      </w:r>
      <w:r>
        <w:t xml:space="preserve">In einer Arbeit zu therapieresistenten Magengeschwüren heilten nach 14 Tagen 89,5 % der Geschwüre unter Semax zusätzlich zur Standardtherapie gegenüber 30,8 % in der Kontrollgruppe</w:t>
      </w:r>
      <w:r>
        <w:rPr>
          <w:rStyle w:val="FootnoteReference"/>
        </w:rPr>
        <w:footnoteReference w:id="1619"/>
      </w:r>
      <w:r>
        <w:t xml:space="preserve">. Gruppengröße und Zuteilung nennt das Abstract nicht; die Autoren selbst fordern weitere Studien.</w:t>
      </w:r>
    </w:p>
    <w:bookmarkEnd w:id="1620"/>
    <w:bookmarkStart w:id="1622" w:name="gesunde-menschen-und-nootropikum"/>
    <w:p>
      <w:pPr>
        <w:pStyle w:val="Heading4"/>
      </w:pPr>
      <w:r>
        <w:t xml:space="preserve">Gesunde Menschen und „Nootropikum“</w:t>
      </w:r>
    </w:p>
    <w:p>
      <w:pPr>
        <w:pStyle w:val="FirstParagraph"/>
      </w:pPr>
      <w:r>
        <w:t xml:space="preserve">Im Internet wird Semax vor allem als Mittel zur Steigerung von Konzentration und Gedächtnis bei Gesunden angeboten. Belastbare Studien dazu fehlen. Eine Übersichtsarbeit der Entwickler aus den 1990er-Jahren berichtet, Semax verbessere Gedächtnis und Aufmerksamkeit gesunder Männer „unter extremen Bedingungen“, nennt im Abstract aber keine Studiendaten</w:t>
      </w:r>
      <w:r>
        <w:rPr>
          <w:rStyle w:val="FootnoteReference"/>
        </w:rPr>
        <w:footnoteReference w:id="1621"/>
      </w:r>
      <w:r>
        <w:t xml:space="preserve">. Zwei kleine Bildgebungsstudien an Gesunden zeigten nach einer einmaligen Gabe veränderte Aktivitätsmuster im funktionellen MRT (Lebedeva 2018, PMID 30225715; Panikratova 2020, PMID 32342318, 52 Gesunde mit Semax, Selank oder Placebo). Veränderte Hirnaktivität im Scanner ist jedoch kein Nachweis besserer Leistung im Alltag.</w:t>
      </w:r>
    </w:p>
    <w:bookmarkEnd w:id="1622"/>
    <w:bookmarkEnd w:id="1623"/>
    <w:bookmarkStart w:id="1628" w:name="tier--und-laborstudien-34"/>
    <w:p>
      <w:pPr>
        <w:pStyle w:val="Heading3"/>
      </w:pPr>
      <w:r>
        <w:t xml:space="preserve">Tier- und Laborstudien</w:t>
      </w:r>
    </w:p>
    <w:p>
      <w:pPr>
        <w:pStyle w:val="FirstParagraph"/>
      </w:pPr>
      <w:r>
        <w:t xml:space="preserve">Die präklinische Literatur ist umfangreich und stammt ebenfalls überwiegend aus Moskau:</w:t>
      </w:r>
    </w:p>
    <w:p>
      <w:pPr>
        <w:numPr>
          <w:ilvl w:val="0"/>
          <w:numId w:val="1196"/>
        </w:numPr>
        <w:pStyle w:val="Compact"/>
      </w:pPr>
      <w:r>
        <w:t xml:space="preserve">Bei Ratten mit künstlich ausgelöstem Schlaganfall veränderte Semax die Aktivität von Genen des Immun- und Gefäßsystems</w:t>
      </w:r>
      <w:r>
        <w:rPr>
          <w:rStyle w:val="FootnoteReference"/>
        </w:rPr>
        <w:footnoteReference w:id="1624"/>
      </w:r>
      <w:r>
        <w:t xml:space="preserve">.</w:t>
      </w:r>
    </w:p>
    <w:p>
      <w:pPr>
        <w:numPr>
          <w:ilvl w:val="0"/>
          <w:numId w:val="1196"/>
        </w:numPr>
        <w:pStyle w:val="Compact"/>
      </w:pPr>
      <w:r>
        <w:t xml:space="preserve">Bei Ratten, deren Dopamin-System mit dem Nervengift MPTP geschädigt wurde, verringerte Semax Bewegungs- und Angststörungen</w:t>
      </w:r>
      <w:r>
        <w:rPr>
          <w:rStyle w:val="FootnoteReference"/>
        </w:rPr>
        <w:footnoteReference w:id="1625"/>
      </w:r>
      <w:r>
        <w:t xml:space="preserve">.</w:t>
      </w:r>
    </w:p>
    <w:p>
      <w:pPr>
        <w:numPr>
          <w:ilvl w:val="0"/>
          <w:numId w:val="1196"/>
        </w:numPr>
        <w:pStyle w:val="Compact"/>
      </w:pPr>
      <w:r>
        <w:t xml:space="preserve">Bei gentechnisch veränderten Mäusen mit Alzheimer-ähnlichen Ablagerungen verbesserten Semax und ein Abkömmling das Verhalten in Gedächtnistests und verringerten die Zahl der Amyloid-Ablagerungen</w:t>
      </w:r>
      <w:r>
        <w:rPr>
          <w:rStyle w:val="FootnoteReference"/>
        </w:rPr>
        <w:footnoteReference w:id="1626"/>
      </w:r>
      <w:r>
        <w:t xml:space="preserve">.</w:t>
      </w:r>
    </w:p>
    <w:p>
      <w:pPr>
        <w:numPr>
          <w:ilvl w:val="0"/>
          <w:numId w:val="1196"/>
        </w:numPr>
        <w:pStyle w:val="Compact"/>
      </w:pPr>
      <w:r>
        <w:t xml:space="preserve">In Laborversuchen bindet Semax Kupferionen, was die Bildung schädlicher Sauerstoffradikale durch Amyloid-Kupfer-Komplexe dämpfte</w:t>
      </w:r>
      <w:r>
        <w:rPr>
          <w:rStyle w:val="FootnoteReference"/>
        </w:rPr>
        <w:footnoteReference w:id="1627"/>
      </w:r>
      <w:r>
        <w:t xml:space="preserve">.</w:t>
      </w:r>
    </w:p>
    <w:p>
      <w:pPr>
        <w:pStyle w:val="FirstParagraph"/>
      </w:pPr>
      <w:r>
        <w:t xml:space="preserve">Diese Ergebnisse sind Tier- und Laborbefunde. Viele Wirkstoffe, die in solchen Modellen schützten, versagten später beim Menschen.</w:t>
      </w:r>
    </w:p>
    <w:bookmarkEnd w:id="1628"/>
    <w:bookmarkStart w:id="1632" w:name="risiken-und-nebenwirkungen-34"/>
    <w:p>
      <w:pPr>
        <w:pStyle w:val="Heading3"/>
      </w:pPr>
      <w:r>
        <w:t xml:space="preserve">Risiken und Nebenwirkungen</w:t>
      </w:r>
    </w:p>
    <w:p>
      <w:pPr>
        <w:pStyle w:val="FirstParagraph"/>
      </w:pPr>
      <w:r>
        <w:rPr>
          <w:bCs/>
          <w:b/>
        </w:rPr>
        <w:t xml:space="preserve">Belegt:</w:t>
      </w:r>
      <w:r>
        <w:t xml:space="preserve"> </w:t>
      </w:r>
      <w:r>
        <w:t xml:space="preserve">Systematisch erfasste Sicherheitsdaten aus größeren Studien gibt es nicht. Die russischen Arbeiten beschreiben Semax als gut verträglich, teils ausdrücklich auch bei älteren Menschen</w:t>
      </w:r>
      <w:r>
        <w:rPr>
          <w:rStyle w:val="FootnoteReference"/>
        </w:rPr>
        <w:footnoteReference w:id="1629"/>
      </w:r>
      <w:r>
        <w:t xml:space="preserve">. Ein ernstzunehmendes Signal ist die Beobachtung anfallsartiger EEG-Veränderungen nach der Gabe bei einzelnen Personen mit vorgeschädigtem Gehirn</w:t>
      </w:r>
      <w:r>
        <w:rPr>
          <w:rStyle w:val="FootnoteReference"/>
        </w:rPr>
        <w:footnoteReference w:id="1630"/>
      </w:r>
      <w:r>
        <w:t xml:space="preserve">.</w:t>
      </w:r>
    </w:p>
    <w:p>
      <w:pPr>
        <w:pStyle w:val="BodyText"/>
      </w:pPr>
      <w:r>
        <w:rPr>
          <w:bCs/>
          <w:b/>
        </w:rPr>
        <w:t xml:space="preserve">Theoretisch:</w:t>
      </w:r>
      <w:r>
        <w:t xml:space="preserve"> </w:t>
      </w:r>
      <w:r>
        <w:t xml:space="preserve">Semax soll Wachstumsfaktoren und Immungene beeinflussen; Langzeitfolgen solcher Eingriffe sind nicht untersucht. Für Schwangerschaft, Stillzeit, Kinder, Epilepsie und psychische Erkrankungen fehlen Daten.</w:t>
      </w:r>
    </w:p>
    <w:p>
      <w:pPr>
        <w:pStyle w:val="BodyText"/>
      </w:pPr>
      <w:r>
        <w:rPr>
          <w:bCs/>
          <w:b/>
        </w:rPr>
        <w:t xml:space="preserve">Graumarkt:</w:t>
      </w:r>
      <w:r>
        <w:t xml:space="preserve"> </w:t>
      </w:r>
      <w:r>
        <w:t xml:space="preserve">Außerhalb Russlands wird Semax meist als „Research Peptide“ oder als selbst gemischte Nasenlösung verkauft. Gehalt, Reinheit und Keimfreiheit solcher Produkte sind ungeprüft. Ein Arzneimittel-Kontrolllabor identifizierte Semax und Selank 2017 und 2018 in beschlagnahmten, unbekannten Präparaten und fand bei einer Online-Recherche, dass solche „Nootropika-Peptide“ frei als Pulver zur Injektion oder als Nasenspray angeboten werden</w:t>
      </w:r>
      <w:r>
        <w:rPr>
          <w:rStyle w:val="FootnoteReference"/>
        </w:rPr>
        <w:footnoteReference w:id="1631"/>
      </w:r>
      <w:r>
        <w:t xml:space="preserve">. Mehr dazu in Teil I und Teil IV.</w:t>
      </w:r>
    </w:p>
    <w:bookmarkEnd w:id="1632"/>
    <w:bookmarkStart w:id="1633" w:name="rechtslage-34"/>
    <w:p>
      <w:pPr>
        <w:pStyle w:val="Heading3"/>
      </w:pPr>
      <w:r>
        <w:t xml:space="preserve">Rechtslage</w:t>
      </w:r>
    </w:p>
    <w:p>
      <w:pPr>
        <w:numPr>
          <w:ilvl w:val="0"/>
          <w:numId w:val="1197"/>
        </w:numPr>
        <w:pStyle w:val="Compact"/>
      </w:pPr>
      <w:r>
        <w:rPr>
          <w:bCs/>
          <w:b/>
        </w:rPr>
        <w:t xml:space="preserve">EU / Österreich / Deutschland:</w:t>
      </w:r>
      <w:r>
        <w:t xml:space="preserve"> </w:t>
      </w:r>
      <w:r>
        <w:t xml:space="preserve">Semax ist nicht zugelassen. Als Stoff mit beabsichtigter Wirkung auf Körperfunktionen gilt es als Arzneimittel; Verkauf und Werbung ohne Zulassung sind nicht erlaubt. Die Einfuhr aus Russland als Arzneimittel unterliegt den Regeln für Einzelimporte.</w:t>
      </w:r>
    </w:p>
    <w:p>
      <w:pPr>
        <w:numPr>
          <w:ilvl w:val="0"/>
          <w:numId w:val="1197"/>
        </w:numPr>
        <w:pStyle w:val="Compact"/>
      </w:pPr>
      <w:r>
        <w:rPr>
          <w:bCs/>
          <w:b/>
        </w:rPr>
        <w:t xml:space="preserve">USA:</w:t>
      </w:r>
      <w:r>
        <w:t xml:space="preserve"> </w:t>
      </w:r>
      <w:r>
        <w:t xml:space="preserve">nicht zugelassen. Die FDA strich Semax im April 2026 von ihrer „Kategorie-2“-Liste; der Beratungsausschuss PCAC stimmte im Juli 2026 mit 8 zu 5 Stimmen dafür, Semax in die Liste der Substanzen aufzunehmen, die Apotheken für Rezepturen verwenden dürfen. Die FDA-Fachleute hatten davon abgeraten; die Entscheidung der Behörde stand bei Redaktionsschluss aus (Stand Oktober 2026, bitte aktuell prüfen).</w:t>
      </w:r>
    </w:p>
    <w:p>
      <w:pPr>
        <w:numPr>
          <w:ilvl w:val="0"/>
          <w:numId w:val="1197"/>
        </w:numPr>
        <w:pStyle w:val="Compact"/>
      </w:pPr>
      <w:r>
        <w:rPr>
          <w:bCs/>
          <w:b/>
        </w:rPr>
        <w:t xml:space="preserve">Russland:</w:t>
      </w:r>
      <w:r>
        <w:t xml:space="preserve"> </w:t>
      </w:r>
      <w:r>
        <w:t xml:space="preserve">als Arzneimittel registriert und in Apotheken erhältlich.</w:t>
      </w:r>
    </w:p>
    <w:p>
      <w:pPr>
        <w:numPr>
          <w:ilvl w:val="0"/>
          <w:numId w:val="1197"/>
        </w:numPr>
        <w:pStyle w:val="Compact"/>
      </w:pPr>
      <w:r>
        <w:rPr>
          <w:bCs/>
          <w:b/>
        </w:rPr>
        <w:t xml:space="preserve">Sport:</w:t>
      </w:r>
      <w:r>
        <w:t xml:space="preserve"> </w:t>
      </w:r>
      <w:r>
        <w:t xml:space="preserve">nicht namentlich auf der WADA-Liste (Stand 2026, bitte aktuell prüfen).</w:t>
      </w:r>
    </w:p>
    <w:bookmarkEnd w:id="1633"/>
    <w:bookmarkStart w:id="1634" w:name="laufende-studien-und-ausblick-34"/>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Semax registriert (Abfrage Oktober 2026). Die Forschung in Russland konzentriert sich weiterhin auf Tiermodelle, etwa zur Genaktivität nach Schlaganfall und zu Alzheimer-Modellen.</w:t>
      </w:r>
    </w:p>
    <w:p>
      <w:pPr>
        <w:pStyle w:val="BodyText"/>
      </w:pPr>
      <w:r>
        <w:rPr>
          <w:bCs/>
          <w:b/>
        </w:rPr>
        <w:t xml:space="preserve">Einschätzung:</w:t>
      </w:r>
      <w:r>
        <w:t xml:space="preserve"> </w:t>
      </w:r>
      <w:r>
        <w:t xml:space="preserve">Ohne eine ausreichend große, verblindete, international registrierte Studie wird Semax außerhalb Russlands kaum eine Zulassung erreichen. Die Diskussion in den USA dreht sich um Apotheken-Rezepturen, nicht um einen Wirksamkeitsnachweis.</w:t>
      </w:r>
    </w:p>
    <w:bookmarkEnd w:id="1634"/>
    <w:bookmarkStart w:id="1635" w:name="fazit-34"/>
    <w:p>
      <w:pPr>
        <w:pStyle w:val="Heading3"/>
      </w:pPr>
      <w:r>
        <w:t xml:space="preserve">Fazit</w:t>
      </w:r>
    </w:p>
    <w:p>
      <w:pPr>
        <w:pStyle w:val="FirstParagraph"/>
      </w:pPr>
      <w:r>
        <w:t xml:space="preserve">Semax ist ein in Russland seit Jahrzehnten verwendetes Peptid aus einem ACTH-Bruchstück, das bei Ratten Nervenwachstumsfaktoren erhöhte. Die Studien am Menschen sind klein, meist nicht randomisiert und stammen fast ausschließlich aus dem Umfeld der Entwickler; beim Schlaganfall berichten sie über schnellere Erholung und höhere BDNF-Spiegel, ohne Effektgrößen auf internationalem Niveau. Für die Leistungssteigerung bei Gesunden gibt es keine aussagekräftigen Daten. Die Daten reichen nicht aus, um einen Nutzen oder die Langzeitsicherheit zu beurteilen.</w:t>
      </w:r>
    </w:p>
    <w:bookmarkEnd w:id="1635"/>
    <w:bookmarkEnd w:id="1636"/>
    <w:bookmarkStart w:id="1659" w:name="selank"/>
    <w:p>
      <w:pPr>
        <w:pStyle w:val="Heading2"/>
      </w:pPr>
      <w:r>
        <w:t xml:space="preserve">Selank</w:t>
      </w:r>
    </w:p>
    <w:bookmarkStart w:id="1637" w:name="steckbrief-35"/>
    <w:p>
      <w:pPr>
        <w:pStyle w:val="Heading3"/>
      </w:pPr>
      <w:r>
        <w:t xml:space="preserve">Steckbrief</w:t>
      </w:r>
    </w:p>
    <w:p>
      <w:pPr>
        <w:numPr>
          <w:ilvl w:val="0"/>
          <w:numId w:val="1198"/>
        </w:numPr>
        <w:pStyle w:val="Compact"/>
      </w:pPr>
      <w:r>
        <w:rPr>
          <w:bCs/>
          <w:b/>
        </w:rPr>
        <w:t xml:space="preserve">Art und Struktur:</w:t>
      </w:r>
      <w:r>
        <w:t xml:space="preserve"> </w:t>
      </w:r>
      <w:r>
        <w:t xml:space="preserve">synthetisches Heptapeptid (Thr-Lys-Pro-Arg-Pro-Gly-Pro). Die ersten vier Aminosäuren entsprechen Tuftsin, einem körpereigenen Peptid, das aus einem Antikörperbruchstück abgespalten wird und Immunzellen anregt; angehängt ist – wie bei Semax – die stabilisierende Sequenz Pro-Gly-Pro.</w:t>
      </w:r>
    </w:p>
    <w:p>
      <w:pPr>
        <w:numPr>
          <w:ilvl w:val="0"/>
          <w:numId w:val="1198"/>
        </w:numPr>
        <w:pStyle w:val="Compact"/>
      </w:pPr>
      <w:r>
        <w:rPr>
          <w:bCs/>
          <w:b/>
        </w:rPr>
        <w:t xml:space="preserve">Herkunft:</w:t>
      </w:r>
      <w:r>
        <w:t xml:space="preserve"> </w:t>
      </w:r>
      <w:r>
        <w:t xml:space="preserve">entwickelt in Moskau am Institut für Molekulargenetik und am Zakusov-Institut für Pharmakologie.</w:t>
      </w:r>
    </w:p>
    <w:p>
      <w:pPr>
        <w:numPr>
          <w:ilvl w:val="0"/>
          <w:numId w:val="1198"/>
        </w:numPr>
        <w:pStyle w:val="Compact"/>
      </w:pPr>
      <w:r>
        <w:rPr>
          <w:bCs/>
          <w:b/>
        </w:rPr>
        <w:t xml:space="preserve">Wirkprinzip:</w:t>
      </w:r>
      <w:r>
        <w:t xml:space="preserve"> </w:t>
      </w:r>
      <w:r>
        <w:t xml:space="preserve">soll angstlösend wirken, ohne wie Benzodiazepine müde oder abhängig zu machen. Diskutiert werden eine Hemmung des Abbaus körpereigener Enkephaline (schmerz- und stressdämpfende Botenstoffe), Einflüsse auf das GABA-System und auf Immunbotenstoffe. Verabreicht wird es als Nasentropfen.</w:t>
      </w:r>
    </w:p>
    <w:p>
      <w:pPr>
        <w:numPr>
          <w:ilvl w:val="0"/>
          <w:numId w:val="1198"/>
        </w:numPr>
        <w:pStyle w:val="Compact"/>
      </w:pPr>
      <w:r>
        <w:rPr>
          <w:bCs/>
          <w:b/>
        </w:rPr>
        <w:t xml:space="preserve">Zulassung EU:</w:t>
      </w:r>
      <w:r>
        <w:t xml:space="preserve"> </w:t>
      </w:r>
      <w:r>
        <w:t xml:space="preserve">nein.</w:t>
      </w:r>
    </w:p>
    <w:p>
      <w:pPr>
        <w:numPr>
          <w:ilvl w:val="0"/>
          <w:numId w:val="1198"/>
        </w:numPr>
        <w:pStyle w:val="Compact"/>
      </w:pPr>
      <w:r>
        <w:rPr>
          <w:bCs/>
          <w:b/>
        </w:rPr>
        <w:t xml:space="preserve">Zulassung USA:</w:t>
      </w:r>
      <w:r>
        <w:t xml:space="preserve"> </w:t>
      </w:r>
      <w:r>
        <w:t xml:space="preserve">nein. Selank stand 2023 auf der FDA-Liste „Kategorie 2“ für Apotheken-Rezepturen; der aktuelle Status ist uneinheitlich dokumentiert (Stand Oktober 2026, bitte aktuell prüfen).</w:t>
      </w:r>
    </w:p>
    <w:p>
      <w:pPr>
        <w:numPr>
          <w:ilvl w:val="0"/>
          <w:numId w:val="1198"/>
        </w:numPr>
        <w:pStyle w:val="Compact"/>
      </w:pPr>
      <w:r>
        <w:rPr>
          <w:bCs/>
          <w:b/>
        </w:rPr>
        <w:t xml:space="preserve">Russland:</w:t>
      </w:r>
      <w:r>
        <w:t xml:space="preserve"> </w:t>
      </w:r>
      <w:r>
        <w:t xml:space="preserve">als Arzneimittel (Angstlöser) registriert.</w:t>
      </w:r>
    </w:p>
    <w:p>
      <w:pPr>
        <w:numPr>
          <w:ilvl w:val="0"/>
          <w:numId w:val="1198"/>
        </w:numPr>
        <w:pStyle w:val="Compact"/>
      </w:pPr>
      <w:r>
        <w:rPr>
          <w:bCs/>
          <w:b/>
        </w:rPr>
        <w:t xml:space="preserve">WADA:</w:t>
      </w:r>
      <w:r>
        <w:t xml:space="preserve"> </w:t>
      </w:r>
      <w:r>
        <w:t xml:space="preserve">nicht namentlich gelistet.</w:t>
      </w:r>
    </w:p>
    <w:p>
      <w:pPr>
        <w:numPr>
          <w:ilvl w:val="0"/>
          <w:numId w:val="1198"/>
        </w:numPr>
        <w:pStyle w:val="Compact"/>
      </w:pPr>
      <w:r>
        <w:rPr>
          <w:bCs/>
          <w:b/>
        </w:rPr>
        <w:t xml:space="preserve">Evidenzstufe:</w:t>
      </w:r>
      <w:r>
        <w:t xml:space="preserve"> </w:t>
      </w:r>
      <w:r>
        <w:rPr>
          <w:bCs/>
          <w:b/>
        </w:rPr>
        <w:t xml:space="preserve">C</w:t>
      </w:r>
      <w:r>
        <w:t xml:space="preserve"> </w:t>
      </w:r>
      <w:r>
        <w:t xml:space="preserve">– drei kleine Vergleichsstudien aus Russland, ohne Placebo-Kontrolle und ohne Registrierung.</w:t>
      </w:r>
    </w:p>
    <w:bookmarkEnd w:id="1637"/>
    <w:bookmarkStart w:id="1641" w:name="wie-es-wirken-soll-35"/>
    <w:p>
      <w:pPr>
        <w:pStyle w:val="Heading3"/>
      </w:pPr>
      <w:r>
        <w:t xml:space="preserve">Wie es wirken soll</w:t>
      </w:r>
    </w:p>
    <w:p>
      <w:pPr>
        <w:pStyle w:val="FirstParagraph"/>
      </w:pPr>
      <w:r>
        <w:t xml:space="preserve">Tuftsin ist ein kurzes Peptid, das Fresszellen des Immunsystems aktiviert. In Tierversuchen zeigte sich, dass Abwandlungen davon auch das Verhalten beeinflussen. Selank ist eine solche Abwandlung, die durch das angehängte Pro-Gly-Pro länger im Körper bleiben soll.</w:t>
      </w:r>
    </w:p>
    <w:p>
      <w:pPr>
        <w:pStyle w:val="BodyText"/>
      </w:pPr>
      <w:r>
        <w:t xml:space="preserve">Für den Mechanismus gibt es mehrere Hypothesen, die sich auf Labor- und Tierdaten stützen:</w:t>
      </w:r>
    </w:p>
    <w:p>
      <w:pPr>
        <w:numPr>
          <w:ilvl w:val="0"/>
          <w:numId w:val="1199"/>
        </w:numPr>
        <w:pStyle w:val="Compact"/>
      </w:pPr>
      <w:r>
        <w:rPr>
          <w:bCs/>
          <w:b/>
        </w:rPr>
        <w:t xml:space="preserve">Enkephaline:</w:t>
      </w:r>
      <w:r>
        <w:t xml:space="preserve"> </w:t>
      </w:r>
      <w:r>
        <w:t xml:space="preserve">Im Blutserum hemmte Selank im Reagenzglas Enzyme, die Enkephaline abbauen. Die Forschenden fanden zudem bei Menschen mit generalisierter Angststörung eine verkürzte Halbwertszeit von Enkephalinen im Blut und folgerten daraus, dass Selank über diesen Weg wirken könnte</w:t>
      </w:r>
      <w:r>
        <w:rPr>
          <w:rStyle w:val="FootnoteReference"/>
        </w:rPr>
        <w:footnoteReference w:id="1638"/>
      </w:r>
      <w:r>
        <w:t xml:space="preserve">.</w:t>
      </w:r>
    </w:p>
    <w:p>
      <w:pPr>
        <w:numPr>
          <w:ilvl w:val="0"/>
          <w:numId w:val="1199"/>
        </w:numPr>
        <w:pStyle w:val="Compact"/>
      </w:pPr>
      <w:r>
        <w:rPr>
          <w:bCs/>
          <w:b/>
        </w:rPr>
        <w:t xml:space="preserve">GABA-System:</w:t>
      </w:r>
      <w:r>
        <w:t xml:space="preserve"> </w:t>
      </w:r>
      <w:r>
        <w:t xml:space="preserve">Bei Ratten veränderte Selank eine Stunde nach der Gabe die Aktivität von 45 von 84 untersuchten Genen der Nervenübertragung in der Großhirnrinde, ähnlich wie der Botenstoff GABA selbst. Die Autoren vermuten eine Beeinflussung des GABA-Systems, an dem auch Benzodiazepine ansetzen</w:t>
      </w:r>
      <w:r>
        <w:rPr>
          <w:rStyle w:val="FootnoteReference"/>
        </w:rPr>
        <w:footnoteReference w:id="1639"/>
      </w:r>
      <w:r>
        <w:t xml:space="preserve">.</w:t>
      </w:r>
    </w:p>
    <w:p>
      <w:pPr>
        <w:numPr>
          <w:ilvl w:val="0"/>
          <w:numId w:val="1199"/>
        </w:numPr>
        <w:pStyle w:val="Compact"/>
      </w:pPr>
      <w:r>
        <w:rPr>
          <w:bCs/>
          <w:b/>
        </w:rPr>
        <w:t xml:space="preserve">Immunsystem:</w:t>
      </w:r>
      <w:r>
        <w:t xml:space="preserve"> </w:t>
      </w:r>
      <w:r>
        <w:t xml:space="preserve">Bei Ratten und Mäusen beeinflusste Selank Entzündungsgene; in Zellkulturen und bei Mäusen zeigte es Effekte gegen Influenzaviren</w:t>
      </w:r>
      <w:r>
        <w:rPr>
          <w:rStyle w:val="FootnoteReference"/>
        </w:rPr>
        <w:footnoteReference w:id="1640"/>
      </w:r>
      <w:r>
        <w:t xml:space="preserve">.</w:t>
      </w:r>
    </w:p>
    <w:p>
      <w:pPr>
        <w:pStyle w:val="FirstParagraph"/>
      </w:pPr>
      <w:r>
        <w:t xml:space="preserve">Wie viel Selank nach Gabe in die Nase beim Menschen tatsächlich ins Gehirn gelangt, ist nicht veröffentlicht.</w:t>
      </w:r>
    </w:p>
    <w:bookmarkEnd w:id="1641"/>
    <w:bookmarkStart w:id="1649" w:name="studien-am-menschen-3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3 als Humanstudien klassifizierte Veröffentlichungen; insgesamt führt PubMed rund 70 Arbeiten mit „Selank“ in Titel oder Abstract, fast alle Tierversuche. Die Suche auf ClinicalTrials.gov ergab 2 Treffer – beide betreffen bei näherer Prüfung andere Verfahren (Hirnstimulation) und keine Selank-Studie. Es gibt also keine registrierte klinische Studie mit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Zozulia 2008, PMID 18454096</w:t>
            </w:r>
          </w:p>
        </w:tc>
        <w:tc>
          <w:tcPr/>
          <w:p>
            <w:pPr>
              <w:pStyle w:val="Compact"/>
              <w:jc w:val="left"/>
            </w:pPr>
            <w:r>
              <w:t xml:space="preserve">62 Personen mit generalisierter Angststörung oder Neurasthenie; Selank (30) gegen Medazepam (32)</w:t>
            </w:r>
          </w:p>
        </w:tc>
        <w:tc>
          <w:tcPr/>
          <w:p>
            <w:pPr>
              <w:pStyle w:val="Compact"/>
              <w:jc w:val="left"/>
            </w:pPr>
            <w:r>
              <w:t xml:space="preserve">nicht im Abstract</w:t>
            </w:r>
          </w:p>
        </w:tc>
        <w:tc>
          <w:tcPr/>
          <w:p>
            <w:pPr>
              <w:pStyle w:val="Compact"/>
              <w:jc w:val="left"/>
            </w:pPr>
            <w:r>
              <w:t xml:space="preserve">angstlösende Wirkung beider Mittel ähnlich; unter Selank zusätzlich „antriebssteigernd“</w:t>
            </w:r>
          </w:p>
        </w:tc>
      </w:tr>
      <w:tr>
        <w:tc>
          <w:tcPr/>
          <w:p>
            <w:pPr>
              <w:pStyle w:val="Compact"/>
              <w:jc w:val="left"/>
            </w:pPr>
            <w:r>
              <w:t xml:space="preserve">Medvedev 2014, PMID 25176261</w:t>
            </w:r>
          </w:p>
        </w:tc>
        <w:tc>
          <w:tcPr/>
          <w:p>
            <w:pPr>
              <w:pStyle w:val="Compact"/>
              <w:jc w:val="left"/>
            </w:pPr>
            <w:r>
              <w:t xml:space="preserve">60 Personen mit Angst- und somatoformen Störungen; Selank gegen Phenazepam</w:t>
            </w:r>
          </w:p>
        </w:tc>
        <w:tc>
          <w:tcPr/>
          <w:p>
            <w:pPr>
              <w:pStyle w:val="Compact"/>
              <w:jc w:val="left"/>
            </w:pPr>
            <w:r>
              <w:t xml:space="preserve">nicht im Abstract</w:t>
            </w:r>
          </w:p>
        </w:tc>
        <w:tc>
          <w:tcPr/>
          <w:p>
            <w:pPr>
              <w:pStyle w:val="Compact"/>
              <w:jc w:val="left"/>
            </w:pPr>
            <w:r>
              <w:t xml:space="preserve">laut Autoren deutliche angstlösende Wirkung, die eine Woche nach dem Absetzen anhielt</w:t>
            </w:r>
          </w:p>
        </w:tc>
      </w:tr>
      <w:tr>
        <w:tc>
          <w:tcPr/>
          <w:p>
            <w:pPr>
              <w:pStyle w:val="Compact"/>
              <w:jc w:val="left"/>
            </w:pPr>
            <w:r>
              <w:t xml:space="preserve">Medvedev 2015, PMID 26356395</w:t>
            </w:r>
          </w:p>
        </w:tc>
        <w:tc>
          <w:tcPr/>
          <w:p>
            <w:pPr>
              <w:pStyle w:val="Compact"/>
              <w:jc w:val="left"/>
            </w:pPr>
            <w:r>
              <w:t xml:space="preserve">70 Personen; Phenazepam allein (30) gegen Phenazepam plus Selank (40)</w:t>
            </w:r>
          </w:p>
        </w:tc>
        <w:tc>
          <w:tcPr/>
          <w:p>
            <w:pPr>
              <w:pStyle w:val="Compact"/>
              <w:jc w:val="left"/>
            </w:pPr>
            <w:r>
              <w:t xml:space="preserve">nicht im Abstract</w:t>
            </w:r>
          </w:p>
        </w:tc>
        <w:tc>
          <w:tcPr/>
          <w:p>
            <w:pPr>
              <w:pStyle w:val="Compact"/>
              <w:jc w:val="left"/>
            </w:pPr>
            <w:r>
              <w:t xml:space="preserve">schnellerer Wirkeintritt und weniger Phenazepam-Nebenwirkungen in der Kombinationsgruppe</w:t>
            </w:r>
          </w:p>
        </w:tc>
      </w:tr>
      <w:tr>
        <w:tc>
          <w:tcPr/>
          <w:p>
            <w:pPr>
              <w:pStyle w:val="Compact"/>
              <w:jc w:val="left"/>
            </w:pPr>
            <w:r>
              <w:t xml:space="preserve">Uchakina 2008, PMID 18577961</w:t>
            </w:r>
          </w:p>
        </w:tc>
        <w:tc>
          <w:tcPr/>
          <w:p>
            <w:pPr>
              <w:pStyle w:val="Compact"/>
              <w:jc w:val="left"/>
            </w:pPr>
            <w:r>
              <w:t xml:space="preserve">Personen mit Angststörung oder Neurasthenie</w:t>
            </w:r>
          </w:p>
        </w:tc>
        <w:tc>
          <w:tcPr/>
          <w:p>
            <w:pPr>
              <w:pStyle w:val="Compact"/>
              <w:jc w:val="left"/>
            </w:pPr>
            <w:r>
              <w:t xml:space="preserve">14 Tage</w:t>
            </w:r>
          </w:p>
        </w:tc>
        <w:tc>
          <w:tcPr/>
          <w:p>
            <w:pPr>
              <w:pStyle w:val="Compact"/>
              <w:jc w:val="left"/>
            </w:pPr>
            <w:r>
              <w:t xml:space="preserve">Verschiebungen im Gleichgewicht von Immunbotenstoffen im Blut</w:t>
            </w:r>
          </w:p>
        </w:tc>
      </w:tr>
      <w:tr>
        <w:tc>
          <w:tcPr/>
          <w:p>
            <w:pPr>
              <w:pStyle w:val="Compact"/>
              <w:jc w:val="left"/>
            </w:pPr>
            <w:r>
              <w:t xml:space="preserve">Panikratova 2020, PMID 32342318</w:t>
            </w:r>
          </w:p>
        </w:tc>
        <w:tc>
          <w:tcPr/>
          <w:p>
            <w:pPr>
              <w:pStyle w:val="Compact"/>
              <w:jc w:val="left"/>
            </w:pPr>
            <w:r>
              <w:t xml:space="preserve">52 Gesunde; Selank, Semax oder Placebo, einmalige Gabe</w:t>
            </w:r>
          </w:p>
        </w:tc>
        <w:tc>
          <w:tcPr/>
          <w:p>
            <w:pPr>
              <w:pStyle w:val="Compact"/>
              <w:jc w:val="left"/>
            </w:pPr>
            <w:r>
              <w:t xml:space="preserve">20 Minuten</w:t>
            </w:r>
          </w:p>
        </w:tc>
        <w:tc>
          <w:tcPr/>
          <w:p>
            <w:pPr>
              <w:pStyle w:val="Compact"/>
              <w:jc w:val="left"/>
            </w:pPr>
            <w:r>
              <w:t xml:space="preserve">veränderte funktionelle Verbindungen der Amygdala im MRT</w:t>
            </w:r>
          </w:p>
        </w:tc>
      </w:tr>
    </w:tbl>
    <w:bookmarkStart w:id="1645" w:name="angststörungen"/>
    <w:p>
      <w:pPr>
        <w:pStyle w:val="Heading4"/>
      </w:pPr>
      <w:r>
        <w:t xml:space="preserve">Angststörungen</w:t>
      </w:r>
    </w:p>
    <w:p>
      <w:pPr>
        <w:pStyle w:val="FirstParagraph"/>
      </w:pPr>
      <w:r>
        <w:t xml:space="preserve">Alle drei klinischen Studien verglichen Selank mit Benzodiazepinen – Medazepam bzw. dem in Russland verbreiteten Phenazepam. In der ersten Studie mit 62 Personen war die angstlösende Wirkung von Selank und Medazepam auf Fragebogenskalen (Hamilton, Zung, CGI) ähnlich; Selank soll zusätzlich gegen Erschöpfung gewirkt haben. Die Forschenden maßen außerdem die Halbwertszeit des Botenstoffs Leu-Enkephalin im Blut, die unter Selank anstieg</w:t>
      </w:r>
      <w:r>
        <w:rPr>
          <w:rStyle w:val="FootnoteReference"/>
        </w:rPr>
        <w:footnoteReference w:id="1642"/>
      </w:r>
      <w:r>
        <w:t xml:space="preserve">. In einer zweiten Studie mit 60 Personen wird eine ausgeprägte angstlösende und eine leichte gedächtnisfördernde Wirkung beschrieben, die eine Woche über das Behandlungsende hinaus anhielt</w:t>
      </w:r>
      <w:r>
        <w:rPr>
          <w:rStyle w:val="FootnoteReference"/>
        </w:rPr>
        <w:footnoteReference w:id="1643"/>
      </w:r>
      <w:r>
        <w:t xml:space="preserve">.</w:t>
      </w:r>
    </w:p>
    <w:p>
      <w:pPr>
        <w:pStyle w:val="BodyText"/>
      </w:pPr>
      <w:r>
        <w:t xml:space="preserve">Die dritte Studie prüfte Selank als Zusatz: 40 Personen erhielten Phenazepam plus Selank, 30 nur Phenazepam. In der Kombinationsgruppe setzte die Wirkung nach den Autoren früher ein, und typische Benzodiazepin-Nebenwirkungen wie Aufmerksamkeits- und Gedächtnisstörungen, Müdigkeit und sexuelle Störungen waren seltener – auch nach dem Absetzen des Beruhigungsmittels</w:t>
      </w:r>
      <w:r>
        <w:rPr>
          <w:rStyle w:val="FootnoteReference"/>
        </w:rPr>
        <w:footnoteReference w:id="1644"/>
      </w:r>
      <w:r>
        <w:t xml:space="preserve">.</w:t>
      </w:r>
    </w:p>
    <w:p>
      <w:pPr>
        <w:pStyle w:val="BodyText"/>
      </w:pPr>
      <w:r>
        <w:t xml:space="preserve">Diese Ergebnisse klingen ermutigend, haben aber deutliche Grenzen:</w:t>
      </w:r>
    </w:p>
    <w:p>
      <w:pPr>
        <w:numPr>
          <w:ilvl w:val="0"/>
          <w:numId w:val="1200"/>
        </w:numPr>
        <w:pStyle w:val="Compact"/>
      </w:pPr>
      <w:r>
        <w:rPr>
          <w:bCs/>
          <w:b/>
        </w:rPr>
        <w:t xml:space="preserve">Kein Placebo:</w:t>
      </w:r>
      <w:r>
        <w:t xml:space="preserve"> </w:t>
      </w:r>
      <w:r>
        <w:t xml:space="preserve">Bei Angststörungen bessern sich die Beschwerden auch unter Scheinmedikamenten oft erheblich. Ohne Placebogruppe lässt sich nicht sagen, welcher Anteil auf Selank entfällt.</w:t>
      </w:r>
    </w:p>
    <w:p>
      <w:pPr>
        <w:numPr>
          <w:ilvl w:val="0"/>
          <w:numId w:val="1200"/>
        </w:numPr>
        <w:pStyle w:val="Compact"/>
      </w:pPr>
      <w:r>
        <w:rPr>
          <w:bCs/>
          <w:b/>
        </w:rPr>
        <w:t xml:space="preserve">„Ähnlich wirksam“ ist kein Nachweis:</w:t>
      </w:r>
      <w:r>
        <w:t xml:space="preserve"> </w:t>
      </w:r>
      <w:r>
        <w:t xml:space="preserve">Ein Gleichwertigkeitsnachweis braucht vorab festgelegte Grenzen und ausreichend viele Teilnehmende. Beides ist in den Abstracts nicht erkennbar.</w:t>
      </w:r>
    </w:p>
    <w:p>
      <w:pPr>
        <w:numPr>
          <w:ilvl w:val="0"/>
          <w:numId w:val="1200"/>
        </w:numPr>
        <w:pStyle w:val="Compact"/>
      </w:pPr>
      <w:r>
        <w:rPr>
          <w:bCs/>
          <w:b/>
        </w:rPr>
        <w:t xml:space="preserve">Kurze Beobachtung, kleine Gruppen, keine Registrierung:</w:t>
      </w:r>
      <w:r>
        <w:t xml:space="preserve"> </w:t>
      </w:r>
      <w:r>
        <w:t xml:space="preserve">Alle Studien stammen aus russischen Zentren, sind nicht in einem öffentlichen Register vorab angemeldet und wurden in russischsprachigen Fachzeitschriften veröffentlicht.</w:t>
      </w:r>
    </w:p>
    <w:bookmarkEnd w:id="1645"/>
    <w:bookmarkStart w:id="1648" w:name="immunsystem-und-gesunde"/>
    <w:p>
      <w:pPr>
        <w:pStyle w:val="Heading4"/>
      </w:pPr>
      <w:r>
        <w:t xml:space="preserve">Immunsystem und Gesunde</w:t>
      </w:r>
    </w:p>
    <w:p>
      <w:pPr>
        <w:pStyle w:val="FirstParagraph"/>
      </w:pPr>
      <w:r>
        <w:t xml:space="preserve">Eine Arbeit beschreibt bei Personen mit Angst- und Erschöpfungszuständen nach 14 Tagen Selank Veränderungen bei Immunbotenstoffen (Th1/Th2-Gleichgewicht) im Blut; im Reagenzglas unterdrückte Selank die Bildung des Entzündungsbotenstoffs IL-6 in Blutzellen von Menschen mit Depression</w:t>
      </w:r>
      <w:r>
        <w:rPr>
          <w:rStyle w:val="FootnoteReference"/>
        </w:rPr>
        <w:footnoteReference w:id="1646"/>
      </w:r>
      <w:r>
        <w:t xml:space="preserve">. Ob das klinisch bedeutsam ist, wurde nicht untersucht. Bei Gesunden zeigte eine kleine Bildgebungsstudie nach einmaliger Gabe veränderte Verbindungen zwischen der Amygdala, einer für Angst wichtigen Hirnregion, und Teilen des Schläfenlappens</w:t>
      </w:r>
      <w:r>
        <w:rPr>
          <w:rStyle w:val="FootnoteReference"/>
        </w:rPr>
        <w:footnoteReference w:id="1647"/>
      </w:r>
      <w:r>
        <w:t xml:space="preserve">. Studien zu Konzentration oder Leistung bei Gesunden – dem Hauptversprechen im Internet – gibt es nicht.</w:t>
      </w:r>
    </w:p>
    <w:bookmarkEnd w:id="1648"/>
    <w:bookmarkEnd w:id="1649"/>
    <w:bookmarkStart w:id="1653" w:name="tier--und-laborstudien-35"/>
    <w:p>
      <w:pPr>
        <w:pStyle w:val="Heading3"/>
      </w:pPr>
      <w:r>
        <w:t xml:space="preserve">Tier- und Laborstudien</w:t>
      </w:r>
    </w:p>
    <w:p>
      <w:pPr>
        <w:numPr>
          <w:ilvl w:val="0"/>
          <w:numId w:val="1201"/>
        </w:numPr>
        <w:pStyle w:val="Compact"/>
      </w:pPr>
      <w:r>
        <w:t xml:space="preserve">Bei Ratten mit 30 Wochen Alkoholkonsum verhinderte Selank Gedächtnis- und Aufmerksamkeitsstörungen im Entzug und beeinflusste den BDNF-Gehalt in Hippocampus und Stirnhirn</w:t>
      </w:r>
      <w:r>
        <w:rPr>
          <w:rStyle w:val="FootnoteReference"/>
        </w:rPr>
        <w:footnoteReference w:id="1650"/>
      </w:r>
      <w:r>
        <w:t xml:space="preserve">.</w:t>
      </w:r>
    </w:p>
    <w:p>
      <w:pPr>
        <w:numPr>
          <w:ilvl w:val="0"/>
          <w:numId w:val="1201"/>
        </w:numPr>
        <w:pStyle w:val="Compact"/>
      </w:pPr>
      <w:r>
        <w:t xml:space="preserve">Bei Ratten veränderte Selank die Aktivität zahlreicher Gene des GABA-Systems</w:t>
      </w:r>
      <w:r>
        <w:rPr>
          <w:rStyle w:val="FootnoteReference"/>
        </w:rPr>
        <w:footnoteReference w:id="1651"/>
      </w:r>
      <w:r>
        <w:t xml:space="preserve">.</w:t>
      </w:r>
    </w:p>
    <w:p>
      <w:pPr>
        <w:numPr>
          <w:ilvl w:val="0"/>
          <w:numId w:val="1201"/>
        </w:numPr>
        <w:pStyle w:val="Compact"/>
      </w:pPr>
      <w:r>
        <w:t xml:space="preserve">In Zellkulturen und bei Mäusen hemmte Selank Influenzaviren, am stärksten, wenn es vor der Infektion gegeben wurde</w:t>
      </w:r>
      <w:r>
        <w:rPr>
          <w:rStyle w:val="FootnoteReference"/>
        </w:rPr>
        <w:footnoteReference w:id="1652"/>
      </w:r>
      <w:r>
        <w:t xml:space="preserve">.</w:t>
      </w:r>
    </w:p>
    <w:p>
      <w:pPr>
        <w:numPr>
          <w:ilvl w:val="0"/>
          <w:numId w:val="1201"/>
        </w:numPr>
        <w:pStyle w:val="Compact"/>
      </w:pPr>
      <w:r>
        <w:t xml:space="preserve">In weiteren Arbeiten aus denselben Arbeitsgruppen werden Effekte bei Stress, Morphin- und Alkoholentzug und in Parkinson-Modellen bei Nagetieren beschrieben.</w:t>
      </w:r>
    </w:p>
    <w:p>
      <w:pPr>
        <w:pStyle w:val="FirstParagraph"/>
      </w:pPr>
      <w:r>
        <w:t xml:space="preserve">Diese Befunde sind Tier- und Laborbefunde und stammen weitgehend aus einem kleinen Kreis von Forschungsgruppen.</w:t>
      </w:r>
    </w:p>
    <w:bookmarkEnd w:id="1653"/>
    <w:bookmarkStart w:id="1655" w:name="risiken-und-nebenwirkungen-35"/>
    <w:p>
      <w:pPr>
        <w:pStyle w:val="Heading3"/>
      </w:pPr>
      <w:r>
        <w:t xml:space="preserve">Risiken und Nebenwirkungen</w:t>
      </w:r>
    </w:p>
    <w:p>
      <w:pPr>
        <w:pStyle w:val="FirstParagraph"/>
      </w:pPr>
      <w:r>
        <w:rPr>
          <w:bCs/>
          <w:b/>
        </w:rPr>
        <w:t xml:space="preserve">Belegt:</w:t>
      </w:r>
      <w:r>
        <w:t xml:space="preserve"> </w:t>
      </w:r>
      <w:r>
        <w:t xml:space="preserve">In den kleinen russischen Studien wird Selank als gut verträglich beschrieben; systematisch erfasste Nebenwirkungsraten nennen die Abstracts nicht. Langzeitdaten und Daten zu Abhängigkeit oder Absetzerscheinungen fehlen.</w:t>
      </w:r>
    </w:p>
    <w:p>
      <w:pPr>
        <w:pStyle w:val="BodyText"/>
      </w:pPr>
      <w:r>
        <w:rPr>
          <w:bCs/>
          <w:b/>
        </w:rPr>
        <w:t xml:space="preserve">Theoretisch:</w:t>
      </w:r>
      <w:r>
        <w:t xml:space="preserve"> </w:t>
      </w:r>
      <w:r>
        <w:t xml:space="preserve">Selank soll auf Immun-, Enkephalin- und GABA-System wirken. Wechselwirkungen mit Beruhigungsmitteln, Alkohol oder Antidepressiva sind nicht untersucht; die russische Kombinationsstudie zeigt immerhin, dass Selank zusammen mit Benzodiazepinen eingesetzt wird. Für Schwangerschaft, Stillzeit und Kinder liegen keine Daten vor.</w:t>
      </w:r>
    </w:p>
    <w:p>
      <w:pPr>
        <w:pStyle w:val="BodyText"/>
      </w:pPr>
      <w:r>
        <w:rPr>
          <w:bCs/>
          <w:b/>
        </w:rPr>
        <w:t xml:space="preserve">Graumarkt:</w:t>
      </w:r>
      <w:r>
        <w:t xml:space="preserve"> </w:t>
      </w:r>
      <w:r>
        <w:t xml:space="preserve">Außerhalb Russlands wird Selank als „Research Peptide“ als Pulver zur Injektion oder als Nasenspray verkauft. Ein belgisches Kontrolllabor fand Selank in beschlagnahmten unbekannten Präparaten</w:t>
      </w:r>
      <w:r>
        <w:rPr>
          <w:rStyle w:val="FootnoteReference"/>
        </w:rPr>
        <w:footnoteReference w:id="1654"/>
      </w:r>
      <w:r>
        <w:t xml:space="preserve">. Die Injektion ist kein in Studien geprüfter Anwendungsweg; Reinheit und Gehalt solcher Produkte sind ungeprüft.</w:t>
      </w:r>
    </w:p>
    <w:p>
      <w:pPr>
        <w:pStyle w:val="BodyText"/>
      </w:pPr>
      <w:r>
        <w:rPr>
          <w:bCs/>
          <w:b/>
        </w:rPr>
        <w:t xml:space="preserve">Wichtig:</w:t>
      </w:r>
      <w:r>
        <w:t xml:space="preserve"> </w:t>
      </w:r>
      <w:r>
        <w:t xml:space="preserve">Angststörungen sind gut behandelbar – mit Psychotherapie und mit zugelassenen Medikamenten, deren Wirkung in großen placebokontrollierten Studien belegt ist. Ein Graumarkt-Peptid ist dafür kein Ersatz.</w:t>
      </w:r>
    </w:p>
    <w:bookmarkEnd w:id="1655"/>
    <w:bookmarkStart w:id="1656" w:name="rechtslage-35"/>
    <w:p>
      <w:pPr>
        <w:pStyle w:val="Heading3"/>
      </w:pPr>
      <w:r>
        <w:t xml:space="preserve">Rechtslage</w:t>
      </w:r>
    </w:p>
    <w:p>
      <w:pPr>
        <w:numPr>
          <w:ilvl w:val="0"/>
          <w:numId w:val="1202"/>
        </w:numPr>
        <w:pStyle w:val="Compact"/>
      </w:pPr>
      <w:r>
        <w:rPr>
          <w:bCs/>
          <w:b/>
        </w:rPr>
        <w:t xml:space="preserve">EU / Österreich / Deutschland:</w:t>
      </w:r>
      <w:r>
        <w:t xml:space="preserve"> </w:t>
      </w:r>
      <w:r>
        <w:t xml:space="preserve">nicht zugelassen; als Stoff mit pharmakologischer Wirkung gilt Selank als Arzneimittel, ein Inverkehrbringen ohne Zulassung ist nicht erlaubt.</w:t>
      </w:r>
    </w:p>
    <w:p>
      <w:pPr>
        <w:numPr>
          <w:ilvl w:val="0"/>
          <w:numId w:val="1202"/>
        </w:numPr>
        <w:pStyle w:val="Compact"/>
      </w:pPr>
      <w:r>
        <w:rPr>
          <w:bCs/>
          <w:b/>
        </w:rPr>
        <w:t xml:space="preserve">USA:</w:t>
      </w:r>
      <w:r>
        <w:t xml:space="preserve"> </w:t>
      </w:r>
      <w:r>
        <w:t xml:space="preserve">nicht zugelassen. Selank wurde 2023 in die FDA-„Kategorie 2“ für Rezeptursubstanzen mit Sicherheitsbedenken aufgenommen; später wurde die Nominierung nach Berichten zurückgezogen. Selank gehörte nicht zu den Peptiden, die der Beratungsausschuss PCAC im Juli 2026 bewertete. Eine Erlaubnis für Apotheken-Rezepturen besteht nach derzeitigem Kenntnisstand nicht (Stand Oktober 2026, bitte aktuell prüfen).</w:t>
      </w:r>
    </w:p>
    <w:p>
      <w:pPr>
        <w:numPr>
          <w:ilvl w:val="0"/>
          <w:numId w:val="1202"/>
        </w:numPr>
        <w:pStyle w:val="Compact"/>
      </w:pPr>
      <w:r>
        <w:rPr>
          <w:bCs/>
          <w:b/>
        </w:rPr>
        <w:t xml:space="preserve">Russland:</w:t>
      </w:r>
      <w:r>
        <w:t xml:space="preserve"> </w:t>
      </w:r>
      <w:r>
        <w:t xml:space="preserve">als Arzneimittel registriert.</w:t>
      </w:r>
    </w:p>
    <w:p>
      <w:pPr>
        <w:numPr>
          <w:ilvl w:val="0"/>
          <w:numId w:val="1202"/>
        </w:numPr>
        <w:pStyle w:val="Compact"/>
      </w:pPr>
      <w:r>
        <w:rPr>
          <w:bCs/>
          <w:b/>
        </w:rPr>
        <w:t xml:space="preserve">Sport:</w:t>
      </w:r>
      <w:r>
        <w:t xml:space="preserve"> </w:t>
      </w:r>
      <w:r>
        <w:t xml:space="preserve">nicht namentlich auf der WADA-Liste (Stand 2026, bitte aktuell prüfen).</w:t>
      </w:r>
    </w:p>
    <w:bookmarkEnd w:id="1656"/>
    <w:bookmarkStart w:id="1657" w:name="laufende-studien-und-ausblick-35"/>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Selank registriert (Abfrage Oktober 2026).</w:t>
      </w:r>
    </w:p>
    <w:p>
      <w:pPr>
        <w:pStyle w:val="BodyText"/>
      </w:pPr>
      <w:r>
        <w:rPr>
          <w:bCs/>
          <w:b/>
        </w:rPr>
        <w:t xml:space="preserve">Einschätzung:</w:t>
      </w:r>
      <w:r>
        <w:t xml:space="preserve"> </w:t>
      </w:r>
      <w:r>
        <w:t xml:space="preserve">Selank ist ein Beispiel für ein Peptid, das in Russland in die Versorgung kam, ohne die Studienanforderungen zu erfüllen, die in der EU oder den USA gelten. Eine Zulassung außerhalb Russlands würde mindestens eine größere placebokontrollierte Studie bei Angststörungen voraussetzen; Hinweise darauf gibt es nicht.</w:t>
      </w:r>
    </w:p>
    <w:bookmarkEnd w:id="1657"/>
    <w:bookmarkStart w:id="1658" w:name="fazit-35"/>
    <w:p>
      <w:pPr>
        <w:pStyle w:val="Heading3"/>
      </w:pPr>
      <w:r>
        <w:t xml:space="preserve">Fazit</w:t>
      </w:r>
    </w:p>
    <w:p>
      <w:pPr>
        <w:pStyle w:val="FirstParagraph"/>
      </w:pPr>
      <w:r>
        <w:t xml:space="preserve">Selank ist ein von Tuftsin abgeleitetes Peptid, das in Russland als Angstlöser registriert ist. Drei kleine russische Studien beschreiben eine angstlösende Wirkung ähnlich der von Benzodiazepinen, aber keine davon hatte eine Placebogruppe oder war vorab registriert. Mechanismus-Hypothesen zu Enkephalinen, GABA und Immunsystem beruhen auf Labor- und Tierdaten. Die Daten reichen nicht aus, um Wirksamkeit und Sicherheit nach heutigen Maßstäben zu beurteilen.</w:t>
      </w:r>
    </w:p>
    <w:bookmarkEnd w:id="1658"/>
    <w:bookmarkEnd w:id="1659"/>
    <w:bookmarkStart w:id="1712" w:name="cerebrolysin"/>
    <w:p>
      <w:pPr>
        <w:pStyle w:val="Heading2"/>
      </w:pPr>
      <w:r>
        <w:t xml:space="preserve">Cerebrolysin</w:t>
      </w:r>
    </w:p>
    <w:bookmarkStart w:id="1660" w:name="steckbrief-36"/>
    <w:p>
      <w:pPr>
        <w:pStyle w:val="Heading3"/>
      </w:pPr>
      <w:r>
        <w:t xml:space="preserve">Steckbrief</w:t>
      </w:r>
    </w:p>
    <w:p>
      <w:pPr>
        <w:numPr>
          <w:ilvl w:val="0"/>
          <w:numId w:val="1203"/>
        </w:numPr>
        <w:pStyle w:val="Compact"/>
      </w:pPr>
      <w:r>
        <w:rPr>
          <w:bCs/>
          <w:b/>
        </w:rPr>
        <w:t xml:space="preserve">Art und Struktur:</w:t>
      </w:r>
      <w:r>
        <w:t xml:space="preserve"> </w:t>
      </w:r>
      <w:r>
        <w:t xml:space="preserve">kein einzelnes Peptid, sondern ein Gemisch aus kurzen Peptiden und freien Aminosäuren. Es wird durch enzymatische Spaltung gereinigter Eiweiße aus Schweinehirn gewonnen. Die genaue Zusammensetzung ist nicht vollständig beschrieben; der Hersteller standardisiert das Präparat über sein Herstellverfahren und biologische Tests.</w:t>
      </w:r>
    </w:p>
    <w:p>
      <w:pPr>
        <w:numPr>
          <w:ilvl w:val="0"/>
          <w:numId w:val="1203"/>
        </w:numPr>
        <w:pStyle w:val="Compact"/>
      </w:pPr>
      <w:r>
        <w:rPr>
          <w:bCs/>
          <w:b/>
        </w:rPr>
        <w:t xml:space="preserve">Herkunft:</w:t>
      </w:r>
      <w:r>
        <w:t xml:space="preserve"> </w:t>
      </w:r>
      <w:r>
        <w:t xml:space="preserve">seit Jahrzehnten von einem österreichischen Unternehmen hergestellt (heute EVER Neuro Pharma, Unterach am Attersee).</w:t>
      </w:r>
    </w:p>
    <w:p>
      <w:pPr>
        <w:numPr>
          <w:ilvl w:val="0"/>
          <w:numId w:val="1203"/>
        </w:numPr>
        <w:pStyle w:val="Compact"/>
      </w:pPr>
      <w:r>
        <w:rPr>
          <w:bCs/>
          <w:b/>
        </w:rPr>
        <w:t xml:space="preserve">Wirkprinzip:</w:t>
      </w:r>
      <w:r>
        <w:t xml:space="preserve"> </w:t>
      </w:r>
      <w:r>
        <w:t xml:space="preserve">soll Wirkungen körpereigener Nervenwachstumsfaktoren nachahmen – Nervenzellen schützen (Neuroprotektion) und Reparatur- und Umbauprozesse fördern (Neuroregeneration). Verabreicht wird es als Infusion oder Injektion in die Vene, meist in Kursen über 10 bis 21 Tage.</w:t>
      </w:r>
    </w:p>
    <w:p>
      <w:pPr>
        <w:numPr>
          <w:ilvl w:val="0"/>
          <w:numId w:val="1203"/>
        </w:numPr>
        <w:pStyle w:val="Compact"/>
      </w:pPr>
      <w:r>
        <w:rPr>
          <w:bCs/>
          <w:b/>
        </w:rPr>
        <w:t xml:space="preserve">Zulassung EU:</w:t>
      </w:r>
      <w:r>
        <w:t xml:space="preserve"> </w:t>
      </w:r>
      <w:r>
        <w:t xml:space="preserve">keine zentrale EU-Zulassung. National zugelassen in Österreich und einer Reihe weiterer, vor allem mittel- und osteuropäischer Staaten (je nach Land für Schlaganfall, Schädel-Hirn-Trauma und Demenz). In Deutschland ist es nach unserem Kenntnisstand nicht im Handel.</w:t>
      </w:r>
    </w:p>
    <w:p>
      <w:pPr>
        <w:numPr>
          <w:ilvl w:val="0"/>
          <w:numId w:val="1203"/>
        </w:numPr>
        <w:pStyle w:val="Compact"/>
      </w:pPr>
      <w:r>
        <w:rPr>
          <w:bCs/>
          <w:b/>
        </w:rPr>
        <w:t xml:space="preserve">Zulassung USA:</w:t>
      </w:r>
      <w:r>
        <w:t xml:space="preserve"> </w:t>
      </w:r>
      <w:r>
        <w:t xml:space="preserve">nein.</w:t>
      </w:r>
    </w:p>
    <w:p>
      <w:pPr>
        <w:numPr>
          <w:ilvl w:val="0"/>
          <w:numId w:val="1203"/>
        </w:numPr>
        <w:pStyle w:val="Compact"/>
      </w:pPr>
      <w:r>
        <w:rPr>
          <w:bCs/>
          <w:b/>
        </w:rPr>
        <w:t xml:space="preserve">Weitere Länder:</w:t>
      </w:r>
      <w:r>
        <w:t xml:space="preserve"> </w:t>
      </w:r>
      <w:r>
        <w:t xml:space="preserve">breit verwendet in Russland, anderen Nachfolgestaaten der Sowjetunion, China und weiteren asiatischen Ländern.</w:t>
      </w:r>
    </w:p>
    <w:p>
      <w:pPr>
        <w:numPr>
          <w:ilvl w:val="0"/>
          <w:numId w:val="1203"/>
        </w:numPr>
        <w:pStyle w:val="Compact"/>
      </w:pPr>
      <w:r>
        <w:rPr>
          <w:bCs/>
          <w:b/>
        </w:rPr>
        <w:t xml:space="preserve">WADA:</w:t>
      </w:r>
      <w:r>
        <w:t xml:space="preserve"> </w:t>
      </w:r>
      <w:r>
        <w:t xml:space="preserve">nicht gelistet.</w:t>
      </w:r>
    </w:p>
    <w:p>
      <w:pPr>
        <w:numPr>
          <w:ilvl w:val="0"/>
          <w:numId w:val="1203"/>
        </w:numPr>
        <w:pStyle w:val="Compact"/>
      </w:pPr>
      <w:r>
        <w:rPr>
          <w:bCs/>
          <w:b/>
        </w:rPr>
        <w:t xml:space="preserve">Evidenzstufe:</w:t>
      </w:r>
      <w:r>
        <w:t xml:space="preserve"> </w:t>
      </w:r>
      <w:r>
        <w:rPr>
          <w:bCs/>
          <w:b/>
        </w:rPr>
        <w:t xml:space="preserve">B</w:t>
      </w:r>
      <w:r>
        <w:t xml:space="preserve"> </w:t>
      </w:r>
      <w:r>
        <w:t xml:space="preserve">– zahlreiche randomisierte, placebokontrollierte Studien, darunter eine große mit über 1.000 Teilnehmenden; die Ergebnisse sind aber uneinheitlich, und die beiden großen unabhängigen Cochrane-Übersichten kommen zu zurückhaltenden Bewertungen.</w:t>
      </w:r>
    </w:p>
    <w:bookmarkEnd w:id="1660"/>
    <w:bookmarkStart w:id="1661" w:name="wie-es-wirken-soll-36"/>
    <w:p>
      <w:pPr>
        <w:pStyle w:val="Heading3"/>
      </w:pPr>
      <w:r>
        <w:t xml:space="preserve">Wie es wirken soll</w:t>
      </w:r>
    </w:p>
    <w:p>
      <w:pPr>
        <w:pStyle w:val="FirstParagraph"/>
      </w:pPr>
      <w:r>
        <w:t xml:space="preserve">Nervenwachstumsfaktoren wie BDNF, NGF oder CNTF sind Eiweiße, die Nervenzellen am Leben halten, das Aussprossen neuer Verbindungen anregen und die Neubildung von Nervenzellen in bestimmten Hirnregionen fördern. Als Medikamente sind sie schwierig: Sie sind groß, gelangen kaum über die Blut-Hirn-Schranke und wirken an vielen Stellen gleichzeitig.</w:t>
      </w:r>
    </w:p>
    <w:p>
      <w:pPr>
        <w:pStyle w:val="BodyText"/>
      </w:pPr>
      <w:r>
        <w:t xml:space="preserve">Cerebrolysin verfolgt einen anderen Ansatz. Aus Schweinehirn-Eiweißen entsteht durch kontrollierte Spaltung ein Gemisch kleiner Bruchstücke. Der Hersteller und mit ihm verbundene Forschende gehen davon aus, dass einige dieser Bruchstücke ähnliche Signale auslösen wie die körpereigenen Wachstumsfaktoren. Man spricht deshalb von einem „multimodalen“ Wirkstoff – also einem, der viele Wege gleichzeitig beeinflussen soll.</w:t>
      </w:r>
    </w:p>
    <w:p>
      <w:pPr>
        <w:pStyle w:val="BodyText"/>
      </w:pPr>
      <w:r>
        <w:t xml:space="preserve">Für Leserinnen und Leser bedeutet das zweierlei: Erstens ist der Mechanismus vor allem aus Tier- und Zellversuchen abgeleitet. Zweitens ist bei einem Gemisch schwer zu sagen, welcher Bestandteil wofür verantwortlich ist und wie viel davon tatsächlich ins Gehirn gelangt.</w:t>
      </w:r>
    </w:p>
    <w:bookmarkEnd w:id="1661"/>
    <w:bookmarkStart w:id="1697" w:name="studien-am-menschen-3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88 als Humanstudien klassifizierte Veröffentlichungen, dazu 15 Meta-Analysen und systematische Übersichten (darunter acht Fassungen von Cochrane-Reviews). Auf ClinicalTrials.gov waren 43 Studien registriert, die meisten zu Schlaganfall, einige zu Schädel-Hirn-Trauma, Demenz, Hirnblutung, Delir und – während der Pandemie – zum Geruchsverlust nach COVID-19. Ein großer Teil der Studien wurde vom Hersteller finanziert oder unterstützt; viele kleinere Arbeiten stammen aus Russland, Rumänien, China und dem Iran.</w:t>
      </w:r>
    </w:p>
    <w:p>
      <w:pPr>
        <w:pStyle w:val="BodyText"/>
      </w:pPr>
      <w:r>
        <w:t xml:space="preserve">Ein Wort zur Statistik, die in vielen Cerebrolysin-Studien verwendet wird: Statt eines einzigen Hauptendpunkts prüfen sie oft eine Kombination mehrerer Skalen mit einem sogenannten Mann-Whitney-Schätzer (MW). Er gibt die Wahrscheinlichkeit an, dass eine zufällig gewählte Person aus der Cerebrolysin-Gruppe besser abschneidet als eine aus der Placebogruppe. Ein MW von 0,50 bedeutet keinen Unterschied; Werte um 0,56 gelten als kleiner, um 0,64 als mittlerer und ab 0,71 als großer Vorteil. Diese Methode ist zulässig, macht die Ergebnisse aber schwerer mit anderen Schlaganfallstudien vergleichbar, die meist den Anteil der Personen ohne bleibende Behinderung angeben.</w:t>
      </w:r>
    </w:p>
    <w:bookmarkStart w:id="1668" w:name="akuter-ischämischer-schlaganfall"/>
    <w:p>
      <w:pPr>
        <w:pStyle w:val="Heading4"/>
      </w:pPr>
      <w:r>
        <w:t xml:space="preserve">Akuter ischämischer Schlaganfall</w:t>
      </w:r>
    </w:p>
    <w:p>
      <w:pPr>
        <w:pStyle w:val="FirstParagraph"/>
      </w:pPr>
      <w:r>
        <w:t xml:space="preserve">Beim ischämischen Schlaganfall verschließt ein Gerinnsel ein Hirngefäß. Etablierte Behandlungen sind die Auflösung des Gerinnsels mit Medikamenten (Thrombolyse) und die Entfernung mit einem Katheter (Thrombektomie). „Neuroprotektive“ Zusatzmittel sollen das umliegende Gewebe schützen – ein Ansatz, an dem weltweit Dutzende Wirkstoffe in großen Studien gescheitert sind.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Ladurner 2005, PMID 15583955</w:t>
            </w:r>
          </w:p>
        </w:tc>
        <w:tc>
          <w:tcPr/>
          <w:p>
            <w:pPr>
              <w:pStyle w:val="Compact"/>
              <w:jc w:val="left"/>
            </w:pPr>
            <w:r>
              <w:t xml:space="preserve">146 Personen, RCT gegen Placebo, Beginn innerhalb 24 h</w:t>
            </w:r>
          </w:p>
        </w:tc>
        <w:tc>
          <w:tcPr/>
          <w:p>
            <w:pPr>
              <w:pStyle w:val="Compact"/>
              <w:jc w:val="left"/>
            </w:pPr>
            <w:r>
              <w:t xml:space="preserve">90 Tage</w:t>
            </w:r>
          </w:p>
        </w:tc>
        <w:tc>
          <w:tcPr/>
          <w:p>
            <w:pPr>
              <w:pStyle w:val="Compact"/>
              <w:jc w:val="left"/>
            </w:pPr>
            <w:r>
              <w:t xml:space="preserve">keine Verbesserung bei neurologischer Skala, Barthel-Index und Gesamteindruck; ein Kognitionstest besser</w:t>
            </w:r>
          </w:p>
        </w:tc>
      </w:tr>
      <w:tr>
        <w:tc>
          <w:tcPr/>
          <w:p>
            <w:pPr>
              <w:pStyle w:val="Compact"/>
              <w:jc w:val="left"/>
            </w:pPr>
            <w:r>
              <w:t xml:space="preserve">CASTA (Heiss 2012), PMID 22282884</w:t>
            </w:r>
          </w:p>
        </w:tc>
        <w:tc>
          <w:tcPr/>
          <w:p>
            <w:pPr>
              <w:pStyle w:val="Compact"/>
              <w:jc w:val="left"/>
            </w:pPr>
            <w:r>
              <w:t xml:space="preserve">1.070 Personen in Asien, doppelblind gegen Placebo, Beginn innerhalb 12 h</w:t>
            </w:r>
          </w:p>
        </w:tc>
        <w:tc>
          <w:tcPr/>
          <w:p>
            <w:pPr>
              <w:pStyle w:val="Compact"/>
              <w:jc w:val="left"/>
            </w:pPr>
            <w:r>
              <w:t xml:space="preserve">90 Tage</w:t>
            </w:r>
          </w:p>
        </w:tc>
        <w:tc>
          <w:tcPr/>
          <w:p>
            <w:pPr>
              <w:pStyle w:val="Compact"/>
              <w:jc w:val="left"/>
            </w:pPr>
            <w:r>
              <w:t xml:space="preserve">Hauptendpunkt neutral; nachträgliche Untergruppe schwer Betroffener mit Trend zugunsten Cerebrolysin</w:t>
            </w:r>
          </w:p>
        </w:tc>
      </w:tr>
      <w:tr>
        <w:tc>
          <w:tcPr/>
          <w:p>
            <w:pPr>
              <w:pStyle w:val="Compact"/>
              <w:jc w:val="left"/>
            </w:pPr>
            <w:r>
              <w:t xml:space="preserve">Lang 2013, PMID 23009193</w:t>
            </w:r>
          </w:p>
        </w:tc>
        <w:tc>
          <w:tcPr/>
          <w:p>
            <w:pPr>
              <w:pStyle w:val="Compact"/>
              <w:jc w:val="left"/>
            </w:pPr>
            <w:r>
              <w:t xml:space="preserve">119 Personen, zusätzlich zur Thrombolyse, doppelblind</w:t>
            </w:r>
          </w:p>
        </w:tc>
        <w:tc>
          <w:tcPr/>
          <w:p>
            <w:pPr>
              <w:pStyle w:val="Compact"/>
              <w:jc w:val="left"/>
            </w:pPr>
            <w:r>
              <w:t xml:space="preserve">90 Tage</w:t>
            </w:r>
          </w:p>
        </w:tc>
        <w:tc>
          <w:tcPr/>
          <w:p>
            <w:pPr>
              <w:pStyle w:val="Compact"/>
              <w:jc w:val="left"/>
            </w:pPr>
            <w:r>
              <w:t xml:space="preserve">nach Zwischenauswertung ohne Nutzen beim Hauptendpunkt abgebrochen; frühe Besserung auf der NIHSS häufiger</w:t>
            </w:r>
          </w:p>
        </w:tc>
      </w:tr>
      <w:tr>
        <w:tc>
          <w:tcPr/>
          <w:p>
            <w:pPr>
              <w:pStyle w:val="Compact"/>
              <w:jc w:val="left"/>
            </w:pPr>
            <w:r>
              <w:t xml:space="preserve">CARS (Muresanu 2016), PMID 26564102</w:t>
            </w:r>
          </w:p>
        </w:tc>
        <w:tc>
          <w:tcPr/>
          <w:p>
            <w:pPr>
              <w:pStyle w:val="Compact"/>
              <w:jc w:val="left"/>
            </w:pPr>
            <w:r>
              <w:t xml:space="preserve">Personen in früher Reha, doppelblind gegen Placebo</w:t>
            </w:r>
          </w:p>
        </w:tc>
        <w:tc>
          <w:tcPr/>
          <w:p>
            <w:pPr>
              <w:pStyle w:val="Compact"/>
              <w:jc w:val="left"/>
            </w:pPr>
            <w:r>
              <w:t xml:space="preserve">90 Tage</w:t>
            </w:r>
          </w:p>
        </w:tc>
        <w:tc>
          <w:tcPr/>
          <w:p>
            <w:pPr>
              <w:pStyle w:val="Compact"/>
              <w:jc w:val="left"/>
            </w:pPr>
            <w:r>
              <w:t xml:space="preserve">Armfunktion (ARAT) deutlich besser: MW 0,71</w:t>
            </w:r>
          </w:p>
        </w:tc>
      </w:tr>
      <w:tr>
        <w:tc>
          <w:tcPr/>
          <w:p>
            <w:pPr>
              <w:pStyle w:val="Compact"/>
              <w:jc w:val="left"/>
            </w:pPr>
            <w:r>
              <w:t xml:space="preserve">Gharagozli 2017, PMID 29075343</w:t>
            </w:r>
          </w:p>
        </w:tc>
        <w:tc>
          <w:tcPr/>
          <w:p>
            <w:pPr>
              <w:pStyle w:val="Compact"/>
              <w:jc w:val="left"/>
            </w:pPr>
            <w:r>
              <w:t xml:space="preserve">100 Personen, doppelblind gegen Placebo</w:t>
            </w:r>
          </w:p>
        </w:tc>
        <w:tc>
          <w:tcPr/>
          <w:p>
            <w:pPr>
              <w:pStyle w:val="Compact"/>
              <w:jc w:val="left"/>
            </w:pPr>
            <w:r>
              <w:t xml:space="preserve">30 Tage</w:t>
            </w:r>
          </w:p>
        </w:tc>
        <w:tc>
          <w:tcPr/>
          <w:p>
            <w:pPr>
              <w:pStyle w:val="Compact"/>
              <w:jc w:val="left"/>
            </w:pPr>
            <w:r>
              <w:t xml:space="preserve">NIHSS besser: MW 0,66</w:t>
            </w:r>
          </w:p>
        </w:tc>
      </w:tr>
      <w:tr>
        <w:tc>
          <w:tcPr/>
          <w:p>
            <w:pPr>
              <w:pStyle w:val="Compact"/>
              <w:jc w:val="left"/>
            </w:pPr>
            <w:r>
              <w:t xml:space="preserve">CEREHETIS (Khasanova 2023), PMID 36973684</w:t>
            </w:r>
          </w:p>
        </w:tc>
        <w:tc>
          <w:tcPr/>
          <w:p>
            <w:pPr>
              <w:pStyle w:val="Compact"/>
              <w:jc w:val="left"/>
            </w:pPr>
            <w:r>
              <w:t xml:space="preserve">341 Personen mit Thrombolyse, offen randomisiert</w:t>
            </w:r>
          </w:p>
        </w:tc>
        <w:tc>
          <w:tcPr/>
          <w:p>
            <w:pPr>
              <w:pStyle w:val="Compact"/>
              <w:jc w:val="left"/>
            </w:pPr>
            <w:r>
              <w:t xml:space="preserve">90 Tage</w:t>
            </w:r>
          </w:p>
        </w:tc>
        <w:tc>
          <w:tcPr/>
          <w:p>
            <w:pPr>
              <w:pStyle w:val="Compact"/>
              <w:jc w:val="left"/>
            </w:pPr>
            <w:r>
              <w:t xml:space="preserve">weniger symptomatische Einblutungen (OR 0,248); kein Unterschied im mRS nach 90 Tagen</w:t>
            </w:r>
          </w:p>
        </w:tc>
      </w:tr>
    </w:tbl>
    <w:p>
      <w:pPr>
        <w:pStyle w:val="BodyText"/>
      </w:pPr>
      <w:r>
        <w:rPr>
          <w:bCs/>
          <w:b/>
        </w:rPr>
        <w:t xml:space="preserve">CASTA – die größte Studie.</w:t>
      </w:r>
      <w:r>
        <w:t xml:space="preserve"> </w:t>
      </w:r>
      <w:r>
        <w:t xml:space="preserve">Die</w:t>
      </w:r>
      <w:r>
        <w:t xml:space="preserve"> </w:t>
      </w:r>
      <w:r>
        <w:rPr>
          <w:iCs/>
          <w:i/>
        </w:rPr>
        <w:t xml:space="preserve">Cerebrolysin Acute Stroke Treatment in Asia</w:t>
      </w:r>
      <w:r>
        <w:t xml:space="preserve">-Studie wurde vorab mit Studienprotokoll veröffentlicht</w:t>
      </w:r>
      <w:r>
        <w:rPr>
          <w:rStyle w:val="FootnoteReference"/>
        </w:rPr>
        <w:footnoteReference w:id="1662"/>
      </w:r>
      <w:r>
        <w:t xml:space="preserve"> </w:t>
      </w:r>
      <w:r>
        <w:t xml:space="preserve">und ist auf ClinicalTrials.gov registriert</w:t>
      </w:r>
      <w:r>
        <w:rPr>
          <w:rStyle w:val="FootnoteReference"/>
        </w:rPr>
        <w:footnoteReference w:id="1663"/>
      </w:r>
      <w:r>
        <w:t xml:space="preserve">. 1.070 Personen mit akutem Schlaganfall erhielten innerhalb von zwölf Stunden zehn Tage lang Cerebrolysin oder Kochsalzlösung, jeweils zusätzlich zu Aspirin. Der vorab festgelegte Hauptendpunkt – eine Kombination aus modifizierter Rankin-Skala (mRS, Grad der Behinderung), Barthel-Index (Selbstständigkeit im Alltag) und NIHSS (Schwere der neurologischen Ausfälle) nach 90 Tagen – zeigte</w:t>
      </w:r>
      <w:r>
        <w:t xml:space="preserve"> </w:t>
      </w:r>
      <w:r>
        <w:rPr>
          <w:bCs/>
          <w:b/>
        </w:rPr>
        <w:t xml:space="preserve">keinen Unterschied</w:t>
      </w:r>
      <w:r>
        <w:t xml:space="preserve">. In einer nachträglichen Auswertung der schwerer Betroffenen (NIHSS über 12) lag die Sterblichkeit nach 90 Tagen bei 10,5 % unter Cerebrolysin gegenüber 20,2 % unter Placebo</w:t>
      </w:r>
      <w:r>
        <w:rPr>
          <w:rStyle w:val="FootnoteReference"/>
        </w:rPr>
        <w:footnoteReference w:id="1664"/>
      </w:r>
      <w:r>
        <w:t xml:space="preserve">. Die Autoren selbst schreiben, dass dieser Befund in einer weiteren Studie bestätigt werden müsste. Eine solche große, gezielt bei schweren Schlaganfällen durchgeführte Bestätigungsstudie ist bis heute nicht veröffentlicht.</w:t>
      </w:r>
    </w:p>
    <w:p>
      <w:pPr>
        <w:pStyle w:val="BodyText"/>
      </w:pPr>
      <w:r>
        <w:rPr>
          <w:bCs/>
          <w:b/>
        </w:rPr>
        <w:t xml:space="preserve">Zusammen mit der Thrombolyse.</w:t>
      </w:r>
      <w:r>
        <w:t xml:space="preserve"> </w:t>
      </w:r>
      <w:r>
        <w:t xml:space="preserve">In einer Studie mit 119 Personen wurde Cerebrolysin eine Stunde nach der Thrombolyse begonnen. Nach der dritten Zwischenauswertung zeigte sich beim Hauptendpunkt (mRS nach 90 Tagen) kein Vorteil, und die Studie wurde beendet. In den ersten 30 Tagen besserten sich unter Cerebrolysin mehr Personen auf der NIHSS deutlich</w:t>
      </w:r>
      <w:r>
        <w:rPr>
          <w:rStyle w:val="FootnoteReference"/>
        </w:rPr>
        <w:footnoteReference w:id="1665"/>
      </w:r>
      <w:r>
        <w:t xml:space="preserve">. Dieses Muster – frühe Verbesserungen auf neurologischen Skalen, aber kein klarer Unterschied bei der Behinderung nach drei Monaten – zieht sich durch mehrere Studien. Die CEREHETIS-Studie fand bei 341 Personen weniger symptomatische Einblutungen nach der Thrombolyse, aber ebenfalls keinen Unterschied im mRS nach 90 Tagen; sie war offen, also nicht verblindet</w:t>
      </w:r>
      <w:r>
        <w:rPr>
          <w:rStyle w:val="FootnoteReference"/>
        </w:rPr>
        <w:footnoteReference w:id="1666"/>
      </w:r>
      <w:r>
        <w:t xml:space="preserve">.</w:t>
      </w:r>
    </w:p>
    <w:p>
      <w:pPr>
        <w:pStyle w:val="BodyText"/>
      </w:pPr>
      <w:r>
        <w:rPr>
          <w:bCs/>
          <w:b/>
        </w:rPr>
        <w:t xml:space="preserve">Thrombektomie.</w:t>
      </w:r>
      <w:r>
        <w:t xml:space="preserve"> </w:t>
      </w:r>
      <w:r>
        <w:t xml:space="preserve">Eine Studie verglich 50 Personen, die nach Katheterbehandlung Cerebrolysin bekamen, mit 50 früher behandelten Personen (historische Kontrollen). Nach 90 Tagen waren 68 % gegenüber 44 % funktionell unabhängig (mRS 0–2), sekundäre Hirnblutungen traten seltener auf</w:t>
      </w:r>
      <w:r>
        <w:rPr>
          <w:rStyle w:val="FootnoteReference"/>
        </w:rPr>
        <w:footnoteReference w:id="1667"/>
      </w:r>
      <w:r>
        <w:t xml:space="preserve">. Ohne Randomisierung und mit Vergleich gegen frühere Patientinnen und Patienten ist das allerdings nur ein Hinweis; die Autoren fordern selbst randomisierte Studien.</w:t>
      </w:r>
    </w:p>
    <w:bookmarkEnd w:id="1668"/>
    <w:bookmarkStart w:id="1675" w:name="X8c9da36b5e6057897fdb746e201dd5ac9166d06"/>
    <w:p>
      <w:pPr>
        <w:pStyle w:val="Heading4"/>
      </w:pPr>
      <w:r>
        <w:t xml:space="preserve">Rehabilitation nach Schlaganfall: CARS und Folgestudien</w:t>
      </w:r>
    </w:p>
    <w:p>
      <w:pPr>
        <w:pStyle w:val="FirstParagraph"/>
      </w:pPr>
      <w:r>
        <w:t xml:space="preserve">Ein zweiter Ansatz setzt nicht in den ersten Stunden an, sondern in der frühen Rehabilitation: Cerebrolysin soll das Gehirn „lernfähiger“ machen, während gleichzeitig Physiotherapie stattfindet.</w:t>
      </w:r>
    </w:p>
    <w:p>
      <w:pPr>
        <w:pStyle w:val="BodyText"/>
      </w:pPr>
      <w:r>
        <w:t xml:space="preserve">Die</w:t>
      </w:r>
      <w:r>
        <w:t xml:space="preserve"> </w:t>
      </w:r>
      <w:r>
        <w:rPr>
          <w:bCs/>
          <w:b/>
        </w:rPr>
        <w:t xml:space="preserve">CARS-Studie</w:t>
      </w:r>
      <w:r>
        <w:t xml:space="preserve"> </w:t>
      </w:r>
      <w:r>
        <w:t xml:space="preserve">(</w:t>
      </w:r>
      <w:r>
        <w:rPr>
          <w:iCs/>
          <w:i/>
        </w:rPr>
        <w:t xml:space="preserve">Cerebrolysin and Recovery After Stroke</w:t>
      </w:r>
      <w:r>
        <w:t xml:space="preserve">) behandelte Personen 24 bis 72 Stunden nach dem Schlaganfall 21 Tage lang mit Cerebrolysin oder Placebo, zusätzlich zu einem standardisierten Reha-Programm. Beim Hauptendpunkt, dem Action Research Arm Test (ARAT) für die Armfunktion nach 90 Tagen, zeigte sich ein großer Vorteil (MW 0,71; 95-%-Konfidenzintervall 0,63–0,79); über zwölf Skalen hinweg ein kleiner bis mittlerer Vorteil (MW 0,62)</w:t>
      </w:r>
      <w:r>
        <w:rPr>
          <w:rStyle w:val="FootnoteReference"/>
        </w:rPr>
        <w:footnoteReference w:id="1669"/>
      </w:r>
      <w:r>
        <w:t xml:space="preserve">. Die Autoren bezeichnen die Studie ausdrücklich als explorativ mit relativ kleiner Fallzahl. Eine vorab geplante gemeinsame Auswertung mit der gleich aufgebauten Studie CARS-2 (insgesamt 442 Personen) ergab für den ARAT einen MW von 0,62</w:t>
      </w:r>
      <w:r>
        <w:rPr>
          <w:rStyle w:val="FootnoteReference"/>
        </w:rPr>
        <w:footnoteReference w:id="1670"/>
      </w:r>
      <w:r>
        <w:t xml:space="preserve">.</w:t>
      </w:r>
    </w:p>
    <w:p>
      <w:pPr>
        <w:pStyle w:val="BodyText"/>
      </w:pPr>
      <w:r>
        <w:t xml:space="preserve">Weitere kleinere Studien zeigen ein gemischtes Bild:</w:t>
      </w:r>
    </w:p>
    <w:p>
      <w:pPr>
        <w:numPr>
          <w:ilvl w:val="0"/>
          <w:numId w:val="1204"/>
        </w:numPr>
        <w:pStyle w:val="Compact"/>
      </w:pPr>
      <w:r>
        <w:t xml:space="preserve">Eine Studie mit 60 Personen fand große Vorteile auf der NIHSS nach 10 und 30 Tagen</w:t>
      </w:r>
      <w:r>
        <w:rPr>
          <w:rStyle w:val="FootnoteReference"/>
        </w:rPr>
        <w:footnoteReference w:id="1671"/>
      </w:r>
      <w:r>
        <w:t xml:space="preserve">.</w:t>
      </w:r>
    </w:p>
    <w:p>
      <w:pPr>
        <w:numPr>
          <w:ilvl w:val="0"/>
          <w:numId w:val="1204"/>
        </w:numPr>
        <w:pStyle w:val="Compact"/>
      </w:pPr>
      <w:r>
        <w:t xml:space="preserve">Eine Studie mit 70 Personen fand</w:t>
      </w:r>
      <w:r>
        <w:t xml:space="preserve"> </w:t>
      </w:r>
      <w:r>
        <w:rPr>
          <w:bCs/>
          <w:b/>
        </w:rPr>
        <w:t xml:space="preserve">keinen</w:t>
      </w:r>
      <w:r>
        <w:t xml:space="preserve"> </w:t>
      </w:r>
      <w:r>
        <w:t xml:space="preserve">Unterschied in der Motorik insgesamt; nur in der Untergruppe mit schwerer Lähmung schnitt Cerebrolysin besser ab</w:t>
      </w:r>
      <w:r>
        <w:rPr>
          <w:rStyle w:val="FootnoteReference"/>
        </w:rPr>
        <w:footnoteReference w:id="1672"/>
      </w:r>
      <w:r>
        <w:t xml:space="preserve">.</w:t>
      </w:r>
    </w:p>
    <w:p>
      <w:pPr>
        <w:numPr>
          <w:ilvl w:val="0"/>
          <w:numId w:val="1204"/>
        </w:numPr>
        <w:pStyle w:val="Compact"/>
      </w:pPr>
      <w:r>
        <w:t xml:space="preserve">Die rumänische ESCAS-Pilotstudie bei Sprachstörungen (nicht flüssige Aphasie) mit 132 Personen kombinierte Cerebrolysin mit Sprachtherapie. Nach 90 Tagen verbesserte sich die Sprachfunktion im Western Aphasia Battery um rund 35,6 Punkte gegenüber 20,8 Punkten unter Placebo</w:t>
      </w:r>
      <w:r>
        <w:rPr>
          <w:rStyle w:val="FootnoteReference"/>
        </w:rPr>
        <w:footnoteReference w:id="1673"/>
      </w:r>
      <w:r>
        <w:t xml:space="preserve">.</w:t>
      </w:r>
    </w:p>
    <w:p>
      <w:pPr>
        <w:pStyle w:val="FirstParagraph"/>
      </w:pPr>
      <w:r>
        <w:t xml:space="preserve">Eine Leitlinie der European Academy of Neurology und der Europäischen Föderation der Neurorehabilitationsgesellschaften empfahl 2021 auf Basis einer Meta-Analyse Cerebrolysin – neben dem Antidepressivum Citalopram – zur Unterstützung der frühen motorischen Rehabilitation nach ischämischem Schlaganfall</w:t>
      </w:r>
      <w:r>
        <w:rPr>
          <w:rStyle w:val="FootnoteReference"/>
        </w:rPr>
        <w:footnoteReference w:id="1674"/>
      </w:r>
      <w:r>
        <w:t xml:space="preserve">. Andere große Leitlinien, etwa in den USA, enthalten keine solche Empfehlung.</w:t>
      </w:r>
    </w:p>
    <w:bookmarkEnd w:id="1675"/>
    <w:bookmarkStart w:id="1680" w:name="X88ae0d8fdd871b35280e82eff99e98653ffc627"/>
    <w:p>
      <w:pPr>
        <w:pStyle w:val="Heading4"/>
      </w:pPr>
      <w:r>
        <w:t xml:space="preserve">Die Meta-Analysen: zwei Lesarten derselben Daten</w:t>
      </w:r>
    </w:p>
    <w:p>
      <w:pPr>
        <w:pStyle w:val="FirstParagraph"/>
      </w:pPr>
      <w:r>
        <w:t xml:space="preserve">Bei Cerebrolysin klaffen die Zusammenfassungen auseinander – je nachdem, wer sie verfasst hat und welche Endpunkte im Mittelpunkt stehen.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Übersicht</w:t>
            </w:r>
          </w:p>
        </w:tc>
        <w:tc>
          <w:tcPr/>
          <w:p>
            <w:pPr>
              <w:pStyle w:val="Compact"/>
              <w:jc w:val="left"/>
            </w:pPr>
            <w:r>
              <w:t xml:space="preserve">Einbezogene Daten</w:t>
            </w:r>
          </w:p>
        </w:tc>
        <w:tc>
          <w:tcPr/>
          <w:p>
            <w:pPr>
              <w:pStyle w:val="Compact"/>
              <w:jc w:val="left"/>
            </w:pPr>
            <w:r>
              <w:t xml:space="preserve">Kernaussage</w:t>
            </w:r>
          </w:p>
        </w:tc>
      </w:tr>
      <w:tr>
        <w:tc>
          <w:tcPr/>
          <w:p>
            <w:pPr>
              <w:pStyle w:val="Compact"/>
              <w:jc w:val="left"/>
            </w:pPr>
            <w:r>
              <w:t xml:space="preserve">Cochrane (Ziganshina 2023), PMID 37818733</w:t>
            </w:r>
          </w:p>
        </w:tc>
        <w:tc>
          <w:tcPr/>
          <w:p>
            <w:pPr>
              <w:pStyle w:val="Compact"/>
              <w:jc w:val="left"/>
            </w:pPr>
            <w:r>
              <w:t xml:space="preserve">7 RCTs, 1.773 Personen, Beginn innerhalb 48 h</w:t>
            </w:r>
          </w:p>
        </w:tc>
        <w:tc>
          <w:tcPr/>
          <w:p>
            <w:pPr>
              <w:pStyle w:val="Compact"/>
              <w:jc w:val="left"/>
            </w:pPr>
            <w:r>
              <w:t xml:space="preserve">kein Einfluss auf die Sterblichkeit (RR 0,96); mehr nicht tödliche schwere Nebenwirkungen (RR 2,39)</w:t>
            </w:r>
          </w:p>
        </w:tc>
      </w:tr>
      <w:tr>
        <w:tc>
          <w:tcPr/>
          <w:p>
            <w:pPr>
              <w:pStyle w:val="Compact"/>
              <w:jc w:val="left"/>
            </w:pPr>
            <w:r>
              <w:t xml:space="preserve">Bornstein 2018, PMID 29248999</w:t>
            </w:r>
          </w:p>
        </w:tc>
        <w:tc>
          <w:tcPr/>
          <w:p>
            <w:pPr>
              <w:pStyle w:val="Compact"/>
              <w:jc w:val="left"/>
            </w:pPr>
            <w:r>
              <w:t xml:space="preserve">9 RCTs, 1.879 Personen</w:t>
            </w:r>
          </w:p>
        </w:tc>
        <w:tc>
          <w:tcPr/>
          <w:p>
            <w:pPr>
              <w:pStyle w:val="Compact"/>
              <w:jc w:val="left"/>
            </w:pPr>
            <w:r>
              <w:t xml:space="preserve">NIHSS nach 30 Tagen besser (MW 0,60); NNT 7,7 für klinisch relevante Besserung</w:t>
            </w:r>
          </w:p>
        </w:tc>
      </w:tr>
      <w:tr>
        <w:tc>
          <w:tcPr/>
          <w:p>
            <w:pPr>
              <w:pStyle w:val="Compact"/>
              <w:jc w:val="left"/>
            </w:pPr>
            <w:r>
              <w:t xml:space="preserve">Zhang 2017, PMID 28656143</w:t>
            </w:r>
          </w:p>
        </w:tc>
        <w:tc>
          <w:tcPr/>
          <w:p>
            <w:pPr>
              <w:pStyle w:val="Compact"/>
              <w:jc w:val="left"/>
            </w:pPr>
            <w:r>
              <w:t xml:space="preserve">7 RCTs, 1.779 Personen</w:t>
            </w:r>
          </w:p>
        </w:tc>
        <w:tc>
          <w:tcPr/>
          <w:p>
            <w:pPr>
              <w:pStyle w:val="Compact"/>
              <w:jc w:val="left"/>
            </w:pPr>
            <w:r>
              <w:t xml:space="preserve">keine Überlegenheit bei mRS und Barthel-Index; Sicherheit neutral</w:t>
            </w:r>
          </w:p>
        </w:tc>
      </w:tr>
      <w:tr>
        <w:tc>
          <w:tcPr/>
          <w:p>
            <w:pPr>
              <w:pStyle w:val="Compact"/>
              <w:jc w:val="left"/>
            </w:pPr>
            <w:r>
              <w:t xml:space="preserve">Patel 2025, PMID 41018475</w:t>
            </w:r>
          </w:p>
        </w:tc>
        <w:tc>
          <w:tcPr/>
          <w:p>
            <w:pPr>
              <w:pStyle w:val="Compact"/>
              <w:jc w:val="left"/>
            </w:pPr>
            <w:r>
              <w:t xml:space="preserve">14 RCTs, 2.884 Personen</w:t>
            </w:r>
          </w:p>
        </w:tc>
        <w:tc>
          <w:tcPr/>
          <w:p>
            <w:pPr>
              <w:pStyle w:val="Compact"/>
              <w:jc w:val="left"/>
            </w:pPr>
            <w:r>
              <w:t xml:space="preserve">NIHSS-Besserung um 1,39 Punkte mehr; funktionelle Unabhängigkeit nicht signifikant (RR 1,31)</w:t>
            </w:r>
          </w:p>
        </w:tc>
      </w:tr>
    </w:tbl>
    <w:p>
      <w:pPr>
        <w:pStyle w:val="BodyText"/>
      </w:pPr>
      <w:r>
        <w:t xml:space="preserve">Die</w:t>
      </w:r>
      <w:r>
        <w:t xml:space="preserve"> </w:t>
      </w:r>
      <w:r>
        <w:rPr>
          <w:bCs/>
          <w:b/>
        </w:rPr>
        <w:t xml:space="preserve">Cochrane-Übersicht</w:t>
      </w:r>
      <w:r>
        <w:t xml:space="preserve"> </w:t>
      </w:r>
      <w:r>
        <w:t xml:space="preserve">– eine unabhängige, methodisch strenge Form der Zusammenfassung – wurde seit 2010 mehrfach aktualisiert. Die Fassung von 2020 umfasste sieben randomisierte Studien mit 1.601 Personen und fand keinen Effekt auf die Sterblichkeit (RR 0,90; 95-%-KI 0,61–1,32). Die Gesamtzahl schwerer unerwünschter Ereignisse unterschied sich nicht wesentlich, die Zahl der Personen mit</w:t>
      </w:r>
      <w:r>
        <w:t xml:space="preserve"> </w:t>
      </w:r>
      <w:r>
        <w:rPr>
          <w:bCs/>
          <w:b/>
        </w:rPr>
        <w:t xml:space="preserve">nicht tödlichen</w:t>
      </w:r>
      <w:r>
        <w:t xml:space="preserve"> </w:t>
      </w:r>
      <w:r>
        <w:t xml:space="preserve">schweren unerwünschten Ereignissen war unter Cerebrolysin jedoch höher (RR 2,15; 95-%-KI 1,01–4,55)</w:t>
      </w:r>
      <w:r>
        <w:rPr>
          <w:rStyle w:val="FootnoteReference"/>
        </w:rPr>
        <w:footnoteReference w:id="1676"/>
      </w:r>
      <w:r>
        <w:t xml:space="preserve">. Die Aktualisierung von 2023 nahm eine Studie mit dem russischen Rinderhirn-Präparat Cortexin hinzu (insgesamt 1.773 Personen) und bestätigte diese Aussagen: keine Wirkung auf die Sterblichkeit (RR 0,96), mehr nicht tödliche schwere Ereignisse (RR 2,39; 95-%-KI 1,10–5,23), bei einem Behandlungsschema über zehn Tage noch ausgeprägter</w:t>
      </w:r>
      <w:r>
        <w:rPr>
          <w:rStyle w:val="FootnoteReference"/>
        </w:rPr>
        <w:footnoteReference w:id="1677"/>
      </w:r>
      <w:r>
        <w:t xml:space="preserve">. Die Cochrane-Autorinnen und -Autoren bewerteten das Verzerrungsrisiko vieler Studien als unklar oder hoch und wiesen darauf hin, dass der Hersteller mehrere der großen Studien unterstützt hatte. Wichtig: Keine der einbezogenen Studien berichtete den aus Patientensicht entscheidenden Endpunkt „Tod oder Pflegebedürftigkeit“ in der Form, die der Review vorsah.</w:t>
      </w:r>
    </w:p>
    <w:p>
      <w:pPr>
        <w:pStyle w:val="BodyText"/>
      </w:pPr>
      <w:r>
        <w:t xml:space="preserve">Die</w:t>
      </w:r>
      <w:r>
        <w:t xml:space="preserve"> </w:t>
      </w:r>
      <w:r>
        <w:rPr>
          <w:bCs/>
          <w:b/>
        </w:rPr>
        <w:t xml:space="preserve">herstellernahen Meta-Analysen</w:t>
      </w:r>
      <w:r>
        <w:t xml:space="preserve"> </w:t>
      </w:r>
      <w:r>
        <w:t xml:space="preserve">betrachten dagegen vor allem die frühe neurologische Besserung auf der NIHSS und finden dort einen moderaten Vorteil</w:t>
      </w:r>
      <w:r>
        <w:rPr>
          <w:rStyle w:val="FootnoteReference"/>
        </w:rPr>
        <w:footnoteReference w:id="1678"/>
      </w:r>
      <w:r>
        <w:t xml:space="preserve">. Eine Sicherheits-Meta-Analyse mit zwölf Studien und 2.202 Personen fand keine signifikanten Unterschiede zu Placebo bei Nebenwirkungen</w:t>
      </w:r>
      <w:r>
        <w:rPr>
          <w:rStyle w:val="FootnoteReference"/>
        </w:rPr>
        <w:footnoteReference w:id="1679"/>
      </w:r>
      <w:r>
        <w:t xml:space="preserve"> </w:t>
      </w:r>
      <w:r>
        <w:t xml:space="preserve">– im Gegensatz zum Cochrane-Signal, das allerdings auf wenigen Ereignissen beruht.</w:t>
      </w:r>
    </w:p>
    <w:p>
      <w:pPr>
        <w:pStyle w:val="BodyText"/>
      </w:pPr>
      <w:r>
        <w:t xml:space="preserve">Wie lässt sich das zusammenführen? Die ehrliche Antwort lautet: Cerebrolysin verbessert in mehreren Studien die neurologischen Skalenwerte in den ersten Wochen. Ob daraus weniger bleibende Behinderung, weniger Pflegebedürftigkeit oder ein längeres Leben folgen, ist nicht belegt. Für das Signal bei nicht tödlichen schweren Nebenwirkungen fehlt eine schlüssige Erklärung; es beruht auf wenigen Ereignissen und ist deshalb unsicher, aber es wurde in zwei Cochrane-Fassungen gefunden.</w:t>
      </w:r>
    </w:p>
    <w:bookmarkEnd w:id="1680"/>
    <w:bookmarkStart w:id="1682" w:name="registerdaten-aus-dem-alltag"/>
    <w:p>
      <w:pPr>
        <w:pStyle w:val="Heading4"/>
      </w:pPr>
      <w:r>
        <w:t xml:space="preserve">Registerdaten aus dem Alltag</w:t>
      </w:r>
    </w:p>
    <w:p>
      <w:pPr>
        <w:pStyle w:val="FirstParagraph"/>
      </w:pPr>
      <w:r>
        <w:t xml:space="preserve">Der Hersteller hat zusätzlich große Beobachtungsstudien finanziert. Die Registerstudie C-REGS2 erfasste in 16 Ländern 1.865 Personen mit mittelschwerem Schlaganfall; ausgewertet wurden 1.769 (1.021 mit Cerebrolysin, 748 ohne). Nach 90 Tagen schnitt die Cerebrolysin-Gruppe in der modifizierten Rankin-Skala besser ab (MW 0,6157)</w:t>
      </w:r>
      <w:r>
        <w:rPr>
          <w:rStyle w:val="FootnoteReference"/>
        </w:rPr>
        <w:footnoteReference w:id="1681"/>
      </w:r>
      <w:r>
        <w:t xml:space="preserve">. Die Studie verwendet anspruchsvolle statistische Verfahren, um die Gruppen vergleichbar zu machen. Sie bleibt aber eine Beobachtungsstudie: Wer im Alltag Cerebrolysin bekommt, unterscheidet sich möglicherweise in Behandlung, Klinik oder Land von denen, die es nicht bekommen. Eine Randomisierung kann sie nicht ersetzen.</w:t>
      </w:r>
    </w:p>
    <w:bookmarkEnd w:id="1682"/>
    <w:bookmarkStart w:id="1686" w:name="hirnblutung-und-subarachnoidalblutung"/>
    <w:p>
      <w:pPr>
        <w:pStyle w:val="Heading4"/>
      </w:pPr>
      <w:r>
        <w:t xml:space="preserve">Hirnblutung und Subarachnoidalblutung</w:t>
      </w:r>
    </w:p>
    <w:p>
      <w:pPr>
        <w:pStyle w:val="FirstParagraph"/>
      </w:pPr>
      <w:r>
        <w:t xml:space="preserve">Bei Hirnblutungen fand eine Studie mit 100 Personen nach 21 Tagen keine signifikanten Unterschiede, aber auch keine Sicherheitsprobleme</w:t>
      </w:r>
      <w:r>
        <w:rPr>
          <w:rStyle w:val="FootnoteReference"/>
        </w:rPr>
        <w:footnoteReference w:id="1683"/>
      </w:r>
      <w:r>
        <w:t xml:space="preserve">. Bei Blutungen aus einer Hirngefäß-Aussackung (aneurysmatische Subarachnoidalblutung) zeigte eine doppelblinde Pilotstudie mit 50 Personen nach sechs Monaten keinen Unterschied im funktionellen Ergebnis</w:t>
      </w:r>
      <w:r>
        <w:rPr>
          <w:rStyle w:val="FootnoteReference"/>
        </w:rPr>
        <w:footnoteReference w:id="1684"/>
      </w:r>
      <w:r>
        <w:t xml:space="preserve">. Eine Pilotstudie zu Blutungen in den Hirnlappen (CLINCH) ist geplant bzw. läuft</w:t>
      </w:r>
      <w:r>
        <w:rPr>
          <w:rStyle w:val="FootnoteReference"/>
        </w:rPr>
        <w:footnoteReference w:id="1685"/>
      </w:r>
      <w:r>
        <w:t xml:space="preserve">.</w:t>
      </w:r>
    </w:p>
    <w:bookmarkEnd w:id="1686"/>
    <w:bookmarkStart w:id="1688" w:name="schädel-hirn-trauma-captain"/>
    <w:p>
      <w:pPr>
        <w:pStyle w:val="Heading4"/>
      </w:pPr>
      <w:r>
        <w:t xml:space="preserve">Schädel-Hirn-Trauma: CAPTAIN</w:t>
      </w:r>
    </w:p>
    <w:p>
      <w:pPr>
        <w:pStyle w:val="FirstParagraph"/>
      </w:pPr>
      <w:r>
        <w:t xml:space="preserve">Beim mittelschweren bis schweren Schädel-Hirn-Trauma prüften zwei Studien Cerebrolysin zusätzlich zur Standardbehandlung: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CAPTAIN I (Poon 2020), PMID 31494820</w:t>
            </w:r>
          </w:p>
        </w:tc>
        <w:tc>
          <w:tcPr/>
          <w:p>
            <w:pPr>
              <w:pStyle w:val="Compact"/>
              <w:jc w:val="left"/>
            </w:pPr>
            <w:r>
              <w:t xml:space="preserve">46 Personen, doppelblind gegen Placebo, mehrere Zentren</w:t>
            </w:r>
          </w:p>
        </w:tc>
        <w:tc>
          <w:tcPr/>
          <w:p>
            <w:pPr>
              <w:pStyle w:val="Compact"/>
              <w:jc w:val="left"/>
            </w:pPr>
            <w:r>
              <w:t xml:space="preserve">90 Tage</w:t>
            </w:r>
          </w:p>
        </w:tc>
        <w:tc>
          <w:tcPr/>
          <w:p>
            <w:pPr>
              <w:pStyle w:val="Compact"/>
              <w:jc w:val="left"/>
            </w:pPr>
            <w:r>
              <w:t xml:space="preserve">Hauptendpunkt knapp verfehlt (ITT: MW 0,63); in der Per-Protokoll-Analyse signifikant</w:t>
            </w:r>
          </w:p>
        </w:tc>
      </w:tr>
      <w:tr>
        <w:tc>
          <w:tcPr/>
          <w:p>
            <w:pPr>
              <w:pStyle w:val="Compact"/>
              <w:jc w:val="left"/>
            </w:pPr>
            <w:r>
              <w:t xml:space="preserve">CAPTAIN II (Muresanu 2020), PMID 31897941</w:t>
            </w:r>
          </w:p>
        </w:tc>
        <w:tc>
          <w:tcPr/>
          <w:p>
            <w:pPr>
              <w:pStyle w:val="Compact"/>
              <w:jc w:val="left"/>
            </w:pPr>
            <w:r>
              <w:t xml:space="preserve">142 Personen (139 ausgewertet), doppelblind, ein Zentrum</w:t>
            </w:r>
          </w:p>
        </w:tc>
        <w:tc>
          <w:tcPr/>
          <w:p>
            <w:pPr>
              <w:pStyle w:val="Compact"/>
              <w:jc w:val="left"/>
            </w:pPr>
            <w:r>
              <w:t xml:space="preserve">90 Tage</w:t>
            </w:r>
          </w:p>
        </w:tc>
        <w:tc>
          <w:tcPr/>
          <w:p>
            <w:pPr>
              <w:pStyle w:val="Compact"/>
              <w:jc w:val="left"/>
            </w:pPr>
            <w:r>
              <w:t xml:space="preserve">kleiner bis mittlerer Vorteil im kombinierten Endpunkt aus 13 Skalen (MW 0,59)</w:t>
            </w:r>
          </w:p>
        </w:tc>
      </w:tr>
      <w:tr>
        <w:tc>
          <w:tcPr/>
          <w:p>
            <w:pPr>
              <w:pStyle w:val="Compact"/>
              <w:jc w:val="left"/>
            </w:pPr>
            <w:r>
              <w:t xml:space="preserve">CAPTAIN-Meta-Analyse (Vester 2021), PMID 33620612</w:t>
            </w:r>
          </w:p>
        </w:tc>
        <w:tc>
          <w:tcPr/>
          <w:p>
            <w:pPr>
              <w:pStyle w:val="Compact"/>
              <w:jc w:val="left"/>
            </w:pPr>
            <w:r>
              <w:t xml:space="preserve">185 Personen aus beiden Studien</w:t>
            </w:r>
          </w:p>
        </w:tc>
        <w:tc>
          <w:tcPr/>
          <w:p>
            <w:pPr>
              <w:pStyle w:val="Compact"/>
              <w:jc w:val="left"/>
            </w:pPr>
            <w:r>
              <w:t xml:space="preserve">90 Tage</w:t>
            </w:r>
          </w:p>
        </w:tc>
        <w:tc>
          <w:tcPr/>
          <w:p>
            <w:pPr>
              <w:pStyle w:val="Compact"/>
              <w:jc w:val="left"/>
            </w:pPr>
            <w:r>
              <w:t xml:space="preserve">MW 0,60 nach 30 und 90 Tagen</w:t>
            </w:r>
          </w:p>
        </w:tc>
      </w:tr>
    </w:tbl>
    <w:p>
      <w:pPr>
        <w:pStyle w:val="BodyText"/>
      </w:pPr>
      <w:r>
        <w:t xml:space="preserve">CAPTAIN I wurde mit nur 46 Teilnehmenden vorzeitig beendet (NCT01606111, Registerstatus „abgebrochen“). Weitere Meta-Analysen zum Schädel-Hirn-Trauma beruhen überwiegend auf Beobachtungsstudien und fanden bessere Werte in der Glasgow Outcome Scale, aber keinen Einfluss auf die Sterblichkeit</w:t>
      </w:r>
      <w:r>
        <w:rPr>
          <w:rStyle w:val="FootnoteReference"/>
        </w:rPr>
        <w:footnoteReference w:id="1687"/>
      </w:r>
      <w:r>
        <w:t xml:space="preserve">. Insgesamt deuten die Daten auf einen möglichen kleinen Vorteil hin; die Zahl der randomisiert untersuchten Personen ist für eine sichere Aussage zu gering.</w:t>
      </w:r>
    </w:p>
    <w:bookmarkEnd w:id="1688"/>
    <w:bookmarkStart w:id="1694" w:name="demenz"/>
    <w:p>
      <w:pPr>
        <w:pStyle w:val="Heading4"/>
      </w:pPr>
      <w:r>
        <w:t xml:space="preserve">Demenz</w:t>
      </w:r>
    </w:p>
    <w:p>
      <w:pPr>
        <w:pStyle w:val="FirstParagraph"/>
      </w:pPr>
      <w:r>
        <w:rPr>
          <w:bCs/>
          <w:b/>
        </w:rPr>
        <w:t xml:space="preserve">Alzheimer-Krankheit.</w:t>
      </w:r>
      <w:r>
        <w:t xml:space="preserve"> </w:t>
      </w:r>
      <w:r>
        <w:t xml:space="preserve">In den 1990er- und 2000er-Jahren wurden mehrere placebokontrollierte Studien durchgeführt. In einer Studie mit 192 Personen war der klinische Gesamteindruck (CIBIC+) nach zwölf Wochen unter Cerebrolysin besser (76 % gegenüber 57 % „Responder“); die Gruppen unterschieden sich allerdings schon zu Beginn in Alter und Halluzinationen</w:t>
      </w:r>
      <w:r>
        <w:rPr>
          <w:rStyle w:val="FootnoteReference"/>
        </w:rPr>
        <w:footnoteReference w:id="1689"/>
      </w:r>
      <w:r>
        <w:t xml:space="preserve">. In einer Studie mit 197 Personen war Cerebrolysin beim Gesamteindruck so wirksam wie das zugelassene Alzheimer-Medikament Donepezil; bei Kognition, Alltagsfunktion und Verhalten gab es keine signifikanten Unterschiede zwischen den Gruppen</w:t>
      </w:r>
      <w:r>
        <w:rPr>
          <w:rStyle w:val="FootnoteReference"/>
        </w:rPr>
        <w:footnoteReference w:id="1690"/>
      </w:r>
      <w:r>
        <w:t xml:space="preserve">. Eine Meta-Analyse von sechs Studien fand einen Vorteil beim klinischen Gesamteindruck nach vier Wochen und sechs Monaten, bei der Kognition aber nur nach vier Wochen, nicht nach sechs Monaten</w:t>
      </w:r>
      <w:r>
        <w:rPr>
          <w:rStyle w:val="FootnoteReference"/>
        </w:rPr>
        <w:footnoteReference w:id="1691"/>
      </w:r>
      <w:r>
        <w:t xml:space="preserve">. An dieser Meta-Analyse waren Forschende beteiligt, die mit dem Hersteller zusammenarbeiten.</w:t>
      </w:r>
    </w:p>
    <w:p>
      <w:pPr>
        <w:pStyle w:val="BodyText"/>
      </w:pPr>
      <w:r>
        <w:rPr>
          <w:bCs/>
          <w:b/>
        </w:rPr>
        <w:t xml:space="preserve">Vaskuläre Demenz.</w:t>
      </w:r>
      <w:r>
        <w:t xml:space="preserve"> </w:t>
      </w:r>
      <w:r>
        <w:t xml:space="preserve">Die größte Studie mit 242 Personen berichtete nach 24 Wochen eine Verbesserung im ADAS-cog+ um 10,6 Punkte gegenüber 4,4 Punkten unter Placebo</w:t>
      </w:r>
      <w:r>
        <w:rPr>
          <w:rStyle w:val="FootnoteReference"/>
        </w:rPr>
        <w:footnoteReference w:id="1692"/>
      </w:r>
      <w:r>
        <w:t xml:space="preserve"> </w:t>
      </w:r>
      <w:r>
        <w:t xml:space="preserve">– ein für Demenzstudien ungewöhnlich großer Effekt. Der Cochrane-Review zur vaskulären Demenz fasste sechs Studien mit 597 Personen zusammen und fand Vorteile bei Kognition und Gesamteindruck, bewertete die Vertrauenswürdigkeit der Evidenz aber als „sehr niedrig“. Die Autorinnen und Autoren schreiben, dass mögliche Effekte zu klein sein könnten, um klinisch bedeutsam zu sein, und dass die Evidenzbasis schwach ist, obwohl Cerebrolysin weiter beworben wird</w:t>
      </w:r>
      <w:r>
        <w:rPr>
          <w:rStyle w:val="FootnoteReference"/>
        </w:rPr>
        <w:footnoteReference w:id="1693"/>
      </w:r>
      <w:r>
        <w:t xml:space="preserve">.</w:t>
      </w:r>
    </w:p>
    <w:bookmarkEnd w:id="1694"/>
    <w:bookmarkStart w:id="1696" w:name="weitere-anwendungen-1"/>
    <w:p>
      <w:pPr>
        <w:pStyle w:val="Heading4"/>
      </w:pPr>
      <w:r>
        <w:t xml:space="preserve">Weitere Anwendungen</w:t>
      </w:r>
    </w:p>
    <w:p>
      <w:pPr>
        <w:pStyle w:val="FirstParagraph"/>
      </w:pPr>
      <w:r>
        <w:t xml:space="preserve">Kleinere Studien gibt es zu ALS (20 Personen, Verbesserung auf der ALS-Funktionsskala nach einem Monat; Firstenfeld 2023, PMID 38585517), zu Frühgeborenen, Kindern mit Zerebralparese, zum Geruchsverlust nach COVID-19 und zu psychiatrischen Erkrankungen. Bei gesunden Männern veränderte Cerebrolysin in einer kleinen Studie mit 48 Teilnehmenden EEG-Muster; beim Kurzzeitgedächtnis zeigte sich unter Placebo ein Trend zu schlechterer Wortwiedergabe in den ersten Stunden, unter Cerebrolysin nicht</w:t>
      </w:r>
      <w:r>
        <w:rPr>
          <w:rStyle w:val="FootnoteReference"/>
        </w:rPr>
        <w:footnoteReference w:id="1695"/>
      </w:r>
      <w:r>
        <w:t xml:space="preserve">. Für die Anwendung als „Nootropikum“ bei Gesunden gibt es keine Belege.</w:t>
      </w:r>
    </w:p>
    <w:bookmarkEnd w:id="1696"/>
    <w:bookmarkEnd w:id="1697"/>
    <w:bookmarkStart w:id="1701" w:name="tier--und-laborstudien-36"/>
    <w:p>
      <w:pPr>
        <w:pStyle w:val="Heading3"/>
      </w:pPr>
      <w:r>
        <w:t xml:space="preserve">Tier- und Laborstudien</w:t>
      </w:r>
    </w:p>
    <w:p>
      <w:pPr>
        <w:numPr>
          <w:ilvl w:val="0"/>
          <w:numId w:val="1205"/>
        </w:numPr>
        <w:pStyle w:val="Compact"/>
      </w:pPr>
      <w:r>
        <w:t xml:space="preserve">Bei Ratten mit künstlich ausgelöstem Schlaganfall verbesserte Cerebrolysin in einer randomisierten, verblindeten Tierstudie dosisabhängig die neurologische Erholung nach 28 Tagen</w:t>
      </w:r>
      <w:r>
        <w:rPr>
          <w:rStyle w:val="FootnoteReference"/>
        </w:rPr>
        <w:footnoteReference w:id="1698"/>
      </w:r>
      <w:r>
        <w:t xml:space="preserve">.</w:t>
      </w:r>
    </w:p>
    <w:p>
      <w:pPr>
        <w:numPr>
          <w:ilvl w:val="0"/>
          <w:numId w:val="1205"/>
        </w:numPr>
        <w:pStyle w:val="Compact"/>
      </w:pPr>
      <w:r>
        <w:t xml:space="preserve">Bei Ratten mit leichter Hirnverletzung verringerte Cerebrolysin Axonschäden und förderte die Neubildung von Nervenzellen im Hippocampus</w:t>
      </w:r>
      <w:r>
        <w:rPr>
          <w:rStyle w:val="FootnoteReference"/>
        </w:rPr>
        <w:footnoteReference w:id="1699"/>
      </w:r>
      <w:r>
        <w:t xml:space="preserve">.</w:t>
      </w:r>
    </w:p>
    <w:p>
      <w:pPr>
        <w:numPr>
          <w:ilvl w:val="0"/>
          <w:numId w:val="1205"/>
        </w:numPr>
        <w:pStyle w:val="Compact"/>
      </w:pPr>
      <w:r>
        <w:t xml:space="preserve">In einem Mausmodell der Erbkrankheit CADASIL verlängerte Cerebrolysin die Lebensdauer und verbesserte das räumliche Gedächtnis, ohne die typischen Veränderungen der weißen Substanz zu beeinflussen</w:t>
      </w:r>
      <w:r>
        <w:rPr>
          <w:rStyle w:val="FootnoteReference"/>
        </w:rPr>
        <w:footnoteReference w:id="1700"/>
      </w:r>
      <w:r>
        <w:t xml:space="preserve">.</w:t>
      </w:r>
    </w:p>
    <w:p>
      <w:pPr>
        <w:pStyle w:val="FirstParagraph"/>
      </w:pPr>
      <w:r>
        <w:t xml:space="preserve">Die präklinischen Studien stammen zu einem erheblichen Teil aus Kooperationen mit dem Hersteller. Gute Tierergebnisse haben sich bei Schlaganfall-Medikamenten bisher selten in klinischen Nutzen übersetzt.</w:t>
      </w:r>
    </w:p>
    <w:bookmarkEnd w:id="1701"/>
    <w:bookmarkStart w:id="1705" w:name="risiken-und-nebenwirkungen-36"/>
    <w:p>
      <w:pPr>
        <w:pStyle w:val="Heading3"/>
      </w:pPr>
      <w:r>
        <w:t xml:space="preserve">Risiken und Nebenwirkungen</w:t>
      </w:r>
    </w:p>
    <w:p>
      <w:pPr>
        <w:pStyle w:val="FirstParagraph"/>
      </w:pPr>
      <w:r>
        <w:rPr>
          <w:bCs/>
          <w:b/>
        </w:rPr>
        <w:t xml:space="preserve">Belegt:</w:t>
      </w:r>
    </w:p>
    <w:p>
      <w:pPr>
        <w:numPr>
          <w:ilvl w:val="0"/>
          <w:numId w:val="1206"/>
        </w:numPr>
        <w:pStyle w:val="Compact"/>
      </w:pPr>
      <w:r>
        <w:t xml:space="preserve">In den Studien waren Nebenwirkungen insgesamt ähnlich häufig wie unter Placebo. Genannt werden unter anderem Kopfschmerzen, Schwindel und Unruhe</w:t>
      </w:r>
      <w:r>
        <w:rPr>
          <w:rStyle w:val="FootnoteReference"/>
        </w:rPr>
        <w:footnoteReference w:id="1702"/>
      </w:r>
      <w:r>
        <w:t xml:space="preserve">.</w:t>
      </w:r>
    </w:p>
    <w:p>
      <w:pPr>
        <w:numPr>
          <w:ilvl w:val="0"/>
          <w:numId w:val="1206"/>
        </w:numPr>
        <w:pStyle w:val="Compact"/>
      </w:pPr>
      <w:r>
        <w:t xml:space="preserve">Die Cochrane-Übersicht zum Schlaganfall fand mehr</w:t>
      </w:r>
      <w:r>
        <w:t xml:space="preserve"> </w:t>
      </w:r>
      <w:r>
        <w:rPr>
          <w:bCs/>
          <w:b/>
        </w:rPr>
        <w:t xml:space="preserve">nicht tödliche schwere unerwünschte Ereignisse</w:t>
      </w:r>
      <w:r>
        <w:t xml:space="preserve"> </w:t>
      </w:r>
      <w:r>
        <w:t xml:space="preserve">unter Cerebrolysin (RR 2,39; Ziganshina 2023, PMID 37818733), die herstellernahe Sicherheits-Meta-Analyse nicht</w:t>
      </w:r>
      <w:r>
        <w:rPr>
          <w:rStyle w:val="FootnoteReference"/>
        </w:rPr>
        <w:footnoteReference w:id="1703"/>
      </w:r>
      <w:r>
        <w:t xml:space="preserve">.</w:t>
      </w:r>
    </w:p>
    <w:p>
      <w:pPr>
        <w:numPr>
          <w:ilvl w:val="0"/>
          <w:numId w:val="1206"/>
        </w:numPr>
        <w:pStyle w:val="Compact"/>
      </w:pPr>
      <w:r>
        <w:rPr>
          <w:bCs/>
          <w:b/>
        </w:rPr>
        <w:t xml:space="preserve">Allergische Reaktionen:</w:t>
      </w:r>
      <w:r>
        <w:t xml:space="preserve"> </w:t>
      </w:r>
      <w:r>
        <w:t xml:space="preserve">Ein ausführlich dokumentierter Fallbericht beschreibt eine lebensbedrohliche anaphylaktische Reaktion bei einem 85-jährigen Mann nach einer Cerebrolysin-Infusion; die Autoren betonen, dass solche Fälle selten, bei kritisch kranken Personen aber bedeutsam sind</w:t>
      </w:r>
      <w:r>
        <w:rPr>
          <w:rStyle w:val="FootnoteReference"/>
        </w:rPr>
        <w:footnoteReference w:id="1704"/>
      </w:r>
      <w:r>
        <w:t xml:space="preserve">.</w:t>
      </w:r>
    </w:p>
    <w:p>
      <w:pPr>
        <w:pStyle w:val="FirstParagraph"/>
      </w:pPr>
      <w:r>
        <w:rPr>
          <w:bCs/>
          <w:b/>
        </w:rPr>
        <w:t xml:space="preserve">Theoretisch:</w:t>
      </w:r>
      <w:r>
        <w:t xml:space="preserve"> </w:t>
      </w:r>
      <w:r>
        <w:t xml:space="preserve">Als Präparat aus tierischem Hirngewebe ist Cerebrolysin grundsätzlich an Fragen der Reinheit und Übertragbarkeit von Erregern gebunden; Herstellungsverfahren und Behördenauflagen sollen dieses Risiko minimieren. Konkrete Übertragungsfälle sind in den hier ausgewerteten Quellen nicht beschrieben.</w:t>
      </w:r>
    </w:p>
    <w:p>
      <w:pPr>
        <w:pStyle w:val="BodyText"/>
      </w:pPr>
      <w:r>
        <w:rPr>
          <w:bCs/>
          <w:b/>
        </w:rPr>
        <w:t xml:space="preserve">Graumarkt:</w:t>
      </w:r>
      <w:r>
        <w:t xml:space="preserve"> </w:t>
      </w:r>
      <w:r>
        <w:t xml:space="preserve">In Nootropika-Foren wird Cerebrolysin als „Gehirn-Booster“ diskutiert und aus Ländern bezogen, in denen es verfügbar ist. Die intravenöse Selbstanwendung ohne ärztliche Überwachung birgt das Risiko schwerer allergischer Reaktionen, für die dann keine Notfallversorgung bereitsteht. Mehr zu Graumarktprodukten in Teil I und Teil IV.</w:t>
      </w:r>
    </w:p>
    <w:bookmarkEnd w:id="1705"/>
    <w:bookmarkStart w:id="1706" w:name="rechtslage-36"/>
    <w:p>
      <w:pPr>
        <w:pStyle w:val="Heading3"/>
      </w:pPr>
      <w:r>
        <w:t xml:space="preserve">Rechtslage</w:t>
      </w:r>
    </w:p>
    <w:p>
      <w:pPr>
        <w:numPr>
          <w:ilvl w:val="0"/>
          <w:numId w:val="1207"/>
        </w:numPr>
        <w:pStyle w:val="Compact"/>
      </w:pPr>
      <w:r>
        <w:rPr>
          <w:bCs/>
          <w:b/>
        </w:rPr>
        <w:t xml:space="preserve">EU / Österreich / Deutschland:</w:t>
      </w:r>
      <w:r>
        <w:t xml:space="preserve"> </w:t>
      </w:r>
      <w:r>
        <w:t xml:space="preserve">keine zentrale EU-Zulassung. In Österreich ist Cerebrolysin als verschreibungspflichtiges Arzneimittel national zugelassen; Anwendungsgebiete und Erstattung richten sich nach der österreichischen Fachinformation. Weitere EU-Staaten haben eigene nationale Zulassungen. In Deutschland ist Cerebrolysin nach unserem Kenntnisstand nicht im Handel; ein Bezug wäre allenfalls als Einzelimport auf ärztliche Verordnung möglich.</w:t>
      </w:r>
    </w:p>
    <w:p>
      <w:pPr>
        <w:numPr>
          <w:ilvl w:val="0"/>
          <w:numId w:val="1207"/>
        </w:numPr>
        <w:pStyle w:val="Compact"/>
      </w:pPr>
      <w:r>
        <w:rPr>
          <w:bCs/>
          <w:b/>
        </w:rPr>
        <w:t xml:space="preserve">USA:</w:t>
      </w:r>
      <w:r>
        <w:t xml:space="preserve"> </w:t>
      </w:r>
      <w:r>
        <w:t xml:space="preserve">nicht zugelassen.</w:t>
      </w:r>
    </w:p>
    <w:p>
      <w:pPr>
        <w:numPr>
          <w:ilvl w:val="0"/>
          <w:numId w:val="1207"/>
        </w:numPr>
        <w:pStyle w:val="Compact"/>
      </w:pPr>
      <w:r>
        <w:rPr>
          <w:bCs/>
          <w:b/>
        </w:rPr>
        <w:t xml:space="preserve">Sport:</w:t>
      </w:r>
      <w:r>
        <w:t xml:space="preserve"> </w:t>
      </w:r>
      <w:r>
        <w:t xml:space="preserve">nicht auf der WADA-Liste (Stand 2026, bitte aktuell prüfen).</w:t>
      </w:r>
    </w:p>
    <w:p>
      <w:pPr>
        <w:numPr>
          <w:ilvl w:val="0"/>
          <w:numId w:val="1207"/>
        </w:numPr>
        <w:pStyle w:val="Compact"/>
      </w:pPr>
      <w:r>
        <w:t xml:space="preserve">Bei zugelassener Anwendung gilt: Verweis auf die Fachinformation und ärztliche Begleitung.</w:t>
      </w:r>
    </w:p>
    <w:bookmarkEnd w:id="1706"/>
    <w:bookmarkStart w:id="1710" w:name="laufende-studien-und-ausblick-36"/>
    <w:p>
      <w:pPr>
        <w:pStyle w:val="Heading3"/>
      </w:pPr>
      <w:r>
        <w:t xml:space="preserve">Laufende Studien und Ausblick</w:t>
      </w:r>
    </w:p>
    <w:p>
      <w:pPr>
        <w:pStyle w:val="FirstParagraph"/>
      </w:pPr>
      <w:r>
        <w:rPr>
          <w:bCs/>
          <w:b/>
        </w:rPr>
        <w:t xml:space="preserve">Gesichert (registrierte Studien, Stand Oktober 2026):</w:t>
      </w:r>
    </w:p>
    <w:p>
      <w:pPr>
        <w:numPr>
          <w:ilvl w:val="0"/>
          <w:numId w:val="1208"/>
        </w:numPr>
        <w:pStyle w:val="Compact"/>
      </w:pPr>
      <w:r>
        <w:rPr>
          <w:bCs/>
          <w:b/>
        </w:rPr>
        <w:t xml:space="preserve">CERebrolysin In CADASIL</w:t>
      </w:r>
      <w:r>
        <w:rPr>
          <w:rStyle w:val="FootnoteReference"/>
        </w:rPr>
        <w:footnoteReference w:id="1707"/>
      </w:r>
      <w:r>
        <w:t xml:space="preserve">: Phase-2-Studie mit 30 Teilnehmenden bei der erblichen Gefäßerkrankung CADASIL, aktiv, Rekrutierung abgeschlossen.</w:t>
      </w:r>
    </w:p>
    <w:p>
      <w:pPr>
        <w:numPr>
          <w:ilvl w:val="0"/>
          <w:numId w:val="1208"/>
        </w:numPr>
        <w:pStyle w:val="Compact"/>
      </w:pPr>
      <w:r>
        <w:rPr>
          <w:bCs/>
          <w:b/>
        </w:rPr>
        <w:t xml:space="preserve">Aphasie nach Schlaganfall</w:t>
      </w:r>
      <w:r>
        <w:rPr>
          <w:rStyle w:val="FootnoteReference"/>
        </w:rPr>
        <w:footnoteReference w:id="1708"/>
      </w:r>
      <w:r>
        <w:t xml:space="preserve">: randomisierte, placebokontrollierte Studie mit 40 Teilnehmenden in Korea, in Rekrutierung.</w:t>
      </w:r>
    </w:p>
    <w:p>
      <w:pPr>
        <w:numPr>
          <w:ilvl w:val="0"/>
          <w:numId w:val="1208"/>
        </w:numPr>
        <w:pStyle w:val="Compact"/>
      </w:pPr>
      <w:r>
        <w:rPr>
          <w:bCs/>
          <w:b/>
        </w:rPr>
        <w:t xml:space="preserve">Cerebrolysin nach erweiterter Thrombektomie</w:t>
      </w:r>
      <w:r>
        <w:rPr>
          <w:rStyle w:val="FootnoteReference"/>
        </w:rPr>
        <w:footnoteReference w:id="1709"/>
      </w:r>
      <w:r>
        <w:t xml:space="preserve">: Phase-2-Studie mit 100 geplanten Teilnehmenden in Taiwan, Start 2026.</w:t>
      </w:r>
    </w:p>
    <w:p>
      <w:pPr>
        <w:numPr>
          <w:ilvl w:val="0"/>
          <w:numId w:val="1208"/>
        </w:numPr>
        <w:pStyle w:val="Compact"/>
      </w:pPr>
      <w:r>
        <w:t xml:space="preserve">Weitere kleinere Studien zu Delir nach Herzoperationen und auf der Intensivstation, zu Hirnblutung und zur Frührehabilitation sind registriert.</w:t>
      </w:r>
    </w:p>
    <w:p>
      <w:pPr>
        <w:pStyle w:val="FirstParagraph"/>
      </w:pPr>
      <w:r>
        <w:rPr>
          <w:bCs/>
          <w:b/>
        </w:rPr>
        <w:t xml:space="preserve">Einschätzung:</w:t>
      </w:r>
      <w:r>
        <w:t xml:space="preserve"> </w:t>
      </w:r>
      <w:r>
        <w:t xml:space="preserve">Keine der registrierten Studien ist groß genug, um die zentrale offene Frage zu beantworten: Verringert Cerebrolysin bleibende Behinderung oder Sterblichkeit nach Schlaganfall? Dafür bräuchte es eine unabhängig durchgeführte, ausreichend große Studie mit einem klaren, vorab festgelegten Hauptendpunkt wie der modifizierten Rankin-Skala nach 90 Tagen. Solange sie fehlt, wird die Bewertung zwischen „in Osteuropa und Asien etabliert“ und „im Westen nicht ausreichend belegt“ geteilt bleiben.</w:t>
      </w:r>
    </w:p>
    <w:bookmarkEnd w:id="1710"/>
    <w:bookmarkStart w:id="1711" w:name="fazit-36"/>
    <w:p>
      <w:pPr>
        <w:pStyle w:val="Heading3"/>
      </w:pPr>
      <w:r>
        <w:t xml:space="preserve">Fazit</w:t>
      </w:r>
    </w:p>
    <w:p>
      <w:pPr>
        <w:pStyle w:val="FirstParagraph"/>
      </w:pPr>
      <w:r>
        <w:t xml:space="preserve">Cerebrolysin ist ein aus Schweinehirn gewonnenes Peptidgemisch, das in Österreich und vielen Ländern Osteuropas und Asiens bei Schlaganfall, Schädel-Hirn-Trauma und Demenz eingesetzt wird. Zahlreiche randomisierte Studien zeigen frühe Verbesserungen auf neurologischen Skalen, die größte Studie (CASTA) mit über 1.000 Personen verfehlte jedoch ihren Hauptendpunkt. Die unabhängigen Cochrane-Übersichten finden keinen Einfluss auf die Sterblichkeit, ein Signal für mehr nicht tödliche schwere Nebenwirkungen beim Schlaganfall und nur sehr unsichere Vorteile bei vaskulärer Demenz. Herstellernahe Auswertungen kommen zu deutlich positiveren Ergebnissen. Die Daten reichen nicht aus, um einen klinisch bedeutsamen Langzeitnutzen sicher zu belegen; als Selbstbehandlung oder „Nootropikum“ ist Cerebrolysin ungeeignet.</w:t>
      </w:r>
    </w:p>
    <w:bookmarkEnd w:id="1711"/>
    <w:bookmarkEnd w:id="1712"/>
    <w:bookmarkStart w:id="1734" w:name="dihexa"/>
    <w:p>
      <w:pPr>
        <w:pStyle w:val="Heading2"/>
      </w:pPr>
      <w:r>
        <w:t xml:space="preserve">Dihexa</w:t>
      </w:r>
    </w:p>
    <w:bookmarkStart w:id="1713" w:name="steckbrief-37"/>
    <w:p>
      <w:pPr>
        <w:pStyle w:val="Heading3"/>
      </w:pPr>
      <w:r>
        <w:t xml:space="preserve">Steckbrief</w:t>
      </w:r>
    </w:p>
    <w:p>
      <w:pPr>
        <w:numPr>
          <w:ilvl w:val="0"/>
          <w:numId w:val="1209"/>
        </w:numPr>
        <w:pStyle w:val="Compact"/>
      </w:pPr>
      <w:r>
        <w:rPr>
          <w:bCs/>
          <w:b/>
        </w:rPr>
        <w:t xml:space="preserve">Art und Struktur:</w:t>
      </w:r>
      <w:r>
        <w:t xml:space="preserve"> </w:t>
      </w:r>
      <w:r>
        <w:t xml:space="preserve">chemisch abgewandeltes Mini-Peptid, abgeleitet von Angiotensin IV, einem Bruchstück des blutdruckregulierenden Hormonsystems. Der Kern besteht aus zwei Aminosäuren (Tyrosin und Isoleucin), an beiden Enden mit Fettsäure-ähnlichen Ketten versehen; chemischer Name N-Hexanoyl-Tyr-Ile-(6)-Aminohexansäureamid, Forschungscode PNB-0408.</w:t>
      </w:r>
    </w:p>
    <w:p>
      <w:pPr>
        <w:numPr>
          <w:ilvl w:val="0"/>
          <w:numId w:val="1209"/>
        </w:numPr>
        <w:pStyle w:val="Compact"/>
      </w:pPr>
      <w:r>
        <w:rPr>
          <w:bCs/>
          <w:b/>
        </w:rPr>
        <w:t xml:space="preserve">Herkunft:</w:t>
      </w:r>
      <w:r>
        <w:t xml:space="preserve"> </w:t>
      </w:r>
      <w:r>
        <w:t xml:space="preserve">entwickelt um 2012 an der Washington State University (USA).</w:t>
      </w:r>
    </w:p>
    <w:p>
      <w:pPr>
        <w:numPr>
          <w:ilvl w:val="0"/>
          <w:numId w:val="1209"/>
        </w:numPr>
        <w:pStyle w:val="Compact"/>
      </w:pPr>
      <w:r>
        <w:rPr>
          <w:bCs/>
          <w:b/>
        </w:rPr>
        <w:t xml:space="preserve">Wirkprinzip:</w:t>
      </w:r>
      <w:r>
        <w:t xml:space="preserve"> </w:t>
      </w:r>
      <w:r>
        <w:t xml:space="preserve">soll das Wachstumsfaktor-System HGF/c-Met verstärken (HGF = Hepatozyten-Wachstumsfaktor, c-Met = sein Rezeptor) und so die Bildung neuer Nervenverbindungen (Synapsen) anregen.</w:t>
      </w:r>
    </w:p>
    <w:p>
      <w:pPr>
        <w:numPr>
          <w:ilvl w:val="0"/>
          <w:numId w:val="1209"/>
        </w:numPr>
        <w:pStyle w:val="Compact"/>
      </w:pPr>
      <w:r>
        <w:rPr>
          <w:bCs/>
          <w:b/>
        </w:rPr>
        <w:t xml:space="preserve">Zulassung EU:</w:t>
      </w:r>
      <w:r>
        <w:t xml:space="preserve"> </w:t>
      </w:r>
      <w:r>
        <w:t xml:space="preserve">nein.</w:t>
      </w:r>
    </w:p>
    <w:p>
      <w:pPr>
        <w:numPr>
          <w:ilvl w:val="0"/>
          <w:numId w:val="1209"/>
        </w:numPr>
        <w:pStyle w:val="Compact"/>
      </w:pPr>
      <w:r>
        <w:rPr>
          <w:bCs/>
          <w:b/>
        </w:rPr>
        <w:t xml:space="preserve">Zulassung USA:</w:t>
      </w:r>
      <w:r>
        <w:t xml:space="preserve"> </w:t>
      </w:r>
      <w:r>
        <w:t xml:space="preserve">nein. Dihexa stand ab 2023 auf der FDA-„Kategorie 2“ für Rezeptursubstanzen mit Sicherheitsbedenken; im April 2026 wurde es davon gestrichen, eine Bewertung durch den Beratungsausschuss PCAC ist für eine Sitzung bis Februar 2027 angekündigt (Stand Oktober 2026, bitte aktuell prüfen).</w:t>
      </w:r>
    </w:p>
    <w:p>
      <w:pPr>
        <w:numPr>
          <w:ilvl w:val="0"/>
          <w:numId w:val="1209"/>
        </w:numPr>
        <w:pStyle w:val="Compact"/>
      </w:pPr>
      <w:r>
        <w:rPr>
          <w:bCs/>
          <w:b/>
        </w:rPr>
        <w:t xml:space="preserve">WADA:</w:t>
      </w:r>
      <w:r>
        <w:t xml:space="preserve"> </w:t>
      </w:r>
      <w:r>
        <w:t xml:space="preserve">nicht namentlich gelistet; als nirgends zugelassene Substanz fällt Dihexa nach unserer Einschätzung unter die Sammelkategorie S0 „nicht zugelassene Substanzen“.</w:t>
      </w:r>
    </w:p>
    <w:p>
      <w:pPr>
        <w:numPr>
          <w:ilvl w:val="0"/>
          <w:numId w:val="1209"/>
        </w:numPr>
        <w:pStyle w:val="Compact"/>
      </w:pPr>
      <w:r>
        <w:rPr>
          <w:bCs/>
          <w:b/>
        </w:rPr>
        <w:t xml:space="preserve">Evidenzstufe:</w:t>
      </w:r>
      <w:r>
        <w:t xml:space="preserve"> </w:t>
      </w:r>
      <w:r>
        <w:rPr>
          <w:bCs/>
          <w:b/>
        </w:rPr>
        <w:t xml:space="preserve">D</w:t>
      </w:r>
      <w:r>
        <w:t xml:space="preserve"> </w:t>
      </w:r>
      <w:r>
        <w:t xml:space="preserve">– keine einzige veröffentlichte Studie am Menschen.</w:t>
      </w:r>
    </w:p>
    <w:bookmarkEnd w:id="1713"/>
    <w:bookmarkStart w:id="1716" w:name="wie-es-wirken-soll-37"/>
    <w:p>
      <w:pPr>
        <w:pStyle w:val="Heading3"/>
      </w:pPr>
      <w:r>
        <w:t xml:space="preserve">Wie es wirken soll</w:t>
      </w:r>
    </w:p>
    <w:p>
      <w:pPr>
        <w:pStyle w:val="FirstParagraph"/>
      </w:pPr>
      <w:r>
        <w:t xml:space="preserve">Angiotensin IV ist ein kurzes Peptid, das im Körper aus dem Blutdruckhormon Angiotensin II entsteht. Seit den 1990er-Jahren beobachteten Forschende, dass Angiotensin IV und verwandte Moleküle bei Ratten Lernen und Gedächtnis verbessern, wenn man sie direkt ins Gehirn spritzt. Für ein Medikament war das unbrauchbar: Die Peptide wurden rasch abgebaut und gelangten weder aus dem Darm ins Blut noch über die Blut-Hirn-Schranke.</w:t>
      </w:r>
    </w:p>
    <w:p>
      <w:pPr>
        <w:pStyle w:val="BodyText"/>
      </w:pPr>
      <w:r>
        <w:t xml:space="preserve">Die Arbeitsgruppe um Joseph Harding und John Wright in Washington verkürzte das Molekül deshalb auf seinen wirksamen Kern und versah es mit chemischen Schutzgruppen. Das Ergebnis war Dihexa: stabil gegenüber Abbau, bei Ratten über den Mund wirksam und hirngängig. Bei Ratten mit medikamentös ausgelöster Gedächtnisstörung und bei alten Ratten verbesserte es die Leistung im Wasserlabyrinth und förderte die Synapsenbildung im Hippocampus</w:t>
      </w:r>
      <w:r>
        <w:rPr>
          <w:rStyle w:val="FootnoteReference"/>
        </w:rPr>
        <w:footnoteReference w:id="1714"/>
      </w:r>
      <w:r>
        <w:t xml:space="preserve">.</w:t>
      </w:r>
    </w:p>
    <w:p>
      <w:pPr>
        <w:pStyle w:val="BodyText"/>
      </w:pPr>
      <w:r>
        <w:t xml:space="preserve">Später fand dieselbe Gruppe den vermuteten Wirkmechanismus: Dihexa bindet an den Wachstumsfaktor HGF und verstärkt dessen Signal am Rezeptor c-Met. Wurde das HGF-System im Gehirn von Ratten blockiert, verschwand die gedächtnisfördernde Wirkung</w:t>
      </w:r>
      <w:r>
        <w:rPr>
          <w:rStyle w:val="FootnoteReference"/>
        </w:rPr>
        <w:footnoteReference w:id="1715"/>
      </w:r>
      <w:r>
        <w:t xml:space="preserve">. Diese Arbeit wurde 2025 von der Fachzeitschrift zurückgezogen (Rückzugsnotiz: PMID 40312093), ebenso eine weitere grundlegende Arbeit derselben Gruppe zu Angiotensin-IV-Abkömmlingen als HGF/c-Met-Modulatoren (Rückzugsnotiz: PMID 40312092). Der beschriebene Wirkmechanismus ist damit nicht mehr belastbar belegt; die Gründe für den Rückzug nennen die PubMed-Einträge nicht.</w:t>
      </w:r>
    </w:p>
    <w:p>
      <w:pPr>
        <w:pStyle w:val="BodyText"/>
      </w:pPr>
      <w:r>
        <w:t xml:space="preserve">Im Internet wird Dihexa oft als Substanz beschrieben, die um ein Vielfaches stärker wirke als der Nervenwachstumsfaktor BDNF. Solche Vergleiche stammen aus Zellkultur-Versuchen und sagen nichts darüber aus, ob und wie Dihexa beim Menschen wirkt.</w:t>
      </w:r>
    </w:p>
    <w:bookmarkEnd w:id="1716"/>
    <w:bookmarkStart w:id="1721" w:name="studien-am-menschen-3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Dihexa; insgesamt führt PubMed nur 18 Arbeiten mit dem Suchbegriff, darunter mehrere ohne Bezug zum Wirkstoff. Auf ClinicalTrials.gov ist keine Studie registriert. Auch eine gezielte Nachsuche nach Fallberichten, Vergiftungen oder Analysen von Graumarktprodukten blieb ohne Ergebnis.</w:t>
      </w:r>
    </w:p>
    <w:p>
      <w:pPr>
        <w:pStyle w:val="BodyText"/>
      </w:pPr>
      <w:r>
        <w:t xml:space="preserve">Es gibt also keine Daten zu Wirksamkeit, Verträglichkeit, Wirkdauer oder geeigneten Mengen beim Menschen. Alles, was über eine Wirkung bei Menschen berichtet wird, stammt aus Erfahrungsberichten in Foren.</w:t>
      </w:r>
    </w:p>
    <w:bookmarkStart w:id="1720" w:name="X6aeefdaf93a4b05640216355b51e47b8aca8ef8"/>
    <w:p>
      <w:pPr>
        <w:pStyle w:val="Heading4"/>
      </w:pPr>
      <w:r>
        <w:t xml:space="preserve">Ein Verwandter in der Klinik: Fosgonimeton</w:t>
      </w:r>
    </w:p>
    <w:p>
      <w:pPr>
        <w:pStyle w:val="FirstParagraph"/>
      </w:pPr>
      <w:r>
        <w:t xml:space="preserve">Aufschlussreich ist das Schicksal eines anderen Wirkstoffs, der aus demselben Forschungsansatz – der Verstärkung des HGF/c-Met-Systems – hervorging. Das Unternehmen Athira Pharma entwickelte Fosgonimeton (ATH-1017), ein chemisch anderes Molekül, das ebenfalls HGF/c-Met positiv beeinflussen soll. Fosgonimeton wurde – anders als Dihexa – in regulären klinischen Studien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(Hua 2022), PMID 35180125</w:t>
            </w:r>
          </w:p>
        </w:tc>
        <w:tc>
          <w:tcPr/>
          <w:p>
            <w:pPr>
              <w:pStyle w:val="Compact"/>
              <w:jc w:val="left"/>
            </w:pPr>
            <w:r>
              <w:t xml:space="preserve">88 Personen (Gesunde und 11 Menschen mit Alzheimer), doppelblind gegen Placebo</w:t>
            </w:r>
          </w:p>
        </w:tc>
        <w:tc>
          <w:tcPr/>
          <w:p>
            <w:pPr>
              <w:pStyle w:val="Compact"/>
              <w:jc w:val="left"/>
            </w:pPr>
            <w:r>
              <w:t xml:space="preserve">bis 9 Tage</w:t>
            </w:r>
          </w:p>
        </w:tc>
        <w:tc>
          <w:tcPr/>
          <w:p>
            <w:pPr>
              <w:pStyle w:val="Compact"/>
              <w:jc w:val="left"/>
            </w:pPr>
            <w:r>
              <w:t xml:space="preserve">gut verträglich; Veränderungen im EEG als Hinweis auf Hirngängigkeit</w:t>
            </w:r>
          </w:p>
        </w:tc>
      </w:tr>
      <w:tr>
        <w:tc>
          <w:tcPr/>
          <w:p>
            <w:pPr>
              <w:pStyle w:val="Compact"/>
              <w:jc w:val="left"/>
            </w:pPr>
            <w:r>
              <w:t xml:space="preserve">LIFT-AD (Porsteinsson 2025), PMID 41393340</w:t>
            </w:r>
          </w:p>
        </w:tc>
        <w:tc>
          <w:tcPr/>
          <w:p>
            <w:pPr>
              <w:pStyle w:val="Compact"/>
              <w:jc w:val="left"/>
            </w:pPr>
            <w:r>
              <w:t xml:space="preserve">287 Personen mit leichter bis mittelschwerer Alzheimer-Krankheit in der Hauptanalyse, Phase 2/3 gegen Placebo</w:t>
            </w:r>
          </w:p>
        </w:tc>
        <w:tc>
          <w:tcPr/>
          <w:p>
            <w:pPr>
              <w:pStyle w:val="Compact"/>
              <w:jc w:val="left"/>
            </w:pPr>
            <w:r>
              <w:t xml:space="preserve">26 Wochen</w:t>
            </w:r>
          </w:p>
        </w:tc>
        <w:tc>
          <w:tcPr/>
          <w:p>
            <w:pPr>
              <w:pStyle w:val="Compact"/>
              <w:jc w:val="left"/>
            </w:pPr>
            <w:r>
              <w:t xml:space="preserve">Haupt- und Nebenendpunkte verfehlt; mehr Therapieabbrüche wegen Nebenwirkungen (14,2 % vs. 4,6 %)</w:t>
            </w:r>
          </w:p>
        </w:tc>
      </w:tr>
    </w:tbl>
    <w:p>
      <w:pPr>
        <w:pStyle w:val="BodyText"/>
      </w:pPr>
      <w:r>
        <w:t xml:space="preserve">In LIFT-AD</w:t>
      </w:r>
      <w:r>
        <w:rPr>
          <w:rStyle w:val="FootnoteReference"/>
        </w:rPr>
        <w:footnoteReference w:id="1717"/>
      </w:r>
      <w:r>
        <w:t xml:space="preserve"> </w:t>
      </w:r>
      <w:r>
        <w:t xml:space="preserve">unterschied sich Fosgonimeton weder beim kombinierten Hauptendpunkt noch bei Gedächtnis- oder Alltagsskalen signifikant von Placebo. Schwere unerwünschte Ereignisse waren ausgeglichen (4,2 % gegenüber 6,9 %), Behandlungsabbrüche wegen Nebenwirkungen – vor allem Reaktionen an der Einstichstelle – waren unter Fosgonimeton häufiger</w:t>
      </w:r>
      <w:r>
        <w:rPr>
          <w:rStyle w:val="FootnoteReference"/>
        </w:rPr>
        <w:footnoteReference w:id="1718"/>
      </w:r>
      <w:r>
        <w:t xml:space="preserve">. Eine Studie bei Parkinson-Demenz und Lewy-Körperchen-Demenz wurde vorzeitig beendet</w:t>
      </w:r>
      <w:r>
        <w:rPr>
          <w:rStyle w:val="FootnoteReference"/>
        </w:rPr>
        <w:footnoteReference w:id="1719"/>
      </w:r>
      <w:r>
        <w:t xml:space="preserve">.</w:t>
      </w:r>
    </w:p>
    <w:p>
      <w:pPr>
        <w:pStyle w:val="BodyText"/>
      </w:pPr>
      <w:r>
        <w:t xml:space="preserve">Das beweist nicht, dass Dihexa unwirksam wäre – es ist eine andere Substanz. Es zeigt aber, wie wenig sich Gedächtnisverbesserungen bei Ratten auf Menschen mit Demenz übertragen lassen.</w:t>
      </w:r>
    </w:p>
    <w:bookmarkEnd w:id="1720"/>
    <w:bookmarkEnd w:id="1721"/>
    <w:bookmarkStart w:id="1728" w:name="tier--und-laborstudien-37"/>
    <w:p>
      <w:pPr>
        <w:pStyle w:val="Heading3"/>
      </w:pPr>
      <w:r>
        <w:t xml:space="preserve">Tier- und Laborstudien</w:t>
      </w:r>
    </w:p>
    <w:p>
      <w:pPr>
        <w:numPr>
          <w:ilvl w:val="0"/>
          <w:numId w:val="1210"/>
        </w:numPr>
        <w:pStyle w:val="Compact"/>
      </w:pPr>
      <w:r>
        <w:t xml:space="preserve">Bei Ratten mit Gedächtnisstörung durch Scopolamin und bei alten Ratten verbesserte Dihexa das räumliche Lernen und förderte die Synapsenbildung</w:t>
      </w:r>
      <w:r>
        <w:rPr>
          <w:rStyle w:val="FootnoteReference"/>
        </w:rPr>
        <w:footnoteReference w:id="1722"/>
      </w:r>
      <w:r>
        <w:t xml:space="preserve">.</w:t>
      </w:r>
    </w:p>
    <w:p>
      <w:pPr>
        <w:numPr>
          <w:ilvl w:val="0"/>
          <w:numId w:val="1210"/>
        </w:numPr>
        <w:pStyle w:val="Compact"/>
      </w:pPr>
      <w:r>
        <w:t xml:space="preserve">Bei Alzheimer-Modellmäusen (APP/PS1) verbesserte Dihexa das Lernen im Wasserlabyrinth und verringerte Entzündungszeichen im Gehirn</w:t>
      </w:r>
      <w:r>
        <w:rPr>
          <w:rStyle w:val="FootnoteReference"/>
        </w:rPr>
        <w:footnoteReference w:id="1723"/>
      </w:r>
      <w:r>
        <w:t xml:space="preserve">.</w:t>
      </w:r>
    </w:p>
    <w:p>
      <w:pPr>
        <w:numPr>
          <w:ilvl w:val="0"/>
          <w:numId w:val="1210"/>
        </w:numPr>
        <w:pStyle w:val="Compact"/>
      </w:pPr>
      <w:r>
        <w:t xml:space="preserve">In einem Rattenmodell der Huntington-Krankheit schützte Dihexa</w:t>
      </w:r>
      <w:r>
        <w:t xml:space="preserve"> </w:t>
      </w:r>
      <w:r>
        <w:rPr>
          <w:bCs/>
          <w:b/>
        </w:rPr>
        <w:t xml:space="preserve">nicht</w:t>
      </w:r>
      <w:r>
        <w:t xml:space="preserve"> </w:t>
      </w:r>
      <w:r>
        <w:t xml:space="preserve">vor den Ausfällen</w:t>
      </w:r>
      <w:r>
        <w:rPr>
          <w:rStyle w:val="FootnoteReference"/>
        </w:rPr>
        <w:footnoteReference w:id="1724"/>
      </w:r>
      <w:r>
        <w:t xml:space="preserve">.</w:t>
      </w:r>
    </w:p>
    <w:p>
      <w:pPr>
        <w:numPr>
          <w:ilvl w:val="0"/>
          <w:numId w:val="1210"/>
        </w:numPr>
        <w:pStyle w:val="Compact"/>
      </w:pPr>
      <w:r>
        <w:t xml:space="preserve">Bei Zebrafischlarven schützte Dihexa Sinneshaarzellen vor Schäden durch bestimmte Antibiotika</w:t>
      </w:r>
      <w:r>
        <w:rPr>
          <w:rStyle w:val="FootnoteReference"/>
        </w:rPr>
        <w:footnoteReference w:id="1725"/>
      </w:r>
      <w:r>
        <w:t xml:space="preserve">.</w:t>
      </w:r>
    </w:p>
    <w:p>
      <w:pPr>
        <w:numPr>
          <w:ilvl w:val="0"/>
          <w:numId w:val="1210"/>
        </w:numPr>
        <w:pStyle w:val="Compact"/>
      </w:pPr>
      <w:r>
        <w:t xml:space="preserve">In der Stammzellforschung wird Dihexa als preiswerter Ersatz für Wachstumsfaktoren bei der Herstellung leberzellähnlicher Zellen verwendet</w:t>
      </w:r>
      <w:r>
        <w:rPr>
          <w:rStyle w:val="FootnoteReference"/>
        </w:rPr>
        <w:footnoteReference w:id="1726"/>
      </w:r>
      <w:r>
        <w:t xml:space="preserve"> </w:t>
      </w:r>
      <w:r>
        <w:t xml:space="preserve">– ein Hinweis darauf, wie breit das HGF-System im Körper wirkt.</w:t>
      </w:r>
    </w:p>
    <w:p>
      <w:pPr>
        <w:pStyle w:val="FirstParagraph"/>
      </w:pPr>
      <w:r>
        <w:t xml:space="preserve">Eine systematische Übersicht über Angiotensin-IV-Abkömmlinge fand in acht von neun Tierstudien zu Gedächtnisstörungen günstige Effekte, betont aber, dass die Substanzen am besten wirkten, wenn sie direkt ins Gehirn gegeben wurden</w:t>
      </w:r>
      <w:r>
        <w:rPr>
          <w:rStyle w:val="FootnoteReference"/>
        </w:rPr>
        <w:footnoteReference w:id="1727"/>
      </w:r>
      <w:r>
        <w:t xml:space="preserve">.</w:t>
      </w:r>
    </w:p>
    <w:bookmarkEnd w:id="1728"/>
    <w:bookmarkStart w:id="1730" w:name="risiken-und-nebenwirkungen-37"/>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am Menschen – weder aus Studien noch aus Fallberichten.</w:t>
      </w:r>
    </w:p>
    <w:p>
      <w:pPr>
        <w:pStyle w:val="BodyText"/>
      </w:pPr>
      <w:r>
        <w:rPr>
          <w:bCs/>
          <w:b/>
        </w:rPr>
        <w:t xml:space="preserve">Theoretisch – und ernst zu nehmen:</w:t>
      </w:r>
      <w:r>
        <w:t xml:space="preserve"> </w:t>
      </w:r>
      <w:r>
        <w:t xml:space="preserve">Das HGF/c-Met-System ist nicht nur für Nervenzellen wichtig. Die Aktivierung von c-Met regt Zellteilung, Zellwanderung und Gewebeumbau an</w:t>
      </w:r>
      <w:r>
        <w:rPr>
          <w:rStyle w:val="FootnoteReference"/>
        </w:rPr>
        <w:footnoteReference w:id="1729"/>
      </w:r>
      <w:r>
        <w:t xml:space="preserve">. In der Krebsforschung ist c-Met als Treiber des Wachstums und der Streuung verschiedener Tumoren bekannt; mehrere zugelassene Krebsmedikamente blockieren genau diesen Rezeptor. Ein Stoff, der dieses Signal dauerhaft verstärkt, könnte das Wachstum unentdeckter Tumoren theoretisch begünstigen. Ob das bei Dihexa der Fall ist, wurde nie untersucht – es gibt keine Langzeit-Toxizitätsstudien in öffentlich zugänglicher Form. (Mehr zu Wachstumssignalen und Krebsrisiko in Teil IV.)</w:t>
      </w:r>
    </w:p>
    <w:p>
      <w:pPr>
        <w:pStyle w:val="BodyText"/>
      </w:pPr>
      <w:r>
        <w:rPr>
          <w:bCs/>
          <w:b/>
        </w:rPr>
        <w:t xml:space="preserve">Graumarkt:</w:t>
      </w:r>
      <w:r>
        <w:t xml:space="preserve"> </w:t>
      </w:r>
      <w:r>
        <w:t xml:space="preserve">Dihexa wird online als Pulver, Kapseln oder Lösung verkauft, teils zum Einnehmen, teils zum Auftragen auf die Haut. Gehalt und Reinheit sind ungeprüft.</w:t>
      </w:r>
    </w:p>
    <w:bookmarkEnd w:id="1730"/>
    <w:bookmarkStart w:id="1731" w:name="rechtslage-37"/>
    <w:p>
      <w:pPr>
        <w:pStyle w:val="Heading3"/>
      </w:pPr>
      <w:r>
        <w:t xml:space="preserve">Rechtslage</w:t>
      </w:r>
    </w:p>
    <w:p>
      <w:pPr>
        <w:numPr>
          <w:ilvl w:val="0"/>
          <w:numId w:val="1211"/>
        </w:numPr>
        <w:pStyle w:val="Compact"/>
      </w:pPr>
      <w:r>
        <w:rPr>
          <w:bCs/>
          <w:b/>
        </w:rPr>
        <w:t xml:space="preserve">EU / Österreich / Deutschland:</w:t>
      </w:r>
      <w:r>
        <w:t xml:space="preserve"> </w:t>
      </w:r>
      <w:r>
        <w:t xml:space="preserve">nicht zugelassen. Als Stoff mit pharmakologischer Wirkung gilt Dihexa als Arzneimittel; der Verkauf zur Anwendung am Menschen ist nicht erlaubt. Die Kennzeichnung „nur für Forschungszwecke“ ändert daran nichts.</w:t>
      </w:r>
    </w:p>
    <w:p>
      <w:pPr>
        <w:numPr>
          <w:ilvl w:val="0"/>
          <w:numId w:val="1211"/>
        </w:numPr>
        <w:pStyle w:val="Compact"/>
      </w:pPr>
      <w:r>
        <w:rPr>
          <w:bCs/>
          <w:b/>
        </w:rPr>
        <w:t xml:space="preserve">USA:</w:t>
      </w:r>
      <w:r>
        <w:t xml:space="preserve"> </w:t>
      </w:r>
      <w:r>
        <w:t xml:space="preserve">nicht zugelassen. Seit April 2026 nicht mehr in der FDA-„Kategorie 2“; über eine mögliche Aufnahme in die Liste zulässiger Rezeptursubstanzen hat der Beratungsausschuss PCAC bis Oktober 2026 noch nicht beraten (Stand Oktober 2026, bitte aktuell prüfen).</w:t>
      </w:r>
    </w:p>
    <w:p>
      <w:pPr>
        <w:numPr>
          <w:ilvl w:val="0"/>
          <w:numId w:val="1211"/>
        </w:numPr>
        <w:pStyle w:val="Compact"/>
      </w:pPr>
      <w:r>
        <w:rPr>
          <w:bCs/>
          <w:b/>
        </w:rPr>
        <w:t xml:space="preserve">Sport:</w:t>
      </w:r>
      <w:r>
        <w:t xml:space="preserve"> </w:t>
      </w:r>
      <w:r>
        <w:t xml:space="preserve">fällt als nicht zugelassene Substanz nach unserer Einschätzung unter WADA-Kategorie S0 (Stand 2026, bitte aktuell prüfen).</w:t>
      </w:r>
    </w:p>
    <w:bookmarkEnd w:id="1731"/>
    <w:bookmarkStart w:id="1732" w:name="laufende-studien-und-ausblick-37"/>
    <w:p>
      <w:pPr>
        <w:pStyle w:val="Heading3"/>
      </w:pPr>
      <w:r>
        <w:t xml:space="preserve">Laufende Studien und Ausblick</w:t>
      </w:r>
    </w:p>
    <w:p>
      <w:pPr>
        <w:pStyle w:val="FirstParagraph"/>
      </w:pPr>
      <w:r>
        <w:rPr>
          <w:bCs/>
          <w:b/>
        </w:rPr>
        <w:t xml:space="preserve">Gesichert:</w:t>
      </w:r>
      <w:r>
        <w:t xml:space="preserve"> </w:t>
      </w:r>
      <w:r>
        <w:t xml:space="preserve">Für Dihexa ist keine klinische Studie registriert (Abfrage Oktober 2026). Der verwandte Ansatz Fosgonimeton ist in der Alzheimer-Studie LIFT-AD gescheitert.</w:t>
      </w:r>
    </w:p>
    <w:p>
      <w:pPr>
        <w:pStyle w:val="BodyText"/>
      </w:pPr>
      <w:r>
        <w:rPr>
          <w:bCs/>
          <w:b/>
        </w:rPr>
        <w:t xml:space="preserve">Einschätzung:</w:t>
      </w:r>
      <w:r>
        <w:t xml:space="preserve"> </w:t>
      </w:r>
      <w:r>
        <w:t xml:space="preserve">Ohne Toxizitätsdaten und eine erste Studie am Menschen bleibt Dihexa ein Laborwirkstoff. Ob die angekündigte PCAC-Beratung in den USA daran etwas ändert, ist offen – sie würde allenfalls Apotheken-Rezepturen betreffen, nicht den fehlenden Wirksamkeitsnachweis.</w:t>
      </w:r>
    </w:p>
    <w:bookmarkEnd w:id="1732"/>
    <w:bookmarkStart w:id="1733" w:name="fazit-37"/>
    <w:p>
      <w:pPr>
        <w:pStyle w:val="Heading3"/>
      </w:pPr>
      <w:r>
        <w:t xml:space="preserve">Fazit</w:t>
      </w:r>
    </w:p>
    <w:p>
      <w:pPr>
        <w:pStyle w:val="FirstParagraph"/>
      </w:pPr>
      <w:r>
        <w:t xml:space="preserve">Dihexa ist ein chemisch stabilisierter Abkömmling von Angiotensin IV, der bei Ratten und Mäusen Lernen und Synapsenbildung förderte, vermittelt über das Wachstumsfaktor-System HGF/c-Met. Am Menschen wurde es nie untersucht; ein verwandter Wirkstoff (Fosgonimeton) verfehlte in einer Alzheimer-Studie mit 287 Personen alle Endpunkte. Weil c-Met auch Tumorwachstum antreibt, gibt es eine plausible, aber ungeprüfte Krebs-Sorge. Die Daten reichen nicht aus, um irgendeinen Nutzen oder die Sicherheit beim Menschen zu beurteilen.</w:t>
      </w:r>
    </w:p>
    <w:bookmarkEnd w:id="1733"/>
    <w:bookmarkEnd w:id="1734"/>
    <w:bookmarkStart w:id="1766" w:name="dsip-delta-schlaf-induzierendes-peptid"/>
    <w:p>
      <w:pPr>
        <w:pStyle w:val="Heading2"/>
      </w:pPr>
      <w:r>
        <w:t xml:space="preserve">DSIP (Delta-Schlaf-induzierendes Peptid)</w:t>
      </w:r>
    </w:p>
    <w:bookmarkStart w:id="1735" w:name="steckbrief-38"/>
    <w:p>
      <w:pPr>
        <w:pStyle w:val="Heading3"/>
      </w:pPr>
      <w:r>
        <w:t xml:space="preserve">Steckbrief</w:t>
      </w:r>
    </w:p>
    <w:p>
      <w:pPr>
        <w:numPr>
          <w:ilvl w:val="0"/>
          <w:numId w:val="1212"/>
        </w:numPr>
        <w:pStyle w:val="Compact"/>
      </w:pPr>
      <w:r>
        <w:rPr>
          <w:bCs/>
          <w:b/>
        </w:rPr>
        <w:t xml:space="preserve">Art und Struktur:</w:t>
      </w:r>
      <w:r>
        <w:t xml:space="preserve"> </w:t>
      </w:r>
      <w:r>
        <w:t xml:space="preserve">Nonapeptid aus neun Aminosäuren (Trp-Ala-Gly-Gly-Asp-Ala-Ser-Gly-Glu); internationaler Wirkstoffname Emideltid.</w:t>
      </w:r>
    </w:p>
    <w:p>
      <w:pPr>
        <w:numPr>
          <w:ilvl w:val="0"/>
          <w:numId w:val="1212"/>
        </w:numPr>
        <w:pStyle w:val="Compact"/>
      </w:pPr>
      <w:r>
        <w:rPr>
          <w:bCs/>
          <w:b/>
        </w:rPr>
        <w:t xml:space="preserve">Herkunft:</w:t>
      </w:r>
      <w:r>
        <w:t xml:space="preserve"> </w:t>
      </w:r>
      <w:r>
        <w:t xml:space="preserve">1977 von einer Basler Arbeitsgruppe aus dem Hirnvenenblut von Kaninchen isoliert, die durch elektrische Reizung in Tiefschlaf versetzt worden waren. Ein Gen, ein Vorläufereiweiß oder ein Rezeptor für DSIP wurden bis heute nicht gefunden.</w:t>
      </w:r>
    </w:p>
    <w:p>
      <w:pPr>
        <w:numPr>
          <w:ilvl w:val="0"/>
          <w:numId w:val="1212"/>
        </w:numPr>
        <w:pStyle w:val="Compact"/>
      </w:pPr>
      <w:r>
        <w:rPr>
          <w:bCs/>
          <w:b/>
        </w:rPr>
        <w:t xml:space="preserve">Wirkprinzip:</w:t>
      </w:r>
      <w:r>
        <w:t xml:space="preserve"> </w:t>
      </w:r>
      <w:r>
        <w:t xml:space="preserve">sollte als körpereigener „Schlafstoff“ den Tiefschlaf (Delta-Schlaf mit langsamen EEG-Wellen) fördern; später wurden Einflüsse auf Stresshormone, Schmerz und Entzugssymptome vermutet.</w:t>
      </w:r>
    </w:p>
    <w:p>
      <w:pPr>
        <w:numPr>
          <w:ilvl w:val="0"/>
          <w:numId w:val="1212"/>
        </w:numPr>
        <w:pStyle w:val="Compact"/>
      </w:pPr>
      <w:r>
        <w:rPr>
          <w:bCs/>
          <w:b/>
        </w:rPr>
        <w:t xml:space="preserve">Zulassung EU:</w:t>
      </w:r>
      <w:r>
        <w:t xml:space="preserve"> </w:t>
      </w:r>
      <w:r>
        <w:t xml:space="preserve">nein.</w:t>
      </w:r>
    </w:p>
    <w:p>
      <w:pPr>
        <w:numPr>
          <w:ilvl w:val="0"/>
          <w:numId w:val="1212"/>
        </w:numPr>
        <w:pStyle w:val="Compact"/>
      </w:pPr>
      <w:r>
        <w:rPr>
          <w:bCs/>
          <w:b/>
        </w:rPr>
        <w:t xml:space="preserve">Zulassung USA:</w:t>
      </w:r>
      <w:r>
        <w:t xml:space="preserve"> </w:t>
      </w:r>
      <w:r>
        <w:t xml:space="preserve">nein. Emideltid wurde im April 2026 von der FDA-„Kategorie 2“ gestrichen; der Beratungsausschuss PCAC stimmte im Juli 2026 mit 6 zu 7 Stimmen</w:t>
      </w:r>
      <w:r>
        <w:t xml:space="preserve"> </w:t>
      </w:r>
      <w:r>
        <w:rPr>
          <w:bCs/>
          <w:b/>
        </w:rPr>
        <w:t xml:space="preserve">gegen</w:t>
      </w:r>
      <w:r>
        <w:t xml:space="preserve"> </w:t>
      </w:r>
      <w:r>
        <w:t xml:space="preserve">eine Aufnahme in die Liste zulässiger Rezeptursubstanzen (Stand Oktober 2026, bitte aktuell prüfen).</w:t>
      </w:r>
    </w:p>
    <w:p>
      <w:pPr>
        <w:numPr>
          <w:ilvl w:val="0"/>
          <w:numId w:val="1212"/>
        </w:numPr>
        <w:pStyle w:val="Compact"/>
      </w:pPr>
      <w:r>
        <w:rPr>
          <w:bCs/>
          <w:b/>
        </w:rPr>
        <w:t xml:space="preserve">Russland und Nachbarstaaten:</w:t>
      </w:r>
      <w:r>
        <w:t xml:space="preserve"> </w:t>
      </w:r>
      <w:r>
        <w:t xml:space="preserve">DSIP-Präparate (z. B. Deltaran, Deltalicin) wurden dort in Studien und in der Praxis verwendet.</w:t>
      </w:r>
    </w:p>
    <w:p>
      <w:pPr>
        <w:numPr>
          <w:ilvl w:val="0"/>
          <w:numId w:val="1212"/>
        </w:numPr>
        <w:pStyle w:val="Compact"/>
      </w:pPr>
      <w:r>
        <w:rPr>
          <w:bCs/>
          <w:b/>
        </w:rPr>
        <w:t xml:space="preserve">WADA:</w:t>
      </w:r>
      <w:r>
        <w:t xml:space="preserve"> </w:t>
      </w:r>
      <w:r>
        <w:t xml:space="preserve">nicht namentlich gelistet.</w:t>
      </w:r>
    </w:p>
    <w:p>
      <w:pPr>
        <w:numPr>
          <w:ilvl w:val="0"/>
          <w:numId w:val="1212"/>
        </w:numPr>
        <w:pStyle w:val="Compact"/>
      </w:pPr>
      <w:r>
        <w:rPr>
          <w:bCs/>
          <w:b/>
        </w:rPr>
        <w:t xml:space="preserve">Evidenzstufe:</w:t>
      </w:r>
      <w:r>
        <w:t xml:space="preserve"> </w:t>
      </w:r>
      <w:r>
        <w:rPr>
          <w:bCs/>
          <w:b/>
        </w:rPr>
        <w:t xml:space="preserve">C</w:t>
      </w:r>
      <w:r>
        <w:t xml:space="preserve"> </w:t>
      </w:r>
      <w:r>
        <w:t xml:space="preserve">– nur sehr kleine, überwiegend in den 1980er-Jahren durchgeführte Studien; die methodisch besten davon fanden keinen klinisch relevanten Nutzen.</w:t>
      </w:r>
    </w:p>
    <w:bookmarkEnd w:id="1735"/>
    <w:bookmarkStart w:id="1739" w:name="wie-es-wirken-soll-38"/>
    <w:p>
      <w:pPr>
        <w:pStyle w:val="Heading3"/>
      </w:pPr>
      <w:r>
        <w:t xml:space="preserve">Wie es wirken soll</w:t>
      </w:r>
    </w:p>
    <w:p>
      <w:pPr>
        <w:pStyle w:val="FirstParagraph"/>
      </w:pPr>
      <w:r>
        <w:t xml:space="preserve">Die Idee war einfach und reizvoll: Wenn das Gehirn im Schlaf einen Stoff ins Blut abgibt, der bei anderen Tieren Schlaf auslöst, könnte er ein natürliches Schlafmittel sein – ohne die Nachteile von Beruhigungsmitteln. Die Basler Forschenden übertrugen Blut schlafender Kaninchen auf wache Tiere und isolierten daraus das Peptid, das sie für den Effekt verantwortlich hielten</w:t>
      </w:r>
      <w:r>
        <w:rPr>
          <w:rStyle w:val="FootnoteReference"/>
        </w:rPr>
        <w:footnoteReference w:id="1736"/>
      </w:r>
      <w:r>
        <w:t xml:space="preserve">.</w:t>
      </w:r>
    </w:p>
    <w:p>
      <w:pPr>
        <w:pStyle w:val="BodyText"/>
      </w:pPr>
      <w:r>
        <w:t xml:space="preserve">Die Hoffnung hat sich nicht bestätigt. Eine Übersichtsarbeit aus dem Jahr 2006 nennt DSIP ein „noch immer ungelöstes Rätsel“: Die Verbindung zum Schlaf sei „äußerst schlecht dokumentiert“, weil weder das zugehörige Gen noch ein Rezeptor gefunden wurde. In Tierversuchen förderten eher bestimmte künstliche Abwandlungen den Tiefschlaf als DSIP selbst. Die Autoren vermuten, dass ein bisher unbekanntes, DSIP-ähnliches Peptid für die beobachteten Effekte verantwortlich sein könnte</w:t>
      </w:r>
      <w:r>
        <w:rPr>
          <w:rStyle w:val="FootnoteReference"/>
        </w:rPr>
        <w:footnoteReference w:id="1737"/>
      </w:r>
      <w:r>
        <w:t xml:space="preserve">.</w:t>
      </w:r>
    </w:p>
    <w:p>
      <w:pPr>
        <w:pStyle w:val="BodyText"/>
      </w:pPr>
      <w:r>
        <w:t xml:space="preserve">Weitere vermutete Wirkungen – auf Stresshormone, Schmerzempfinden, Opioid-System und antioxidative Enzyme – stammen überwiegend aus Tierversuchen. Bei Schafen passierte markiertes DSIP die Schranke zwischen Blut und Hirnwasser in geringem bis mäßigem Umfang</w:t>
      </w:r>
      <w:r>
        <w:rPr>
          <w:rStyle w:val="FootnoteReference"/>
        </w:rPr>
        <w:footnoteReference w:id="1738"/>
      </w:r>
      <w:r>
        <w:t xml:space="preserve">.</w:t>
      </w:r>
    </w:p>
    <w:bookmarkEnd w:id="1739"/>
    <w:bookmarkStart w:id="1756" w:name="studien-am-menschen-3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18 als Humanstudien klassifizierte Veröffentlichungen; eine davon betrifft bei näherer Prüfung ein anderes Thema (Wirbelsäulenchirurgie). Fast alle stammen aus den Jahren 1981 bis 1998 und hatten jeweils zwischen 1 und 16 Teilnehmende in Placebo-kontrollierten Teilen. Auf ClinicalTrials.gov ergab die Suche einen Treffer, der sich nicht auf DSIP bezieht; eine registrierte DSIP-Studie gibt es nicht.</w:t>
      </w:r>
    </w:p>
    <w:bookmarkStart w:id="1744" w:name="schlafstörungen"/>
    <w:p>
      <w:pPr>
        <w:pStyle w:val="Heading4"/>
      </w:pPr>
      <w:r>
        <w:t xml:space="preserve">Schlafstörungen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Schneider-Helmert 1981, PMID 6895513</w:t>
            </w:r>
          </w:p>
        </w:tc>
        <w:tc>
          <w:tcPr/>
          <w:p>
            <w:pPr>
              <w:pStyle w:val="Compact"/>
              <w:jc w:val="left"/>
            </w:pPr>
            <w:r>
              <w:t xml:space="preserve">6 Gesunde, doppelblind, Überkreuz gegen Placebo</w:t>
            </w:r>
          </w:p>
        </w:tc>
        <w:tc>
          <w:tcPr/>
          <w:p>
            <w:pPr>
              <w:pStyle w:val="Compact"/>
              <w:jc w:val="left"/>
            </w:pPr>
            <w:r>
              <w:t xml:space="preserve">einmalige Infusion</w:t>
            </w:r>
          </w:p>
        </w:tc>
        <w:tc>
          <w:tcPr/>
          <w:p>
            <w:pPr>
              <w:pStyle w:val="Compact"/>
              <w:jc w:val="left"/>
            </w:pPr>
            <w:r>
              <w:t xml:space="preserve">Schlafzeit in 130 Minuten um 59 % länger; keine klassische Sedierung</w:t>
            </w:r>
          </w:p>
        </w:tc>
      </w:tr>
      <w:tr>
        <w:tc>
          <w:tcPr/>
          <w:p>
            <w:pPr>
              <w:pStyle w:val="Compact"/>
              <w:jc w:val="left"/>
            </w:pPr>
            <w:r>
              <w:t xml:space="preserve">Schneider-Helmert 1981, PMID 7028502</w:t>
            </w:r>
          </w:p>
        </w:tc>
        <w:tc>
          <w:tcPr/>
          <w:p>
            <w:pPr>
              <w:pStyle w:val="Compact"/>
              <w:jc w:val="left"/>
            </w:pPr>
            <w:r>
              <w:t xml:space="preserve">6 Personen mit chronischer Schlaflosigkeit</w:t>
            </w:r>
          </w:p>
        </w:tc>
        <w:tc>
          <w:tcPr/>
          <w:p>
            <w:pPr>
              <w:pStyle w:val="Compact"/>
              <w:jc w:val="left"/>
            </w:pPr>
            <w:r>
              <w:t xml:space="preserve">einmalige Gabe</w:t>
            </w:r>
          </w:p>
        </w:tc>
        <w:tc>
          <w:tcPr/>
          <w:p>
            <w:pPr>
              <w:pStyle w:val="Compact"/>
              <w:jc w:val="left"/>
            </w:pPr>
            <w:r>
              <w:t xml:space="preserve">längerer, weniger unterbrochener Schlaf</w:t>
            </w:r>
          </w:p>
        </w:tc>
      </w:tr>
      <w:tr>
        <w:tc>
          <w:tcPr/>
          <w:p>
            <w:pPr>
              <w:pStyle w:val="Compact"/>
              <w:jc w:val="left"/>
            </w:pPr>
            <w:r>
              <w:t xml:space="preserve">Schneider-Helmert 1987, PMID 3622582</w:t>
            </w:r>
          </w:p>
        </w:tc>
        <w:tc>
          <w:tcPr/>
          <w:p>
            <w:pPr>
              <w:pStyle w:val="Compact"/>
              <w:jc w:val="left"/>
            </w:pPr>
            <w:r>
              <w:t xml:space="preserve">14 Personen mit schwerer chronischer Schlaflosigkeit, doppelblind gegen Placebo</w:t>
            </w:r>
          </w:p>
        </w:tc>
        <w:tc>
          <w:tcPr/>
          <w:p>
            <w:pPr>
              <w:pStyle w:val="Compact"/>
              <w:jc w:val="left"/>
            </w:pPr>
            <w:r>
              <w:t xml:space="preserve">7 Nächte</w:t>
            </w:r>
          </w:p>
        </w:tc>
        <w:tc>
          <w:tcPr/>
          <w:p>
            <w:pPr>
              <w:pStyle w:val="Compact"/>
              <w:jc w:val="left"/>
            </w:pPr>
            <w:r>
              <w:t xml:space="preserve">Schlafeffizienz und Tagesleistung laut Autoren auf Niveau Gesunder</w:t>
            </w:r>
          </w:p>
        </w:tc>
      </w:tr>
      <w:tr>
        <w:tc>
          <w:tcPr/>
          <w:p>
            <w:pPr>
              <w:pStyle w:val="Compact"/>
              <w:jc w:val="left"/>
            </w:pPr>
            <w:r>
              <w:t xml:space="preserve">Monti 1987, PMID 3583493</w:t>
            </w:r>
          </w:p>
        </w:tc>
        <w:tc>
          <w:tcPr/>
          <w:p>
            <w:pPr>
              <w:pStyle w:val="Compact"/>
              <w:jc w:val="left"/>
            </w:pPr>
            <w:r>
              <w:t xml:space="preserve">Personen mit chronischer Schlaflosigkeit, doppelblind, Überkreuz</w:t>
            </w:r>
          </w:p>
        </w:tc>
        <w:tc>
          <w:tcPr/>
          <w:p>
            <w:pPr>
              <w:pStyle w:val="Compact"/>
              <w:jc w:val="left"/>
            </w:pPr>
            <w:r>
              <w:t xml:space="preserve">4 Nächte</w:t>
            </w:r>
          </w:p>
        </w:tc>
        <w:tc>
          <w:tcPr/>
          <w:p>
            <w:pPr>
              <w:pStyle w:val="Compact"/>
              <w:jc w:val="left"/>
            </w:pPr>
            <w:r>
              <w:t xml:space="preserve">Verbesserungen „von geringer klinischer Bedeutung“; Unterschiede bestanden schon vor Behandlung</w:t>
            </w:r>
          </w:p>
        </w:tc>
      </w:tr>
      <w:tr>
        <w:tc>
          <w:tcPr/>
          <w:p>
            <w:pPr>
              <w:pStyle w:val="Compact"/>
              <w:jc w:val="left"/>
            </w:pPr>
            <w:r>
              <w:t xml:space="preserve">Bes 1992, PMID 1299794</w:t>
            </w:r>
          </w:p>
        </w:tc>
        <w:tc>
          <w:tcPr/>
          <w:p>
            <w:pPr>
              <w:pStyle w:val="Compact"/>
              <w:jc w:val="left"/>
            </w:pPr>
            <w:r>
              <w:t xml:space="preserve">16 Personen mit chronischer Schlaflosigkeit, doppelblind gegen Placebo</w:t>
            </w:r>
          </w:p>
        </w:tc>
        <w:tc>
          <w:tcPr/>
          <w:p>
            <w:pPr>
              <w:pStyle w:val="Compact"/>
              <w:jc w:val="left"/>
            </w:pPr>
            <w:r>
              <w:t xml:space="preserve">3 Nächte</w:t>
            </w:r>
          </w:p>
        </w:tc>
        <w:tc>
          <w:tcPr/>
          <w:p>
            <w:pPr>
              <w:pStyle w:val="Compact"/>
              <w:jc w:val="left"/>
            </w:pPr>
            <w:r>
              <w:t xml:space="preserve">schwache Effekte, teils durch Zufallsschwankung erklärbar; „kein größerer therapeutischer Nutzen“</w:t>
            </w:r>
          </w:p>
        </w:tc>
      </w:tr>
    </w:tbl>
    <w:p>
      <w:pPr>
        <w:pStyle w:val="BodyText"/>
      </w:pPr>
      <w:r>
        <w:t xml:space="preserve">Die ersten Studien kamen fast alle aus einer einzigen Basler Forschungsgruppe und waren durchweg positiv. Bei sechs gesunden Freiwilligen verlängerte eine morgendliche Infusion die Schlafzeit in den folgenden gut zwei Stunden um 59 %, ohne dass die Teilnehmenden im klassischen Sinn sediert wirkten</w:t>
      </w:r>
      <w:r>
        <w:rPr>
          <w:rStyle w:val="FootnoteReference"/>
        </w:rPr>
        <w:footnoteReference w:id="1740"/>
      </w:r>
      <w:r>
        <w:t xml:space="preserve">. Bei 14 Personen mit schwerer Schlaflosigkeit erreichten Schlafeffizienz und Tagesleistung nach sieben Nächten laut den Autoren das Niveau gesunder Kontrollpersonen</w:t>
      </w:r>
      <w:r>
        <w:rPr>
          <w:rStyle w:val="FootnoteReference"/>
        </w:rPr>
        <w:footnoteReference w:id="1741"/>
      </w:r>
      <w:r>
        <w:t xml:space="preserve">.</w:t>
      </w:r>
    </w:p>
    <w:p>
      <w:pPr>
        <w:pStyle w:val="BodyText"/>
      </w:pPr>
      <w:r>
        <w:t xml:space="preserve">Unabhängige Gruppen konnten das nicht bestätigen. Eine Studie fand zwar mehr Gesamt- und NREM-Schlaf, aber die signifikanten Unterschiede zu Placebo (NREM-Schlaf und Schlafstadium 2) bestanden bereits vor der Behandlung; die Autoren bewerteten die Verbesserung als klinisch wenig bedeutsam</w:t>
      </w:r>
      <w:r>
        <w:rPr>
          <w:rStyle w:val="FootnoteReference"/>
        </w:rPr>
        <w:footnoteReference w:id="1742"/>
      </w:r>
      <w:r>
        <w:t xml:space="preserve">. Eine weitere Studie mit 16 Personen fand statistisch signifikante, aber schwache Effekte bei Schlafeffizienz und Einschlafzeit, die zum Teil durch eine zufällige Veränderung in der Placebogruppe erklärbar waren; die subjektive Schlafqualität änderte sich nicht. Ihr Schluss: Eine Kurzzeitbehandlung mit DSIP habe wahrscheinlich keinen größeren therapeutischen Nutzen</w:t>
      </w:r>
      <w:r>
        <w:rPr>
          <w:rStyle w:val="FootnoteReference"/>
        </w:rPr>
        <w:footnoteReference w:id="1743"/>
      </w:r>
      <w:r>
        <w:t xml:space="preserve">.</w:t>
      </w:r>
    </w:p>
    <w:p>
      <w:pPr>
        <w:pStyle w:val="BodyText"/>
      </w:pPr>
      <w:r>
        <w:t xml:space="preserve">Dieses Muster – begeisterte Erstberichte, ernüchternde Wiederholungen – ist typisch für Substanzen, deren Wirkung auf sehr kleinen Studien beruht.</w:t>
      </w:r>
    </w:p>
    <w:bookmarkEnd w:id="1744"/>
    <w:bookmarkStart w:id="1750" w:name="entzug-schmerz-und-andere-anwendungen"/>
    <w:p>
      <w:pPr>
        <w:pStyle w:val="Heading4"/>
      </w:pPr>
      <w:r>
        <w:t xml:space="preserve">Entzug, Schmerz und andere Anwendungen</w:t>
      </w:r>
    </w:p>
    <w:p>
      <w:pPr>
        <w:pStyle w:val="FirstParagraph"/>
      </w:pPr>
      <w:r>
        <w:t xml:space="preserve">In den 1980er-Jahren wurde DSIP bei 107 stationären Personen im Alkohol- oder Opiatentzug eingesetzt; nach ärztlicher Einschätzung verschwanden die Entzugssymptome bei 97 % der Opiat- bzw. 87 % der Alkoholabhängigen oder besserten sich deutlich. Es gab keine Kontrollgruppe, und ein Teil der Personen konnte nicht ausgewertet werden</w:t>
      </w:r>
      <w:r>
        <w:rPr>
          <w:rStyle w:val="FootnoteReference"/>
        </w:rPr>
        <w:footnoteReference w:id="1745"/>
      </w:r>
      <w:r>
        <w:t xml:space="preserve">. Eine spätere offene Studie zur Opioid-Entgiftung wurde nur als Kurzmitteilung ohne Abstract veröffentlicht</w:t>
      </w:r>
      <w:r>
        <w:rPr>
          <w:rStyle w:val="FootnoteReference"/>
        </w:rPr>
        <w:footnoteReference w:id="1746"/>
      </w:r>
      <w:r>
        <w:t xml:space="preserve">. Weitere Einzelberichte betreffen sieben Personen mit chronischen Schmerzen</w:t>
      </w:r>
      <w:r>
        <w:rPr>
          <w:rStyle w:val="FootnoteReference"/>
        </w:rPr>
        <w:footnoteReference w:id="1747"/>
      </w:r>
      <w:r>
        <w:t xml:space="preserve"> </w:t>
      </w:r>
      <w:r>
        <w:t xml:space="preserve">und einen Mann mit Narkolepsie</w:t>
      </w:r>
      <w:r>
        <w:rPr>
          <w:rStyle w:val="FootnoteReference"/>
        </w:rPr>
        <w:footnoteReference w:id="1748"/>
      </w:r>
      <w:r>
        <w:t xml:space="preserve">. Eine Studie untersuchte ein DSIP-Präparat zur Gabe in die Nase (Deltalicin) bei diabetischer Netzhauterkrankung, in der sich elektrische Reizantworten der Netzhaut verbesserten</w:t>
      </w:r>
      <w:r>
        <w:rPr>
          <w:rStyle w:val="FootnoteReference"/>
        </w:rPr>
        <w:footnoteReference w:id="1749"/>
      </w:r>
      <w:r>
        <w:t xml:space="preserve">.</w:t>
      </w:r>
    </w:p>
    <w:bookmarkEnd w:id="1750"/>
    <w:bookmarkStart w:id="1755" w:name="hormone-und-narkose"/>
    <w:p>
      <w:pPr>
        <w:pStyle w:val="Heading4"/>
      </w:pPr>
      <w:r>
        <w:t xml:space="preserve">Hormone und Narkose</w:t>
      </w:r>
    </w:p>
    <w:p>
      <w:pPr>
        <w:pStyle w:val="FirstParagraph"/>
      </w:pPr>
      <w:r>
        <w:t xml:space="preserve">Mehrere kleine Studien an Gesunden untersuchten, ob DSIP Stresshormone beeinflusst. Eine Studie mit elf Männern fand nach einer Injektion weniger ACTH im Blut, aber unveränderte Cortisolwerte</w:t>
      </w:r>
      <w:r>
        <w:rPr>
          <w:rStyle w:val="FootnoteReference"/>
        </w:rPr>
        <w:footnoteReference w:id="1751"/>
      </w:r>
      <w:r>
        <w:t xml:space="preserve">; eine andere mit insgesamt 20 Männern fand keinen Einfluss auf ACTH und Cortisol</w:t>
      </w:r>
      <w:r>
        <w:rPr>
          <w:rStyle w:val="FootnoteReference"/>
        </w:rPr>
        <w:footnoteReference w:id="1752"/>
      </w:r>
      <w:r>
        <w:t xml:space="preserve">. Auf Wachstumshormon und Prolaktin hatte DSIP bei Frauen keinen Einfluss</w:t>
      </w:r>
      <w:r>
        <w:rPr>
          <w:rStyle w:val="FootnoteReference"/>
        </w:rPr>
        <w:footnoteReference w:id="1753"/>
      </w:r>
      <w:r>
        <w:t xml:space="preserve">.</w:t>
      </w:r>
    </w:p>
    <w:p>
      <w:pPr>
        <w:pStyle w:val="BodyText"/>
      </w:pPr>
      <w:r>
        <w:t xml:space="preserve">Bemerkenswert ist eine Studie an 24 Frauen während einer Narkose: Statt die Narkose zu vertiefen, wie es für einen „natürlichen Schlafstoff“ zu erwarten wäre, erhöhte DSIP die Herzfrequenz und verringerte paradoxerweise den Delta-Rhythmus im EEG</w:t>
      </w:r>
      <w:r>
        <w:rPr>
          <w:rStyle w:val="FootnoteReference"/>
        </w:rPr>
        <w:footnoteReference w:id="1754"/>
      </w:r>
      <w:r>
        <w:t xml:space="preserve">.</w:t>
      </w:r>
    </w:p>
    <w:bookmarkEnd w:id="1755"/>
    <w:bookmarkEnd w:id="1756"/>
    <w:bookmarkStart w:id="1759" w:name="tier--und-laborstudien-38"/>
    <w:p>
      <w:pPr>
        <w:pStyle w:val="Heading3"/>
      </w:pPr>
      <w:r>
        <w:t xml:space="preserve">Tier- und Laborstudien</w:t>
      </w:r>
    </w:p>
    <w:p>
      <w:pPr>
        <w:numPr>
          <w:ilvl w:val="0"/>
          <w:numId w:val="1213"/>
        </w:numPr>
        <w:pStyle w:val="Compact"/>
      </w:pPr>
      <w:r>
        <w:t xml:space="preserve">Bei Kaninchen und Ratten wurden in frühen Studien schlaffördernde Effekte beschrieben, die sich aber nicht durchgängig wiederholen ließen</w:t>
      </w:r>
      <w:r>
        <w:rPr>
          <w:rStyle w:val="FootnoteReference"/>
        </w:rPr>
        <w:footnoteReference w:id="1757"/>
      </w:r>
      <w:r>
        <w:t xml:space="preserve">.</w:t>
      </w:r>
    </w:p>
    <w:p>
      <w:pPr>
        <w:numPr>
          <w:ilvl w:val="0"/>
          <w:numId w:val="1213"/>
        </w:numPr>
        <w:pStyle w:val="Compact"/>
      </w:pPr>
      <w:r>
        <w:t xml:space="preserve">Bei Mäusen lebten die ältesten 10 % der Tiere, die lebenslang ein russisches DSIP-Präparat erhielten, 16 % länger als die Kontrolltiere; spontane Tumoren traten verzögert auf</w:t>
      </w:r>
      <w:r>
        <w:rPr>
          <w:rStyle w:val="FootnoteReference"/>
        </w:rPr>
        <w:footnoteReference w:id="1758"/>
      </w:r>
      <w:r>
        <w:t xml:space="preserve">. Diese Arbeit stammt aus dem Umfeld der russischen Gerontologie, das auch Epitalon untersucht (siehe dort).</w:t>
      </w:r>
    </w:p>
    <w:p>
      <w:pPr>
        <w:numPr>
          <w:ilvl w:val="0"/>
          <w:numId w:val="1213"/>
        </w:numPr>
        <w:pStyle w:val="Compact"/>
      </w:pPr>
      <w:r>
        <w:t xml:space="preserve">Weitere Tierstudien beschreiben Effekte auf Stressresistenz, Schmerzempfinden und antioxidative Enzyme.</w:t>
      </w:r>
    </w:p>
    <w:bookmarkEnd w:id="1759"/>
    <w:bookmarkStart w:id="1762" w:name="risiken-und-nebenwirkungen-38"/>
    <w:p>
      <w:pPr>
        <w:pStyle w:val="Heading3"/>
      </w:pPr>
      <w:r>
        <w:t xml:space="preserve">Risiken und Nebenwirkungen</w:t>
      </w:r>
    </w:p>
    <w:p>
      <w:pPr>
        <w:pStyle w:val="FirstParagraph"/>
      </w:pPr>
      <w:r>
        <w:rPr>
          <w:bCs/>
          <w:b/>
        </w:rPr>
        <w:t xml:space="preserve">Belegt:</w:t>
      </w:r>
      <w:r>
        <w:t xml:space="preserve"> </w:t>
      </w:r>
      <w:r>
        <w:t xml:space="preserve">In den kleinen Studien wurde DSIP als gut verträglich beschrieben; vereinzelt traten Kopfschmerzen auf</w:t>
      </w:r>
      <w:r>
        <w:rPr>
          <w:rStyle w:val="FootnoteReference"/>
        </w:rPr>
        <w:footnoteReference w:id="1760"/>
      </w:r>
      <w:r>
        <w:t xml:space="preserve">. Unter Narkose erhöhte es die Herzfrequenz und verringerte die Herzfrequenzvariabilität</w:t>
      </w:r>
      <w:r>
        <w:rPr>
          <w:rStyle w:val="FootnoteReference"/>
        </w:rPr>
        <w:footnoteReference w:id="1761"/>
      </w:r>
      <w:r>
        <w:t xml:space="preserve">. Systematische Sicherheitsdaten über mehr als wenige Tage gibt es nicht.</w:t>
      </w:r>
    </w:p>
    <w:p>
      <w:pPr>
        <w:pStyle w:val="BodyText"/>
      </w:pPr>
      <w:r>
        <w:rPr>
          <w:bCs/>
          <w:b/>
        </w:rPr>
        <w:t xml:space="preserve">Theoretisch:</w:t>
      </w:r>
      <w:r>
        <w:t xml:space="preserve"> </w:t>
      </w:r>
      <w:r>
        <w:t xml:space="preserve">Weil weder Rezeptor noch natürliche Funktion geklärt sind, lassen sich Wirkungen und Wechselwirkungen – etwa mit Schlafmitteln, Alkohol oder Opioiden – kaum vorhersagen.</w:t>
      </w:r>
    </w:p>
    <w:p>
      <w:pPr>
        <w:pStyle w:val="BodyText"/>
      </w:pPr>
      <w:r>
        <w:rPr>
          <w:bCs/>
          <w:b/>
        </w:rPr>
        <w:t xml:space="preserve">Graumarkt:</w:t>
      </w:r>
      <w:r>
        <w:t xml:space="preserve"> </w:t>
      </w:r>
      <w:r>
        <w:t xml:space="preserve">DSIP wird online als Pulver zur Injektion verkauft und als Schlafmittel beworben. Die in den Studien verwendeten Präparate wurden in die Vene infundiert; Daten zur Injektion unter die Haut fehlen. Reinheit und Gehalt der Graumarktprodukte sind ungeprüft.</w:t>
      </w:r>
    </w:p>
    <w:p>
      <w:pPr>
        <w:pStyle w:val="BodyText"/>
      </w:pPr>
      <w:r>
        <w:rPr>
          <w:bCs/>
          <w:b/>
        </w:rPr>
        <w:t xml:space="preserve">Wichtig:</w:t>
      </w:r>
      <w:r>
        <w:t xml:space="preserve"> </w:t>
      </w:r>
      <w:r>
        <w:t xml:space="preserve">Für chronische Schlaflosigkeit gibt es wirksame, gut untersuchte Behandlungen, allen voran die kognitive Verhaltenstherapie bei Insomnie.</w:t>
      </w:r>
    </w:p>
    <w:bookmarkEnd w:id="1762"/>
    <w:bookmarkStart w:id="1763" w:name="rechtslage-38"/>
    <w:p>
      <w:pPr>
        <w:pStyle w:val="Heading3"/>
      </w:pPr>
      <w:r>
        <w:t xml:space="preserve">Rechtslage</w:t>
      </w:r>
    </w:p>
    <w:p>
      <w:pPr>
        <w:numPr>
          <w:ilvl w:val="0"/>
          <w:numId w:val="1214"/>
        </w:numPr>
        <w:pStyle w:val="Compact"/>
      </w:pPr>
      <w:r>
        <w:rPr>
          <w:bCs/>
          <w:b/>
        </w:rPr>
        <w:t xml:space="preserve">EU / Österreich / Deutschland:</w:t>
      </w:r>
      <w:r>
        <w:t xml:space="preserve"> </w:t>
      </w:r>
      <w:r>
        <w:t xml:space="preserve">nicht zugelassen; als Stoff mit pharmakologischer Wirkung gilt DSIP als Arzneimittel, ein Verkauf zur Anwendung am Menschen ist nicht erlaubt.</w:t>
      </w:r>
    </w:p>
    <w:p>
      <w:pPr>
        <w:numPr>
          <w:ilvl w:val="0"/>
          <w:numId w:val="1214"/>
        </w:numPr>
        <w:pStyle w:val="Compact"/>
      </w:pPr>
      <w:r>
        <w:rPr>
          <w:bCs/>
          <w:b/>
        </w:rPr>
        <w:t xml:space="preserve">USA:</w:t>
      </w:r>
      <w:r>
        <w:t xml:space="preserve"> </w:t>
      </w:r>
      <w:r>
        <w:t xml:space="preserve">nicht zugelassen; der Beratungsausschuss PCAC sprach sich im Juli 2026 knapp gegen eine Zulassung für Apotheken-Rezepturen aus. Die endgültige FDA-Entscheidung stand bei Redaktionsschluss aus (Stand Oktober 2026, bitte aktuell prüfen).</w:t>
      </w:r>
    </w:p>
    <w:p>
      <w:pPr>
        <w:numPr>
          <w:ilvl w:val="0"/>
          <w:numId w:val="1214"/>
        </w:numPr>
        <w:pStyle w:val="Compact"/>
      </w:pPr>
      <w:r>
        <w:rPr>
          <w:bCs/>
          <w:b/>
        </w:rPr>
        <w:t xml:space="preserve">Sport:</w:t>
      </w:r>
      <w:r>
        <w:t xml:space="preserve"> </w:t>
      </w:r>
      <w:r>
        <w:t xml:space="preserve">nicht namentlich auf der WADA-Liste (Stand 2026, bitte aktuell prüfen).</w:t>
      </w:r>
    </w:p>
    <w:bookmarkEnd w:id="1763"/>
    <w:bookmarkStart w:id="1764" w:name="laufende-studien-und-ausblick-38"/>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DSIP registriert (Abfrage Oktober 2026). Seit den 1990er-Jahren sind praktisch keine neuen klinischen Daten hinzugekommen.</w:t>
      </w:r>
    </w:p>
    <w:p>
      <w:pPr>
        <w:pStyle w:val="BodyText"/>
      </w:pPr>
      <w:r>
        <w:rPr>
          <w:bCs/>
          <w:b/>
        </w:rPr>
        <w:t xml:space="preserve">Einschätzung:</w:t>
      </w:r>
      <w:r>
        <w:t xml:space="preserve"> </w:t>
      </w:r>
      <w:r>
        <w:t xml:space="preserve">Ohne Klarheit über Rezeptor und natürliche Funktion und ohne moderne, ausreichend große Schlafstudie ist nicht zu erwarten, dass DSIP als Arzneimittel zurückkehrt.</w:t>
      </w:r>
    </w:p>
    <w:bookmarkEnd w:id="1764"/>
    <w:bookmarkStart w:id="1765" w:name="fazit-38"/>
    <w:p>
      <w:pPr>
        <w:pStyle w:val="Heading3"/>
      </w:pPr>
      <w:r>
        <w:t xml:space="preserve">Fazit</w:t>
      </w:r>
    </w:p>
    <w:p>
      <w:pPr>
        <w:pStyle w:val="FirstParagraph"/>
      </w:pPr>
      <w:r>
        <w:t xml:space="preserve">DSIP wurde 1977 als möglicher körpereigener „Schlafstoff“ entdeckt, doch Gen, Rezeptor und natürliche Funktion sind bis heute unbekannt. Frühe Studien einer Basler Gruppe mit jeweils sechs bis 14 Personen berichteten besseren Schlaf; unabhängige Placebo-kontrollierte Studien fanden nur schwache, klinisch wenig bedeutsame Effekte. Neuere Daten am Menschen gibt es kaum. Die Daten reichen nicht aus, um DSIP als wirksames oder sicheres Schlafmittel zu betrachten.</w:t>
      </w:r>
    </w:p>
    <w:bookmarkEnd w:id="1765"/>
    <w:bookmarkEnd w:id="1766"/>
    <w:bookmarkStart w:id="1796" w:name="epitalon-epithalon"/>
    <w:p>
      <w:pPr>
        <w:pStyle w:val="Heading2"/>
      </w:pPr>
      <w:r>
        <w:t xml:space="preserve">Epitalon (Epithalon)</w:t>
      </w:r>
    </w:p>
    <w:bookmarkStart w:id="1767" w:name="steckbrief-39"/>
    <w:p>
      <w:pPr>
        <w:pStyle w:val="Heading3"/>
      </w:pPr>
      <w:r>
        <w:t xml:space="preserve">Steckbrief</w:t>
      </w:r>
    </w:p>
    <w:p>
      <w:pPr>
        <w:numPr>
          <w:ilvl w:val="0"/>
          <w:numId w:val="1215"/>
        </w:numPr>
        <w:pStyle w:val="Compact"/>
      </w:pPr>
      <w:r>
        <w:rPr>
          <w:bCs/>
          <w:b/>
        </w:rPr>
        <w:t xml:space="preserve">Art und Struktur:</w:t>
      </w:r>
      <w:r>
        <w:t xml:space="preserve"> </w:t>
      </w:r>
      <w:r>
        <w:t xml:space="preserve">synthetisches Tetrapeptid aus vier Aminosäuren: Ala-Glu-Asp-Gly (abgekürzt AEDG). Schreibweisen: Epitalon, Epithalon, Epithalone.</w:t>
      </w:r>
    </w:p>
    <w:p>
      <w:pPr>
        <w:numPr>
          <w:ilvl w:val="0"/>
          <w:numId w:val="1215"/>
        </w:numPr>
        <w:pStyle w:val="Compact"/>
      </w:pPr>
      <w:r>
        <w:rPr>
          <w:bCs/>
          <w:b/>
        </w:rPr>
        <w:t xml:space="preserve">Herkunft:</w:t>
      </w:r>
      <w:r>
        <w:t xml:space="preserve"> </w:t>
      </w:r>
      <w:r>
        <w:t xml:space="preserve">entwickelt in den 1980er- und 1990er-Jahren am St. Petersburger Institut für Bioregulation und Gerontologie unter Wladimir Chavinson (in Fachartikeln: Khavinson). Die Aminosäurefolge wurde aus der Zusammensetzung von</w:t>
      </w:r>
      <w:r>
        <w:t xml:space="preserve"> </w:t>
      </w:r>
      <w:r>
        <w:rPr>
          <w:bCs/>
          <w:b/>
        </w:rPr>
        <w:t xml:space="preserve">Epithalamin</w:t>
      </w:r>
      <w:r>
        <w:t xml:space="preserve"> </w:t>
      </w:r>
      <w:r>
        <w:t xml:space="preserve">abgeleitet, einem Extrakt aus der Zirbeldrüse (Epiphyse) von Rindern. Epitalon und Epithalamin sind chemisch verschiedene Substanzen.</w:t>
      </w:r>
    </w:p>
    <w:p>
      <w:pPr>
        <w:numPr>
          <w:ilvl w:val="0"/>
          <w:numId w:val="1215"/>
        </w:numPr>
        <w:pStyle w:val="Compact"/>
      </w:pPr>
      <w:r>
        <w:rPr>
          <w:bCs/>
          <w:b/>
        </w:rPr>
        <w:t xml:space="preserve">Wirkprinzip:</w:t>
      </w:r>
      <w:r>
        <w:t xml:space="preserve"> </w:t>
      </w:r>
      <w:r>
        <w:t xml:space="preserve">soll als „Peptid-Bioregulator“ die Funktion der Zirbeldrüse normalisieren, die Melatoninbildung im Alter fördern und das Enzym Telomerase aktivieren, das die Enden der Chromosomen (Telomere) verlängert.</w:t>
      </w:r>
    </w:p>
    <w:p>
      <w:pPr>
        <w:numPr>
          <w:ilvl w:val="0"/>
          <w:numId w:val="1215"/>
        </w:numPr>
        <w:pStyle w:val="Compact"/>
      </w:pPr>
      <w:r>
        <w:rPr>
          <w:bCs/>
          <w:b/>
        </w:rPr>
        <w:t xml:space="preserve">Zulassung EU:</w:t>
      </w:r>
      <w:r>
        <w:t xml:space="preserve"> </w:t>
      </w:r>
      <w:r>
        <w:t xml:space="preserve">nein.</w:t>
      </w:r>
    </w:p>
    <w:p>
      <w:pPr>
        <w:numPr>
          <w:ilvl w:val="0"/>
          <w:numId w:val="1215"/>
        </w:numPr>
        <w:pStyle w:val="Compact"/>
      </w:pPr>
      <w:r>
        <w:rPr>
          <w:bCs/>
          <w:b/>
        </w:rPr>
        <w:t xml:space="preserve">Zulassung USA:</w:t>
      </w:r>
      <w:r>
        <w:t xml:space="preserve"> </w:t>
      </w:r>
      <w:r>
        <w:t xml:space="preserve">nein. Im April 2026 von der FDA-„Kategorie 2“ gestrichen; der Beratungsausschuss PCAC stimmte im Juli 2026 mit 7 zu 4 Stimmen für die Aufnahme in die Liste zulässiger Rezeptursubstanzen, entgegen der Empfehlung der FDA-Fachleute. Eine Zulassung als Arzneimittel ist das nicht (Stand Oktober 2026, bitte aktuell prüfen).</w:t>
      </w:r>
    </w:p>
    <w:p>
      <w:pPr>
        <w:numPr>
          <w:ilvl w:val="0"/>
          <w:numId w:val="1215"/>
        </w:numPr>
        <w:pStyle w:val="Compact"/>
      </w:pPr>
      <w:r>
        <w:rPr>
          <w:bCs/>
          <w:b/>
        </w:rPr>
        <w:t xml:space="preserve">WADA:</w:t>
      </w:r>
      <w:r>
        <w:t xml:space="preserve"> </w:t>
      </w:r>
      <w:r>
        <w:t xml:space="preserve">nicht namentlich gelistet; als nirgends als Arzneimittel zugelassene Substanz fällt Epitalon nach unserer Einschätzung unter die Sammelkategorie S0.</w:t>
      </w:r>
    </w:p>
    <w:p>
      <w:pPr>
        <w:numPr>
          <w:ilvl w:val="0"/>
          <w:numId w:val="1215"/>
        </w:numPr>
        <w:pStyle w:val="Compact"/>
      </w:pPr>
      <w:r>
        <w:rPr>
          <w:bCs/>
          <w:b/>
        </w:rPr>
        <w:t xml:space="preserve">Evidenzstufe:</w:t>
      </w:r>
      <w:r>
        <w:t xml:space="preserve"> </w:t>
      </w:r>
      <w:r>
        <w:rPr>
          <w:bCs/>
          <w:b/>
        </w:rPr>
        <w:t xml:space="preserve">C</w:t>
      </w:r>
      <w:r>
        <w:t xml:space="preserve"> </w:t>
      </w:r>
      <w:r>
        <w:t xml:space="preserve">– nur eine kleine kontrollierte Studie mit dem synthetischen Peptid am Menschen; die übrigen Humandaten betreffen den Extrakt Epithalamin oder Zellen im Reagenzglas.</w:t>
      </w:r>
    </w:p>
    <w:bookmarkEnd w:id="1767"/>
    <w:bookmarkStart w:id="1771" w:name="wie-es-wirken-soll-39"/>
    <w:p>
      <w:pPr>
        <w:pStyle w:val="Heading3"/>
      </w:pPr>
      <w:r>
        <w:t xml:space="preserve">Wie es wirken soll</w:t>
      </w:r>
    </w:p>
    <w:p>
      <w:pPr>
        <w:pStyle w:val="FirstParagraph"/>
      </w:pPr>
      <w:r>
        <w:t xml:space="preserve">Die Zirbeldrüse ist ein kleines Organ im Gehirn, das nachts das Hormon Melatonin bildet und damit den Tag-Nacht-Rhythmus mitsteuert. Im Alter nimmt die Melatoninbildung ab. Die St. Petersburger Gruppe ging davon aus, dass kurze Peptide aus Organen als „Bioregulatoren“ die Funktion genau dieser Organe wiederherstellen können – aus der Zirbeldrüse für die Zirbeldrüse, aus der Thymusdrüse für das Immunsystem (siehe auch das Kapitel Thymalin in Teil II · B).</w:t>
      </w:r>
    </w:p>
    <w:p>
      <w:pPr>
        <w:pStyle w:val="BodyText"/>
      </w:pPr>
      <w:r>
        <w:t xml:space="preserve">Für Epitalon werden mehrere Mechanismen beschrieben, fast alle aus Labor- und Tierversuchen der Entwicklergruppe:</w:t>
      </w:r>
    </w:p>
    <w:p>
      <w:pPr>
        <w:numPr>
          <w:ilvl w:val="0"/>
          <w:numId w:val="1216"/>
        </w:numPr>
        <w:pStyle w:val="Compact"/>
      </w:pPr>
      <w:r>
        <w:rPr>
          <w:bCs/>
          <w:b/>
        </w:rPr>
        <w:t xml:space="preserve">Telomerase und Telomere:</w:t>
      </w:r>
      <w:r>
        <w:t xml:space="preserve"> </w:t>
      </w:r>
      <w:r>
        <w:t xml:space="preserve">Telomere sind schützende Endstücke der Chromosomen, die bei jeder Zellteilung etwas kürzer werden. Das Enzym Telomerase kann sie wieder verlängern; in den meisten Körperzellen ist es abgeschaltet. In Kulturen menschlicher Fibroblasten (Bindegewebszellen) aus Feten soll Epitalon die Telomerase eingeschaltet und die Telomere verlängert haben</w:t>
      </w:r>
      <w:r>
        <w:rPr>
          <w:rStyle w:val="FootnoteReference"/>
        </w:rPr>
        <w:footnoteReference w:id="1768"/>
      </w:r>
      <w:r>
        <w:t xml:space="preserve">.</w:t>
      </w:r>
    </w:p>
    <w:p>
      <w:pPr>
        <w:numPr>
          <w:ilvl w:val="0"/>
          <w:numId w:val="1216"/>
        </w:numPr>
        <w:pStyle w:val="Compact"/>
      </w:pPr>
      <w:r>
        <w:rPr>
          <w:bCs/>
          <w:b/>
        </w:rPr>
        <w:t xml:space="preserve">Chromatin und Gene:</w:t>
      </w:r>
      <w:r>
        <w:t xml:space="preserve"> </w:t>
      </w:r>
      <w:r>
        <w:t xml:space="preserve">In Lymphozyten 76- bis 80-jähriger Menschen soll Epitalon im Reagenzglas „verdichtetes“ Erbgut wieder aufgelockert und stillgelegte Gene aktiviert haben</w:t>
      </w:r>
      <w:r>
        <w:rPr>
          <w:rStyle w:val="FootnoteReference"/>
        </w:rPr>
        <w:footnoteReference w:id="1769"/>
      </w:r>
      <w:r>
        <w:t xml:space="preserve">. Die Gruppe postuliert, dass kurze Peptide direkt an die DNA binden.</w:t>
      </w:r>
    </w:p>
    <w:p>
      <w:pPr>
        <w:numPr>
          <w:ilvl w:val="0"/>
          <w:numId w:val="1216"/>
        </w:numPr>
        <w:pStyle w:val="Compact"/>
      </w:pPr>
      <w:r>
        <w:rPr>
          <w:bCs/>
          <w:b/>
        </w:rPr>
        <w:t xml:space="preserve">Melatonin:</w:t>
      </w:r>
      <w:r>
        <w:t xml:space="preserve"> </w:t>
      </w:r>
      <w:r>
        <w:t xml:space="preserve">In Zellkulturen und bei Tieren beeinflusste Epitalon die Melatoninbildung.</w:t>
      </w:r>
    </w:p>
    <w:p>
      <w:pPr>
        <w:pStyle w:val="FirstParagraph"/>
      </w:pPr>
      <w:r>
        <w:t xml:space="preserve">Eine Übersichtsarbeit von 2025 fasst zusammen, dass trotz 25 Jahren Forschung unklar bleibe, ob diese Mechanismen die einzigen sind, und dass es nur wenige grundlegende physikalisch-chemische und strukturelle Untersuchungen des Peptids gibt</w:t>
      </w:r>
      <w:r>
        <w:rPr>
          <w:rStyle w:val="FootnoteReference"/>
        </w:rPr>
        <w:footnoteReference w:id="1770"/>
      </w:r>
      <w:r>
        <w:t xml:space="preserve">.</w:t>
      </w:r>
    </w:p>
    <w:bookmarkEnd w:id="1771"/>
    <w:bookmarkStart w:id="1782" w:name="studien-am-menschen-3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w:t>
      </w:r>
      <w:r>
        <w:t xml:space="preserve"> </w:t>
      </w:r>
      <w:r>
        <w:rPr>
          <w:bCs/>
          <w:b/>
        </w:rPr>
        <w:t xml:space="preserve">eine</w:t>
      </w:r>
      <w:r>
        <w:t xml:space="preserve"> </w:t>
      </w:r>
      <w:r>
        <w:t xml:space="preserve">als Humanstudie klassifizierte Veröffentlichung zu Epitalon; insgesamt führt PubMed rund 120 Arbeiten mit den Suchbegriffen, ganz überwiegend Tier- und Zellstudien aus St. Petersburg. Auf ClinicalTrials.gov ist eine Studie registriert (siehe Ausblick). Eine aktuelle unabhängige Übersicht kommt zum selben Ergebnis: Die Humandaten zu synthetischem Epitalon beschränken sich auf kleine physiologische oder Biomarker-Studien und eine ältere kontrollierte Studie bei Retinitis pigmentosa; keine ausreichend große randomisierte Studie hat eine therapeutische Wirksamkeit belegt</w:t>
      </w:r>
      <w:r>
        <w:rPr>
          <w:rStyle w:val="FootnoteReference"/>
        </w:rPr>
        <w:footnoteReference w:id="17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Untersuchte Substanz und Design</w:t>
            </w:r>
          </w:p>
        </w:tc>
        <w:tc>
          <w:tcPr/>
          <w:p>
            <w:pPr>
              <w:pStyle w:val="Compact"/>
              <w:jc w:val="left"/>
            </w:pPr>
            <w:r>
              <w:t xml:space="preserve">Teilnehmende</w:t>
            </w:r>
          </w:p>
        </w:tc>
        <w:tc>
          <w:tcPr/>
          <w:p>
            <w:pPr>
              <w:pStyle w:val="Compact"/>
              <w:jc w:val="left"/>
            </w:pPr>
            <w:r>
              <w:t xml:space="preserve">Ergebnis</w:t>
            </w:r>
          </w:p>
        </w:tc>
      </w:tr>
      <w:tr>
        <w:tc>
          <w:tcPr/>
          <w:p>
            <w:pPr>
              <w:pStyle w:val="Compact"/>
              <w:jc w:val="left"/>
            </w:pPr>
            <w:r>
              <w:t xml:space="preserve">Khavinson 2002, PMID 12195242</w:t>
            </w:r>
          </w:p>
        </w:tc>
        <w:tc>
          <w:tcPr/>
          <w:p>
            <w:pPr>
              <w:pStyle w:val="Compact"/>
              <w:jc w:val="left"/>
            </w:pPr>
            <w:r>
              <w:t xml:space="preserve">Epitalon, kontrollierte Studie bei erblicher Netzhautdegeneration (Retinitis pigmentosa)</w:t>
            </w:r>
          </w:p>
        </w:tc>
        <w:tc>
          <w:tcPr/>
          <w:p>
            <w:pPr>
              <w:pStyle w:val="Compact"/>
              <w:jc w:val="left"/>
            </w:pPr>
            <w:r>
              <w:t xml:space="preserve">im Abstract nicht angegeben</w:t>
            </w:r>
          </w:p>
        </w:tc>
        <w:tc>
          <w:tcPr/>
          <w:p>
            <w:pPr>
              <w:pStyle w:val="Compact"/>
              <w:jc w:val="left"/>
            </w:pPr>
            <w:r>
              <w:t xml:space="preserve">„positiver klinischer Effekt in 90 % der Fälle“</w:t>
            </w:r>
          </w:p>
        </w:tc>
      </w:tr>
      <w:tr>
        <w:tc>
          <w:tcPr/>
          <w:p>
            <w:pPr>
              <w:pStyle w:val="Compact"/>
              <w:jc w:val="left"/>
            </w:pPr>
            <w:r>
              <w:t xml:space="preserve">Khavinson 2003, PMID 14523363</w:t>
            </w:r>
          </w:p>
        </w:tc>
        <w:tc>
          <w:tcPr/>
          <w:p>
            <w:pPr>
              <w:pStyle w:val="Compact"/>
              <w:jc w:val="left"/>
            </w:pPr>
            <w:r>
              <w:t xml:space="preserve">Epithalamin (Extrakt) und Thymalin bei älteren Menschen, Kontrollgruppe</w:t>
            </w:r>
          </w:p>
        </w:tc>
        <w:tc>
          <w:tcPr/>
          <w:p>
            <w:pPr>
              <w:pStyle w:val="Compact"/>
              <w:jc w:val="left"/>
            </w:pPr>
            <w:r>
              <w:t xml:space="preserve">266 Personen, 6–8 Jahre</w:t>
            </w:r>
          </w:p>
        </w:tc>
        <w:tc>
          <w:tcPr/>
          <w:p>
            <w:pPr>
              <w:pStyle w:val="Compact"/>
              <w:jc w:val="left"/>
            </w:pPr>
            <w:r>
              <w:t xml:space="preserve">laut Autoren 1,6- bis 1,8-fach geringere Sterblichkeit unter Epithalamin</w:t>
            </w:r>
          </w:p>
        </w:tc>
      </w:tr>
      <w:tr>
        <w:tc>
          <w:tcPr/>
          <w:p>
            <w:pPr>
              <w:pStyle w:val="Compact"/>
              <w:jc w:val="left"/>
            </w:pPr>
            <w:r>
              <w:t xml:space="preserve">Labunets 2004, PMID 15455130</w:t>
            </w:r>
          </w:p>
        </w:tc>
        <w:tc>
          <w:tcPr/>
          <w:p>
            <w:pPr>
              <w:pStyle w:val="Compact"/>
              <w:jc w:val="left"/>
            </w:pPr>
            <w:r>
              <w:t xml:space="preserve">Epithalamin, Kurs bei älteren Menschen</w:t>
            </w:r>
          </w:p>
        </w:tc>
        <w:tc>
          <w:tcPr/>
          <w:p>
            <w:pPr>
              <w:pStyle w:val="Compact"/>
              <w:jc w:val="left"/>
            </w:pPr>
            <w:r>
              <w:t xml:space="preserve">im Abstract nicht angegeben</w:t>
            </w:r>
          </w:p>
        </w:tc>
        <w:tc>
          <w:tcPr/>
          <w:p>
            <w:pPr>
              <w:pStyle w:val="Compact"/>
              <w:jc w:val="left"/>
            </w:pPr>
            <w:r>
              <w:t xml:space="preserve">Melatonin-Rhythmus und Thymusfaktor „jünger“</w:t>
            </w:r>
          </w:p>
        </w:tc>
      </w:tr>
      <w:tr>
        <w:tc>
          <w:tcPr/>
          <w:p>
            <w:pPr>
              <w:pStyle w:val="Compact"/>
              <w:jc w:val="left"/>
            </w:pPr>
            <w:r>
              <w:t xml:space="preserve">Khavinson 2019, PMID 31761987</w:t>
            </w:r>
          </w:p>
        </w:tc>
        <w:tc>
          <w:tcPr/>
          <w:p>
            <w:pPr>
              <w:pStyle w:val="Compact"/>
              <w:jc w:val="left"/>
            </w:pPr>
            <w:r>
              <w:t xml:space="preserve">AEDG im Reagenzglas an Blutzellen</w:t>
            </w:r>
          </w:p>
        </w:tc>
        <w:tc>
          <w:tcPr/>
          <w:p>
            <w:pPr>
              <w:pStyle w:val="Compact"/>
              <w:jc w:val="left"/>
            </w:pPr>
            <w:r>
              <w:t xml:space="preserve">11 Männer (Zellproben)</w:t>
            </w:r>
          </w:p>
        </w:tc>
        <w:tc>
          <w:tcPr/>
          <w:p>
            <w:pPr>
              <w:pStyle w:val="Compact"/>
              <w:jc w:val="left"/>
            </w:pPr>
            <w:r>
              <w:t xml:space="preserve">Telomerlänge in 5 Fällen länger, in 2 Fällen kürzer</w:t>
            </w:r>
          </w:p>
        </w:tc>
      </w:tr>
    </w:tbl>
    <w:bookmarkStart w:id="1774" w:name="die-eine-studie-mit-epitalon"/>
    <w:p>
      <w:pPr>
        <w:pStyle w:val="Heading4"/>
      </w:pPr>
      <w:r>
        <w:t xml:space="preserve">Die eine Studie mit Epitalon</w:t>
      </w:r>
    </w:p>
    <w:p>
      <w:pPr>
        <w:pStyle w:val="FirstParagraph"/>
      </w:pPr>
      <w:r>
        <w:t xml:space="preserve">In der einzigen klinischen Studie mit synthetischem Epitalon wurden Personen mit Retinitis pigmentosa behandelt, einer erblichen Erkrankung, bei der die Netzhaut schrittweise abstirbt. Das Abstract berichtet einen „positiven klinischen Effekt in 90 % der Fälle“, nennt aber weder die Zahl der Teilnehmenden noch das Kriterium für „positiv“ oder die Ergebnisse der Kontrollgruppe</w:t>
      </w:r>
      <w:r>
        <w:rPr>
          <w:rStyle w:val="FootnoteReference"/>
        </w:rPr>
        <w:footnoteReference w:id="1773"/>
      </w:r>
      <w:r>
        <w:t xml:space="preserve">. Unabhängig bestätigt wurde der Befund nicht; in der Behandlung der Retinitis pigmentosa spielt Epitalon keine Rolle.</w:t>
      </w:r>
    </w:p>
    <w:bookmarkEnd w:id="1774"/>
    <w:bookmarkStart w:id="1776" w:name="die-langlebigkeitsstudie-mit-epithalamin"/>
    <w:p>
      <w:pPr>
        <w:pStyle w:val="Heading4"/>
      </w:pPr>
      <w:r>
        <w:t xml:space="preserve">Die Langlebigkeitsstudie mit Epithalamin</w:t>
      </w:r>
    </w:p>
    <w:p>
      <w:pPr>
        <w:pStyle w:val="FirstParagraph"/>
      </w:pPr>
      <w:r>
        <w:t xml:space="preserve">Die meistzitierte Humanstudie im Internet – „Zirbeldrüsen-Peptide verlängern das menschliche Leben“ – betrifft nicht Epitalon, sondern den tierischen Extrakt Epithalamin. Forschende aus St. Petersburg und Kiew begleiteten 266 ältere Menschen sechs bis acht Jahre lang; in den ersten zwei bis drei Jahren erhielten Teile der Gruppe Thymalin, Epithalamin oder beides. Laut Abstract sank die Sterblichkeit unter Epithalamin um das 1,6- bis 1,8-Fache, unter der Kombination um das 2,5-Fache, und bei jährlicher Kombinationsbehandlung über sechs Jahre sogar um das 4,1-Fache</w:t>
      </w:r>
      <w:r>
        <w:rPr>
          <w:rStyle w:val="FootnoteReference"/>
        </w:rPr>
        <w:footnoteReference w:id="1775"/>
      </w:r>
      <w:r>
        <w:t xml:space="preserve">.</w:t>
      </w:r>
    </w:p>
    <w:p>
      <w:pPr>
        <w:pStyle w:val="BodyText"/>
      </w:pPr>
      <w:r>
        <w:t xml:space="preserve">Solche Effekte wären außergewöhnlich – größer als bei fast jeder Maßnahme der modernen Medizin. Umso wichtiger sind die Grenzen:</w:t>
      </w:r>
    </w:p>
    <w:p>
      <w:pPr>
        <w:numPr>
          <w:ilvl w:val="0"/>
          <w:numId w:val="1217"/>
        </w:numPr>
        <w:pStyle w:val="Compact"/>
      </w:pPr>
      <w:r>
        <w:t xml:space="preserve">Das Abstract beschreibt weder eine Zufallszuteilung noch eine Verblindung. Es ist nicht erkennbar, wie die Kontrollgruppe ausgewählt wurde.</w:t>
      </w:r>
    </w:p>
    <w:p>
      <w:pPr>
        <w:numPr>
          <w:ilvl w:val="0"/>
          <w:numId w:val="1217"/>
        </w:numPr>
        <w:pStyle w:val="Compact"/>
      </w:pPr>
      <w:r>
        <w:t xml:space="preserve">Die Gruppengrößen der einzelnen Arme und absolute Todeszahlen sind nicht angegeben.</w:t>
      </w:r>
    </w:p>
    <w:p>
      <w:pPr>
        <w:numPr>
          <w:ilvl w:val="0"/>
          <w:numId w:val="1217"/>
        </w:numPr>
        <w:pStyle w:val="Compact"/>
      </w:pPr>
      <w:r>
        <w:t xml:space="preserve">Die Studie wurde nie registriert, und eine unabhängige Wiederholung gibt es nicht.</w:t>
      </w:r>
    </w:p>
    <w:p>
      <w:pPr>
        <w:numPr>
          <w:ilvl w:val="0"/>
          <w:numId w:val="1217"/>
        </w:numPr>
        <w:pStyle w:val="Compact"/>
      </w:pPr>
      <w:r>
        <w:t xml:space="preserve">Die Ergebnisse stammen von den Entwicklern der Präparate.</w:t>
      </w:r>
    </w:p>
    <w:p>
      <w:pPr>
        <w:pStyle w:val="FirstParagraph"/>
      </w:pPr>
      <w:r>
        <w:t xml:space="preserve">Bei nicht randomisierten Beobachtungen können schon kleine Unterschiede zwischen den Gruppen – etwa wer gesünder oder besser betreut war – große scheinbare Effekte auf die Sterblichkeit erzeugen. Für Epitalon selbst lässt sich aus dieser Studie ohnehin nichts ableiten, weil eine andere Substanz untersucht wurde.</w:t>
      </w:r>
    </w:p>
    <w:bookmarkEnd w:id="1776"/>
    <w:bookmarkStart w:id="1781" w:name="die-telomer-behauptung-im-faktencheck"/>
    <w:p>
      <w:pPr>
        <w:pStyle w:val="Heading4"/>
      </w:pPr>
      <w:r>
        <w:t xml:space="preserve">Die Telomer-Behauptung im Faktencheck</w:t>
      </w:r>
    </w:p>
    <w:p>
      <w:pPr>
        <w:pStyle w:val="FirstParagraph"/>
      </w:pPr>
      <w:r>
        <w:t xml:space="preserve">Im Internet wird Epitalon häufig als Mittel beworben, das „die Telomere verlängert“ und damit „die biologische Uhr zurückdreht“. Was ist daran belegt?</w:t>
      </w:r>
    </w:p>
    <w:p>
      <w:pPr>
        <w:numPr>
          <w:ilvl w:val="0"/>
          <w:numId w:val="1218"/>
        </w:numPr>
        <w:pStyle w:val="Compact"/>
      </w:pPr>
      <w:r>
        <w:rPr>
          <w:bCs/>
          <w:b/>
        </w:rPr>
        <w:t xml:space="preserve">Zellkultur aus St. Petersburg:</w:t>
      </w:r>
      <w:r>
        <w:t xml:space="preserve"> </w:t>
      </w:r>
      <w:r>
        <w:t xml:space="preserve">In menschlichen fetalen Fibroblasten löste Epitalon Telomerase-Aktivität und Telomerverlängerung aus</w:t>
      </w:r>
      <w:r>
        <w:rPr>
          <w:rStyle w:val="FootnoteReference"/>
        </w:rPr>
        <w:footnoteReference w:id="1777"/>
      </w:r>
      <w:r>
        <w:t xml:space="preserve">; in einer Folgearbeit machten behandelte Zellen zehn zusätzliche Teilungen über ihre übliche Grenze hinaus</w:t>
      </w:r>
      <w:r>
        <w:rPr>
          <w:rStyle w:val="FootnoteReference"/>
        </w:rPr>
        <w:footnoteReference w:id="1778"/>
      </w:r>
      <w:r>
        <w:t xml:space="preserve">. Beide Arbeiten sind sehr kurz publiziert, ohne detaillierte Methoden im Abstract.</w:t>
      </w:r>
    </w:p>
    <w:p>
      <w:pPr>
        <w:numPr>
          <w:ilvl w:val="0"/>
          <w:numId w:val="1218"/>
        </w:numPr>
        <w:pStyle w:val="Compact"/>
      </w:pPr>
      <w:r>
        <w:rPr>
          <w:bCs/>
          <w:b/>
        </w:rPr>
        <w:t xml:space="preserve">Unabhängige Zellstudie:</w:t>
      </w:r>
      <w:r>
        <w:t xml:space="preserve"> </w:t>
      </w:r>
      <w:r>
        <w:t xml:space="preserve">Eine Arbeitsgruppe außerhalb Russlands fand 2025 ebenfalls dosisabhängig längere Telomere in normalen menschlichen Epithel- und Bindegewebszellen. In Brustkrebs-Zelllinien verlängerten sich die Telomere ebenfalls – dort über einen alternativen Mechanismus (ALT), der typisch für Krebszellen ist</w:t>
      </w:r>
      <w:r>
        <w:rPr>
          <w:rStyle w:val="FootnoteReference"/>
        </w:rPr>
        <w:footnoteReference w:id="1779"/>
      </w:r>
      <w:r>
        <w:t xml:space="preserve">.</w:t>
      </w:r>
    </w:p>
    <w:p>
      <w:pPr>
        <w:numPr>
          <w:ilvl w:val="0"/>
          <w:numId w:val="1218"/>
        </w:numPr>
        <w:pStyle w:val="Compact"/>
      </w:pPr>
      <w:r>
        <w:rPr>
          <w:bCs/>
          <w:b/>
        </w:rPr>
        <w:t xml:space="preserve">Blutzellen von Menschen im Reagenzglas:</w:t>
      </w:r>
      <w:r>
        <w:t xml:space="preserve"> </w:t>
      </w:r>
      <w:r>
        <w:t xml:space="preserve">Bei Blutzellen von elf Männern verlängerten sich die Telomere nach Kontakt mit dem Peptid in fünf Fällen, in zwei Fällen wurden sie kürzer; die Autoren deuten das als „Normalisierung“</w:t>
      </w:r>
      <w:r>
        <w:rPr>
          <w:rStyle w:val="FootnoteReference"/>
        </w:rPr>
        <w:footnoteReference w:id="1780"/>
      </w:r>
      <w:r>
        <w:t xml:space="preserve">.</w:t>
      </w:r>
    </w:p>
    <w:p>
      <w:pPr>
        <w:numPr>
          <w:ilvl w:val="0"/>
          <w:numId w:val="1218"/>
        </w:numPr>
        <w:pStyle w:val="Compact"/>
      </w:pPr>
      <w:r>
        <w:rPr>
          <w:bCs/>
          <w:b/>
        </w:rPr>
        <w:t xml:space="preserve">Am lebenden Menschen:</w:t>
      </w:r>
      <w:r>
        <w:t xml:space="preserve"> </w:t>
      </w:r>
      <w:r>
        <w:t xml:space="preserve">Es gibt keine veröffentlichte kontrollierte Studie, die gezeigt hätte, dass Epitalon die Telomerlänge in Blut oder Gewebe von Menschen verändert – und erst recht keine, die einen gesundheitlichen Nutzen einer solchen Veränderung belegt.</w:t>
      </w:r>
    </w:p>
    <w:p>
      <w:pPr>
        <w:pStyle w:val="FirstParagraph"/>
      </w:pPr>
      <w:r>
        <w:t xml:space="preserve">Hinzu kommt: Die Telomerlänge ist zwar mit dem Alter verknüpft, aber kein verlässliches Maß für die „biologische Uhr“ eines einzelnen Menschen. Und eine dauerhaft aktivierte Telomerase ist ein Kennzeichen der allermeisten Krebsarten. Die Fähigkeit, Telomere zu verlängern, ist deshalb nicht automatisch ein Vorteil (siehe Risiken).</w:t>
      </w:r>
    </w:p>
    <w:bookmarkEnd w:id="1781"/>
    <w:bookmarkEnd w:id="1782"/>
    <w:bookmarkStart w:id="1787" w:name="tier--und-laborstudien-39"/>
    <w:p>
      <w:pPr>
        <w:pStyle w:val="Heading3"/>
      </w:pPr>
      <w:r>
        <w:t xml:space="preserve">Tier- und Laborstudien</w:t>
      </w:r>
    </w:p>
    <w:p>
      <w:pPr>
        <w:numPr>
          <w:ilvl w:val="0"/>
          <w:numId w:val="1219"/>
        </w:numPr>
        <w:pStyle w:val="Compact"/>
      </w:pPr>
      <w:r>
        <w:rPr>
          <w:bCs/>
          <w:b/>
        </w:rPr>
        <w:t xml:space="preserve">Lebensdauer bei Mäusen:</w:t>
      </w:r>
      <w:r>
        <w:t xml:space="preserve"> </w:t>
      </w:r>
      <w:r>
        <w:t xml:space="preserve">In der wichtigsten Tierstudie erhielten je 54 weibliche Mäuse lebenslang monatlich Epitalon oder Kochsalzlösung. Die</w:t>
      </w:r>
      <w:r>
        <w:t xml:space="preserve"> </w:t>
      </w:r>
      <w:r>
        <w:rPr>
          <w:bCs/>
          <w:b/>
        </w:rPr>
        <w:t xml:space="preserve">mittlere Lebensdauer</w:t>
      </w:r>
      <w:r>
        <w:t xml:space="preserve"> </w:t>
      </w:r>
      <w:r>
        <w:t xml:space="preserve">unterschied sich</w:t>
      </w:r>
      <w:r>
        <w:t xml:space="preserve"> </w:t>
      </w:r>
      <w:r>
        <w:rPr>
          <w:bCs/>
          <w:b/>
        </w:rPr>
        <w:t xml:space="preserve">nicht</w:t>
      </w:r>
      <w:r>
        <w:t xml:space="preserve">; nur die letzten 10 % der Überlebenden lebten 13,3 % länger, die maximale Lebensdauer lag 12,3 % höher. Die Gesamtzahl spontaner Tumoren war gleich, Leukämien traten seltener auf</w:t>
      </w:r>
      <w:r>
        <w:rPr>
          <w:rStyle w:val="FootnoteReference"/>
        </w:rPr>
        <w:footnoteReference w:id="1783"/>
      </w:r>
      <w:r>
        <w:t xml:space="preserve">.</w:t>
      </w:r>
    </w:p>
    <w:p>
      <w:pPr>
        <w:numPr>
          <w:ilvl w:val="0"/>
          <w:numId w:val="1219"/>
        </w:numPr>
        <w:pStyle w:val="Compact"/>
      </w:pPr>
      <w:r>
        <w:rPr>
          <w:bCs/>
          <w:b/>
        </w:rPr>
        <w:t xml:space="preserve">Fruchtfliegen:</w:t>
      </w:r>
      <w:r>
        <w:t xml:space="preserve"> </w:t>
      </w:r>
      <w:r>
        <w:t xml:space="preserve">Auch bei Taufliegen wurde eine längere Lebensdauer berichtet</w:t>
      </w:r>
      <w:r>
        <w:rPr>
          <w:rStyle w:val="FootnoteReference"/>
        </w:rPr>
        <w:footnoteReference w:id="1784"/>
      </w:r>
      <w:r>
        <w:t xml:space="preserve">.</w:t>
      </w:r>
    </w:p>
    <w:p>
      <w:pPr>
        <w:numPr>
          <w:ilvl w:val="0"/>
          <w:numId w:val="1219"/>
        </w:numPr>
        <w:pStyle w:val="Compact"/>
      </w:pPr>
      <w:r>
        <w:rPr>
          <w:bCs/>
          <w:b/>
        </w:rPr>
        <w:t xml:space="preserve">Netzhaut:</w:t>
      </w:r>
      <w:r>
        <w:t xml:space="preserve"> </w:t>
      </w:r>
      <w:r>
        <w:t xml:space="preserve">Bei Ratten mit erblicher Netzhautdegeneration blieb die Netzhautstruktur unter Epitalon besser erhalten</w:t>
      </w:r>
      <w:r>
        <w:rPr>
          <w:rStyle w:val="FootnoteReference"/>
        </w:rPr>
        <w:footnoteReference w:id="1785"/>
      </w:r>
      <w:r>
        <w:t xml:space="preserve">.</w:t>
      </w:r>
    </w:p>
    <w:p>
      <w:pPr>
        <w:numPr>
          <w:ilvl w:val="0"/>
          <w:numId w:val="1219"/>
        </w:numPr>
        <w:pStyle w:val="Compact"/>
      </w:pPr>
      <w:r>
        <w:rPr>
          <w:bCs/>
          <w:b/>
        </w:rPr>
        <w:t xml:space="preserve">Eizellen:</w:t>
      </w:r>
      <w:r>
        <w:t xml:space="preserve"> </w:t>
      </w:r>
      <w:r>
        <w:t xml:space="preserve">In Kulturen gealterter Mäuse-Eizellen verringerte Epitalon Schäden durch oxidativen Stress</w:t>
      </w:r>
      <w:r>
        <w:rPr>
          <w:rStyle w:val="FootnoteReference"/>
        </w:rPr>
        <w:footnoteReference w:id="1786"/>
      </w:r>
      <w:r>
        <w:t xml:space="preserve">.</w:t>
      </w:r>
    </w:p>
    <w:p>
      <w:pPr>
        <w:pStyle w:val="FirstParagraph"/>
      </w:pPr>
      <w:r>
        <w:t xml:space="preserve">Die überwiegende Zahl dieser Studien stammt aus der Gruppe um Chavinson und Anisimov, meist in russischen Zeitschriften oder in Zeitschriften, in denen die Gruppe selbst häufig publizierte. Unabhängige Wiederholungen sind selten.</w:t>
      </w:r>
    </w:p>
    <w:bookmarkEnd w:id="1787"/>
    <w:bookmarkStart w:id="1791" w:name="risiken-und-nebenwirkungen-39"/>
    <w:p>
      <w:pPr>
        <w:pStyle w:val="Heading3"/>
      </w:pPr>
      <w:r>
        <w:t xml:space="preserve">Risiken und Nebenwirkungen</w:t>
      </w:r>
    </w:p>
    <w:p>
      <w:pPr>
        <w:pStyle w:val="FirstParagraph"/>
      </w:pPr>
      <w:r>
        <w:rPr>
          <w:bCs/>
          <w:b/>
        </w:rPr>
        <w:t xml:space="preserve">Belegt:</w:t>
      </w:r>
      <w:r>
        <w:t xml:space="preserve"> </w:t>
      </w:r>
      <w:r>
        <w:t xml:space="preserve">Es gibt keine systematisch erhobenen Sicherheitsdaten zu Epitalon am Menschen.</w:t>
      </w:r>
    </w:p>
    <w:p>
      <w:pPr>
        <w:pStyle w:val="BodyText"/>
      </w:pPr>
      <w:r>
        <w:rPr>
          <w:bCs/>
          <w:b/>
        </w:rPr>
        <w:t xml:space="preserve">Theoretisch:</w:t>
      </w:r>
    </w:p>
    <w:p>
      <w:pPr>
        <w:numPr>
          <w:ilvl w:val="0"/>
          <w:numId w:val="1220"/>
        </w:numPr>
        <w:pStyle w:val="Compact"/>
      </w:pPr>
      <w:r>
        <w:rPr>
          <w:bCs/>
          <w:b/>
        </w:rPr>
        <w:t xml:space="preserve">Krebs:</w:t>
      </w:r>
      <w:r>
        <w:t xml:space="preserve"> </w:t>
      </w:r>
      <w:r>
        <w:t xml:space="preserve">Telomerase-Aktivierung ist ein zentrales Merkmal von Krebszellen. Eine Substanz, die Telomerase einschalten soll, könnte theoretisch das Wachstum bereits vorhandener, unentdeckter Krebszellen begünstigen. In der unabhängigen Zellstudie verlängerten sich auch die Telomere von Brustkrebszellen</w:t>
      </w:r>
      <w:r>
        <w:rPr>
          <w:rStyle w:val="FootnoteReference"/>
        </w:rPr>
        <w:footnoteReference w:id="1788"/>
      </w:r>
      <w:r>
        <w:t xml:space="preserve">. Die Mäusestudie fand keine Zunahme spontaner Tumoren</w:t>
      </w:r>
      <w:r>
        <w:rPr>
          <w:rStyle w:val="FootnoteReference"/>
        </w:rPr>
        <w:footnoteReference w:id="1789"/>
      </w:r>
      <w:r>
        <w:t xml:space="preserve">, doch Tierdaten lassen sich nicht auf Jahrzehnte menschlicher Anwendung übertragen.</w:t>
      </w:r>
    </w:p>
    <w:p>
      <w:pPr>
        <w:numPr>
          <w:ilvl w:val="0"/>
          <w:numId w:val="1220"/>
        </w:numPr>
        <w:pStyle w:val="Compact"/>
      </w:pPr>
      <w:r>
        <w:rPr>
          <w:bCs/>
          <w:b/>
        </w:rPr>
        <w:t xml:space="preserve">Hormonsystem:</w:t>
      </w:r>
      <w:r>
        <w:t xml:space="preserve"> </w:t>
      </w:r>
      <w:r>
        <w:t xml:space="preserve">Ein Einfluss auf Melatonin und Zirbeldrüse kann Schlaf und Hormonrhythmen verändern; das ist am Menschen nicht untersucht.</w:t>
      </w:r>
    </w:p>
    <w:p>
      <w:pPr>
        <w:pStyle w:val="FirstParagraph"/>
      </w:pPr>
      <w:r>
        <w:rPr>
          <w:bCs/>
          <w:b/>
        </w:rPr>
        <w:t xml:space="preserve">Graumarkt:</w:t>
      </w:r>
      <w:r>
        <w:t xml:space="preserve"> </w:t>
      </w:r>
      <w:r>
        <w:t xml:space="preserve">Epitalon gehört zu den meistverkauften „Longevity-Peptiden“ und wird als Pulver zur Injektion oder als Nasenspray angeboten. Reinheit, Gehalt und Keimfreiheit sind ungeprüft. Eine unabhängige Übersicht nennt ungelöste Fragen zu Produktqualität, Immunreaktionen und Krebsrisiko</w:t>
      </w:r>
      <w:r>
        <w:rPr>
          <w:rStyle w:val="FootnoteReference"/>
        </w:rPr>
        <w:footnoteReference w:id="1790"/>
      </w:r>
      <w:r>
        <w:t xml:space="preserve">.</w:t>
      </w:r>
    </w:p>
    <w:bookmarkEnd w:id="1791"/>
    <w:bookmarkStart w:id="1792" w:name="rechtslage-39"/>
    <w:p>
      <w:pPr>
        <w:pStyle w:val="Heading3"/>
      </w:pPr>
      <w:r>
        <w:t xml:space="preserve">Rechtslage</w:t>
      </w:r>
    </w:p>
    <w:p>
      <w:pPr>
        <w:numPr>
          <w:ilvl w:val="0"/>
          <w:numId w:val="1221"/>
        </w:numPr>
        <w:pStyle w:val="Compact"/>
      </w:pPr>
      <w:r>
        <w:rPr>
          <w:bCs/>
          <w:b/>
        </w:rPr>
        <w:t xml:space="preserve">EU / Österreich / Deutschland:</w:t>
      </w:r>
      <w:r>
        <w:t xml:space="preserve"> </w:t>
      </w:r>
      <w:r>
        <w:t xml:space="preserve">nicht zugelassen; als Stoff mit pharmakologischer Wirkung gilt Epitalon als Arzneimittel, der Verkauf zur Anwendung am Menschen ist nicht erlaubt.</w:t>
      </w:r>
    </w:p>
    <w:p>
      <w:pPr>
        <w:numPr>
          <w:ilvl w:val="0"/>
          <w:numId w:val="1221"/>
        </w:numPr>
        <w:pStyle w:val="Compact"/>
      </w:pPr>
      <w:r>
        <w:rPr>
          <w:bCs/>
          <w:b/>
        </w:rPr>
        <w:t xml:space="preserve">USA:</w:t>
      </w:r>
      <w:r>
        <w:t xml:space="preserve"> </w:t>
      </w:r>
      <w:r>
        <w:t xml:space="preserve">nicht zugelassen. Nach dem Votum des Beratungsausschusses PCAC im Juli 2026 könnte Epitalon künftig in Apotheken-Rezepturen verwendet werden dürfen, wenn die FDA dem folgt; das Verfahren war bei Redaktionsschluss nicht abgeschlossen (Stand Oktober 2026, bitte aktuell prüfen).</w:t>
      </w:r>
    </w:p>
    <w:p>
      <w:pPr>
        <w:numPr>
          <w:ilvl w:val="0"/>
          <w:numId w:val="1221"/>
        </w:numPr>
        <w:pStyle w:val="Compact"/>
      </w:pPr>
      <w:r>
        <w:rPr>
          <w:bCs/>
          <w:b/>
        </w:rPr>
        <w:t xml:space="preserve">Russland:</w:t>
      </w:r>
      <w:r>
        <w:t xml:space="preserve"> </w:t>
      </w:r>
      <w:r>
        <w:t xml:space="preserve">In Russland werden Peptid-Bioregulatoren teils als Nahrungsergänzungsmittel vermarktet; Epitalon selbst ist dort nach unserem Kenntnisstand nicht als Arzneimittel registriert (bitte aktuell prüfen).</w:t>
      </w:r>
    </w:p>
    <w:p>
      <w:pPr>
        <w:numPr>
          <w:ilvl w:val="0"/>
          <w:numId w:val="1221"/>
        </w:numPr>
        <w:pStyle w:val="Compact"/>
      </w:pPr>
      <w:r>
        <w:rPr>
          <w:bCs/>
          <w:b/>
        </w:rPr>
        <w:t xml:space="preserve">Sport:</w:t>
      </w:r>
      <w:r>
        <w:t xml:space="preserve"> </w:t>
      </w:r>
      <w:r>
        <w:t xml:space="preserve">nach unserer Einschätzung WADA-Kategorie S0 (Stand 2026, bitte aktuell prüfen).</w:t>
      </w:r>
    </w:p>
    <w:bookmarkEnd w:id="1792"/>
    <w:bookmarkStart w:id="1794" w:name="laufende-studien-und-ausblick-39"/>
    <w:p>
      <w:pPr>
        <w:pStyle w:val="Heading3"/>
      </w:pPr>
      <w:r>
        <w:t xml:space="preserve">Laufende Studien und Ausblick</w:t>
      </w:r>
    </w:p>
    <w:p>
      <w:pPr>
        <w:pStyle w:val="FirstParagraph"/>
      </w:pPr>
      <w:r>
        <w:rPr>
          <w:bCs/>
          <w:b/>
        </w:rPr>
        <w:t xml:space="preserve">Gesichert:</w:t>
      </w:r>
      <w:r>
        <w:t xml:space="preserve"> </w:t>
      </w:r>
      <w:r>
        <w:t xml:space="preserve">Auf ClinicalTrials.gov ist eine frühe Studie registriert, in der „systemische und örtliche“ Verjüngungsmaßnahmen mit sogenannten Alterungsuhren (epigenetischen Messverfahren) bewertet werden sollen; geplant sind 48 Teilnehmende, Start Oktober 2026</w:t>
      </w:r>
      <w:r>
        <w:rPr>
          <w:rStyle w:val="FootnoteReference"/>
        </w:rPr>
        <w:footnoteReference w:id="1793"/>
      </w:r>
      <w:r>
        <w:t xml:space="preserve">. Laut Registereintrag ist Epitalon dort nur einer von fünf Bestandteilen eines Peptid-Serums, das auf die Haut aufgetragen wird; zusätzlich werden Medikamente und Nahrungsergänzungsmittel eingenommen. Die Studie hat nur eine Gruppe, keine Verblindung und keine Placebo-Kontrolle. Sie kann daher keine Aussage über die Wirkung von Epitalon selbst liefern.</w:t>
      </w:r>
    </w:p>
    <w:p>
      <w:pPr>
        <w:pStyle w:val="BodyText"/>
      </w:pPr>
      <w:r>
        <w:rPr>
          <w:bCs/>
          <w:b/>
        </w:rPr>
        <w:t xml:space="preserve">Einschätzung:</w:t>
      </w:r>
      <w:r>
        <w:t xml:space="preserve"> </w:t>
      </w:r>
      <w:r>
        <w:t xml:space="preserve">Die Aufnahme in die US-Rezeptur-Liste würde die Verbreitung erhöhen, ohne die Datenlage zu verbessern. Entscheidend wäre eine unabhängige, randomisierte Studie, die zumindest Telomerlänge, Melatonin und Sicherheitsparameter am Menschen über längere Zeit misst.</w:t>
      </w:r>
    </w:p>
    <w:bookmarkEnd w:id="1794"/>
    <w:bookmarkStart w:id="1795" w:name="fazit-39"/>
    <w:p>
      <w:pPr>
        <w:pStyle w:val="Heading3"/>
      </w:pPr>
      <w:r>
        <w:t xml:space="preserve">Fazit</w:t>
      </w:r>
    </w:p>
    <w:p>
      <w:pPr>
        <w:pStyle w:val="FirstParagraph"/>
      </w:pPr>
      <w:r>
        <w:t xml:space="preserve">Epitalon ist ein synthetisches Tetrapeptid aus St. Petersburg, das in Zellkulturen die Telomerase aktivierte und bei Mäusen die maximale, nicht aber die mittlere Lebensdauer verlängerte. Die oft zitierte Studie zu längerem Leben betraf den Rinder-Extrakt Epithalamin, war nicht randomisiert und wurde nie unabhängig wiederholt. Dass Epitalon beim Menschen Telomere verlängert oder das Altern verlangsamt, ist nicht belegt; die Telomerase-Aktivierung wirft zudem eine ungeklärte Krebsfrage auf. Die Daten reichen nicht aus, um Nutzen oder Sicherheit beim Menschen zu beurteilen.</w:t>
      </w:r>
    </w:p>
    <w:bookmarkEnd w:id="1795"/>
    <w:bookmarkEnd w:id="1796"/>
    <w:bookmarkStart w:id="1813" w:name="pinealon"/>
    <w:p>
      <w:pPr>
        <w:pStyle w:val="Heading2"/>
      </w:pPr>
      <w:r>
        <w:t xml:space="preserve">Pinealon</w:t>
      </w:r>
    </w:p>
    <w:bookmarkStart w:id="1797" w:name="steckbrief-40"/>
    <w:p>
      <w:pPr>
        <w:pStyle w:val="Heading3"/>
      </w:pPr>
      <w:r>
        <w:t xml:space="preserve">Steckbrief</w:t>
      </w:r>
    </w:p>
    <w:p>
      <w:pPr>
        <w:numPr>
          <w:ilvl w:val="0"/>
          <w:numId w:val="1222"/>
        </w:numPr>
        <w:pStyle w:val="Compact"/>
      </w:pPr>
      <w:r>
        <w:rPr>
          <w:bCs/>
          <w:b/>
        </w:rPr>
        <w:t xml:space="preserve">Art und Struktur:</w:t>
      </w:r>
      <w:r>
        <w:t xml:space="preserve"> </w:t>
      </w:r>
      <w:r>
        <w:t xml:space="preserve">synthetisches Tripeptid aus drei Aminosäuren: Glu-Asp-Arg (abgekürzt EDR).</w:t>
      </w:r>
    </w:p>
    <w:p>
      <w:pPr>
        <w:numPr>
          <w:ilvl w:val="0"/>
          <w:numId w:val="1222"/>
        </w:numPr>
        <w:pStyle w:val="Compact"/>
      </w:pPr>
      <w:r>
        <w:rPr>
          <w:bCs/>
          <w:b/>
        </w:rPr>
        <w:t xml:space="preserve">Herkunft:</w:t>
      </w:r>
      <w:r>
        <w:t xml:space="preserve"> </w:t>
      </w:r>
      <w:r>
        <w:t xml:space="preserve">entwickelt am St. Petersburger Institut für Bioregulation und Gerontologie (Gruppe um Wladimir Chavinson, die auch Epitalon entwickelt hat). Der Name verweist auf die Zirbeldrüse (Glandula pinealis), obwohl das Peptid vor allem als Schutzstoff für Nervenzellen beschrieben wird.</w:t>
      </w:r>
    </w:p>
    <w:p>
      <w:pPr>
        <w:numPr>
          <w:ilvl w:val="0"/>
          <w:numId w:val="1222"/>
        </w:numPr>
        <w:pStyle w:val="Compact"/>
      </w:pPr>
      <w:r>
        <w:rPr>
          <w:bCs/>
          <w:b/>
        </w:rPr>
        <w:t xml:space="preserve">Wirkprinzip:</w:t>
      </w:r>
      <w:r>
        <w:t xml:space="preserve"> </w:t>
      </w:r>
      <w:r>
        <w:t xml:space="preserve">soll als „kurzer Peptid-Bioregulator“ in Zellen und Zellkerne eindringen, an DNA oder Histone binden und so die Aktivität von Genen beeinflussen, die Nervenzellen vor oxidativem Stress und Zelltod schützen.</w:t>
      </w:r>
    </w:p>
    <w:p>
      <w:pPr>
        <w:numPr>
          <w:ilvl w:val="0"/>
          <w:numId w:val="1222"/>
        </w:numPr>
        <w:pStyle w:val="Compact"/>
      </w:pPr>
      <w:r>
        <w:rPr>
          <w:bCs/>
          <w:b/>
        </w:rPr>
        <w:t xml:space="preserve">Zulassung EU:</w:t>
      </w:r>
      <w:r>
        <w:t xml:space="preserve"> </w:t>
      </w:r>
      <w:r>
        <w:t xml:space="preserve">nein.</w:t>
      </w:r>
    </w:p>
    <w:p>
      <w:pPr>
        <w:numPr>
          <w:ilvl w:val="0"/>
          <w:numId w:val="1222"/>
        </w:numPr>
        <w:pStyle w:val="Compact"/>
      </w:pPr>
      <w:r>
        <w:rPr>
          <w:bCs/>
          <w:b/>
        </w:rPr>
        <w:t xml:space="preserve">Zulassung USA:</w:t>
      </w:r>
      <w:r>
        <w:t xml:space="preserve"> </w:t>
      </w:r>
      <w:r>
        <w:t xml:space="preserve">nein.</w:t>
      </w:r>
    </w:p>
    <w:p>
      <w:pPr>
        <w:numPr>
          <w:ilvl w:val="0"/>
          <w:numId w:val="1222"/>
        </w:numPr>
        <w:pStyle w:val="Compact"/>
      </w:pPr>
      <w:r>
        <w:rPr>
          <w:bCs/>
          <w:b/>
        </w:rPr>
        <w:t xml:space="preserve">Russland:</w:t>
      </w:r>
      <w:r>
        <w:t xml:space="preserve"> </w:t>
      </w:r>
      <w:r>
        <w:t xml:space="preserve">als Bestandteil sogenannter „Zytogene“ in Kapselform vermarktet, also eher als Nahrungsergänzungsmittel denn als geprüftes Arzneimittel.</w:t>
      </w:r>
    </w:p>
    <w:p>
      <w:pPr>
        <w:numPr>
          <w:ilvl w:val="0"/>
          <w:numId w:val="1222"/>
        </w:numPr>
        <w:pStyle w:val="Compact"/>
      </w:pPr>
      <w:r>
        <w:rPr>
          <w:bCs/>
          <w:b/>
        </w:rPr>
        <w:t xml:space="preserve">WADA:</w:t>
      </w:r>
      <w:r>
        <w:t xml:space="preserve"> </w:t>
      </w:r>
      <w:r>
        <w:t xml:space="preserve">nicht namentlich gelistet; ein nicht als Arzneimittel zugelassener Wirkstoff kann unter die Sammelkategorie S0 fallen.</w:t>
      </w:r>
    </w:p>
    <w:p>
      <w:pPr>
        <w:numPr>
          <w:ilvl w:val="0"/>
          <w:numId w:val="1222"/>
        </w:numPr>
        <w:pStyle w:val="Compact"/>
      </w:pPr>
      <w:r>
        <w:rPr>
          <w:bCs/>
          <w:b/>
        </w:rPr>
        <w:t xml:space="preserve">Evidenzstufe:</w:t>
      </w:r>
      <w:r>
        <w:t xml:space="preserve"> </w:t>
      </w:r>
      <w:r>
        <w:rPr>
          <w:bCs/>
          <w:b/>
        </w:rPr>
        <w:t xml:space="preserve">C</w:t>
      </w:r>
      <w:r>
        <w:t xml:space="preserve"> </w:t>
      </w:r>
      <w:r>
        <w:t xml:space="preserve">– einige kleine, nicht randomisierte russische Beobachtungsstudien mit Ersatzmesswerten wie „biologischem Alter“.</w:t>
      </w:r>
    </w:p>
    <w:bookmarkEnd w:id="1797"/>
    <w:bookmarkStart w:id="1801" w:name="wie-es-wirken-soll-40"/>
    <w:p>
      <w:pPr>
        <w:pStyle w:val="Heading3"/>
      </w:pPr>
      <w:r>
        <w:t xml:space="preserve">Wie es wirken soll</w:t>
      </w:r>
    </w:p>
    <w:p>
      <w:pPr>
        <w:pStyle w:val="FirstParagraph"/>
      </w:pPr>
      <w:r>
        <w:t xml:space="preserve">Pinealon gehört zu einer Familie sehr kurzer Peptide (zwei bis vier Aminosäuren), die die St. Petersburger Gruppe als „Peptid-Bioregulatoren“ bezeichnet. Die zentrale Hypothese lautet: Solche Mini-Peptide gelangen bis in den Zellkern, binden dort an bestimmte DNA-Abschnitte und regulieren auf diese Weise Gene – ähnlich wie Transkriptionsfaktoren, also Eiweiße, die Gene an- und abschalten.</w:t>
      </w:r>
    </w:p>
    <w:p>
      <w:pPr>
        <w:pStyle w:val="BodyText"/>
      </w:pPr>
      <w:r>
        <w:t xml:space="preserve">Belege dafür stammen aus dem Labor:</w:t>
      </w:r>
    </w:p>
    <w:p>
      <w:pPr>
        <w:numPr>
          <w:ilvl w:val="0"/>
          <w:numId w:val="1223"/>
        </w:numPr>
        <w:pStyle w:val="Compact"/>
      </w:pPr>
      <w:r>
        <w:t xml:space="preserve">In Krebszellen (HeLa) drangen fluoreszenzmarkierte Pinealon-, Epitalon- und verwandte Peptide in Zytoplasma, Zellkern und Kernkörperchen ein; im Reagenzglas veränderten sie die Fluoreszenz markierter DNA-Stücke je nach deren Sequenz</w:t>
      </w:r>
      <w:r>
        <w:rPr>
          <w:rStyle w:val="FootnoteReference"/>
        </w:rPr>
        <w:footnoteReference w:id="1798"/>
      </w:r>
      <w:r>
        <w:t xml:space="preserve">.</w:t>
      </w:r>
    </w:p>
    <w:p>
      <w:pPr>
        <w:numPr>
          <w:ilvl w:val="0"/>
          <w:numId w:val="1223"/>
        </w:numPr>
        <w:pStyle w:val="Compact"/>
      </w:pPr>
      <w:r>
        <w:t xml:space="preserve">In Nervenzellen aus dem Kleinhirn von Ratten und in anderen Zellkulturen begrenzte Pinealon die Anhäufung reaktiver Sauerstoffverbindungen und verringerte das Absterben von Zellen</w:t>
      </w:r>
      <w:r>
        <w:rPr>
          <w:rStyle w:val="FootnoteReference"/>
        </w:rPr>
        <w:footnoteReference w:id="1799"/>
      </w:r>
      <w:r>
        <w:t xml:space="preserve">.</w:t>
      </w:r>
    </w:p>
    <w:p>
      <w:pPr>
        <w:pStyle w:val="FirstParagraph"/>
      </w:pPr>
      <w:r>
        <w:t xml:space="preserve">Eine Übersicht der Entwickler fasst zusammen, dass das EDR-Peptid in Zell- und Tierversuchen Gene und Eiweiße beeinflusse, die bei der Alzheimer-Krankheit eine Rolle spielen, etwa Enzyme der antioxidativen Abwehr und Zelltod-Signale</w:t>
      </w:r>
      <w:r>
        <w:rPr>
          <w:rStyle w:val="FootnoteReference"/>
        </w:rPr>
        <w:footnoteReference w:id="1800"/>
      </w:r>
      <w:r>
        <w:t xml:space="preserve">. Das ist eine Hypothese, die von anderen Forschungsgruppen bisher kaum geprüft wurde. Aus der klassischen Pharmakologie ist zudem bekannt, dass so kurze Peptide im Verdauungstrakt und im Blut rasch zerlegt werden; wie viel unverändertes Pinealon nach Einnahme einer Kapsel die Nervenzellen erreicht, ist nicht untersucht.</w:t>
      </w:r>
    </w:p>
    <w:bookmarkEnd w:id="1801"/>
    <w:bookmarkStart w:id="1803" w:name="studien-am-menschen-4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eine</w:t>
      </w:r>
      <w:r>
        <w:t xml:space="preserve"> </w:t>
      </w:r>
      <w:r>
        <w:t xml:space="preserve">als Humanstudie klassifizierte Veröffentlichung; insgesamt führt PubMed nur 15 Arbeiten mit „Pinealon“ im Titel oder Abstract. Auf ClinicalTrials.gov ist keine Studie registriert. Bei einer Nachsuche fanden sich drei weitere kleine russische Arbeiten mit Menschen, alle in der Zeitschrift „Uspekhi Gerontologii“ (Fortschritte der Gerontologie).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Bashkireva 2012, PMID 23734521</w:t>
            </w:r>
          </w:p>
        </w:tc>
        <w:tc>
          <w:tcPr/>
          <w:p>
            <w:pPr>
              <w:pStyle w:val="Compact"/>
              <w:jc w:val="left"/>
            </w:pPr>
            <w:r>
              <w:t xml:space="preserve">150 Lkw-Fahrer, 150 Metallarbeiter als Vergleich; Peptide in Teilgruppen</w:t>
            </w:r>
          </w:p>
        </w:tc>
        <w:tc>
          <w:tcPr/>
          <w:p>
            <w:pPr>
              <w:pStyle w:val="Compact"/>
              <w:jc w:val="left"/>
            </w:pPr>
            <w:r>
              <w:t xml:space="preserve">nicht angegeben</w:t>
            </w:r>
          </w:p>
        </w:tc>
        <w:tc>
          <w:tcPr/>
          <w:p>
            <w:pPr>
              <w:pStyle w:val="Compact"/>
              <w:jc w:val="left"/>
            </w:pPr>
            <w:r>
              <w:t xml:space="preserve">laut Autoren bessere psychoemotionale Werte, beste Wirkung bei Kombination zweier Peptide</w:t>
            </w:r>
          </w:p>
        </w:tc>
      </w:tr>
      <w:tr>
        <w:tc>
          <w:tcPr/>
          <w:p>
            <w:pPr>
              <w:pStyle w:val="Compact"/>
              <w:jc w:val="left"/>
            </w:pPr>
            <w:r>
              <w:t xml:space="preserve">Nazimko 2012, PMID 22708445</w:t>
            </w:r>
          </w:p>
        </w:tc>
        <w:tc>
          <w:tcPr/>
          <w:p>
            <w:pPr>
              <w:pStyle w:val="Compact"/>
              <w:jc w:val="left"/>
            </w:pPr>
            <w:r>
              <w:t xml:space="preserve">Lokführer-Teams, Pinealon-Kapseln</w:t>
            </w:r>
          </w:p>
        </w:tc>
        <w:tc>
          <w:tcPr/>
          <w:p>
            <w:pPr>
              <w:pStyle w:val="Compact"/>
              <w:jc w:val="left"/>
            </w:pPr>
            <w:r>
              <w:t xml:space="preserve">2 Wochen</w:t>
            </w:r>
          </w:p>
        </w:tc>
        <w:tc>
          <w:tcPr/>
          <w:p>
            <w:pPr>
              <w:pStyle w:val="Compact"/>
              <w:jc w:val="left"/>
            </w:pPr>
            <w:r>
              <w:t xml:space="preserve">laut Autoren besseres „biologisches Alter“ und bessere Anpassungsreaktionen</w:t>
            </w:r>
          </w:p>
        </w:tc>
      </w:tr>
      <w:tr>
        <w:tc>
          <w:tcPr/>
          <w:p>
            <w:pPr>
              <w:pStyle w:val="Compact"/>
              <w:jc w:val="left"/>
            </w:pPr>
            <w:r>
              <w:t xml:space="preserve">Meshchaninov 2015, PMID 26390612</w:t>
            </w:r>
          </w:p>
        </w:tc>
        <w:tc>
          <w:tcPr/>
          <w:p>
            <w:pPr>
              <w:pStyle w:val="Compact"/>
              <w:jc w:val="left"/>
            </w:pPr>
            <w:r>
              <w:t xml:space="preserve">32 Personen (41–83 Jahre) mit Mehrfacherkrankung und organischem Psychosyndrom</w:t>
            </w:r>
          </w:p>
        </w:tc>
        <w:tc>
          <w:tcPr/>
          <w:p>
            <w:pPr>
              <w:pStyle w:val="Compact"/>
              <w:jc w:val="left"/>
            </w:pPr>
            <w:r>
              <w:t xml:space="preserve">nicht angegeben</w:t>
            </w:r>
          </w:p>
        </w:tc>
        <w:tc>
          <w:tcPr/>
          <w:p>
            <w:pPr>
              <w:pStyle w:val="Compact"/>
              <w:jc w:val="left"/>
            </w:pPr>
            <w:r>
              <w:t xml:space="preserve">„anaboler“ Effekt; Hinweise auf oxidierende Wirkung und Hemmung der Blutbildung</w:t>
            </w:r>
          </w:p>
        </w:tc>
      </w:tr>
      <w:tr>
        <w:tc>
          <w:tcPr/>
          <w:p>
            <w:pPr>
              <w:pStyle w:val="Compact"/>
              <w:jc w:val="left"/>
            </w:pPr>
            <w:r>
              <w:t xml:space="preserve">Myakotnykh 2016, PMID 28539017</w:t>
            </w:r>
          </w:p>
        </w:tc>
        <w:tc>
          <w:tcPr/>
          <w:p>
            <w:pPr>
              <w:pStyle w:val="Compact"/>
              <w:jc w:val="left"/>
            </w:pPr>
            <w:r>
              <w:t xml:space="preserve">110 Personen, Vergleich verschiedener „Anti-Aging“-Methoden</w:t>
            </w:r>
          </w:p>
        </w:tc>
        <w:tc>
          <w:tcPr/>
          <w:p>
            <w:pPr>
              <w:pStyle w:val="Compact"/>
              <w:jc w:val="left"/>
            </w:pPr>
            <w:r>
              <w:t xml:space="preserve">nicht angegeben</w:t>
            </w:r>
          </w:p>
        </w:tc>
        <w:tc>
          <w:tcPr/>
          <w:p>
            <w:pPr>
              <w:pStyle w:val="Compact"/>
              <w:jc w:val="left"/>
            </w:pPr>
            <w:r>
              <w:t xml:space="preserve">stärkster Effekt auf das „biologische Alter“ bei Kombination zweier Peptide</w:t>
            </w:r>
          </w:p>
        </w:tc>
      </w:tr>
    </w:tbl>
    <w:p>
      <w:pPr>
        <w:pStyle w:val="BodyText"/>
      </w:pPr>
      <w:r>
        <w:t xml:space="preserve">Alle vier Arbeiten haben gemeinsame Schwächen:</w:t>
      </w:r>
    </w:p>
    <w:p>
      <w:pPr>
        <w:numPr>
          <w:ilvl w:val="0"/>
          <w:numId w:val="1224"/>
        </w:numPr>
        <w:pStyle w:val="Compact"/>
      </w:pPr>
      <w:r>
        <w:rPr>
          <w:bCs/>
          <w:b/>
        </w:rPr>
        <w:t xml:space="preserve">Kein Placebo, keine Verblindung, keine Zufallszuteilung</w:t>
      </w:r>
      <w:r>
        <w:t xml:space="preserve"> </w:t>
      </w:r>
      <w:r>
        <w:t xml:space="preserve">erkennbar. Bei Fragebögen zu Stimmung und Stressbelastung ist der Erwartungseffekt erheblich.</w:t>
      </w:r>
    </w:p>
    <w:p>
      <w:pPr>
        <w:numPr>
          <w:ilvl w:val="0"/>
          <w:numId w:val="1224"/>
        </w:numPr>
        <w:pStyle w:val="Compact"/>
      </w:pPr>
      <w:r>
        <w:rPr>
          <w:bCs/>
          <w:b/>
        </w:rPr>
        <w:t xml:space="preserve">Ersatzmesswerte statt klinischer Endpunkte:</w:t>
      </w:r>
      <w:r>
        <w:t xml:space="preserve"> </w:t>
      </w:r>
      <w:r>
        <w:t xml:space="preserve">Das „biologische Alter“ wird in der russischen Gerontologie aus einer Kombination von Messungen wie Blutdruck, Lungenfunktion, Reaktionszeit und Selbstauskunft berechnet. Es ist kein international standardisiertes Maß, und eine Verbesserung bedeutet nicht automatisch mehr Gesundheit oder ein längeres Leben.</w:t>
      </w:r>
    </w:p>
    <w:p>
      <w:pPr>
        <w:numPr>
          <w:ilvl w:val="0"/>
          <w:numId w:val="1224"/>
        </w:numPr>
        <w:pStyle w:val="Compact"/>
      </w:pPr>
      <w:r>
        <w:rPr>
          <w:bCs/>
          <w:b/>
        </w:rPr>
        <w:t xml:space="preserve">Kombinationen:</w:t>
      </w:r>
      <w:r>
        <w:t xml:space="preserve"> </w:t>
      </w:r>
      <w:r>
        <w:t xml:space="preserve">In mehreren Studien wurde Pinealon zusammen mit dem Peptid Vesugen (Lys-Glu-Asp) gegeben, sodass sich die Wirkung nicht einem Stoff zuordnen lässt.</w:t>
      </w:r>
    </w:p>
    <w:p>
      <w:pPr>
        <w:numPr>
          <w:ilvl w:val="0"/>
          <w:numId w:val="1224"/>
        </w:numPr>
        <w:pStyle w:val="Compact"/>
      </w:pPr>
      <w:r>
        <w:rPr>
          <w:bCs/>
          <w:b/>
        </w:rPr>
        <w:t xml:space="preserve">Unklare Zahlen:</w:t>
      </w:r>
      <w:r>
        <w:t xml:space="preserve"> </w:t>
      </w:r>
      <w:r>
        <w:t xml:space="preserve">Die Abstracts nennen kaum Effektgrößen.</w:t>
      </w:r>
    </w:p>
    <w:p>
      <w:pPr>
        <w:pStyle w:val="FirstParagraph"/>
      </w:pPr>
      <w:r>
        <w:t xml:space="preserve">Bemerkenswert ist ein Befund, der in der Werbung nicht vorkommt: In der Studie mit 32 älteren Menschen beobachteten die Autoren unter Pinealon und Vesugen eine</w:t>
      </w:r>
      <w:r>
        <w:t xml:space="preserve"> </w:t>
      </w:r>
      <w:r>
        <w:rPr>
          <w:bCs/>
          <w:b/>
        </w:rPr>
        <w:t xml:space="preserve">prooxidative</w:t>
      </w:r>
      <w:r>
        <w:t xml:space="preserve"> </w:t>
      </w:r>
      <w:r>
        <w:t xml:space="preserve">Aktivität – also das Gegenteil der behaupteten antioxidativen Wirkung – und einen Rückgang blutbildender Stammzellen (CD34+) im Blut, den sie als deutliche Hemmung der Blutbildung beschreiben. Trotzdem empfehlen sie die Peptide für die geriatrische Praxis</w:t>
      </w:r>
      <w:r>
        <w:rPr>
          <w:rStyle w:val="FootnoteReference"/>
        </w:rPr>
        <w:footnoteReference w:id="1802"/>
      </w:r>
      <w:r>
        <w:t xml:space="preserve">.</w:t>
      </w:r>
    </w:p>
    <w:bookmarkEnd w:id="1803"/>
    <w:bookmarkStart w:id="1807" w:name="tier--und-laborstudien-40"/>
    <w:p>
      <w:pPr>
        <w:pStyle w:val="Heading3"/>
      </w:pPr>
      <w:r>
        <w:t xml:space="preserve">Tier- und Laborstudien</w:t>
      </w:r>
    </w:p>
    <w:p>
      <w:pPr>
        <w:numPr>
          <w:ilvl w:val="0"/>
          <w:numId w:val="1225"/>
        </w:numPr>
        <w:pStyle w:val="Compact"/>
      </w:pPr>
      <w:r>
        <w:t xml:space="preserve">Bei Ratten, deren Mütter in der Schwangerschaft durch methioninreiches Futter erhöhte Homocysteinwerte hatten, verbesserte Pinealon (den Müttern gegeben) Orientierung und Lernfähigkeit der Nachkommen; deren Kleinhirn-Nervenzellen waren widerstandsfähiger gegen oxidativen Stress</w:t>
      </w:r>
      <w:r>
        <w:rPr>
          <w:rStyle w:val="FootnoteReference"/>
        </w:rPr>
        <w:footnoteReference w:id="1804"/>
      </w:r>
      <w:r>
        <w:t xml:space="preserve">.</w:t>
      </w:r>
    </w:p>
    <w:p>
      <w:pPr>
        <w:numPr>
          <w:ilvl w:val="0"/>
          <w:numId w:val="1225"/>
        </w:numPr>
        <w:pStyle w:val="Compact"/>
      </w:pPr>
      <w:r>
        <w:t xml:space="preserve">Bei 18 Monate alten Ratten beeinflussten Pinealon und Cortexin (ein russisches Hirnextrakt-Präparat) unter Sauerstoffmangel und Unterkühlung Verhalten und Botenstoffe im Gehirn; Cortexin wirkte dabei stärker auf Radikalprozesse und Zelltod-Enzyme</w:t>
      </w:r>
      <w:r>
        <w:rPr>
          <w:rStyle w:val="FootnoteReference"/>
        </w:rPr>
        <w:footnoteReference w:id="1805"/>
      </w:r>
      <w:r>
        <w:t xml:space="preserve">.</w:t>
      </w:r>
    </w:p>
    <w:p>
      <w:pPr>
        <w:numPr>
          <w:ilvl w:val="0"/>
          <w:numId w:val="1225"/>
        </w:numPr>
        <w:pStyle w:val="Compact"/>
      </w:pPr>
      <w:r>
        <w:t xml:space="preserve">In Zellkulturen schützte Pinealon verschiedene Zelltypen vor oxidativem Stress</w:t>
      </w:r>
      <w:r>
        <w:rPr>
          <w:rStyle w:val="FootnoteReference"/>
        </w:rPr>
        <w:footnoteReference w:id="1806"/>
      </w:r>
      <w:r>
        <w:t xml:space="preserve">.</w:t>
      </w:r>
    </w:p>
    <w:p>
      <w:pPr>
        <w:pStyle w:val="FirstParagraph"/>
      </w:pPr>
      <w:r>
        <w:t xml:space="preserve">Fast alle Arbeiten stammen aus der Entwicklergruppe oder kooperierenden russischen Instituten.</w:t>
      </w:r>
    </w:p>
    <w:bookmarkEnd w:id="1807"/>
    <w:bookmarkStart w:id="1809" w:name="risiken-und-nebenwirkungen-40"/>
    <w:p>
      <w:pPr>
        <w:pStyle w:val="Heading3"/>
      </w:pPr>
      <w:r>
        <w:t xml:space="preserve">Risiken und Nebenwirkungen</w:t>
      </w:r>
    </w:p>
    <w:p>
      <w:pPr>
        <w:pStyle w:val="FirstParagraph"/>
      </w:pPr>
      <w:r>
        <w:rPr>
          <w:bCs/>
          <w:b/>
        </w:rPr>
        <w:t xml:space="preserve">Belegt:</w:t>
      </w:r>
      <w:r>
        <w:t xml:space="preserve"> </w:t>
      </w:r>
      <w:r>
        <w:t xml:space="preserve">Systematische Sicherheitsdaten gibt es nicht. Die einzige Studie, die Laborwerte ausführlicher berichtet, beschreibt eine prooxidative Aktivität und einen Rückgang blutbildender Stammzellen im Blut</w:t>
      </w:r>
      <w:r>
        <w:rPr>
          <w:rStyle w:val="FootnoteReference"/>
        </w:rPr>
        <w:footnoteReference w:id="1808"/>
      </w:r>
      <w:r>
        <w:t xml:space="preserve">. Was das bedeutet, ist unklar – es ist aber ein Warnsignal, das nicht weiter untersucht wurde.</w:t>
      </w:r>
    </w:p>
    <w:p>
      <w:pPr>
        <w:pStyle w:val="BodyText"/>
      </w:pPr>
      <w:r>
        <w:rPr>
          <w:bCs/>
          <w:b/>
        </w:rPr>
        <w:t xml:space="preserve">Theoretisch:</w:t>
      </w:r>
      <w:r>
        <w:t xml:space="preserve"> </w:t>
      </w:r>
      <w:r>
        <w:t xml:space="preserve">Wenn die Hypothese der Entwickler stimmt und Pinealon tatsächlich an DNA bindet und Gene reguliert, wären auch unerwünschte genetische Effekte denkbar. Untersuchungen zu Erbgutschäden, Krebsrisiko oder Langzeitwirkungen liegen nicht vor.</w:t>
      </w:r>
    </w:p>
    <w:p>
      <w:pPr>
        <w:pStyle w:val="BodyText"/>
      </w:pPr>
      <w:r>
        <w:rPr>
          <w:bCs/>
          <w:b/>
        </w:rPr>
        <w:t xml:space="preserve">Graumarkt:</w:t>
      </w:r>
      <w:r>
        <w:t xml:space="preserve"> </w:t>
      </w:r>
      <w:r>
        <w:t xml:space="preserve">Pinealon wird online als Kapsel, Nasenspray oder Injektionspulver angeboten, meist mit Versprechen zu Gedächtnis, Schlaf und „Gehirnverjüngung“. Gehalt und Reinheit sind ungeprüft.</w:t>
      </w:r>
    </w:p>
    <w:bookmarkEnd w:id="1809"/>
    <w:bookmarkStart w:id="1810" w:name="rechtslage-40"/>
    <w:p>
      <w:pPr>
        <w:pStyle w:val="Heading3"/>
      </w:pPr>
      <w:r>
        <w:t xml:space="preserve">Rechtslage</w:t>
      </w:r>
    </w:p>
    <w:p>
      <w:pPr>
        <w:numPr>
          <w:ilvl w:val="0"/>
          <w:numId w:val="1226"/>
        </w:numPr>
        <w:pStyle w:val="Compact"/>
      </w:pPr>
      <w:r>
        <w:rPr>
          <w:bCs/>
          <w:b/>
        </w:rPr>
        <w:t xml:space="preserve">EU / Österreich / Deutschland:</w:t>
      </w:r>
      <w:r>
        <w:t xml:space="preserve"> </w:t>
      </w:r>
      <w:r>
        <w:t xml:space="preserve">nicht als Arzneimittel zugelassen. Ein Verkauf als Nahrungsergänzungsmittel wäre nur zulässig, wenn der Stoff lebensmittelrechtlich erlaubt ist; als neuartiger, synthetischer Stoff mit beabsichtigter pharmakologischer Wirkung ist das nach unserer Einschätzung nicht der Fall.</w:t>
      </w:r>
    </w:p>
    <w:p>
      <w:pPr>
        <w:numPr>
          <w:ilvl w:val="0"/>
          <w:numId w:val="1226"/>
        </w:numPr>
        <w:pStyle w:val="Compact"/>
      </w:pPr>
      <w:r>
        <w:rPr>
          <w:bCs/>
          <w:b/>
        </w:rPr>
        <w:t xml:space="preserve">USA:</w:t>
      </w:r>
      <w:r>
        <w:t xml:space="preserve"> </w:t>
      </w:r>
      <w:r>
        <w:t xml:space="preserve">nicht zugelassen.</w:t>
      </w:r>
    </w:p>
    <w:p>
      <w:pPr>
        <w:numPr>
          <w:ilvl w:val="0"/>
          <w:numId w:val="1226"/>
        </w:numPr>
        <w:pStyle w:val="Compact"/>
      </w:pPr>
      <w:r>
        <w:rPr>
          <w:bCs/>
          <w:b/>
        </w:rPr>
        <w:t xml:space="preserve">Russland:</w:t>
      </w:r>
      <w:r>
        <w:t xml:space="preserve"> </w:t>
      </w:r>
      <w:r>
        <w:t xml:space="preserve">als Bestandteil von Peptid-Präparaten im Handel, die nicht das Zulassungsverfahren für Arzneimittel durchlaufen haben.</w:t>
      </w:r>
    </w:p>
    <w:p>
      <w:pPr>
        <w:numPr>
          <w:ilvl w:val="0"/>
          <w:numId w:val="1226"/>
        </w:numPr>
        <w:pStyle w:val="Compact"/>
      </w:pPr>
      <w:r>
        <w:rPr>
          <w:bCs/>
          <w:b/>
        </w:rPr>
        <w:t xml:space="preserve">Sport:</w:t>
      </w:r>
      <w:r>
        <w:t xml:space="preserve"> </w:t>
      </w:r>
      <w:r>
        <w:t xml:space="preserve">nicht namentlich gelistet; mögliche Erfassung durch WADA-Kategorie S0 (Stand 2026, bitte aktuell prüfen).</w:t>
      </w:r>
    </w:p>
    <w:bookmarkEnd w:id="1810"/>
    <w:bookmarkStart w:id="1811" w:name="laufende-studien-und-ausblick-40"/>
    <w:p>
      <w:pPr>
        <w:pStyle w:val="Heading3"/>
      </w:pPr>
      <w:r>
        <w:t xml:space="preserve">Laufende Studien und Ausblick</w:t>
      </w:r>
    </w:p>
    <w:p>
      <w:pPr>
        <w:pStyle w:val="FirstParagraph"/>
      </w:pPr>
      <w:r>
        <w:rPr>
          <w:bCs/>
          <w:b/>
        </w:rPr>
        <w:t xml:space="preserve">Gesichert:</w:t>
      </w:r>
      <w:r>
        <w:t xml:space="preserve"> </w:t>
      </w:r>
      <w:r>
        <w:t xml:space="preserve">Keine registrierte Studie (Abfrage Oktober 2026).</w:t>
      </w:r>
    </w:p>
    <w:p>
      <w:pPr>
        <w:pStyle w:val="BodyText"/>
      </w:pPr>
      <w:r>
        <w:rPr>
          <w:bCs/>
          <w:b/>
        </w:rPr>
        <w:t xml:space="preserve">Einschätzung:</w:t>
      </w:r>
      <w:r>
        <w:t xml:space="preserve"> </w:t>
      </w:r>
      <w:r>
        <w:t xml:space="preserve">Solange die Forschung auf einen kleinen Kreis russischer Institute beschränkt bleibt und keine randomisierten, placebokontrollierten Studien mit klinischen Endpunkten durchgeführt werden, bleibt Pinealon ein Laborkonzept mit Marketing-Überbau.</w:t>
      </w:r>
    </w:p>
    <w:bookmarkEnd w:id="1811"/>
    <w:bookmarkStart w:id="1812" w:name="fazit-40"/>
    <w:p>
      <w:pPr>
        <w:pStyle w:val="Heading3"/>
      </w:pPr>
      <w:r>
        <w:t xml:space="preserve">Fazit</w:t>
      </w:r>
    </w:p>
    <w:p>
      <w:pPr>
        <w:pStyle w:val="FirstParagraph"/>
      </w:pPr>
      <w:r>
        <w:t xml:space="preserve">Pinealon ist ein synthetisches Tripeptid aus St. Petersburg, das in Zellkulturen und bei Ratten Nervenzellen vor oxidativem Stress schützte; die Entwickler vermuten eine direkte Wirkung auf Gene. Die wenigen Studien am Menschen sind klein, unkontrolliert und messen vor allem ein nicht standardisiertes „biologisches Alter“. Eine davon fand sogar Hinweise auf eine prooxidative Wirkung und eine Hemmung der Blutbildung. Die Daten reichen nicht aus, um einen Nutzen oder die Sicherheit beim Menschen zu beurteilen.</w:t>
      </w:r>
    </w:p>
    <w:bookmarkEnd w:id="1812"/>
    <w:bookmarkEnd w:id="1813"/>
    <w:bookmarkStart w:id="1842" w:name="mots-c"/>
    <w:p>
      <w:pPr>
        <w:pStyle w:val="Heading2"/>
      </w:pPr>
      <w:r>
        <w:t xml:space="preserve">MOTS-c</w:t>
      </w:r>
    </w:p>
    <w:bookmarkStart w:id="1814" w:name="steckbrief-41"/>
    <w:p>
      <w:pPr>
        <w:pStyle w:val="Heading3"/>
      </w:pPr>
      <w:r>
        <w:t xml:space="preserve">Steckbrief</w:t>
      </w:r>
    </w:p>
    <w:p>
      <w:pPr>
        <w:numPr>
          <w:ilvl w:val="0"/>
          <w:numId w:val="1227"/>
        </w:numPr>
        <w:pStyle w:val="Compact"/>
      </w:pPr>
      <w:r>
        <w:rPr>
          <w:bCs/>
          <w:b/>
        </w:rPr>
        <w:t xml:space="preserve">Art und Struktur:</w:t>
      </w:r>
      <w:r>
        <w:t xml:space="preserve"> </w:t>
      </w:r>
      <w:r>
        <w:t xml:space="preserve">Peptid aus 16 Aminosäuren. Der Name steht für</w:t>
      </w:r>
      <w:r>
        <w:t xml:space="preserve"> </w:t>
      </w:r>
      <w:r>
        <w:rPr>
          <w:iCs/>
          <w:i/>
        </w:rPr>
        <w:t xml:space="preserve">mitochondrial open reading frame of the 12S rRNA-c</w:t>
      </w:r>
      <w:r>
        <w:t xml:space="preserve"> </w:t>
      </w:r>
      <w:r>
        <w:t xml:space="preserve">– es ist nicht im Zellkern, sondern im Erbgut der Mitochondrien verschlüsselt, der „Kraftwerke“ der Zelle.</w:t>
      </w:r>
    </w:p>
    <w:p>
      <w:pPr>
        <w:numPr>
          <w:ilvl w:val="0"/>
          <w:numId w:val="1227"/>
        </w:numPr>
        <w:pStyle w:val="Compact"/>
      </w:pPr>
      <w:r>
        <w:rPr>
          <w:bCs/>
          <w:b/>
        </w:rPr>
        <w:t xml:space="preserve">Herkunft:</w:t>
      </w:r>
      <w:r>
        <w:t xml:space="preserve"> </w:t>
      </w:r>
      <w:r>
        <w:t xml:space="preserve">2015 von einer Arbeitsgruppe um Pinchas Cohen an der University of Southern California beschrieben. Der Körper bildet es selbst, vor allem im Skelettmuskel.</w:t>
      </w:r>
    </w:p>
    <w:p>
      <w:pPr>
        <w:numPr>
          <w:ilvl w:val="0"/>
          <w:numId w:val="1227"/>
        </w:numPr>
        <w:pStyle w:val="Compact"/>
      </w:pPr>
      <w:r>
        <w:rPr>
          <w:bCs/>
          <w:b/>
        </w:rPr>
        <w:t xml:space="preserve">Wirkprinzip:</w:t>
      </w:r>
      <w:r>
        <w:t xml:space="preserve"> </w:t>
      </w:r>
      <w:r>
        <w:t xml:space="preserve">gilt als „Mitokin“ – ein Signalstoff der Mitochondrien. Bei Mäusen aktivierte es den Energiesensor AMPK, verbesserte die Insulinempfindlichkeit und die körperliche Leistungsfähigkeit; deshalb wird es als „Bewegungs-Nachahmer“ (exercise mimetic) diskutiert.</w:t>
      </w:r>
    </w:p>
    <w:p>
      <w:pPr>
        <w:numPr>
          <w:ilvl w:val="0"/>
          <w:numId w:val="1227"/>
        </w:numPr>
        <w:pStyle w:val="Compact"/>
      </w:pPr>
      <w:r>
        <w:rPr>
          <w:bCs/>
          <w:b/>
        </w:rPr>
        <w:t xml:space="preserve">Zulassung EU:</w:t>
      </w:r>
      <w:r>
        <w:t xml:space="preserve"> </w:t>
      </w:r>
      <w:r>
        <w:t xml:space="preserve">nein.</w:t>
      </w:r>
    </w:p>
    <w:p>
      <w:pPr>
        <w:numPr>
          <w:ilvl w:val="0"/>
          <w:numId w:val="1227"/>
        </w:numPr>
        <w:pStyle w:val="Compact"/>
      </w:pPr>
      <w:r>
        <w:rPr>
          <w:bCs/>
          <w:b/>
        </w:rPr>
        <w:t xml:space="preserve">Zulassung USA:</w:t>
      </w:r>
      <w:r>
        <w:t xml:space="preserve"> </w:t>
      </w:r>
      <w:r>
        <w:t xml:space="preserve">nein. Im April 2026 von der FDA-„Kategorie 2“ gestrichen; der Beratungsausschuss PCAC stimmte im Juli 2026 mit 7 zu 5 Stimmen für die Aufnahme in die Liste zulässiger Rezeptursubstanzen (Stand Oktober 2026, bitte aktuell prüfen).</w:t>
      </w:r>
    </w:p>
    <w:p>
      <w:pPr>
        <w:numPr>
          <w:ilvl w:val="0"/>
          <w:numId w:val="1227"/>
        </w:numPr>
        <w:pStyle w:val="Compact"/>
      </w:pPr>
      <w:r>
        <w:rPr>
          <w:bCs/>
          <w:b/>
        </w:rPr>
        <w:t xml:space="preserve">WADA:</w:t>
      </w:r>
      <w:r>
        <w:t xml:space="preserve"> </w:t>
      </w:r>
      <w:r>
        <w:rPr>
          <w:bCs/>
          <w:b/>
        </w:rPr>
        <w:t xml:space="preserve">verboten</w:t>
      </w:r>
      <w:r>
        <w:t xml:space="preserve"> </w:t>
      </w:r>
      <w:r>
        <w:t xml:space="preserve">– ausdrücklich in Kategorie S4 (Hormon- und Stoffwechselmodulatoren) als Beispiel eines AMPK-Aktivators genannt, im und außerhalb des Wettkampfs.</w:t>
      </w:r>
    </w:p>
    <w:p>
      <w:pPr>
        <w:numPr>
          <w:ilvl w:val="0"/>
          <w:numId w:val="1227"/>
        </w:numPr>
        <w:pStyle w:val="Compact"/>
      </w:pPr>
      <w:r>
        <w:rPr>
          <w:bCs/>
          <w:b/>
        </w:rPr>
        <w:t xml:space="preserve">Evidenzstufe:</w:t>
      </w:r>
      <w:r>
        <w:t xml:space="preserve"> </w:t>
      </w:r>
      <w:r>
        <w:rPr>
          <w:bCs/>
          <w:b/>
        </w:rPr>
        <w:t xml:space="preserve">D</w:t>
      </w:r>
      <w:r>
        <w:t xml:space="preserve"> </w:t>
      </w:r>
      <w:r>
        <w:t xml:space="preserve">für die Gabe als Wirkstoff – veröffentlichte Ergebnisse kontrollierter Studien am Menschen gibt es nicht; beim Menschen existieren nur Beobachtungsstudien zu den körpereigenen Spiegeln.</w:t>
      </w:r>
    </w:p>
    <w:bookmarkEnd w:id="1814"/>
    <w:bookmarkStart w:id="1818" w:name="wie-es-wirken-soll-41"/>
    <w:p>
      <w:pPr>
        <w:pStyle w:val="Heading3"/>
      </w:pPr>
      <w:r>
        <w:t xml:space="preserve">Wie es wirken soll</w:t>
      </w:r>
    </w:p>
    <w:p>
      <w:pPr>
        <w:pStyle w:val="FirstParagraph"/>
      </w:pPr>
      <w:r>
        <w:t xml:space="preserve">Mitochondrien besitzen ein eigenes, kleines Erbgut. Lange galt es als „Bauplan“ für nur 13 Eiweiße der Energiegewinnung. Seit Anfang der 2000er-Jahre wurden darin zusätzlich kurze Leseabschnitte entdeckt, die kleine Signalpeptide verschlüsseln – zuerst Humanin (siehe nächstes Kapitel), dann MOTS-c.</w:t>
      </w:r>
    </w:p>
    <w:p>
      <w:pPr>
        <w:pStyle w:val="BodyText"/>
      </w:pPr>
      <w:r>
        <w:t xml:space="preserve">Die Erstbeschreibung zeigte bei Mäusen, dass MOTS-c vor allem auf den Skelettmuskel wirkt: Es hemmt einen Stoffwechselweg (Folatzyklus und Purin-Neubildung), wodurch sich der Botenstoff AICAR anreichert und das Enzym AMPK aktiviert wird – derselbe Energiesensor, auf den auch Bewegung und das Diabetesmedikament Metformin wirken. Mäuse, die MOTS-c gespritzt bekamen, entwickelten bei fettreicher Kost weniger Übergewicht und weniger Insulinresistenz</w:t>
      </w:r>
      <w:r>
        <w:rPr>
          <w:rStyle w:val="FootnoteReference"/>
        </w:rPr>
        <w:footnoteReference w:id="1815"/>
      </w:r>
      <w:r>
        <w:t xml:space="preserve">. Unter Stoffwechselstress wanderte MOTS-c in Zellkulturen in den Zellkern und beeinflusste dort Gene</w:t>
      </w:r>
      <w:r>
        <w:rPr>
          <w:rStyle w:val="FootnoteReference"/>
        </w:rPr>
        <w:footnoteReference w:id="1816"/>
      </w:r>
      <w:r>
        <w:t xml:space="preserve">.</w:t>
      </w:r>
    </w:p>
    <w:p>
      <w:pPr>
        <w:pStyle w:val="BodyText"/>
      </w:pPr>
      <w:r>
        <w:t xml:space="preserve">In einer zweiten großen Arbeit steigerte MOTS-c die körperliche Leistungsfähigkeit junger, mittelalter und alter Mäuse; eine erst im hohen Alter begonnene Behandlung verbesserte Leistungsfähigkeit und „gesunde Lebensspanne“. Beim Menschen stiegen die MOTS-c-Spiegel in Muskel und Blut nach körperlicher Belastung an</w:t>
      </w:r>
      <w:r>
        <w:rPr>
          <w:rStyle w:val="FootnoteReference"/>
        </w:rPr>
        <w:footnoteReference w:id="1817"/>
      </w:r>
      <w:r>
        <w:t xml:space="preserve">.</w:t>
      </w:r>
    </w:p>
    <w:p>
      <w:pPr>
        <w:pStyle w:val="BodyText"/>
      </w:pPr>
      <w:r>
        <w:t xml:space="preserve">Daraus entstand das Bild von MOTS-c als „Sport in der Spritze“. Wichtig ist aber die Reihenfolge: Dass Bewegung MOTS-c erhöht, heißt nicht, dass MOTS-c-Spritzen die Wirkungen von Bewegung beim Menschen nachbilden.</w:t>
      </w:r>
    </w:p>
    <w:bookmarkEnd w:id="1818"/>
    <w:bookmarkStart w:id="1828" w:name="studien-am-menschen-4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5 als Humanstudien klassifizierte Veröffentlichungen; keine davon verabreichte MOTS-c. Insgesamt führt PubMed rund 260 Arbeiten mit „MOTS-c“, überwiegend Tier- und Zellversuche sowie Beobachtungsstudien zu den körpereigenen Blutspiegeln. Auf ClinicalTrials.gov ergab die Suche 5 Einträge. Vier davon messen nur Spiegel oder betreffen andere Fragestellungen. Der fünfte, eine angebliche Phase-2-Studie mit MOTS-c bei Prädiabetes, stammt von einem Sponsor, unter dessen Namen offenbar fiktive Beispiel-Einträge im Register stehen. Wir werten ihn deshalb nicht als echte Studie und zählen ihn nicht mit; eine registrierte Studie mit MOTS-c selbst als Wirkstoff ist damit nicht belegt. Hinzu kommt eine abgeschlossene Studie mit dem MOTS-c-Abkömmling CB4211</w:t>
      </w:r>
      <w:r>
        <w:rPr>
          <w:rStyle w:val="FootnoteReference"/>
        </w:rPr>
        <w:footnoteReference w:id="1819"/>
      </w:r>
      <w:r>
        <w:t xml:space="preserve">.</w:t>
      </w:r>
    </w:p>
    <w:p>
      <w:pPr>
        <w:pStyle w:val="BodyText"/>
      </w:pPr>
      <w:r>
        <w:t xml:space="preserve">Für das Verständnis dieses Kapitels ist eine Unterscheidung zentral:</w:t>
      </w:r>
    </w:p>
    <w:p>
      <w:pPr>
        <w:numPr>
          <w:ilvl w:val="0"/>
          <w:numId w:val="1228"/>
        </w:numPr>
        <w:pStyle w:val="Compact"/>
      </w:pPr>
      <w:r>
        <w:rPr>
          <w:bCs/>
          <w:b/>
        </w:rPr>
        <w:t xml:space="preserve">Beobachtungsstudien zu körpereigenen Spiegeln:</w:t>
      </w:r>
      <w:r>
        <w:t xml:space="preserve"> </w:t>
      </w:r>
      <w:r>
        <w:t xml:space="preserve">Hier wird gemessen, wie viel MOTS-c Menschen im Blut haben, und das mit Krankheiten oder Verhalten in Beziehung gesetzt.</w:t>
      </w:r>
    </w:p>
    <w:p>
      <w:pPr>
        <w:numPr>
          <w:ilvl w:val="0"/>
          <w:numId w:val="1228"/>
        </w:numPr>
        <w:pStyle w:val="Compact"/>
      </w:pPr>
      <w:r>
        <w:rPr>
          <w:bCs/>
          <w:b/>
        </w:rPr>
        <w:t xml:space="preserve">Studien, in denen MOTS-c (oder ein Abkömmling) als Wirkstoff gegeben wird:</w:t>
      </w:r>
      <w:r>
        <w:t xml:space="preserve"> </w:t>
      </w:r>
      <w:r>
        <w:t xml:space="preserve">Nur sie können zeigen, ob eine Zufuhr etwas bewirkt.</w:t>
      </w:r>
    </w:p>
    <w:p>
      <w:pPr>
        <w:pStyle w:val="FirstParagraph"/>
      </w:pPr>
      <w:r>
        <w:t xml:space="preserve">Ergebnisse der ersten Art werden im Internet häufig so dargestellt, als belegten sie die Wirkung der zweiten Art. Das ist ein Kurzschluss.</w:t>
      </w:r>
    </w:p>
    <w:bookmarkStart w:id="1825" w:name="körpereigene-spiegel-beobachtungen"/>
    <w:p>
      <w:pPr>
        <w:pStyle w:val="Heading4"/>
      </w:pPr>
      <w:r>
        <w:t xml:space="preserve">1. Körpereigene Spiegel: Beobachtungen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 2018, PMID 29691953</w:t>
            </w:r>
          </w:p>
        </w:tc>
        <w:tc>
          <w:tcPr/>
          <w:p>
            <w:pPr>
              <w:pStyle w:val="Compact"/>
              <w:jc w:val="left"/>
            </w:pPr>
            <w:r>
              <w:t xml:space="preserve">40 übergewichtige Kinder und Jugendliche, 57 Kontrollen, Fall-Kontroll-Studie</w:t>
            </w:r>
          </w:p>
        </w:tc>
        <w:tc>
          <w:tcPr/>
          <w:p>
            <w:pPr>
              <w:pStyle w:val="Compact"/>
              <w:jc w:val="left"/>
            </w:pPr>
            <w:r>
              <w:t xml:space="preserve">Querschnitt</w:t>
            </w:r>
          </w:p>
        </w:tc>
        <w:tc>
          <w:tcPr/>
          <w:p>
            <w:pPr>
              <w:pStyle w:val="Compact"/>
              <w:jc w:val="left"/>
            </w:pPr>
            <w:r>
              <w:t xml:space="preserve">niedrigere Spiegel bei übergewichtigen Jungen, nicht bei Mädchen</w:t>
            </w:r>
          </w:p>
        </w:tc>
      </w:tr>
      <w:tr>
        <w:tc>
          <w:tcPr/>
          <w:p>
            <w:pPr>
              <w:pStyle w:val="Compact"/>
              <w:jc w:val="left"/>
            </w:pPr>
            <w:r>
              <w:t xml:space="preserve">Kirik 2023, PMID 37750635</w:t>
            </w:r>
          </w:p>
        </w:tc>
        <w:tc>
          <w:tcPr/>
          <w:p>
            <w:pPr>
              <w:pStyle w:val="Compact"/>
              <w:jc w:val="left"/>
            </w:pPr>
            <w:r>
              <w:t xml:space="preserve">150 Personen mit Fettleber, 84 Gesunde</w:t>
            </w:r>
          </w:p>
        </w:tc>
        <w:tc>
          <w:tcPr/>
          <w:p>
            <w:pPr>
              <w:pStyle w:val="Compact"/>
              <w:jc w:val="left"/>
            </w:pPr>
            <w:r>
              <w:t xml:space="preserve">Querschnitt</w:t>
            </w:r>
          </w:p>
        </w:tc>
        <w:tc>
          <w:tcPr/>
          <w:p>
            <w:pPr>
              <w:pStyle w:val="Compact"/>
              <w:jc w:val="left"/>
            </w:pPr>
            <w:r>
              <w:t xml:space="preserve">niedrigere Spiegel bei Fettleber und metabolischem Syndrom</w:t>
            </w:r>
          </w:p>
        </w:tc>
      </w:tr>
      <w:tr>
        <w:tc>
          <w:tcPr/>
          <w:p>
            <w:pPr>
              <w:pStyle w:val="Compact"/>
              <w:jc w:val="left"/>
            </w:pPr>
            <w:r>
              <w:t xml:space="preserve">Ikonomidis 2020, PMID 32052315</w:t>
            </w:r>
          </w:p>
        </w:tc>
        <w:tc>
          <w:tcPr/>
          <w:p>
            <w:pPr>
              <w:pStyle w:val="Compact"/>
              <w:jc w:val="left"/>
            </w:pPr>
            <w:r>
              <w:t xml:space="preserve">121 Menschen mit Typ-2-Diabetes nach Gefäßeingriff</w:t>
            </w:r>
          </w:p>
        </w:tc>
        <w:tc>
          <w:tcPr/>
          <w:p>
            <w:pPr>
              <w:pStyle w:val="Compact"/>
              <w:jc w:val="left"/>
            </w:pPr>
            <w:r>
              <w:t xml:space="preserve">2 Jahre</w:t>
            </w:r>
          </w:p>
        </w:tc>
        <w:tc>
          <w:tcPr/>
          <w:p>
            <w:pPr>
              <w:pStyle w:val="Compact"/>
              <w:jc w:val="left"/>
            </w:pPr>
            <w:r>
              <w:t xml:space="preserve">niedriges MOTS-c (unter 167 ng/ml) sagte Herz-Kreislauf-Ereignisse voraus (relatives Risiko 3,8)</w:t>
            </w:r>
          </w:p>
        </w:tc>
      </w:tr>
      <w:tr>
        <w:tc>
          <w:tcPr/>
          <w:p>
            <w:pPr>
              <w:pStyle w:val="Compact"/>
              <w:jc w:val="left"/>
            </w:pPr>
            <w:r>
              <w:t xml:space="preserve">von Walden 2021, PMID 34351816</w:t>
            </w:r>
          </w:p>
        </w:tc>
        <w:tc>
          <w:tcPr/>
          <w:p>
            <w:pPr>
              <w:pStyle w:val="Compact"/>
              <w:jc w:val="left"/>
            </w:pPr>
            <w:r>
              <w:t xml:space="preserve">30 Personen, Ausdauer- oder Krafttraining oder Kontrolle, randomisiert</w:t>
            </w:r>
          </w:p>
        </w:tc>
        <w:tc>
          <w:tcPr/>
          <w:p>
            <w:pPr>
              <w:pStyle w:val="Compact"/>
              <w:jc w:val="left"/>
            </w:pPr>
            <w:r>
              <w:t xml:space="preserve">einmalige Belastung</w:t>
            </w:r>
          </w:p>
        </w:tc>
        <w:tc>
          <w:tcPr/>
          <w:p>
            <w:pPr>
              <w:pStyle w:val="Compact"/>
              <w:jc w:val="left"/>
            </w:pPr>
            <w:r>
              <w:t xml:space="preserve">Humanin stieg nach Ausdauerbelastung an, MOTS-c zeigte nur einen Trend</w:t>
            </w:r>
          </w:p>
        </w:tc>
      </w:tr>
      <w:tr>
        <w:tc>
          <w:tcPr/>
          <w:p>
            <w:pPr>
              <w:pStyle w:val="Compact"/>
              <w:jc w:val="left"/>
            </w:pPr>
            <w:r>
              <w:t xml:space="preserve">Dieli-Conwright 2021, PMID 34413391</w:t>
            </w:r>
          </w:p>
        </w:tc>
        <w:tc>
          <w:tcPr/>
          <w:p>
            <w:pPr>
              <w:pStyle w:val="Compact"/>
              <w:jc w:val="left"/>
            </w:pPr>
            <w:r>
              <w:t xml:space="preserve">49 Frauen nach Brustkrebs, Training oder Standardversorgung, randomisiert</w:t>
            </w:r>
          </w:p>
        </w:tc>
        <w:tc>
          <w:tcPr/>
          <w:p>
            <w:pPr>
              <w:pStyle w:val="Compact"/>
              <w:jc w:val="left"/>
            </w:pPr>
            <w:r>
              <w:t xml:space="preserve">16 Wochen</w:t>
            </w:r>
          </w:p>
        </w:tc>
        <w:tc>
          <w:tcPr/>
          <w:p>
            <w:pPr>
              <w:pStyle w:val="Compact"/>
              <w:jc w:val="left"/>
            </w:pPr>
            <w:r>
              <w:t xml:space="preserve">Anstieg von MOTS-c bei nicht-hispanischen weißen Frauen, nicht bei hispanischen Frauen</w:t>
            </w:r>
          </w:p>
        </w:tc>
      </w:tr>
      <w:tr>
        <w:tc>
          <w:tcPr/>
          <w:p>
            <w:pPr>
              <w:pStyle w:val="Compact"/>
              <w:jc w:val="left"/>
            </w:pPr>
            <w:r>
              <w:t xml:space="preserve">Elhusseiny 2025, PMID 40674654</w:t>
            </w:r>
          </w:p>
        </w:tc>
        <w:tc>
          <w:tcPr/>
          <w:p>
            <w:pPr>
              <w:pStyle w:val="Compact"/>
              <w:jc w:val="left"/>
            </w:pPr>
            <w:r>
              <w:t xml:space="preserve">19 aktive Männer mit ruhiggestelltem Unterschenkel, Wärmebehandlung oder Schein</w:t>
            </w:r>
          </w:p>
        </w:tc>
        <w:tc>
          <w:tcPr/>
          <w:p>
            <w:pPr>
              <w:pStyle w:val="Compact"/>
              <w:jc w:val="left"/>
            </w:pPr>
            <w:r>
              <w:t xml:space="preserve">2 Wochen</w:t>
            </w:r>
          </w:p>
        </w:tc>
        <w:tc>
          <w:tcPr/>
          <w:p>
            <w:pPr>
              <w:pStyle w:val="Compact"/>
              <w:jc w:val="left"/>
            </w:pPr>
            <w:r>
              <w:t xml:space="preserve">Wärme erhöhte MOTS-c im Blut</w:t>
            </w:r>
          </w:p>
        </w:tc>
      </w:tr>
    </w:tbl>
    <w:p>
      <w:pPr>
        <w:pStyle w:val="BodyText"/>
      </w:pPr>
      <w:r>
        <w:t xml:space="preserve">Diese Studien zeigen, dass niedrige MOTS-c-Spiegel häufig mit Übergewicht, Insulinresistenz, Fettleber oder Gefäßproblemen einhergehen</w:t>
      </w:r>
      <w:r>
        <w:rPr>
          <w:rStyle w:val="FootnoteReference"/>
        </w:rPr>
        <w:footnoteReference w:id="1820"/>
      </w:r>
      <w:r>
        <w:t xml:space="preserve"> </w:t>
      </w:r>
      <w:r>
        <w:t xml:space="preserve">und dass Bewegung oder Wärme die Spiegel erhöhen können. Was sie</w:t>
      </w:r>
      <w:r>
        <w:t xml:space="preserve"> </w:t>
      </w:r>
      <w:r>
        <w:rPr>
          <w:bCs/>
          <w:b/>
        </w:rPr>
        <w:t xml:space="preserve">nicht</w:t>
      </w:r>
      <w:r>
        <w:t xml:space="preserve"> </w:t>
      </w:r>
      <w:r>
        <w:t xml:space="preserve">zeigen: dass niedrige Spiegel die Erkrankungen verursachen, oder dass zugeführtes MOTS-c sie verhindert. Es kann ebenso gut umgekehrt sein – die Erkrankung senkt den Spiegel.</w:t>
      </w:r>
    </w:p>
    <w:p>
      <w:pPr>
        <w:pStyle w:val="BodyText"/>
      </w:pPr>
      <w:r>
        <w:t xml:space="preserve">Eine weitere Schwierigkeit ist die Messung selbst. Die Studien verwenden unterschiedliche Testverfahren (ELISA), deren Ergebnisse sich stark unterscheiden: Bei Kindern lagen die Mittelwerte um 470 bis 560 ng/ml</w:t>
      </w:r>
      <w:r>
        <w:rPr>
          <w:rStyle w:val="FootnoteReference"/>
        </w:rPr>
        <w:footnoteReference w:id="1821"/>
      </w:r>
      <w:r>
        <w:t xml:space="preserve">, in der Diabetesstudie galt ein Wert unter 167 ng/ml als niedrig</w:t>
      </w:r>
      <w:r>
        <w:rPr>
          <w:rStyle w:val="FootnoteReference"/>
        </w:rPr>
        <w:footnoteReference w:id="1822"/>
      </w:r>
      <w:r>
        <w:t xml:space="preserve">. In einer Studie mit Brustkrebspatientinnen veränderte selbst Metformin – das auf denselben Energiesensor wirkt – die mit einem handelsüblichen Test gemessenen Spiegel nicht</w:t>
      </w:r>
      <w:r>
        <w:rPr>
          <w:rStyle w:val="FootnoteReference"/>
        </w:rPr>
        <w:footnoteReference w:id="1823"/>
      </w:r>
      <w:r>
        <w:t xml:space="preserve">.</w:t>
      </w:r>
    </w:p>
    <w:p>
      <w:pPr>
        <w:pStyle w:val="BodyText"/>
      </w:pPr>
      <w:r>
        <w:rPr>
          <w:bCs/>
          <w:b/>
        </w:rPr>
        <w:t xml:space="preserve">Genetische Hinweise:</w:t>
      </w:r>
      <w:r>
        <w:t xml:space="preserve"> </w:t>
      </w:r>
      <w:r>
        <w:t xml:space="preserve">Eine nur in Asien vorkommende Variante im Mitochondrien-Erbgut verändert einen Baustein von MOTS-c (K14Q). In drei Kohorten mit zusammen 27.527 Personen hatten Männer mit dieser Variante häufiger Typ-2-Diabetes, vor allem wenn sie körperlich wenig aktiv waren. Bei Mäusen wirkte die veränderte MOTS-c-Form schwächer</w:t>
      </w:r>
      <w:r>
        <w:rPr>
          <w:rStyle w:val="FootnoteReference"/>
        </w:rPr>
        <w:footnoteReference w:id="1824"/>
      </w:r>
      <w:r>
        <w:t xml:space="preserve">. Das ist ein interessanter Hinweis, dass MOTS-c beim Menschen eine Rolle im Stoffwechsel spielen könnte – aber kein Beleg für den Nutzen einer Zufuhr.</w:t>
      </w:r>
    </w:p>
    <w:bookmarkEnd w:id="1825"/>
    <w:bookmarkStart w:id="1827" w:name="gabe-als-wirkstoff-cb4211"/>
    <w:p>
      <w:pPr>
        <w:pStyle w:val="Heading4"/>
      </w:pPr>
      <w:r>
        <w:t xml:space="preserve">2. Gabe als Wirkstoff: CB4211</w:t>
      </w:r>
    </w:p>
    <w:p>
      <w:pPr>
        <w:pStyle w:val="FirstParagraph"/>
      </w:pPr>
      <w:r>
        <w:rPr>
          <w:bCs/>
          <w:b/>
        </w:rPr>
        <w:t xml:space="preserve">CB4211</w:t>
      </w:r>
      <w:r>
        <w:t xml:space="preserve"> </w:t>
      </w:r>
      <w:r>
        <w:t xml:space="preserve">ist ein vom Unternehmen CohBar entwickelter Abkömmling von MOTS-c. Die Phase-1a/1b-Studie</w:t>
      </w:r>
      <w:r>
        <w:rPr>
          <w:rStyle w:val="FootnoteReference"/>
        </w:rPr>
        <w:footnoteReference w:id="1826"/>
      </w:r>
      <w:r>
        <w:t xml:space="preserve"> </w:t>
      </w:r>
      <w:r>
        <w:t xml:space="preserve">war randomisiert, doppelblind und placebokontrolliert und umfasste 88 Teilnehmende: Gesunde erhielten einzelne bzw. sieben Tage lang tägliche Injektionen unter die Haut, Menschen mit Adipositas und Fettleber 28 Tage lang. Hauptendpunkte waren Sicherheit und Verträglichkeit; Nebenziele waren unter anderem Leberfett und Körpergewicht. Die Studie wurde im April 2021 abgeschlossen. Im Register sind keine Ergebnisse hinterlegt, und eine Veröffentlichung in einer Fachzeitschrift ließ sich bei unserer Recherche nicht finden. Das Unternehmen meldete 2021 per Pressemitteilung günstige Veränderungen einzelner Leber- und Blutzuckerwerte bei guter Verträglichkeit; solche Mitteilungen sind nicht unabhängig begutachtet. Eine Weiterentwicklung in größeren Studien ist nicht bekannt.</w:t>
      </w:r>
    </w:p>
    <w:p>
      <w:pPr>
        <w:pStyle w:val="BodyText"/>
      </w:pPr>
      <w:r>
        <w:rPr>
          <w:bCs/>
          <w:b/>
        </w:rPr>
        <w:t xml:space="preserve">MOTS-c selbst</w:t>
      </w:r>
      <w:r>
        <w:t xml:space="preserve"> </w:t>
      </w:r>
      <w:r>
        <w:t xml:space="preserve">wurde nach unserer Recherche bisher in keiner veröffentlichten oder verlässlich registrierten Studie am Menschen als Wirkstoff gegeben. Ein Registereintrag, der eine solche Phase-2-Studie beschreibt, erwies sich als zweifelhaft (siehe oben).</w:t>
      </w:r>
    </w:p>
    <w:p>
      <w:pPr>
        <w:pStyle w:val="BodyText"/>
      </w:pPr>
      <w:r>
        <w:t xml:space="preserve">Bis dahin gilt: Es gibt</w:t>
      </w:r>
      <w:r>
        <w:t xml:space="preserve"> </w:t>
      </w:r>
      <w:r>
        <w:rPr>
          <w:bCs/>
          <w:b/>
        </w:rPr>
        <w:t xml:space="preserve">keine veröffentlichten Daten</w:t>
      </w:r>
      <w:r>
        <w:t xml:space="preserve"> </w:t>
      </w:r>
      <w:r>
        <w:t xml:space="preserve">dazu, ob MOTS-c-Injektionen beim Menschen den Stoffwechsel, die Leistung oder das Altern beeinflussen.</w:t>
      </w:r>
    </w:p>
    <w:bookmarkEnd w:id="1827"/>
    <w:bookmarkEnd w:id="1828"/>
    <w:bookmarkStart w:id="1833" w:name="tier--und-laborstudien-41"/>
    <w:p>
      <w:pPr>
        <w:pStyle w:val="Heading3"/>
      </w:pPr>
      <w:r>
        <w:t xml:space="preserve">Tier- und Laborstudien</w:t>
      </w:r>
    </w:p>
    <w:p>
      <w:pPr>
        <w:pStyle w:val="FirstParagraph"/>
      </w:pPr>
      <w:r>
        <w:t xml:space="preserve">Die präklinische Forschung ist umfangreich und wächst schnell:</w:t>
      </w:r>
    </w:p>
    <w:p>
      <w:pPr>
        <w:numPr>
          <w:ilvl w:val="0"/>
          <w:numId w:val="1229"/>
        </w:numPr>
        <w:pStyle w:val="Compact"/>
      </w:pPr>
      <w:r>
        <w:rPr>
          <w:bCs/>
          <w:b/>
        </w:rPr>
        <w:t xml:space="preserve">Stoffwechsel:</w:t>
      </w:r>
      <w:r>
        <w:t xml:space="preserve"> </w:t>
      </w:r>
      <w:r>
        <w:t xml:space="preserve">Bei Mäusen verhinderte MOTS-c ernährungsbedingtes Übergewicht und Insulinresistenz</w:t>
      </w:r>
      <w:r>
        <w:rPr>
          <w:rStyle w:val="FootnoteReference"/>
        </w:rPr>
        <w:footnoteReference w:id="1829"/>
      </w:r>
      <w:r>
        <w:t xml:space="preserve">.</w:t>
      </w:r>
    </w:p>
    <w:p>
      <w:pPr>
        <w:numPr>
          <w:ilvl w:val="0"/>
          <w:numId w:val="1229"/>
        </w:numPr>
        <w:pStyle w:val="Compact"/>
      </w:pPr>
      <w:r>
        <w:rPr>
          <w:bCs/>
          <w:b/>
        </w:rPr>
        <w:t xml:space="preserve">Muskel:</w:t>
      </w:r>
      <w:r>
        <w:t xml:space="preserve"> </w:t>
      </w:r>
      <w:r>
        <w:t xml:space="preserve">MOTS-c verringerte bei übergewichtigen Mäusen den Muskelabbau-Botenstoff Myostatin; beim Menschen waren MOTS-c- und Myostatin-Spiegel im Blut gegenläufig</w:t>
      </w:r>
      <w:r>
        <w:rPr>
          <w:rStyle w:val="FootnoteReference"/>
        </w:rPr>
        <w:footnoteReference w:id="1830"/>
      </w:r>
      <w:r>
        <w:t xml:space="preserve">.</w:t>
      </w:r>
    </w:p>
    <w:p>
      <w:pPr>
        <w:numPr>
          <w:ilvl w:val="0"/>
          <w:numId w:val="1229"/>
        </w:numPr>
        <w:pStyle w:val="Compact"/>
      </w:pPr>
      <w:r>
        <w:rPr>
          <w:bCs/>
          <w:b/>
        </w:rPr>
        <w:t xml:space="preserve">Leistung und Alter:</w:t>
      </w:r>
      <w:r>
        <w:t xml:space="preserve"> </w:t>
      </w:r>
      <w:r>
        <w:t xml:space="preserve">MOTS-c steigerte die körperliche Leistung von Mäusen unterschiedlichen Alters</w:t>
      </w:r>
      <w:r>
        <w:rPr>
          <w:rStyle w:val="FootnoteReference"/>
        </w:rPr>
        <w:footnoteReference w:id="1831"/>
      </w:r>
      <w:r>
        <w:t xml:space="preserve">.</w:t>
      </w:r>
    </w:p>
    <w:p>
      <w:pPr>
        <w:numPr>
          <w:ilvl w:val="0"/>
          <w:numId w:val="1229"/>
        </w:numPr>
        <w:pStyle w:val="Compact"/>
      </w:pPr>
      <w:r>
        <w:rPr>
          <w:bCs/>
          <w:b/>
        </w:rPr>
        <w:t xml:space="preserve">Bauchspeicheldrüse:</w:t>
      </w:r>
      <w:r>
        <w:t xml:space="preserve"> </w:t>
      </w:r>
      <w:r>
        <w:t xml:space="preserve">Bei Mäusen verzögerte MOTS-c die Alterung insulinbildender Zellen und den Beginn eines Diabetes</w:t>
      </w:r>
      <w:r>
        <w:rPr>
          <w:rStyle w:val="FootnoteReference"/>
        </w:rPr>
        <w:footnoteReference w:id="1832"/>
      </w:r>
      <w:r>
        <w:t xml:space="preserve">.</w:t>
      </w:r>
    </w:p>
    <w:p>
      <w:pPr>
        <w:numPr>
          <w:ilvl w:val="0"/>
          <w:numId w:val="1229"/>
        </w:numPr>
        <w:pStyle w:val="Compact"/>
      </w:pPr>
      <w:r>
        <w:t xml:space="preserve">Zahlreiche weitere Arbeiten, überwiegend aus China, beschreiben Schutzwirkungen in Modellen von Lungen-, Herz-, Leber-, Knochen- und Nierenschäden.</w:t>
      </w:r>
    </w:p>
    <w:p>
      <w:pPr>
        <w:pStyle w:val="FirstParagraph"/>
      </w:pPr>
      <w:r>
        <w:t xml:space="preserve">Die Fülle positiver Tierstudien ist auffällig. Sie zeigt, dass MOTS-c biologisch aktiv ist; über Wirkung und Sicherheit beim Menschen sagt sie wenig.</w:t>
      </w:r>
    </w:p>
    <w:bookmarkEnd w:id="1833"/>
    <w:bookmarkStart w:id="1836" w:name="risiken-und-nebenwirkungen-41"/>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zur Gabe von MOTS-c am Menschen.</w:t>
      </w:r>
    </w:p>
    <w:p>
      <w:pPr>
        <w:pStyle w:val="BodyText"/>
      </w:pPr>
      <w:r>
        <w:rPr>
          <w:bCs/>
          <w:b/>
        </w:rPr>
        <w:t xml:space="preserve">Theoretisch:</w:t>
      </w:r>
    </w:p>
    <w:p>
      <w:pPr>
        <w:numPr>
          <w:ilvl w:val="0"/>
          <w:numId w:val="1230"/>
        </w:numPr>
        <w:pStyle w:val="Compact"/>
      </w:pPr>
      <w:r>
        <w:rPr>
          <w:bCs/>
          <w:b/>
        </w:rPr>
        <w:t xml:space="preserve">Blutzucker:</w:t>
      </w:r>
      <w:r>
        <w:t xml:space="preserve"> </w:t>
      </w:r>
      <w:r>
        <w:t xml:space="preserve">Ein Stoff, der die Insulinempfindlichkeit erhöht, könnte zusammen mit Diabetesmedikamenten Unterzuckerungen begünstigen.</w:t>
      </w:r>
    </w:p>
    <w:p>
      <w:pPr>
        <w:numPr>
          <w:ilvl w:val="0"/>
          <w:numId w:val="1230"/>
        </w:numPr>
        <w:pStyle w:val="Compact"/>
      </w:pPr>
      <w:r>
        <w:rPr>
          <w:bCs/>
          <w:b/>
        </w:rPr>
        <w:t xml:space="preserve">Krebs:</w:t>
      </w:r>
      <w:r>
        <w:t xml:space="preserve"> </w:t>
      </w:r>
      <w:r>
        <w:t xml:space="preserve">In Laborstudien bremste MOTS-c eher Krebszellen: Es hemmte das Wachstum von Eierstockkrebszellen</w:t>
      </w:r>
      <w:r>
        <w:rPr>
          <w:rStyle w:val="FootnoteReference"/>
        </w:rPr>
        <w:footnoteReference w:id="1834"/>
      </w:r>
      <w:r>
        <w:t xml:space="preserve"> </w:t>
      </w:r>
      <w:r>
        <w:t xml:space="preserve">und machte Leberkrebszellen unter Sauerstoffmangel empfindlicher für den programmierten Zelltod</w:t>
      </w:r>
      <w:r>
        <w:rPr>
          <w:rStyle w:val="FootnoteReference"/>
        </w:rPr>
        <w:footnoteReference w:id="1835"/>
      </w:r>
      <w:r>
        <w:t xml:space="preserve">. Ob das beim Menschen gilt und wie sich eine jahrelange Zufuhr eines stoffwechselaktiven Signalstoffs auswirkt, ist nicht untersucht.</w:t>
      </w:r>
    </w:p>
    <w:p>
      <w:pPr>
        <w:numPr>
          <w:ilvl w:val="0"/>
          <w:numId w:val="1230"/>
        </w:numPr>
        <w:pStyle w:val="Compact"/>
      </w:pPr>
      <w:r>
        <w:rPr>
          <w:bCs/>
          <w:b/>
        </w:rPr>
        <w:t xml:space="preserve">Immunreaktionen:</w:t>
      </w:r>
      <w:r>
        <w:t xml:space="preserve"> </w:t>
      </w:r>
      <w:r>
        <w:t xml:space="preserve">Bei wiederholten Injektionen eines Peptids können Antikörper entstehen; das wurde für MOTS-c nicht untersucht.</w:t>
      </w:r>
    </w:p>
    <w:p>
      <w:pPr>
        <w:pStyle w:val="FirstParagraph"/>
      </w:pPr>
      <w:r>
        <w:rPr>
          <w:bCs/>
          <w:b/>
        </w:rPr>
        <w:t xml:space="preserve">Graumarkt und Sport:</w:t>
      </w:r>
      <w:r>
        <w:t xml:space="preserve"> </w:t>
      </w:r>
      <w:r>
        <w:t xml:space="preserve">MOTS-c gehört zu den beliebtesten „Longevity-“ und Fitness-Peptiden im Internet und wird als Pulver zur Injektion verkauft. Reinheit und Gehalt sind ungeprüft. Für Sportlerinnen und Sportler ist die Anwendung ausdrücklich verboten (WADA S4).</w:t>
      </w:r>
    </w:p>
    <w:bookmarkEnd w:id="1836"/>
    <w:bookmarkStart w:id="1837" w:name="rechtslage-41"/>
    <w:p>
      <w:pPr>
        <w:pStyle w:val="Heading3"/>
      </w:pPr>
      <w:r>
        <w:t xml:space="preserve">Rechtslage</w:t>
      </w:r>
    </w:p>
    <w:p>
      <w:pPr>
        <w:numPr>
          <w:ilvl w:val="0"/>
          <w:numId w:val="1231"/>
        </w:numPr>
        <w:pStyle w:val="Compact"/>
      </w:pPr>
      <w:r>
        <w:rPr>
          <w:bCs/>
          <w:b/>
        </w:rPr>
        <w:t xml:space="preserve">EU / Österreich / Deutschland:</w:t>
      </w:r>
      <w:r>
        <w:t xml:space="preserve"> </w:t>
      </w:r>
      <w:r>
        <w:t xml:space="preserve">nicht zugelassen; als Stoff mit pharmakologischer Wirkung gilt MOTS-c als Arzneimittel, der Verkauf zur Anwendung am Menschen ist nicht erlaubt.</w:t>
      </w:r>
    </w:p>
    <w:p>
      <w:pPr>
        <w:numPr>
          <w:ilvl w:val="0"/>
          <w:numId w:val="1231"/>
        </w:numPr>
        <w:pStyle w:val="Compact"/>
      </w:pPr>
      <w:r>
        <w:rPr>
          <w:bCs/>
          <w:b/>
        </w:rPr>
        <w:t xml:space="preserve">USA:</w:t>
      </w:r>
      <w:r>
        <w:t xml:space="preserve"> </w:t>
      </w:r>
      <w:r>
        <w:t xml:space="preserve">nicht zugelassen. Nach dem positiven PCAC-Votum vom Juli 2026 könnte MOTS-c künftig in Apotheken-Rezepturen verwendet werden, sofern die FDA dem folgt; die Entscheidung stand bei Redaktionsschluss aus (Stand Oktober 2026, bitte aktuell prüfen).</w:t>
      </w:r>
    </w:p>
    <w:p>
      <w:pPr>
        <w:numPr>
          <w:ilvl w:val="0"/>
          <w:numId w:val="1231"/>
        </w:numPr>
        <w:pStyle w:val="Compact"/>
      </w:pPr>
      <w:r>
        <w:rPr>
          <w:bCs/>
          <w:b/>
        </w:rPr>
        <w:t xml:space="preserve">Sport:</w:t>
      </w:r>
      <w:r>
        <w:t xml:space="preserve"> </w:t>
      </w:r>
      <w:r>
        <w:t xml:space="preserve">verboten nach WADA-Liste, Kategorie S4 (Stand 2026, bitte aktuell prüfen).</w:t>
      </w:r>
    </w:p>
    <w:bookmarkEnd w:id="1837"/>
    <w:bookmarkStart w:id="1840" w:name="laufende-studien-und-ausblick-41"/>
    <w:p>
      <w:pPr>
        <w:pStyle w:val="Heading3"/>
      </w:pPr>
      <w:r>
        <w:t xml:space="preserve">Laufende Studien und Ausblick</w:t>
      </w:r>
    </w:p>
    <w:p>
      <w:pPr>
        <w:pStyle w:val="FirstParagraph"/>
      </w:pPr>
      <w:r>
        <w:rPr>
          <w:bCs/>
          <w:b/>
        </w:rPr>
        <w:t xml:space="preserve">Gesichert (registrierte Studien, Stand Oktober 2026):</w:t>
      </w:r>
    </w:p>
    <w:p>
      <w:pPr>
        <w:numPr>
          <w:ilvl w:val="0"/>
          <w:numId w:val="1232"/>
        </w:numPr>
        <w:pStyle w:val="Compact"/>
      </w:pPr>
      <w:r>
        <w:t xml:space="preserve">Eine verlässlich registrierte Studie, in der MOTS-c als Wirkstoff gegeben wird, gibt es nicht.</w:t>
      </w:r>
    </w:p>
    <w:p>
      <w:pPr>
        <w:numPr>
          <w:ilvl w:val="0"/>
          <w:numId w:val="1232"/>
        </w:numPr>
        <w:pStyle w:val="Compact"/>
      </w:pPr>
      <w:r>
        <w:t xml:space="preserve">Mehrere Beobachtungsstudien messen MOTS-c-Spiegel, etwa bei Nierentransplantation</w:t>
      </w:r>
      <w:r>
        <w:rPr>
          <w:rStyle w:val="FootnoteReference"/>
        </w:rPr>
        <w:footnoteReference w:id="1838"/>
      </w:r>
      <w:r>
        <w:t xml:space="preserve"> </w:t>
      </w:r>
      <w:r>
        <w:t xml:space="preserve">oder bei Diabetes unter verschiedenen Medikamenten</w:t>
      </w:r>
      <w:r>
        <w:rPr>
          <w:rStyle w:val="FootnoteReference"/>
        </w:rPr>
        <w:footnoteReference w:id="1839"/>
      </w:r>
      <w:r>
        <w:t xml:space="preserve">.</w:t>
      </w:r>
    </w:p>
    <w:p>
      <w:pPr>
        <w:pStyle w:val="FirstParagraph"/>
      </w:pPr>
      <w:r>
        <w:rPr>
          <w:bCs/>
          <w:b/>
        </w:rPr>
        <w:t xml:space="preserve">Einschätzung:</w:t>
      </w:r>
      <w:r>
        <w:t xml:space="preserve"> </w:t>
      </w:r>
      <w:r>
        <w:t xml:space="preserve">Die zentrale Frage – verbessert zugeführtes MOTS-c beim Menschen die Insulinempfindlichkeit? – ist bisher von niemandem in einer veröffentlichten Studie geprüft worden. Dafür wäre zunächst eine kontrollierte Phase-1/2-Studie mit veröffentlichten Ergebnissen nötig. Bis dahin beruht jede Aussage über eine Wirkung beim Menschen auf Tierversuchen und Spiegelmessungen.</w:t>
      </w:r>
    </w:p>
    <w:bookmarkEnd w:id="1840"/>
    <w:bookmarkStart w:id="1841" w:name="fazit-41"/>
    <w:p>
      <w:pPr>
        <w:pStyle w:val="Heading3"/>
      </w:pPr>
      <w:r>
        <w:t xml:space="preserve">Fazit</w:t>
      </w:r>
    </w:p>
    <w:p>
      <w:pPr>
        <w:pStyle w:val="FirstParagraph"/>
      </w:pPr>
      <w:r>
        <w:t xml:space="preserve">MOTS-c ist ein körpereigenes, im Mitochondrien-Erbgut verschlüsseltes Peptid, das bei Mäusen Stoffwechsel und Leistungsfähigkeit verbesserte und beim Menschen nach Bewegung ansteigt. Beobachtungsstudien zeigen niedrigere Spiegel bei Übergewicht, Fettleber und Gefäßerkrankungen, belegen aber keine Ursache und keinen Nutzen einer Zufuhr. Die einzige abgeschlossene Studie mit einem MOTS-c-Abkömmling (CB4211) ist nicht in einer Fachzeitschrift veröffentlicht, und mit MOTS-c selbst gibt es keine veröffentlichte Studie am Menschen. Die Daten reichen nicht aus, um Nutzen oder Sicherheit beim Menschen zu beurteilen; im Sport ist MOTS-c verboten.</w:t>
      </w:r>
    </w:p>
    <w:bookmarkEnd w:id="1841"/>
    <w:bookmarkEnd w:id="1842"/>
    <w:bookmarkStart w:id="1865" w:name="humanin"/>
    <w:p>
      <w:pPr>
        <w:pStyle w:val="Heading2"/>
      </w:pPr>
      <w:r>
        <w:t xml:space="preserve">Humanin</w:t>
      </w:r>
    </w:p>
    <w:bookmarkStart w:id="1843" w:name="steckbrief-42"/>
    <w:p>
      <w:pPr>
        <w:pStyle w:val="Heading3"/>
      </w:pPr>
      <w:r>
        <w:t xml:space="preserve">Steckbrief</w:t>
      </w:r>
    </w:p>
    <w:p>
      <w:pPr>
        <w:numPr>
          <w:ilvl w:val="0"/>
          <w:numId w:val="1233"/>
        </w:numPr>
        <w:pStyle w:val="Compact"/>
      </w:pPr>
      <w:r>
        <w:rPr>
          <w:bCs/>
          <w:b/>
        </w:rPr>
        <w:t xml:space="preserve">Art und Struktur:</w:t>
      </w:r>
      <w:r>
        <w:t xml:space="preserve"> </w:t>
      </w:r>
      <w:r>
        <w:t xml:space="preserve">körpereigenes Peptid aus 24 Aminosäuren. Im Graumarkt und in der Forschung wird meist die abgewandelte Form</w:t>
      </w:r>
      <w:r>
        <w:t xml:space="preserve"> </w:t>
      </w:r>
      <w:r>
        <w:rPr>
          <w:bCs/>
          <w:b/>
        </w:rPr>
        <w:t xml:space="preserve">HNG</w:t>
      </w:r>
      <w:r>
        <w:t xml:space="preserve"> </w:t>
      </w:r>
      <w:r>
        <w:t xml:space="preserve">(Humanin-G, auch S14G-Humanin) verwendet, bei der an Position 14 Serin durch Glycin ersetzt ist; sie wirkt in Laborversuchen deutlich stärker.</w:t>
      </w:r>
    </w:p>
    <w:p>
      <w:pPr>
        <w:numPr>
          <w:ilvl w:val="0"/>
          <w:numId w:val="1233"/>
        </w:numPr>
        <w:pStyle w:val="Compact"/>
      </w:pPr>
      <w:r>
        <w:rPr>
          <w:bCs/>
          <w:b/>
        </w:rPr>
        <w:t xml:space="preserve">Herkunft:</w:t>
      </w:r>
      <w:r>
        <w:t xml:space="preserve"> </w:t>
      </w:r>
      <w:r>
        <w:t xml:space="preserve">2001 von japanischen Forschenden entdeckt, als sie in Hirngewebe eines Menschen mit Alzheimer-Krankheit nach Faktoren suchten, die Nervenzellen vor dem Absterben schützen – daher der Name. Es ist im Erbgut der Mitochondrien verschlüsselt; ähnliche Abschnitte gibt es auch im Erbgut des Zellkerns.</w:t>
      </w:r>
    </w:p>
    <w:p>
      <w:pPr>
        <w:numPr>
          <w:ilvl w:val="0"/>
          <w:numId w:val="1233"/>
        </w:numPr>
        <w:pStyle w:val="Compact"/>
      </w:pPr>
      <w:r>
        <w:rPr>
          <w:bCs/>
          <w:b/>
        </w:rPr>
        <w:t xml:space="preserve">Wirkprinzip:</w:t>
      </w:r>
      <w:r>
        <w:t xml:space="preserve"> </w:t>
      </w:r>
      <w:r>
        <w:t xml:space="preserve">„Mitokin“ (Signalstoff der Mitochondrien), das Zellen vor programmiertem Zelltod schützen soll. Es bindet unter anderem an einen Rezeptorkomplex aus CNTF-Rezeptor, WSX-1 und gp130 auf der Zelloberfläche.</w:t>
      </w:r>
    </w:p>
    <w:p>
      <w:pPr>
        <w:numPr>
          <w:ilvl w:val="0"/>
          <w:numId w:val="1233"/>
        </w:numPr>
        <w:pStyle w:val="Compact"/>
      </w:pPr>
      <w:r>
        <w:rPr>
          <w:bCs/>
          <w:b/>
        </w:rPr>
        <w:t xml:space="preserve">Zulassung EU:</w:t>
      </w:r>
      <w:r>
        <w:t xml:space="preserve"> </w:t>
      </w:r>
      <w:r>
        <w:t xml:space="preserve">nein.</w:t>
      </w:r>
    </w:p>
    <w:p>
      <w:pPr>
        <w:numPr>
          <w:ilvl w:val="0"/>
          <w:numId w:val="1233"/>
        </w:numPr>
        <w:pStyle w:val="Compact"/>
      </w:pPr>
      <w:r>
        <w:rPr>
          <w:bCs/>
          <w:b/>
        </w:rPr>
        <w:t xml:space="preserve">Zulassung USA:</w:t>
      </w:r>
      <w:r>
        <w:t xml:space="preserve"> </w:t>
      </w:r>
      <w:r>
        <w:t xml:space="preserve">nein.</w:t>
      </w:r>
    </w:p>
    <w:p>
      <w:pPr>
        <w:numPr>
          <w:ilvl w:val="0"/>
          <w:numId w:val="1233"/>
        </w:numPr>
        <w:pStyle w:val="Compact"/>
      </w:pPr>
      <w:r>
        <w:rPr>
          <w:bCs/>
          <w:b/>
        </w:rPr>
        <w:t xml:space="preserve">WADA:</w:t>
      </w:r>
      <w:r>
        <w:t xml:space="preserve"> </w:t>
      </w:r>
      <w:r>
        <w:t xml:space="preserve">nicht namentlich gelistet; als nirgends zugelassene Substanz fällt Humanin bzw. HNG nach unserer Einschätzung unter die Sammelkategorie S0.</w:t>
      </w:r>
    </w:p>
    <w:p>
      <w:pPr>
        <w:numPr>
          <w:ilvl w:val="0"/>
          <w:numId w:val="1233"/>
        </w:numPr>
        <w:pStyle w:val="Compact"/>
      </w:pPr>
      <w:r>
        <w:rPr>
          <w:bCs/>
          <w:b/>
        </w:rPr>
        <w:t xml:space="preserve">Evidenzstufe:</w:t>
      </w:r>
      <w:r>
        <w:t xml:space="preserve"> </w:t>
      </w:r>
      <w:r>
        <w:rPr>
          <w:bCs/>
          <w:b/>
        </w:rPr>
        <w:t xml:space="preserve">D</w:t>
      </w:r>
      <w:r>
        <w:t xml:space="preserve"> </w:t>
      </w:r>
      <w:r>
        <w:t xml:space="preserve">für die Gabe als Wirkstoff – keine einzige Studie, in der Menschen Humanin oder HNG erhielten; beim Menschen gibt es nur Messungen der körpereigenen Spiegel.</w:t>
      </w:r>
    </w:p>
    <w:bookmarkEnd w:id="1843"/>
    <w:bookmarkStart w:id="1847" w:name="wie-es-wirken-soll-42"/>
    <w:p>
      <w:pPr>
        <w:pStyle w:val="Heading3"/>
      </w:pPr>
      <w:r>
        <w:t xml:space="preserve">Wie es wirken soll</w:t>
      </w:r>
    </w:p>
    <w:p>
      <w:pPr>
        <w:pStyle w:val="FirstParagraph"/>
      </w:pPr>
      <w:r>
        <w:t xml:space="preserve">Die Entdecker suchten 2001 in einer Genbibliothek aus Hirngewebe nach Abschnitten, die Nervenzellen vor den giftigen Effekten von Alzheimer-Genen schützen. Sie fanden ein kurzes Peptid, das in Zellkulturen Nervenzellen vor zahlreichen Alzheimer-typischen Schädigungen bewahrte – gegen Amyloid-beta und gegen die Wirkung mehrerer erblicher Alzheimer-Mutationen, nicht aber gegen andere Giftstoffe wie Glutamat oder Prion-Bruchstücke</w:t>
      </w:r>
      <w:r>
        <w:rPr>
          <w:rStyle w:val="FootnoteReference"/>
        </w:rPr>
        <w:footnoteReference w:id="1844"/>
      </w:r>
      <w:r>
        <w:t xml:space="preserve">. Die Variante HNG war dabei wirksamer als andere getestete Schutzfaktoren.</w:t>
      </w:r>
    </w:p>
    <w:p>
      <w:pPr>
        <w:pStyle w:val="BodyText"/>
      </w:pPr>
      <w:r>
        <w:t xml:space="preserve">Später zeigte dieselbe Gruppe, dass Humanin an einen Rezeptorkomplex bindet, der zur Familie der Zytokin-Rezeptoren gehört (CNTF-Rezeptor, WSX-1 und gp130) und über das Signalmolekül STAT3 wirkt</w:t>
      </w:r>
      <w:r>
        <w:rPr>
          <w:rStyle w:val="FootnoteReference"/>
        </w:rPr>
        <w:footnoteReference w:id="1845"/>
      </w:r>
      <w:r>
        <w:t xml:space="preserve">. Darüber hinaus beschreiben Laborstudien Bindungen an Eiweiße, die den Zelltod steuern, und an den Wachstumsfaktor-Bindungspartner IGFBP-3.</w:t>
      </w:r>
    </w:p>
    <w:p>
      <w:pPr>
        <w:pStyle w:val="BodyText"/>
      </w:pPr>
      <w:r>
        <w:t xml:space="preserve">Eine Besonderheit: Humanin wird wie MOTS-c (siehe vorheriges Kapitel) im Erbgut der Mitochondrien verschlüsselt. Diese „mitochondrialen Peptide“ gelten als neue Signalebene, über die Mitochondrien mit dem Rest des Körpers kommunizieren</w:t>
      </w:r>
      <w:r>
        <w:rPr>
          <w:rStyle w:val="FootnoteReference"/>
        </w:rPr>
        <w:footnoteReference w:id="1846"/>
      </w:r>
      <w:r>
        <w:t xml:space="preserve">.</w:t>
      </w:r>
    </w:p>
    <w:bookmarkEnd w:id="1847"/>
    <w:bookmarkStart w:id="1851" w:name="studien-am-menschen-4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 als Humanstudien klassifizierte Veröffentlichungen; in keiner davon wurde Humanin verabreicht. Sie untersuchen, wie sich die körpereigenen Spiegel durch Training, Sauerstofftherapie oder Nahrungsergänzung verändern, oder betreffen Zellen von Patientinnen und Patienten im Labor. Insgesamt führt PubMed rund 550 Arbeiten zu Humanin. Auf ClinicalTrials.gov sind 3 Studien registriert, alle Beobachtungsstudien zu Humanin-Spiegeln (bei Herzoperationen, akutem Nierenversagen und Nierentransplantation).</w:t>
      </w:r>
    </w:p>
    <w:bookmarkStart w:id="1849" w:name="spiegel-und-alter"/>
    <w:p>
      <w:pPr>
        <w:pStyle w:val="Heading4"/>
      </w:pPr>
      <w:r>
        <w:t xml:space="preserve">Spiegel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Lee 2014, PMID 25040290</w:t>
            </w:r>
          </w:p>
        </w:tc>
        <w:tc>
          <w:tcPr/>
          <w:p>
            <w:pPr>
              <w:pStyle w:val="Compact"/>
              <w:jc w:val="left"/>
            </w:pPr>
            <w:r>
              <w:t xml:space="preserve">Mäuse und Menschen, Beobachtung und Hormongabe</w:t>
            </w:r>
          </w:p>
        </w:tc>
        <w:tc>
          <w:tcPr/>
          <w:p>
            <w:pPr>
              <w:pStyle w:val="Compact"/>
              <w:jc w:val="left"/>
            </w:pPr>
            <w:r>
              <w:t xml:space="preserve">–</w:t>
            </w:r>
          </w:p>
        </w:tc>
        <w:tc>
          <w:tcPr/>
          <w:p>
            <w:pPr>
              <w:pStyle w:val="Compact"/>
              <w:jc w:val="left"/>
            </w:pPr>
            <w:r>
              <w:t xml:space="preserve">Humanin-Spiegel sinken mit dem Alter; Wachstumshormon und IGF-1 senkten sie bei Mäusen und Menschen</w:t>
            </w:r>
          </w:p>
        </w:tc>
      </w:tr>
      <w:tr>
        <w:tc>
          <w:tcPr/>
          <w:p>
            <w:pPr>
              <w:pStyle w:val="Compact"/>
              <w:jc w:val="left"/>
            </w:pPr>
            <w:r>
              <w:t xml:space="preserve">Yen 2020, PMID 32575074</w:t>
            </w:r>
          </w:p>
        </w:tc>
        <w:tc>
          <w:tcPr/>
          <w:p>
            <w:pPr>
              <w:pStyle w:val="Compact"/>
              <w:jc w:val="left"/>
            </w:pPr>
            <w:r>
              <w:t xml:space="preserve">Kinder von 100-Jährigen und Vergleichspersonen; Tiermodelle</w:t>
            </w:r>
          </w:p>
        </w:tc>
        <w:tc>
          <w:tcPr/>
          <w:p>
            <w:pPr>
              <w:pStyle w:val="Compact"/>
              <w:jc w:val="left"/>
            </w:pPr>
            <w:r>
              <w:t xml:space="preserve">Querschnitt</w:t>
            </w:r>
          </w:p>
        </w:tc>
        <w:tc>
          <w:tcPr/>
          <w:p>
            <w:pPr>
              <w:pStyle w:val="Compact"/>
              <w:jc w:val="left"/>
            </w:pPr>
            <w:r>
              <w:t xml:space="preserve">deutlich höhere Spiegel bei Kindern von 100-Jährigen; niedriger bei Alzheimer und MELAS</w:t>
            </w:r>
          </w:p>
        </w:tc>
      </w:tr>
      <w:tr>
        <w:tc>
          <w:tcPr/>
          <w:p>
            <w:pPr>
              <w:pStyle w:val="Compact"/>
              <w:jc w:val="left"/>
            </w:pPr>
            <w:r>
              <w:t xml:space="preserve">Miller 2024, PMID 38520065</w:t>
            </w:r>
          </w:p>
        </w:tc>
        <w:tc>
          <w:tcPr/>
          <w:p>
            <w:pPr>
              <w:pStyle w:val="Compact"/>
              <w:jc w:val="left"/>
            </w:pPr>
            <w:r>
              <w:t xml:space="preserve">100-Jährige mit dem Alzheimer-Risikogen APOE4; Mausmodell</w:t>
            </w:r>
          </w:p>
        </w:tc>
        <w:tc>
          <w:tcPr/>
          <w:p>
            <w:pPr>
              <w:pStyle w:val="Compact"/>
              <w:jc w:val="left"/>
            </w:pPr>
            <w:r>
              <w:t xml:space="preserve">genetische Analyse</w:t>
            </w:r>
          </w:p>
        </w:tc>
        <w:tc>
          <w:tcPr/>
          <w:p>
            <w:pPr>
              <w:pStyle w:val="Compact"/>
              <w:jc w:val="left"/>
            </w:pPr>
            <w:r>
              <w:t xml:space="preserve">seltene Humanin-Variante P3S bei langlebigen APOE4-Trägern gehäuft</w:t>
            </w:r>
          </w:p>
        </w:tc>
      </w:tr>
      <w:tr>
        <w:tc>
          <w:tcPr/>
          <w:p>
            <w:pPr>
              <w:pStyle w:val="Compact"/>
              <w:jc w:val="left"/>
            </w:pPr>
            <w:r>
              <w:t xml:space="preserve">Gidlund 2016, PMID 27923980</w:t>
            </w:r>
          </w:p>
        </w:tc>
        <w:tc>
          <w:tcPr/>
          <w:p>
            <w:pPr>
              <w:pStyle w:val="Compact"/>
              <w:jc w:val="left"/>
            </w:pPr>
            <w:r>
              <w:t xml:space="preserve">55 Männer mit gestörtem Zuckerstoffwechsel, Krafttraining, Nordic Walking oder Kontrolle, randomisiert</w:t>
            </w:r>
          </w:p>
        </w:tc>
        <w:tc>
          <w:tcPr/>
          <w:p>
            <w:pPr>
              <w:pStyle w:val="Compact"/>
              <w:jc w:val="left"/>
            </w:pPr>
            <w:r>
              <w:t xml:space="preserve">12 Wochen</w:t>
            </w:r>
          </w:p>
        </w:tc>
        <w:tc>
          <w:tcPr/>
          <w:p>
            <w:pPr>
              <w:pStyle w:val="Compact"/>
              <w:jc w:val="left"/>
            </w:pPr>
            <w:r>
              <w:t xml:space="preserve">Humanin im Muskel nach Krafttraining um 35 % höher, im Blut unverändert</w:t>
            </w:r>
          </w:p>
        </w:tc>
      </w:tr>
      <w:tr>
        <w:tc>
          <w:tcPr/>
          <w:p>
            <w:pPr>
              <w:pStyle w:val="Compact"/>
              <w:jc w:val="left"/>
            </w:pPr>
            <w:r>
              <w:t xml:space="preserve">von Walden 2021, PMID 34351816</w:t>
            </w:r>
          </w:p>
        </w:tc>
        <w:tc>
          <w:tcPr/>
          <w:p>
            <w:pPr>
              <w:pStyle w:val="Compact"/>
              <w:jc w:val="left"/>
            </w:pPr>
            <w:r>
              <w:t xml:space="preserve">30 Personen, eine Ausdauer- oder Krafteinheit oder Kontrolle, randomisiert</w:t>
            </w:r>
          </w:p>
        </w:tc>
        <w:tc>
          <w:tcPr/>
          <w:p>
            <w:pPr>
              <w:pStyle w:val="Compact"/>
              <w:jc w:val="left"/>
            </w:pPr>
            <w:r>
              <w:t xml:space="preserve">einmalig</w:t>
            </w:r>
          </w:p>
        </w:tc>
        <w:tc>
          <w:tcPr/>
          <w:p>
            <w:pPr>
              <w:pStyle w:val="Compact"/>
              <w:jc w:val="left"/>
            </w:pPr>
            <w:r>
              <w:t xml:space="preserve">Humanin im Blut nach Ausdauerbelastung erhöht</w:t>
            </w:r>
          </w:p>
        </w:tc>
      </w:tr>
      <w:tr>
        <w:tc>
          <w:tcPr/>
          <w:p>
            <w:pPr>
              <w:pStyle w:val="Compact"/>
              <w:jc w:val="left"/>
            </w:pPr>
            <w:r>
              <w:t xml:space="preserve">Xu 2019, PMID 31134827</w:t>
            </w:r>
          </w:p>
        </w:tc>
        <w:tc>
          <w:tcPr/>
          <w:p>
            <w:pPr>
              <w:pStyle w:val="Compact"/>
              <w:jc w:val="left"/>
            </w:pPr>
            <w:r>
              <w:t xml:space="preserve">158 Personen mit vaskulärer Demenz, Sauerstoff-Überdrucktherapie oder Standard</w:t>
            </w:r>
          </w:p>
        </w:tc>
        <w:tc>
          <w:tcPr/>
          <w:p>
            <w:pPr>
              <w:pStyle w:val="Compact"/>
              <w:jc w:val="left"/>
            </w:pPr>
            <w:r>
              <w:t xml:space="preserve">12 Wochen</w:t>
            </w:r>
          </w:p>
        </w:tc>
        <w:tc>
          <w:tcPr/>
          <w:p>
            <w:pPr>
              <w:pStyle w:val="Compact"/>
              <w:jc w:val="left"/>
            </w:pPr>
            <w:r>
              <w:t xml:space="preserve">höhere Humanin-Spiegel und MMSE-Werte unter Überdrucktherapie</w:t>
            </w:r>
          </w:p>
        </w:tc>
      </w:tr>
    </w:tbl>
    <w:p>
      <w:pPr>
        <w:pStyle w:val="BodyText"/>
      </w:pPr>
      <w:r>
        <w:t xml:space="preserve">Die Beobachtungen ergeben ein in sich stimmiges Bild: Humanin-Spiegel sinken mit dem Alter, sind bei Kindern sehr alter Menschen höher, bei manchen Erkrankungen niedriger und steigen durch Bewegung. Interessant ist der Zusammenhang mit dem Wachstumshormon-System: Wachstumshormon und IGF-1 senkten die Humanin-Spiegel bei Mäusen und Menschen, und langlebige Mäuse mit Wachstumshormonmangel hatten erhöhte Spiegel</w:t>
      </w:r>
      <w:r>
        <w:rPr>
          <w:rStyle w:val="FootnoteReference"/>
        </w:rPr>
        <w:footnoteReference w:id="1848"/>
      </w:r>
      <w:r>
        <w:t xml:space="preserve">. Das ist bemerkenswert, weil im selben Graumarkt häufig Wachstumshormon-Freisetzer angeboten werden (siehe Teil II · C).</w:t>
      </w:r>
    </w:p>
    <w:p>
      <w:pPr>
        <w:pStyle w:val="BodyText"/>
      </w:pPr>
      <w:r>
        <w:t xml:space="preserve">Doch auch hier gilt: Ein Spiegel, der mit Gesundheit einhergeht, ist kein Beleg dafür, dass eine Zufuhr gesünder macht. Ebenso gut kann Humanin ein Begleitzeichen gesunder Mitochondrien sein, ohne selbst die Ursache zu sein.</w:t>
      </w:r>
    </w:p>
    <w:bookmarkEnd w:id="1849"/>
    <w:bookmarkStart w:id="1850" w:name="gabe-als-wirkstoff"/>
    <w:p>
      <w:pPr>
        <w:pStyle w:val="Heading4"/>
      </w:pPr>
      <w:r>
        <w:t xml:space="preserve">Gabe als Wirkstoff</w:t>
      </w:r>
    </w:p>
    <w:p>
      <w:pPr>
        <w:pStyle w:val="FirstParagraph"/>
      </w:pPr>
      <w:r>
        <w:t xml:space="preserve">Es gibt keine veröffentlichte Studie und keinen Registereintrag, in dem Menschen Humanin oder HNG erhielten (Abfrage Oktober 2026). Auch Fallberichte über Nebenwirkungen nach Selbstanwendung fanden sich nicht.</w:t>
      </w:r>
    </w:p>
    <w:bookmarkEnd w:id="1850"/>
    <w:bookmarkEnd w:id="1851"/>
    <w:bookmarkStart w:id="1857" w:name="tier--und-laborstudien-42"/>
    <w:p>
      <w:pPr>
        <w:pStyle w:val="Heading3"/>
      </w:pPr>
      <w:r>
        <w:t xml:space="preserve">Tier- und Laborstudien</w:t>
      </w:r>
    </w:p>
    <w:p>
      <w:pPr>
        <w:pStyle w:val="FirstParagraph"/>
      </w:pPr>
      <w:r>
        <w:t xml:space="preserve">Die präklinische Literatur ist umfangreich:</w:t>
      </w:r>
    </w:p>
    <w:p>
      <w:pPr>
        <w:numPr>
          <w:ilvl w:val="0"/>
          <w:numId w:val="1234"/>
        </w:numPr>
        <w:pStyle w:val="Compact"/>
      </w:pPr>
      <w:r>
        <w:rPr>
          <w:bCs/>
          <w:b/>
        </w:rPr>
        <w:t xml:space="preserve">Lebensdauer:</w:t>
      </w:r>
      <w:r>
        <w:t xml:space="preserve"> </w:t>
      </w:r>
      <w:r>
        <w:t xml:space="preserve">Bei Fadenwürmern verlängerte eine vermehrte Humanin-Bildung die Lebensdauer; bei Mäusen im mittleren Alter verbesserte HNG Stoffwechselwerte und senkte Entzündungsmarker</w:t>
      </w:r>
      <w:r>
        <w:rPr>
          <w:rStyle w:val="FootnoteReference"/>
        </w:rPr>
        <w:footnoteReference w:id="1852"/>
      </w:r>
      <w:r>
        <w:t xml:space="preserve">.</w:t>
      </w:r>
    </w:p>
    <w:p>
      <w:pPr>
        <w:numPr>
          <w:ilvl w:val="0"/>
          <w:numId w:val="1234"/>
        </w:numPr>
        <w:pStyle w:val="Compact"/>
      </w:pPr>
      <w:r>
        <w:rPr>
          <w:bCs/>
          <w:b/>
        </w:rPr>
        <w:t xml:space="preserve">Herz:</w:t>
      </w:r>
      <w:r>
        <w:t xml:space="preserve"> </w:t>
      </w:r>
      <w:r>
        <w:t xml:space="preserve">Bei Mäusen verringerte HNG nach einem künstlich ausgelösten Herzinfarkt die Infarktgröße</w:t>
      </w:r>
      <w:r>
        <w:rPr>
          <w:rStyle w:val="FootnoteReference"/>
        </w:rPr>
        <w:footnoteReference w:id="1853"/>
      </w:r>
      <w:r>
        <w:t xml:space="preserve">; eine 14-monatige Behandlung alter Mäuse verringerte die altersbedingte Vernarbung des Herzmuskels</w:t>
      </w:r>
      <w:r>
        <w:rPr>
          <w:rStyle w:val="FootnoteReference"/>
        </w:rPr>
        <w:footnoteReference w:id="1854"/>
      </w:r>
      <w:r>
        <w:t xml:space="preserve">.</w:t>
      </w:r>
    </w:p>
    <w:p>
      <w:pPr>
        <w:numPr>
          <w:ilvl w:val="0"/>
          <w:numId w:val="1234"/>
        </w:numPr>
        <w:pStyle w:val="Compact"/>
      </w:pPr>
      <w:r>
        <w:rPr>
          <w:bCs/>
          <w:b/>
        </w:rPr>
        <w:t xml:space="preserve">Alzheimer-Modelle:</w:t>
      </w:r>
      <w:r>
        <w:t xml:space="preserve"> </w:t>
      </w:r>
      <w:r>
        <w:t xml:space="preserve">Die seltene Variante P3S verringerte bei Mäusen mit APOE4 die Amyloid-Ablagerungen stärker als normales Humanin</w:t>
      </w:r>
      <w:r>
        <w:rPr>
          <w:rStyle w:val="FootnoteReference"/>
        </w:rPr>
        <w:footnoteReference w:id="1855"/>
      </w:r>
      <w:r>
        <w:t xml:space="preserve">.</w:t>
      </w:r>
    </w:p>
    <w:p>
      <w:pPr>
        <w:numPr>
          <w:ilvl w:val="0"/>
          <w:numId w:val="1234"/>
        </w:numPr>
        <w:pStyle w:val="Compact"/>
      </w:pPr>
      <w:r>
        <w:rPr>
          <w:bCs/>
          <w:b/>
        </w:rPr>
        <w:t xml:space="preserve">Netzhaut:</w:t>
      </w:r>
      <w:r>
        <w:t xml:space="preserve"> </w:t>
      </w:r>
      <w:r>
        <w:t xml:space="preserve">In Zellmodellen mit Mitochondrien von Menschen mit altersbedingter Makuladegeneration schützte HNG vor Zellschäden</w:t>
      </w:r>
      <w:r>
        <w:rPr>
          <w:rStyle w:val="FootnoteReference"/>
        </w:rPr>
        <w:footnoteReference w:id="1856"/>
      </w:r>
      <w:r>
        <w:t xml:space="preserve">.</w:t>
      </w:r>
    </w:p>
    <w:bookmarkEnd w:id="1857"/>
    <w:bookmarkStart w:id="1860" w:name="risiken-und-nebenwirkungen-42"/>
    <w:p>
      <w:pPr>
        <w:pStyle w:val="Heading3"/>
      </w:pPr>
      <w:r>
        <w:t xml:space="preserve">Risiken und Nebenwirkungen</w:t>
      </w:r>
    </w:p>
    <w:p>
      <w:pPr>
        <w:pStyle w:val="FirstParagraph"/>
      </w:pPr>
      <w:r>
        <w:rPr>
          <w:bCs/>
          <w:b/>
        </w:rPr>
        <w:t xml:space="preserve">Belegt:</w:t>
      </w:r>
      <w:r>
        <w:t xml:space="preserve"> </w:t>
      </w:r>
      <w:r>
        <w:t xml:space="preserve">Es gibt keine Sicherheitsdaten zur Gabe am Menschen.</w:t>
      </w:r>
    </w:p>
    <w:p>
      <w:pPr>
        <w:pStyle w:val="BodyText"/>
      </w:pPr>
      <w:r>
        <w:rPr>
          <w:bCs/>
          <w:b/>
        </w:rPr>
        <w:t xml:space="preserve">Theoretisch – mit konkreten Warnzeichen aus dem Labor:</w:t>
      </w:r>
    </w:p>
    <w:p>
      <w:pPr>
        <w:numPr>
          <w:ilvl w:val="0"/>
          <w:numId w:val="1235"/>
        </w:numPr>
        <w:pStyle w:val="Compact"/>
      </w:pPr>
      <w:r>
        <w:rPr>
          <w:bCs/>
          <w:b/>
        </w:rPr>
        <w:t xml:space="preserve">Krebs:</w:t>
      </w:r>
      <w:r>
        <w:t xml:space="preserve"> </w:t>
      </w:r>
      <w:r>
        <w:t xml:space="preserve">Humanin schützt Zellen vor dem programmierten Zelltod – und das gilt auch für Krebszellen. Bei Mäusen mit dreifach-negativem Brustkrebs verringerte zugeführtes Humanin den Zelltod im Tumor, schwächte die Wirkung der Chemotherapie ab und beschleunigte Tumorwachstum und Lungenmetastasen. In Biopsien dieses Brustkrebstyps war Humanin vermehrt nachweisbar. Die Autoren raten ausdrücklich zur Vorsicht beim Einsatz von Humanin gegen degenerative Erkrankungen</w:t>
      </w:r>
      <w:r>
        <w:rPr>
          <w:rStyle w:val="FootnoteReference"/>
        </w:rPr>
        <w:footnoteReference w:id="1858"/>
      </w:r>
      <w:r>
        <w:t xml:space="preserve">.</w:t>
      </w:r>
    </w:p>
    <w:p>
      <w:pPr>
        <w:numPr>
          <w:ilvl w:val="0"/>
          <w:numId w:val="1235"/>
        </w:numPr>
        <w:pStyle w:val="Compact"/>
      </w:pPr>
      <w:r>
        <w:rPr>
          <w:bCs/>
          <w:b/>
        </w:rPr>
        <w:t xml:space="preserve">Entzündung bei gealterten Zellen:</w:t>
      </w:r>
      <w:r>
        <w:t xml:space="preserve"> </w:t>
      </w:r>
      <w:r>
        <w:t xml:space="preserve">In Zellversuchen verstärkten Humanin und MOTS-c die Ausschüttung entzündlicher Botenstoffe durch gealterte („seneszente“) Zellen</w:t>
      </w:r>
      <w:r>
        <w:rPr>
          <w:rStyle w:val="FootnoteReference"/>
        </w:rPr>
        <w:footnoteReference w:id="1859"/>
      </w:r>
      <w:r>
        <w:t xml:space="preserve">.</w:t>
      </w:r>
    </w:p>
    <w:p>
      <w:pPr>
        <w:numPr>
          <w:ilvl w:val="0"/>
          <w:numId w:val="1235"/>
        </w:numPr>
        <w:pStyle w:val="Compact"/>
      </w:pPr>
      <w:r>
        <w:rPr>
          <w:bCs/>
          <w:b/>
        </w:rPr>
        <w:t xml:space="preserve">Immunreaktionen:</w:t>
      </w:r>
      <w:r>
        <w:t xml:space="preserve"> </w:t>
      </w:r>
      <w:r>
        <w:t xml:space="preserve">Bei wiederholter Injektion eines Peptids können Antikörper entstehen; nicht untersucht.</w:t>
      </w:r>
    </w:p>
    <w:p>
      <w:pPr>
        <w:pStyle w:val="FirstParagraph"/>
      </w:pPr>
      <w:r>
        <w:rPr>
          <w:bCs/>
          <w:b/>
        </w:rPr>
        <w:t xml:space="preserve">Graumarkt:</w:t>
      </w:r>
      <w:r>
        <w:t xml:space="preserve"> </w:t>
      </w:r>
      <w:r>
        <w:t xml:space="preserve">Humanin und HNG werden als „Longevity-Peptide“ zur Injektion angeboten. Gehalt, Reinheit und Keimfreiheit sind ungeprüft.</w:t>
      </w:r>
    </w:p>
    <w:bookmarkEnd w:id="1860"/>
    <w:bookmarkStart w:id="1861" w:name="rechtslage-42"/>
    <w:p>
      <w:pPr>
        <w:pStyle w:val="Heading3"/>
      </w:pPr>
      <w:r>
        <w:t xml:space="preserve">Rechtslage</w:t>
      </w:r>
    </w:p>
    <w:p>
      <w:pPr>
        <w:numPr>
          <w:ilvl w:val="0"/>
          <w:numId w:val="1236"/>
        </w:numPr>
        <w:pStyle w:val="Compact"/>
      </w:pPr>
      <w:r>
        <w:rPr>
          <w:bCs/>
          <w:b/>
        </w:rPr>
        <w:t xml:space="preserve">EU / Österreich / Deutschland:</w:t>
      </w:r>
      <w:r>
        <w:t xml:space="preserve"> </w:t>
      </w:r>
      <w:r>
        <w:t xml:space="preserve">nicht zugelassen; als Stoff mit pharmakologischer Wirkung gilt Humanin als Arzneimittel, ein Verkauf zur Anwendung am Menschen ist nicht erlaubt.</w:t>
      </w:r>
    </w:p>
    <w:p>
      <w:pPr>
        <w:numPr>
          <w:ilvl w:val="0"/>
          <w:numId w:val="1236"/>
        </w:numPr>
        <w:pStyle w:val="Compact"/>
      </w:pPr>
      <w:r>
        <w:rPr>
          <w:bCs/>
          <w:b/>
        </w:rPr>
        <w:t xml:space="preserve">USA:</w:t>
      </w:r>
      <w:r>
        <w:t xml:space="preserve"> </w:t>
      </w:r>
      <w:r>
        <w:t xml:space="preserve">nicht zugelassen.</w:t>
      </w:r>
    </w:p>
    <w:p>
      <w:pPr>
        <w:numPr>
          <w:ilvl w:val="0"/>
          <w:numId w:val="1236"/>
        </w:numPr>
        <w:pStyle w:val="Compact"/>
      </w:pPr>
      <w:r>
        <w:rPr>
          <w:bCs/>
          <w:b/>
        </w:rPr>
        <w:t xml:space="preserve">Sport:</w:t>
      </w:r>
      <w:r>
        <w:t xml:space="preserve"> </w:t>
      </w:r>
      <w:r>
        <w:t xml:space="preserve">nach unserer Einschätzung WADA-Kategorie S0 (Stand 2026, bitte aktuell prüfen).</w:t>
      </w:r>
    </w:p>
    <w:bookmarkEnd w:id="1861"/>
    <w:bookmarkStart w:id="1863" w:name="laufende-studien-und-ausblick-42"/>
    <w:p>
      <w:pPr>
        <w:pStyle w:val="Heading3"/>
      </w:pPr>
      <w:r>
        <w:t xml:space="preserve">Laufende Studien und Ausblick</w:t>
      </w:r>
    </w:p>
    <w:p>
      <w:pPr>
        <w:pStyle w:val="FirstParagraph"/>
      </w:pPr>
      <w:r>
        <w:rPr>
          <w:bCs/>
          <w:b/>
        </w:rPr>
        <w:t xml:space="preserve">Gesichert:</w:t>
      </w:r>
      <w:r>
        <w:t xml:space="preserve"> </w:t>
      </w:r>
      <w:r>
        <w:t xml:space="preserve">Registriert sind nur Beobachtungsstudien zu Humanin-Spiegeln, etwa nach Herzoperationen (NCT03431844, 106 Teilnehmende, abgeschlossen) und bei Nierentransplantation</w:t>
      </w:r>
      <w:r>
        <w:rPr>
          <w:rStyle w:val="FootnoteReference"/>
        </w:rPr>
        <w:footnoteReference w:id="1862"/>
      </w:r>
      <w:r>
        <w:t xml:space="preserve">. Eine Studie zur Gabe von Humanin gibt es nicht.</w:t>
      </w:r>
    </w:p>
    <w:p>
      <w:pPr>
        <w:pStyle w:val="BodyText"/>
      </w:pPr>
      <w:r>
        <w:rPr>
          <w:bCs/>
          <w:b/>
        </w:rPr>
        <w:t xml:space="preserve">Einschätzung:</w:t>
      </w:r>
      <w:r>
        <w:t xml:space="preserve"> </w:t>
      </w:r>
      <w:r>
        <w:t xml:space="preserve">Humanin ist ein wissenschaftlich spannendes Signalpeptid und ein möglicher Biomarker des Alterns. Ob es je als Medikament geprüft wird, ist offen; die Krebsbefunde aus dem Tiermodell müssten vor jeder Anwendung am Menschen sorgfältig geklärt werden.</w:t>
      </w:r>
    </w:p>
    <w:bookmarkEnd w:id="1863"/>
    <w:bookmarkStart w:id="1864" w:name="fazit-42"/>
    <w:p>
      <w:pPr>
        <w:pStyle w:val="Heading3"/>
      </w:pPr>
      <w:r>
        <w:t xml:space="preserve">Fazit</w:t>
      </w:r>
    </w:p>
    <w:p>
      <w:pPr>
        <w:pStyle w:val="FirstParagraph"/>
      </w:pPr>
      <w:r>
        <w:t xml:space="preserve">Humanin ist ein körpereigenes, mitochondriales Peptid, das 2001 als Schutzfaktor für Nervenzellen entdeckt wurde. Seine Spiegel sinken mit dem Alter, sind bei Kindern von 100-Jährigen höher und steigen durch Bewegung; in Tierversuchen schützte die Variante HNG Herz, Gehirn und Stoffwechsel. Am Menschen wurde Humanin nie als Wirkstoff gegeben, und bei Mäusen förderte es das Wachstum von Brustkrebs. Die Daten reichen nicht aus, um Nutzen oder Sicherheit einer Zufuhr zu beurteilen.</w:t>
      </w:r>
    </w:p>
    <w:bookmarkEnd w:id="1864"/>
    <w:bookmarkEnd w:id="1865"/>
    <w:bookmarkStart w:id="1905" w:name="ss-31-elamipretid"/>
    <w:p>
      <w:pPr>
        <w:pStyle w:val="Heading2"/>
      </w:pPr>
      <w:r>
        <w:t xml:space="preserve">SS-31 (Elamipretid)</w:t>
      </w:r>
    </w:p>
    <w:bookmarkStart w:id="1866" w:name="steckbrief-43"/>
    <w:p>
      <w:pPr>
        <w:pStyle w:val="Heading3"/>
      </w:pPr>
      <w:r>
        <w:t xml:space="preserve">Steckbrief</w:t>
      </w:r>
    </w:p>
    <w:p>
      <w:pPr>
        <w:numPr>
          <w:ilvl w:val="0"/>
          <w:numId w:val="1237"/>
        </w:numPr>
        <w:pStyle w:val="Compact"/>
      </w:pPr>
      <w:r>
        <w:rPr>
          <w:bCs/>
          <w:b/>
        </w:rPr>
        <w:t xml:space="preserve">Art und Struktur:</w:t>
      </w:r>
      <w:r>
        <w:t xml:space="preserve"> </w:t>
      </w:r>
      <w:r>
        <w:t xml:space="preserve">synthetisches Tetrapeptid aus vier Bausteinen (D-Arginin, Dimethyltyrosin, Lysin, Phenylalanin), das durch eine ungewöhnliche Abfolge positiv geladener und ringförmiger Aminosäuren Zellmembranen durchdringt. Forschungsbezeichnungen SS-31, MTP-131 und Bendavia; Wirkstoffname Elamipretid; Handelsname Forzinity.</w:t>
      </w:r>
    </w:p>
    <w:p>
      <w:pPr>
        <w:numPr>
          <w:ilvl w:val="0"/>
          <w:numId w:val="1237"/>
        </w:numPr>
        <w:pStyle w:val="Compact"/>
      </w:pPr>
      <w:r>
        <w:rPr>
          <w:bCs/>
          <w:b/>
        </w:rPr>
        <w:t xml:space="preserve">Herkunft:</w:t>
      </w:r>
      <w:r>
        <w:t xml:space="preserve"> </w:t>
      </w:r>
      <w:r>
        <w:t xml:space="preserve">entwickelt von Hazel Szeto und Peter Schiller (daher „SS“-Peptide), klinisch weiterentwickelt vom US-Unternehmen Stealth BioTherapeutics.</w:t>
      </w:r>
    </w:p>
    <w:p>
      <w:pPr>
        <w:numPr>
          <w:ilvl w:val="0"/>
          <w:numId w:val="1237"/>
        </w:numPr>
        <w:pStyle w:val="Compact"/>
      </w:pPr>
      <w:r>
        <w:rPr>
          <w:bCs/>
          <w:b/>
        </w:rPr>
        <w:t xml:space="preserve">Wirkprinzip:</w:t>
      </w:r>
      <w:r>
        <w:t xml:space="preserve"> </w:t>
      </w:r>
      <w:r>
        <w:t xml:space="preserve">reichert sich an der inneren Membran der Mitochondrien an und bindet dort an Cardiolipin, ein Fett, das für die Energiegewinnung unverzichtbar ist. Es soll die Atmungskette stabilisieren und schädliche Oxidation begrenzen.</w:t>
      </w:r>
    </w:p>
    <w:p>
      <w:pPr>
        <w:numPr>
          <w:ilvl w:val="0"/>
          <w:numId w:val="1237"/>
        </w:numPr>
        <w:pStyle w:val="Compact"/>
      </w:pPr>
      <w:r>
        <w:rPr>
          <w:bCs/>
          <w:b/>
        </w:rPr>
        <w:t xml:space="preserve">Zulassung EU:</w:t>
      </w:r>
      <w:r>
        <w:t xml:space="preserve"> </w:t>
      </w:r>
      <w:r>
        <w:t xml:space="preserve">nein.</w:t>
      </w:r>
    </w:p>
    <w:p>
      <w:pPr>
        <w:numPr>
          <w:ilvl w:val="0"/>
          <w:numId w:val="1237"/>
        </w:numPr>
        <w:pStyle w:val="Compact"/>
      </w:pPr>
      <w:r>
        <w:rPr>
          <w:bCs/>
          <w:b/>
        </w:rPr>
        <w:t xml:space="preserve">Zulassung USA:</w:t>
      </w:r>
      <w:r>
        <w:t xml:space="preserve"> </w:t>
      </w:r>
      <w:r>
        <w:t xml:space="preserve">ja – im September 2025</w:t>
      </w:r>
      <w:r>
        <w:t xml:space="preserve"> </w:t>
      </w:r>
      <w:r>
        <w:rPr>
          <w:bCs/>
          <w:b/>
        </w:rPr>
        <w:t xml:space="preserve">beschleunigte Zulassung</w:t>
      </w:r>
      <w:r>
        <w:t xml:space="preserve"> </w:t>
      </w:r>
      <w:r>
        <w:t xml:space="preserve">(accelerated approval) als Forzinity zur Verbesserung der Muskelkraft bei Barth-Syndrom für Erwachsene und Kinder ab 30 kg Körpergewicht. Die Zulassung ist an eine Bestätigungsstudie gebunden.</w:t>
      </w:r>
    </w:p>
    <w:p>
      <w:pPr>
        <w:numPr>
          <w:ilvl w:val="0"/>
          <w:numId w:val="1237"/>
        </w:numPr>
        <w:pStyle w:val="Compact"/>
      </w:pPr>
      <w:r>
        <w:rPr>
          <w:bCs/>
          <w:b/>
        </w:rPr>
        <w:t xml:space="preserve">WADA:</w:t>
      </w:r>
      <w:r>
        <w:t xml:space="preserve"> </w:t>
      </w:r>
      <w:r>
        <w:t xml:space="preserve">nicht namentlich gelistet.</w:t>
      </w:r>
    </w:p>
    <w:p>
      <w:pPr>
        <w:numPr>
          <w:ilvl w:val="0"/>
          <w:numId w:val="1237"/>
        </w:numPr>
        <w:pStyle w:val="Compact"/>
      </w:pPr>
      <w:r>
        <w:rPr>
          <w:bCs/>
          <w:b/>
        </w:rPr>
        <w:t xml:space="preserve">Evidenzstufe:</w:t>
      </w:r>
      <w:r>
        <w:t xml:space="preserve"> </w:t>
      </w:r>
      <w:r>
        <w:rPr>
          <w:bCs/>
          <w:b/>
        </w:rPr>
        <w:t xml:space="preserve">B</w:t>
      </w:r>
      <w:r>
        <w:t xml:space="preserve"> </w:t>
      </w:r>
      <w:r>
        <w:t xml:space="preserve">– zahlreiche randomisierte Studien, darunter eine Phase-3-Studie mit 218 Teilnehmenden; die meisten großen Studien verfehlten jedoch ihren Hauptendpunkt, und die Zulassung beruht auf einer sehr kleinen Studie bei einer äußerst seltenen Erkrankung.</w:t>
      </w:r>
    </w:p>
    <w:bookmarkEnd w:id="1866"/>
    <w:bookmarkStart w:id="1868" w:name="wie-es-wirken-soll-43"/>
    <w:p>
      <w:pPr>
        <w:pStyle w:val="Heading3"/>
      </w:pPr>
      <w:r>
        <w:t xml:space="preserve">Wie es wirken soll</w:t>
      </w:r>
    </w:p>
    <w:p>
      <w:pPr>
        <w:pStyle w:val="FirstParagraph"/>
      </w:pPr>
      <w:r>
        <w:t xml:space="preserve">Mitochondrien gewinnen Energie über eine Kette von Eiweißkomplexen in ihrer inneren Membran. Damit diese Komplexe richtig zusammenarbeiten, braucht es Cardiolipin – ein besonderes Fett, das nur in dieser Membran vorkommt. Wird Cardiolipin geschädigt oder fehlt es, arbeitet die Atmungskette schlechter, und das Eiweiß Cytochrom c kann von einem Elektronenträger zu einem schädlichen Enzym (einer Peroxidase) werden.</w:t>
      </w:r>
    </w:p>
    <w:p>
      <w:pPr>
        <w:pStyle w:val="BodyText"/>
      </w:pPr>
      <w:r>
        <w:t xml:space="preserve">SS-31 bindet laut seiner Entwicklerin über elektrische und wasserabweisende Kräfte selektiv an Cardiolipin, verhindert diese Umwandlung von Cytochrom c und schützt so die Struktur der Mitochondrien</w:t>
      </w:r>
      <w:r>
        <w:rPr>
          <w:rStyle w:val="FootnoteReference"/>
        </w:rPr>
        <w:footnoteReference w:id="1867"/>
      </w:r>
      <w:r>
        <w:t xml:space="preserve">. Das Prinzip ist in vielen Tiermodellen von Herz-, Nieren-, Muskel- und Augenerkrankungen untersucht worden.</w:t>
      </w:r>
    </w:p>
    <w:p>
      <w:pPr>
        <w:pStyle w:val="BodyText"/>
      </w:pPr>
      <w:r>
        <w:t xml:space="preserve">Am klarsten ist der Bezug beim</w:t>
      </w:r>
      <w:r>
        <w:t xml:space="preserve"> </w:t>
      </w:r>
      <w:r>
        <w:rPr>
          <w:bCs/>
          <w:b/>
        </w:rPr>
        <w:t xml:space="preserve">Barth-Syndrom</w:t>
      </w:r>
      <w:r>
        <w:t xml:space="preserve">: Bei dieser sehr seltenen, X-chromosomal vererbten Erkrankung, die fast nur Jungen und Männer betrifft, ist das Gen</w:t>
      </w:r>
      <w:r>
        <w:t xml:space="preserve"> </w:t>
      </w:r>
      <w:r>
        <w:rPr>
          <w:iCs/>
          <w:i/>
        </w:rPr>
        <w:t xml:space="preserve">TAZ</w:t>
      </w:r>
      <w:r>
        <w:t xml:space="preserve"> </w:t>
      </w:r>
      <w:r>
        <w:t xml:space="preserve">defekt, das für den Umbau von Cardiolipin nötig ist. Betroffene haben Herzmuskelschwäche, Muskelschwäche, starke Erschöpfbarkeit und eine verminderte Zahl bestimmter weißer Blutkörperchen. Ein Wirkstoff, der gezielt an Cardiolipin ansetzt, ist hier biologisch besonders naheliegend.</w:t>
      </w:r>
    </w:p>
    <w:bookmarkEnd w:id="1868"/>
    <w:bookmarkStart w:id="1887" w:name="studien-am-menschen-4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19 als Humanstudien klassifizierte Veröffentlichungen; vier davon betreffen bei näherer Prüfung andere Wirkstoffe (das Kürzel „SS-31“ taucht auch anderswo auf). Auf ClinicalTrials.gov waren 21 Studien registriert, fast alle vom Hersteller, zu Barth-Syndrom, mitochondrialen Myopathien, Herzinsuffizienz, Herzinfarkt, Nierenarterienstenose, trockener Makuladegeneration und Augenerkrankungen. Elamipretid ist damit das am besten untersuchte Peptid dieses Teils.</w:t>
      </w:r>
    </w:p>
    <w:bookmarkStart w:id="1876" w:name="barth-syndrom-tazpower-und-die-zulassung"/>
    <w:p>
      <w:pPr>
        <w:pStyle w:val="Heading4"/>
      </w:pPr>
      <w:r>
        <w:t xml:space="preserve">Barth-Syndrom: TAZPOWER und die Zulassung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TAZPOWER Teil 1 (Reid Thompson 2021), PMID 33077895</w:t>
            </w:r>
          </w:p>
        </w:tc>
        <w:tc>
          <w:tcPr/>
          <w:p>
            <w:pPr>
              <w:pStyle w:val="Compact"/>
              <w:jc w:val="left"/>
            </w:pPr>
            <w:r>
              <w:t xml:space="preserve">12 Personen, doppelblind, Überkreuz gegen Placebo</w:t>
            </w:r>
          </w:p>
        </w:tc>
        <w:tc>
          <w:tcPr/>
          <w:p>
            <w:pPr>
              <w:pStyle w:val="Compact"/>
              <w:jc w:val="left"/>
            </w:pPr>
            <w:r>
              <w:t xml:space="preserve">je 12 Wochen</w:t>
            </w:r>
          </w:p>
        </w:tc>
        <w:tc>
          <w:tcPr/>
          <w:p>
            <w:pPr>
              <w:pStyle w:val="Compact"/>
              <w:jc w:val="left"/>
            </w:pPr>
            <w:r>
              <w:t xml:space="preserve">beide Hauptendpunkte (6-Minuten-Gehtest, Symptomskala) verfehlt</w:t>
            </w:r>
          </w:p>
        </w:tc>
      </w:tr>
      <w:tr>
        <w:tc>
          <w:tcPr/>
          <w:p>
            <w:pPr>
              <w:pStyle w:val="Compact"/>
              <w:jc w:val="left"/>
            </w:pPr>
            <w:r>
              <w:t xml:space="preserve">TAZPOWER offene Verlängerung, PMID 33077895</w:t>
            </w:r>
          </w:p>
        </w:tc>
        <w:tc>
          <w:tcPr/>
          <w:p>
            <w:pPr>
              <w:pStyle w:val="Compact"/>
              <w:jc w:val="left"/>
            </w:pPr>
            <w:r>
              <w:t xml:space="preserve">10 Personen, alle mit Elamipretid</w:t>
            </w:r>
          </w:p>
        </w:tc>
        <w:tc>
          <w:tcPr/>
          <w:p>
            <w:pPr>
              <w:pStyle w:val="Compact"/>
              <w:jc w:val="left"/>
            </w:pPr>
            <w:r>
              <w:t xml:space="preserve">36 Wochen</w:t>
            </w:r>
          </w:p>
        </w:tc>
        <w:tc>
          <w:tcPr/>
          <w:p>
            <w:pPr>
              <w:pStyle w:val="Compact"/>
              <w:jc w:val="left"/>
            </w:pPr>
            <w:r>
              <w:t xml:space="preserve">Gehstrecke +95,9 m, Symptomskala −2,1 Punkte</w:t>
            </w:r>
          </w:p>
        </w:tc>
      </w:tr>
      <w:tr>
        <w:tc>
          <w:tcPr/>
          <w:p>
            <w:pPr>
              <w:pStyle w:val="Compact"/>
              <w:jc w:val="left"/>
            </w:pPr>
            <w:r>
              <w:t xml:space="preserve">Verlängerung bis 168 Wochen (Thompson 2024), PMID 38602181</w:t>
            </w:r>
          </w:p>
        </w:tc>
        <w:tc>
          <w:tcPr/>
          <w:p>
            <w:pPr>
              <w:pStyle w:val="Compact"/>
              <w:jc w:val="left"/>
            </w:pPr>
            <w:r>
              <w:t xml:space="preserve">10 eingeschlossen, 8 bis Woche 168</w:t>
            </w:r>
          </w:p>
        </w:tc>
        <w:tc>
          <w:tcPr/>
          <w:p>
            <w:pPr>
              <w:pStyle w:val="Compact"/>
              <w:jc w:val="left"/>
            </w:pPr>
            <w:r>
              <w:t xml:space="preserve">168 Wochen</w:t>
            </w:r>
          </w:p>
        </w:tc>
        <w:tc>
          <w:tcPr/>
          <w:p>
            <w:pPr>
              <w:pStyle w:val="Compact"/>
              <w:jc w:val="left"/>
            </w:pPr>
            <w:r>
              <w:t xml:space="preserve">Gehstrecke kumuliert +96,1 m; Herzvolumina verbessert</w:t>
            </w:r>
          </w:p>
        </w:tc>
      </w:tr>
      <w:tr>
        <w:tc>
          <w:tcPr/>
          <w:p>
            <w:pPr>
              <w:pStyle w:val="Compact"/>
              <w:jc w:val="left"/>
            </w:pPr>
            <w:r>
              <w:t xml:space="preserve">Vergleich mit natürlichem Verlauf (Hornby 2022), PMID 36056411</w:t>
            </w:r>
          </w:p>
        </w:tc>
        <w:tc>
          <w:tcPr/>
          <w:p>
            <w:pPr>
              <w:pStyle w:val="Compact"/>
              <w:jc w:val="left"/>
            </w:pPr>
            <w:r>
              <w:t xml:space="preserve">8 behandelte vs. 19 unbehandelte Personen aus Krankheitsregister</w:t>
            </w:r>
          </w:p>
        </w:tc>
        <w:tc>
          <w:tcPr/>
          <w:p>
            <w:pPr>
              <w:pStyle w:val="Compact"/>
              <w:jc w:val="left"/>
            </w:pPr>
            <w:r>
              <w:t xml:space="preserve">64–76 Wochen</w:t>
            </w:r>
          </w:p>
        </w:tc>
        <w:tc>
          <w:tcPr/>
          <w:p>
            <w:pPr>
              <w:pStyle w:val="Compact"/>
              <w:jc w:val="left"/>
            </w:pPr>
            <w:r>
              <w:t xml:space="preserve">Unterschied im Gehtest 79,7 bzw. 91,0 m zugunsten Elamipretid</w:t>
            </w:r>
          </w:p>
        </w:tc>
      </w:tr>
    </w:tbl>
    <w:p>
      <w:pPr>
        <w:pStyle w:val="BodyText"/>
      </w:pPr>
      <w:r>
        <w:t xml:space="preserve">Die Geschichte der Zulassung zeigt exemplarisch, wie bei extrem seltenen Krankheiten entschieden wird:</w:t>
      </w:r>
    </w:p>
    <w:p>
      <w:pPr>
        <w:pStyle w:val="BodyText"/>
      </w:pPr>
      <w:r>
        <w:rPr>
          <w:bCs/>
          <w:b/>
        </w:rPr>
        <w:t xml:space="preserve">Der kontrollierte Teil scheiterte.</w:t>
      </w:r>
      <w:r>
        <w:t xml:space="preserve"> </w:t>
      </w:r>
      <w:r>
        <w:t xml:space="preserve">In TAZPOWER</w:t>
      </w:r>
      <w:r>
        <w:rPr>
          <w:rStyle w:val="FootnoteReference"/>
        </w:rPr>
        <w:footnoteReference w:id="1869"/>
      </w:r>
      <w:r>
        <w:t xml:space="preserve"> </w:t>
      </w:r>
      <w:r>
        <w:t xml:space="preserve">erhielten zwölf Personen mit Barth-Syndrom zwölf Wochen lang täglich Elamipretid unter die Haut oder Placebo und danach jeweils das andere. In diesem verblindeten Teil wurde weder beim 6-Minuten-Gehtest noch bei der Symptomskala ein signifikanter Unterschied erreicht</w:t>
      </w:r>
      <w:r>
        <w:rPr>
          <w:rStyle w:val="FootnoteReference"/>
        </w:rPr>
        <w:footnoteReference w:id="1870"/>
      </w:r>
      <w:r>
        <w:t xml:space="preserve">.</w:t>
      </w:r>
    </w:p>
    <w:p>
      <w:pPr>
        <w:pStyle w:val="BodyText"/>
      </w:pPr>
      <w:r>
        <w:rPr>
          <w:bCs/>
          <w:b/>
        </w:rPr>
        <w:t xml:space="preserve">Die offene Verlängerung war positiv.</w:t>
      </w:r>
      <w:r>
        <w:t xml:space="preserve"> </w:t>
      </w:r>
      <w:r>
        <w:t xml:space="preserve">Zehn Personen setzten die Behandlung offen fort. Nach 36 Wochen gingen sie im Mittel 95,9 m weiter als zu Beginn, auch Kniestreckkraft und einzelne Herzparameter verbesserten sich</w:t>
      </w:r>
      <w:r>
        <w:rPr>
          <w:rStyle w:val="FootnoteReference"/>
        </w:rPr>
        <w:footnoteReference w:id="1871"/>
      </w:r>
      <w:r>
        <w:t xml:space="preserve">. Die Verbesserung hielt bis Woche 168 an; acht Personen erreichten diesen Zeitpunkt</w:t>
      </w:r>
      <w:r>
        <w:rPr>
          <w:rStyle w:val="FootnoteReference"/>
        </w:rPr>
        <w:footnoteReference w:id="1872"/>
      </w:r>
      <w:r>
        <w:t xml:space="preserve">. Ohne Kontrollgruppe lässt sich aber nicht trennen, welcher Anteil auf das Medikament und welcher auf Gewöhnung an den Test, Motivation oder Zufall entfällt.</w:t>
      </w:r>
    </w:p>
    <w:p>
      <w:pPr>
        <w:pStyle w:val="BodyText"/>
      </w:pPr>
      <w:r>
        <w:rPr>
          <w:bCs/>
          <w:b/>
        </w:rPr>
        <w:t xml:space="preserve">Vergleich mit einer Registerkontrolle.</w:t>
      </w:r>
      <w:r>
        <w:t xml:space="preserve"> </w:t>
      </w:r>
      <w:r>
        <w:t xml:space="preserve">Um das zu klären, verglich eine weitere Studie acht behandelte Personen mit 19 unbehandelten aus einer Verlaufsbeobachtung. Der Vorteil im Gehtest betrug nach 64 Wochen 79,7 m</w:t>
      </w:r>
      <w:r>
        <w:rPr>
          <w:rStyle w:val="FootnoteReference"/>
        </w:rPr>
        <w:footnoteReference w:id="1873"/>
      </w:r>
      <w:r>
        <w:t xml:space="preserve">. Solche „historischen Kontrollen“ sind bei seltenen Krankheiten oft die einzige Möglichkeit, gelten aber als deutlich schwächer als eine Randomisierung.</w:t>
      </w:r>
    </w:p>
    <w:p>
      <w:pPr>
        <w:pStyle w:val="BodyText"/>
      </w:pPr>
      <w:r>
        <w:rPr>
          <w:bCs/>
          <w:b/>
        </w:rPr>
        <w:t xml:space="preserve">Die FDA-Entscheidung 2025.</w:t>
      </w:r>
      <w:r>
        <w:t xml:space="preserve"> </w:t>
      </w:r>
      <w:r>
        <w:t xml:space="preserve">Die US-Arzneimittelbehörde lehnte den Antrag im Mai 2025 zunächst ab (Complete Response Letter). Im September 2025 erteilte sie dann eine</w:t>
      </w:r>
      <w:r>
        <w:t xml:space="preserve"> </w:t>
      </w:r>
      <w:r>
        <w:rPr>
          <w:bCs/>
          <w:b/>
        </w:rPr>
        <w:t xml:space="preserve">beschleunigte Zulassung</w:t>
      </w:r>
      <w:r>
        <w:t xml:space="preserve"> </w:t>
      </w:r>
      <w:r>
        <w:t xml:space="preserve">für Elamipretid (Forzinity) zur Verbesserung der Muskelkraft bei Barth-Syndrom für Patientinnen und Patienten ab 30 kg – als erste krankheitsspezifische Behandlung dieser Erkrankung</w:t>
      </w:r>
      <w:r>
        <w:rPr>
          <w:rStyle w:val="FootnoteReference"/>
        </w:rPr>
        <w:footnoteReference w:id="1874"/>
      </w:r>
      <w:r>
        <w:t xml:space="preserve">. Grundlage war die Verbesserung der Kniestreckkraft, die die Behörde als Ersatzmesswert betrachtet, der einen klinischen Nutzen „hinreichend wahrscheinlich“ macht. Eine beschleunigte Zulassung verpflichtet den Hersteller zu einer Bestätigungsstudie; bleibt der Nutzen dort aus, kann die Zulassung zurückgezogen werden. Eine entsprechende Studie mit 48 geplanten Teilnehmenden rekrutiert seit Juli 2026</w:t>
      </w:r>
      <w:r>
        <w:rPr>
          <w:rStyle w:val="FootnoteReference"/>
        </w:rPr>
        <w:footnoteReference w:id="1875"/>
      </w:r>
      <w:r>
        <w:t xml:space="preserve">.</w:t>
      </w:r>
    </w:p>
    <w:bookmarkEnd w:id="1876"/>
    <w:bookmarkStart w:id="1881" w:name="Xa3c286c4a87616f1e7dba815be24c935a679f09"/>
    <w:p>
      <w:pPr>
        <w:pStyle w:val="Heading4"/>
      </w:pPr>
      <w:r>
        <w:t xml:space="preserve">Primäre mitochondriale Myopathie: MMPOWER-3</w:t>
      </w:r>
    </w:p>
    <w:p>
      <w:pPr>
        <w:pStyle w:val="FirstParagraph"/>
      </w:pPr>
      <w:r>
        <w:t xml:space="preserve">Mitochondriale Myopathien sind erbliche Erkrankungen, bei denen die Energiegewinnung in den Muskeln gestört ist; Betroffene leiden an Muskelschwäche und starker Erschöpfbarkeit.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MMPOWER (Karaa 2018), PMID 29500292</w:t>
            </w:r>
          </w:p>
        </w:tc>
        <w:tc>
          <w:tcPr/>
          <w:p>
            <w:pPr>
              <w:pStyle w:val="Compact"/>
              <w:jc w:val="left"/>
            </w:pPr>
            <w:r>
              <w:t xml:space="preserve">36 Personen, Infusion in steigender Dosis gegen Placebo</w:t>
            </w:r>
          </w:p>
        </w:tc>
        <w:tc>
          <w:tcPr/>
          <w:p>
            <w:pPr>
              <w:pStyle w:val="Compact"/>
              <w:jc w:val="left"/>
            </w:pPr>
            <w:r>
              <w:t xml:space="preserve">5 Tage</w:t>
            </w:r>
          </w:p>
        </w:tc>
        <w:tc>
          <w:tcPr/>
          <w:p>
            <w:pPr>
              <w:pStyle w:val="Compact"/>
              <w:jc w:val="left"/>
            </w:pPr>
            <w:r>
              <w:t xml:space="preserve">höchste Dosis +64,5 m im Gehtest vs. +20,4 m (p = 0,053)</w:t>
            </w:r>
          </w:p>
        </w:tc>
      </w:tr>
      <w:tr>
        <w:tc>
          <w:tcPr/>
          <w:p>
            <w:pPr>
              <w:pStyle w:val="Compact"/>
              <w:jc w:val="left"/>
            </w:pPr>
            <w:r>
              <w:t xml:space="preserve">MMPOWER-2 (Karaa 2020), PMID 32096613</w:t>
            </w:r>
          </w:p>
        </w:tc>
        <w:tc>
          <w:tcPr/>
          <w:p>
            <w:pPr>
              <w:pStyle w:val="Compact"/>
              <w:jc w:val="left"/>
            </w:pPr>
            <w:r>
              <w:t xml:space="preserve">30 Personen, Überkreuz gegen Placebo</w:t>
            </w:r>
          </w:p>
        </w:tc>
        <w:tc>
          <w:tcPr/>
          <w:p>
            <w:pPr>
              <w:pStyle w:val="Compact"/>
              <w:jc w:val="left"/>
            </w:pPr>
            <w:r>
              <w:t xml:space="preserve">je 4 Wochen</w:t>
            </w:r>
          </w:p>
        </w:tc>
        <w:tc>
          <w:tcPr/>
          <w:p>
            <w:pPr>
              <w:pStyle w:val="Compact"/>
              <w:jc w:val="left"/>
            </w:pPr>
            <w:r>
              <w:t xml:space="preserve">Gehtest +19,8 m (nicht signifikant); weniger Erschöpfung</w:t>
            </w:r>
          </w:p>
        </w:tc>
      </w:tr>
      <w:tr>
        <w:tc>
          <w:tcPr/>
          <w:p>
            <w:pPr>
              <w:pStyle w:val="Compact"/>
              <w:jc w:val="left"/>
            </w:pPr>
            <w:r>
              <w:t xml:space="preserve">MMPOWER-3 (Karaa 2023), PMID 37268435</w:t>
            </w:r>
          </w:p>
        </w:tc>
        <w:tc>
          <w:tcPr/>
          <w:p>
            <w:pPr>
              <w:pStyle w:val="Compact"/>
              <w:jc w:val="left"/>
            </w:pPr>
            <w:r>
              <w:t xml:space="preserve">218 Personen, Phase 3 gegen Placebo</w:t>
            </w:r>
          </w:p>
        </w:tc>
        <w:tc>
          <w:tcPr/>
          <w:p>
            <w:pPr>
              <w:pStyle w:val="Compact"/>
              <w:jc w:val="left"/>
            </w:pPr>
            <w:r>
              <w:t xml:space="preserve">24 Wochen</w:t>
            </w:r>
          </w:p>
        </w:tc>
        <w:tc>
          <w:tcPr/>
          <w:p>
            <w:pPr>
              <w:pStyle w:val="Compact"/>
              <w:jc w:val="left"/>
            </w:pPr>
            <w:r>
              <w:t xml:space="preserve">beide Hauptendpunkte verfehlt; Gehtest −3,2 m Unterschied</w:t>
            </w:r>
          </w:p>
        </w:tc>
      </w:tr>
    </w:tbl>
    <w:p>
      <w:pPr>
        <w:pStyle w:val="BodyText"/>
      </w:pPr>
      <w:r>
        <w:t xml:space="preserve">Nach ermutigenden kleinen Studien sollte</w:t>
      </w:r>
      <w:r>
        <w:t xml:space="preserve"> </w:t>
      </w:r>
      <w:r>
        <w:rPr>
          <w:bCs/>
          <w:b/>
        </w:rPr>
        <w:t xml:space="preserve">MMPOWER-3</w:t>
      </w:r>
      <w:r>
        <w:rPr>
          <w:rStyle w:val="FootnoteReference"/>
        </w:rPr>
        <w:footnoteReference w:id="1877"/>
      </w:r>
      <w:r>
        <w:t xml:space="preserve"> </w:t>
      </w:r>
      <w:r>
        <w:t xml:space="preserve">die Wirksamkeit belegen. 218 Erwachsene mit genetisch gesicherter mitochondrialer Myopathie erhielten 24 Wochen lang Elamipretid oder Placebo. Die Studie verfehlte beide Hauptendpunkte: Beim 6-Minuten-Gehtest lag der Unterschied bei −3,2 m (95-%-KI −18,7 bis 12,3), bei der Erschöpfungsskala gab es ebenfalls keinen Unterschied. Die Verträglichkeit war gut</w:t>
      </w:r>
      <w:r>
        <w:rPr>
          <w:rStyle w:val="FootnoteReference"/>
        </w:rPr>
        <w:footnoteReference w:id="1878"/>
      </w:r>
      <w:r>
        <w:t xml:space="preserve">. Die Autorinnen und Autoren stufen das als Evidenz der höchsten Klasse dafür ein, dass Elamipretid Gehstrecke und Erschöpfung in dieser Gruppe nicht verbessert.</w:t>
      </w:r>
    </w:p>
    <w:p>
      <w:pPr>
        <w:pStyle w:val="BodyText"/>
      </w:pPr>
      <w:r>
        <w:t xml:space="preserve">Eine nachträgliche Auswertung fand Hinweise auf einen Nutzen in einer Untergruppe: Personen mit Defekten in Genen des Zellkerns, die für die Vervielfältigung der Mitochondrien-DNA nötig sind (etwa</w:t>
      </w:r>
      <w:r>
        <w:t xml:space="preserve"> </w:t>
      </w:r>
      <w:r>
        <w:rPr>
          <w:iCs/>
          <w:i/>
        </w:rPr>
        <w:t xml:space="preserve">POLG</w:t>
      </w:r>
      <w:r>
        <w:t xml:space="preserve"> </w:t>
      </w:r>
      <w:r>
        <w:t xml:space="preserve">und</w:t>
      </w:r>
      <w:r>
        <w:t xml:space="preserve"> </w:t>
      </w:r>
      <w:r>
        <w:rPr>
          <w:iCs/>
          <w:i/>
        </w:rPr>
        <w:t xml:space="preserve">TWNK</w:t>
      </w:r>
      <w:r>
        <w:t xml:space="preserve">), gingen unter Elamipretid 25,2 m weiter gegenüber 2,0 m unter Placebo (p = 0,06)</w:t>
      </w:r>
      <w:r>
        <w:rPr>
          <w:rStyle w:val="FootnoteReference"/>
        </w:rPr>
        <w:footnoteReference w:id="1879"/>
      </w:r>
      <w:r>
        <w:t xml:space="preserve">. Nachträgliche Untergruppen-Analysen erzeugen Hypothesen, keine Belege. Auf dieser Grundlage wurde die Phase-3-Studie NuPOWER</w:t>
      </w:r>
      <w:r>
        <w:rPr>
          <w:rStyle w:val="FootnoteReference"/>
        </w:rPr>
        <w:footnoteReference w:id="1880"/>
      </w:r>
      <w:r>
        <w:t xml:space="preserve"> </w:t>
      </w:r>
      <w:r>
        <w:t xml:space="preserve">mit 102 Teilnehmenden durchgeführt; sie ist laut Register seit Dezember 2024 abgeschlossen, Ergebnisse waren bei unserer Recherche nicht veröffentlicht.</w:t>
      </w:r>
    </w:p>
    <w:bookmarkEnd w:id="1881"/>
    <w:bookmarkStart w:id="1886" w:name="herz-niere-auge-und-alter"/>
    <w:p>
      <w:pPr>
        <w:pStyle w:val="Heading4"/>
      </w:pPr>
      <w:r>
        <w:t xml:space="preserve">Herz, Niere, Auge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EMBRACE STEMI (Gibson 2016), PMID 26586786</w:t>
            </w:r>
          </w:p>
        </w:tc>
        <w:tc>
          <w:tcPr/>
          <w:p>
            <w:pPr>
              <w:pStyle w:val="Compact"/>
              <w:jc w:val="left"/>
            </w:pPr>
            <w:r>
              <w:t xml:space="preserve">Personen mit erstem Vorderwandinfarkt, Infusion bei Katheterbehandlung, doppelblind</w:t>
            </w:r>
          </w:p>
        </w:tc>
        <w:tc>
          <w:tcPr/>
          <w:p>
            <w:pPr>
              <w:pStyle w:val="Compact"/>
              <w:jc w:val="left"/>
            </w:pPr>
            <w:r>
              <w:t xml:space="preserve">72 Stunden</w:t>
            </w:r>
          </w:p>
        </w:tc>
        <w:tc>
          <w:tcPr/>
          <w:p>
            <w:pPr>
              <w:pStyle w:val="Compact"/>
              <w:jc w:val="left"/>
            </w:pPr>
            <w:r>
              <w:t xml:space="preserve">Infarktgröße nicht verringert</w:t>
            </w:r>
          </w:p>
        </w:tc>
      </w:tr>
      <w:tr>
        <w:tc>
          <w:tcPr/>
          <w:p>
            <w:pPr>
              <w:pStyle w:val="Compact"/>
              <w:jc w:val="left"/>
            </w:pPr>
            <w:r>
              <w:t xml:space="preserve">PROGRESS-HF (Butler 2020), PMID 32068002</w:t>
            </w:r>
          </w:p>
        </w:tc>
        <w:tc>
          <w:tcPr/>
          <w:p>
            <w:pPr>
              <w:pStyle w:val="Compact"/>
              <w:jc w:val="left"/>
            </w:pPr>
            <w:r>
              <w:t xml:space="preserve">71 Personen mit Herzschwäche (HFrEF), gegen Placebo</w:t>
            </w:r>
          </w:p>
        </w:tc>
        <w:tc>
          <w:tcPr/>
          <w:p>
            <w:pPr>
              <w:pStyle w:val="Compact"/>
              <w:jc w:val="left"/>
            </w:pPr>
            <w:r>
              <w:t xml:space="preserve">4 Wochen</w:t>
            </w:r>
          </w:p>
        </w:tc>
        <w:tc>
          <w:tcPr/>
          <w:p>
            <w:pPr>
              <w:pStyle w:val="Compact"/>
              <w:jc w:val="left"/>
            </w:pPr>
            <w:r>
              <w:t xml:space="preserve">keine Verbesserung der Herzvolumina</w:t>
            </w:r>
          </w:p>
        </w:tc>
      </w:tr>
      <w:tr>
        <w:tc>
          <w:tcPr/>
          <w:p>
            <w:pPr>
              <w:pStyle w:val="Compact"/>
              <w:jc w:val="left"/>
            </w:pPr>
            <w:r>
              <w:t xml:space="preserve">Daubert 2017, PMID 29217757</w:t>
            </w:r>
          </w:p>
        </w:tc>
        <w:tc>
          <w:tcPr/>
          <w:p>
            <w:pPr>
              <w:pStyle w:val="Compact"/>
              <w:jc w:val="left"/>
            </w:pPr>
            <w:r>
              <w:t xml:space="preserve">36 Personen mit Herzschwäche, einmalige Infusion</w:t>
            </w:r>
          </w:p>
        </w:tc>
        <w:tc>
          <w:tcPr/>
          <w:p>
            <w:pPr>
              <w:pStyle w:val="Compact"/>
              <w:jc w:val="left"/>
            </w:pPr>
            <w:r>
              <w:t xml:space="preserve">24 Stunden</w:t>
            </w:r>
          </w:p>
        </w:tc>
        <w:tc>
          <w:tcPr/>
          <w:p>
            <w:pPr>
              <w:pStyle w:val="Compact"/>
              <w:jc w:val="left"/>
            </w:pPr>
            <w:r>
              <w:t xml:space="preserve">kurzfristig kleinere Herzvolumina bei höchster Dosis</w:t>
            </w:r>
          </w:p>
        </w:tc>
      </w:tr>
      <w:tr>
        <w:tc>
          <w:tcPr/>
          <w:p>
            <w:pPr>
              <w:pStyle w:val="Compact"/>
              <w:jc w:val="left"/>
            </w:pPr>
            <w:r>
              <w:t xml:space="preserve">Saad 2017, PMID 28916603</w:t>
            </w:r>
          </w:p>
        </w:tc>
        <w:tc>
          <w:tcPr/>
          <w:p>
            <w:pPr>
              <w:pStyle w:val="Compact"/>
              <w:jc w:val="left"/>
            </w:pPr>
            <w:r>
              <w:t xml:space="preserve">14 Personen mit Nierenarterienverengung bei Stentbehandlung</w:t>
            </w:r>
          </w:p>
        </w:tc>
        <w:tc>
          <w:tcPr/>
          <w:p>
            <w:pPr>
              <w:pStyle w:val="Compact"/>
              <w:jc w:val="left"/>
            </w:pPr>
            <w:r>
              <w:t xml:space="preserve">3 Monate</w:t>
            </w:r>
          </w:p>
        </w:tc>
        <w:tc>
          <w:tcPr/>
          <w:p>
            <w:pPr>
              <w:pStyle w:val="Compact"/>
              <w:jc w:val="left"/>
            </w:pPr>
            <w:r>
              <w:t xml:space="preserve">weniger Sauerstoffmangel, bessere Nierendurchblutung (Pilotstudie)</w:t>
            </w:r>
          </w:p>
        </w:tc>
      </w:tr>
      <w:tr>
        <w:tc>
          <w:tcPr/>
          <w:p>
            <w:pPr>
              <w:pStyle w:val="Compact"/>
              <w:jc w:val="left"/>
            </w:pPr>
            <w:r>
              <w:t xml:space="preserve">ReCLAIM-2 (Ehlers 2025), PMID 39605874</w:t>
            </w:r>
          </w:p>
        </w:tc>
        <w:tc>
          <w:tcPr/>
          <w:p>
            <w:pPr>
              <w:pStyle w:val="Compact"/>
              <w:jc w:val="left"/>
            </w:pPr>
            <w:r>
              <w:t xml:space="preserve">176 Personen mit trockener Makuladegeneration, gegen Placebo</w:t>
            </w:r>
          </w:p>
        </w:tc>
        <w:tc>
          <w:tcPr/>
          <w:p>
            <w:pPr>
              <w:pStyle w:val="Compact"/>
              <w:jc w:val="left"/>
            </w:pPr>
            <w:r>
              <w:t xml:space="preserve">48 Wochen</w:t>
            </w:r>
          </w:p>
        </w:tc>
        <w:tc>
          <w:tcPr/>
          <w:p>
            <w:pPr>
              <w:pStyle w:val="Compact"/>
              <w:jc w:val="left"/>
            </w:pPr>
            <w:r>
              <w:t xml:space="preserve">Hauptendpunkte verfehlt; langsamerer Verlust von Fotorezeptor-Strukturen (Nebenendpunkt)</w:t>
            </w:r>
          </w:p>
        </w:tc>
      </w:tr>
      <w:tr>
        <w:tc>
          <w:tcPr/>
          <w:p>
            <w:pPr>
              <w:pStyle w:val="Compact"/>
              <w:jc w:val="left"/>
            </w:pPr>
            <w:r>
              <w:t xml:space="preserve">Roshanravan 2021, PMID 34264994</w:t>
            </w:r>
          </w:p>
        </w:tc>
        <w:tc>
          <w:tcPr/>
          <w:p>
            <w:pPr>
              <w:pStyle w:val="Compact"/>
              <w:jc w:val="left"/>
            </w:pPr>
            <w:r>
              <w:t xml:space="preserve">39 ältere Gesunde, einmalige Infusion gegen Placebo</w:t>
            </w:r>
          </w:p>
        </w:tc>
        <w:tc>
          <w:tcPr/>
          <w:p>
            <w:pPr>
              <w:pStyle w:val="Compact"/>
              <w:jc w:val="left"/>
            </w:pPr>
            <w:r>
              <w:t xml:space="preserve">7 Tage</w:t>
            </w:r>
          </w:p>
        </w:tc>
        <w:tc>
          <w:tcPr/>
          <w:p>
            <w:pPr>
              <w:pStyle w:val="Compact"/>
              <w:jc w:val="left"/>
            </w:pPr>
            <w:r>
              <w:t xml:space="preserve">kurzfristig höhere Energiekapazität im Handmuskel, aber keine bessere Ermüdungsresistenz</w:t>
            </w:r>
          </w:p>
        </w:tc>
      </w:tr>
    </w:tbl>
    <w:p>
      <w:pPr>
        <w:pStyle w:val="BodyText"/>
      </w:pPr>
      <w:r>
        <w:t xml:space="preserve">Das Muster ist auffällig: Bei</w:t>
      </w:r>
      <w:r>
        <w:t xml:space="preserve"> </w:t>
      </w:r>
      <w:r>
        <w:rPr>
          <w:bCs/>
          <w:b/>
        </w:rPr>
        <w:t xml:space="preserve">Herzinfarkt</w:t>
      </w:r>
      <w:r>
        <w:t xml:space="preserve"> </w:t>
      </w:r>
      <w:r>
        <w:t xml:space="preserve">und</w:t>
      </w:r>
      <w:r>
        <w:t xml:space="preserve"> </w:t>
      </w:r>
      <w:r>
        <w:rPr>
          <w:bCs/>
          <w:b/>
        </w:rPr>
        <w:t xml:space="preserve">Herzschwäche</w:t>
      </w:r>
      <w:r>
        <w:t xml:space="preserve"> </w:t>
      </w:r>
      <w:r>
        <w:t xml:space="preserve">zeigten die größeren kontrollierten Studien keinen Nutzen</w:t>
      </w:r>
      <w:r>
        <w:rPr>
          <w:rStyle w:val="FootnoteReference"/>
        </w:rPr>
        <w:footnoteReference w:id="1882"/>
      </w:r>
      <w:r>
        <w:t xml:space="preserve">. Bei der</w:t>
      </w:r>
      <w:r>
        <w:t xml:space="preserve"> </w:t>
      </w:r>
      <w:r>
        <w:rPr>
          <w:bCs/>
          <w:b/>
        </w:rPr>
        <w:t xml:space="preserve">trockenen Makuladegeneration</w:t>
      </w:r>
      <w:r>
        <w:t xml:space="preserve">, einer häufigen Ursache für Sehverlust im Alter, verfehlte ReCLAIM-2 beide Hauptendpunkte (Sehschärfe bei schwachem Licht und Wachstum der geschädigten Netzhautfläche); ein vorab festgelegter Nebenendpunkt – der Verlust der Fotorezeptor-Schicht – schritt unter Elamipretid langsamer fort</w:t>
      </w:r>
      <w:r>
        <w:rPr>
          <w:rStyle w:val="FootnoteReference"/>
        </w:rPr>
        <w:footnoteReference w:id="1883"/>
      </w:r>
      <w:r>
        <w:t xml:space="preserve">. Dieser Messwert dient nun als Hauptendpunkt der laufenden Phase-3-Studie ReNEW</w:t>
      </w:r>
      <w:r>
        <w:rPr>
          <w:rStyle w:val="FootnoteReference"/>
        </w:rPr>
        <w:footnoteReference w:id="1884"/>
      </w:r>
      <w:r>
        <w:t xml:space="preserve">.</w:t>
      </w:r>
    </w:p>
    <w:p>
      <w:pPr>
        <w:pStyle w:val="BodyText"/>
      </w:pPr>
      <w:r>
        <w:t xml:space="preserve">Für die Langlebigkeits-Szene interessant ist die Studie an älteren Menschen: Eine einzige Infusion steigerte die Energiekapazität eines Handmuskels unmittelbar danach; nach sieben Tagen war der Effekt verschwunden, und die Muskelausdauer verbesserte sich nicht</w:t>
      </w:r>
      <w:r>
        <w:rPr>
          <w:rStyle w:val="FootnoteReference"/>
        </w:rPr>
        <w:footnoteReference w:id="1885"/>
      </w:r>
      <w:r>
        <w:t xml:space="preserve">. Daraus lässt sich kein „Anti-Aging“-Nutzen ableiten.</w:t>
      </w:r>
    </w:p>
    <w:bookmarkEnd w:id="1886"/>
    <w:bookmarkEnd w:id="1887"/>
    <w:bookmarkStart w:id="1891" w:name="tier--und-laborstudien-43"/>
    <w:p>
      <w:pPr>
        <w:pStyle w:val="Heading3"/>
      </w:pPr>
      <w:r>
        <w:t xml:space="preserve">Tier- und Laborstudien</w:t>
      </w:r>
    </w:p>
    <w:p>
      <w:pPr>
        <w:pStyle w:val="FirstParagraph"/>
      </w:pPr>
      <w:r>
        <w:t xml:space="preserve">In Tiermodellen wurden günstige Effekte bei Herzinsuffizienz, Nierenschäden, Muskelschwäche, Augen- und Nervenerkrankungen beschrieben</w:t>
      </w:r>
      <w:r>
        <w:rPr>
          <w:rStyle w:val="FootnoteReference"/>
        </w:rPr>
        <w:footnoteReference w:id="1888"/>
      </w:r>
      <w:r>
        <w:t xml:space="preserve">. Bei Hunden mit fortgeschrittener Herzschwäche verbesserte eine Dauerbehandlung Pumpfunktion und Mitochondrienfunktion</w:t>
      </w:r>
      <w:r>
        <w:rPr>
          <w:rStyle w:val="FootnoteReference"/>
        </w:rPr>
        <w:footnoteReference w:id="1889"/>
      </w:r>
      <w:r>
        <w:t xml:space="preserve">. In einem Rattenmodell der Herzschwäche mit erhaltener Pumpfunktion verbesserte Elamipretid zwar den Energiestoffwechsel des Herzmuskels, aber nicht die Herzfunktion</w:t>
      </w:r>
      <w:r>
        <w:rPr>
          <w:rStyle w:val="FootnoteReference"/>
        </w:rPr>
        <w:footnoteReference w:id="1890"/>
      </w:r>
      <w:r>
        <w:t xml:space="preserve">. Diese Diskrepanz zwischen besserem Energiestoffwechsel und fehlendem klinischen Nutzen spiegelt sich in den Studien am Menschen.</w:t>
      </w:r>
    </w:p>
    <w:bookmarkEnd w:id="1891"/>
    <w:bookmarkStart w:id="1896" w:name="risiken-und-nebenwirkungen-43"/>
    <w:p>
      <w:pPr>
        <w:pStyle w:val="Heading3"/>
      </w:pPr>
      <w:r>
        <w:t xml:space="preserve">Risiken und Nebenwirkungen</w:t>
      </w:r>
    </w:p>
    <w:p>
      <w:pPr>
        <w:pStyle w:val="FirstParagraph"/>
      </w:pPr>
      <w:r>
        <w:rPr>
          <w:bCs/>
          <w:b/>
        </w:rPr>
        <w:t xml:space="preserve">Belegt:</w:t>
      </w:r>
    </w:p>
    <w:p>
      <w:pPr>
        <w:numPr>
          <w:ilvl w:val="0"/>
          <w:numId w:val="1238"/>
        </w:numPr>
        <w:pStyle w:val="Compact"/>
      </w:pPr>
      <w:r>
        <w:t xml:space="preserve">Die häufigsten Nebenwirkungen sind</w:t>
      </w:r>
      <w:r>
        <w:t xml:space="preserve"> </w:t>
      </w:r>
      <w:r>
        <w:rPr>
          <w:bCs/>
          <w:b/>
        </w:rPr>
        <w:t xml:space="preserve">Reaktionen an der Einstichstelle</w:t>
      </w:r>
      <w:r>
        <w:t xml:space="preserve"> </w:t>
      </w:r>
      <w:r>
        <w:t xml:space="preserve">(Juckreiz, Schmerzen, Blutergüsse, Rötung). In MMPOWER-2 traten sie bei 80 % der Behandelten auf, meist leicht</w:t>
      </w:r>
      <w:r>
        <w:rPr>
          <w:rStyle w:val="FootnoteReference"/>
        </w:rPr>
        <w:footnoteReference w:id="1892"/>
      </w:r>
      <w:r>
        <w:t xml:space="preserve">. In ReCLAIM-2 berichteten 86 % unter Elamipretid und 71 % unter Placebo irgendein unerwünschtes Ereignis</w:t>
      </w:r>
      <w:r>
        <w:rPr>
          <w:rStyle w:val="FootnoteReference"/>
        </w:rPr>
        <w:footnoteReference w:id="1893"/>
      </w:r>
      <w:r>
        <w:t xml:space="preserve">.</w:t>
      </w:r>
    </w:p>
    <w:p>
      <w:pPr>
        <w:numPr>
          <w:ilvl w:val="0"/>
          <w:numId w:val="1238"/>
        </w:numPr>
        <w:pStyle w:val="Compact"/>
      </w:pPr>
      <w:r>
        <w:t xml:space="preserve">Schwere Nebenwirkungen waren in den Studien nicht gehäuft; in MMPOWER-3 waren die Ereignisse überwiegend leicht bis mittelschwer</w:t>
      </w:r>
      <w:r>
        <w:rPr>
          <w:rStyle w:val="FootnoteReference"/>
        </w:rPr>
        <w:footnoteReference w:id="1894"/>
      </w:r>
      <w:r>
        <w:t xml:space="preserve">.</w:t>
      </w:r>
    </w:p>
    <w:p>
      <w:pPr>
        <w:numPr>
          <w:ilvl w:val="0"/>
          <w:numId w:val="1238"/>
        </w:numPr>
        <w:pStyle w:val="Compact"/>
      </w:pPr>
      <w:r>
        <w:t xml:space="preserve">Langzeitdaten gibt es nur für wenige Personen mit Barth-Syndrom über gut drei Jahre</w:t>
      </w:r>
      <w:r>
        <w:rPr>
          <w:rStyle w:val="FootnoteReference"/>
        </w:rPr>
        <w:footnoteReference w:id="1895"/>
      </w:r>
      <w:r>
        <w:t xml:space="preserve">.</w:t>
      </w:r>
    </w:p>
    <w:p>
      <w:pPr>
        <w:pStyle w:val="FirstParagraph"/>
      </w:pPr>
      <w:r>
        <w:rPr>
          <w:bCs/>
          <w:b/>
        </w:rPr>
        <w:t xml:space="preserve">Theoretisch:</w:t>
      </w:r>
      <w:r>
        <w:t xml:space="preserve"> </w:t>
      </w:r>
      <w:r>
        <w:t xml:space="preserve">Ein Wirkstoff, der dauerhaft in die Mitochondrien aller Körperzellen eingreift, könnte bei jahrelanger Anwendung bei Gesunden unbekannte Effekte haben; dazu gibt es keine Daten.</w:t>
      </w:r>
    </w:p>
    <w:p>
      <w:pPr>
        <w:pStyle w:val="BodyText"/>
      </w:pPr>
      <w:r>
        <w:rPr>
          <w:bCs/>
          <w:b/>
        </w:rPr>
        <w:t xml:space="preserve">Graumarkt:</w:t>
      </w:r>
      <w:r>
        <w:t xml:space="preserve"> </w:t>
      </w:r>
      <w:r>
        <w:t xml:space="preserve">„SS-31“ wird online als Pulver zur Injektion für „Mitochondrien-Verjüngung“ verkauft. Diese Produkte sind nicht das zugelassene Arzneimittel; Gehalt und Reinheit sind ungeprüft. Für Gesunde ist kein Nutzen belegt.</w:t>
      </w:r>
    </w:p>
    <w:bookmarkEnd w:id="1896"/>
    <w:bookmarkStart w:id="1898" w:name="rechtslage-43"/>
    <w:p>
      <w:pPr>
        <w:pStyle w:val="Heading3"/>
      </w:pPr>
      <w:r>
        <w:t xml:space="preserve">Rechtslage</w:t>
      </w:r>
    </w:p>
    <w:p>
      <w:pPr>
        <w:numPr>
          <w:ilvl w:val="0"/>
          <w:numId w:val="1239"/>
        </w:numPr>
        <w:pStyle w:val="Compact"/>
      </w:pPr>
      <w:r>
        <w:rPr>
          <w:bCs/>
          <w:b/>
        </w:rPr>
        <w:t xml:space="preserve">EU / Österreich / Deutschland:</w:t>
      </w:r>
      <w:r>
        <w:t xml:space="preserve"> </w:t>
      </w:r>
      <w:r>
        <w:t xml:space="preserve">nicht zugelassen. Elamipretid ist ein Arzneimittel; eine Anwendung ist nur im Rahmen von Studien oder Härtefallprogrammen möglich.</w:t>
      </w:r>
    </w:p>
    <w:p>
      <w:pPr>
        <w:numPr>
          <w:ilvl w:val="0"/>
          <w:numId w:val="1239"/>
        </w:numPr>
        <w:pStyle w:val="Compact"/>
      </w:pPr>
      <w:r>
        <w:rPr>
          <w:bCs/>
          <w:b/>
        </w:rPr>
        <w:t xml:space="preserve">USA:</w:t>
      </w:r>
      <w:r>
        <w:t xml:space="preserve"> </w:t>
      </w:r>
      <w:r>
        <w:t xml:space="preserve">beschleunigt zugelassen (Forzinity, September 2025) nur für Barth-Syndrom ab 30 kg Körpergewicht; Verweis auf die Fachinformation und ärztliche Begleitung. Für andere Erkrankungen gibt es ein Härtefallprogramm</w:t>
      </w:r>
      <w:r>
        <w:rPr>
          <w:rStyle w:val="FootnoteReference"/>
        </w:rPr>
        <w:footnoteReference w:id="1897"/>
      </w:r>
      <w:r>
        <w:t xml:space="preserve">.</w:t>
      </w:r>
    </w:p>
    <w:p>
      <w:pPr>
        <w:numPr>
          <w:ilvl w:val="0"/>
          <w:numId w:val="1239"/>
        </w:numPr>
        <w:pStyle w:val="Compact"/>
      </w:pPr>
      <w:r>
        <w:rPr>
          <w:bCs/>
          <w:b/>
        </w:rPr>
        <w:t xml:space="preserve">Sport:</w:t>
      </w:r>
      <w:r>
        <w:t xml:space="preserve"> </w:t>
      </w:r>
      <w:r>
        <w:t xml:space="preserve">nicht namentlich auf der WADA-Liste (Stand 2026, bitte aktuell prüfen).</w:t>
      </w:r>
    </w:p>
    <w:bookmarkEnd w:id="1898"/>
    <w:bookmarkStart w:id="1903" w:name="laufende-studien-und-ausblick-43"/>
    <w:p>
      <w:pPr>
        <w:pStyle w:val="Heading3"/>
      </w:pPr>
      <w:r>
        <w:t xml:space="preserve">Laufende Studien und Ausblick</w:t>
      </w:r>
    </w:p>
    <w:p>
      <w:pPr>
        <w:pStyle w:val="FirstParagraph"/>
      </w:pPr>
      <w:r>
        <w:rPr>
          <w:bCs/>
          <w:b/>
        </w:rPr>
        <w:t xml:space="preserve">Gesichert (registrierte Studien, Stand Oktober 2026):</w:t>
      </w:r>
    </w:p>
    <w:p>
      <w:pPr>
        <w:numPr>
          <w:ilvl w:val="0"/>
          <w:numId w:val="1240"/>
        </w:numPr>
        <w:pStyle w:val="Compact"/>
      </w:pPr>
      <w:r>
        <w:rPr>
          <w:bCs/>
          <w:b/>
        </w:rPr>
        <w:t xml:space="preserve">ReNEW</w:t>
      </w:r>
      <w:r>
        <w:rPr>
          <w:rStyle w:val="FootnoteReference"/>
        </w:rPr>
        <w:footnoteReference w:id="1899"/>
      </w:r>
      <w:r>
        <w:t xml:space="preserve">: Phase 3 bei trockener Makuladegeneration, 313 Teilnehmende, Rekrutierung abgeschlossen, geplantes Ende 2027.</w:t>
      </w:r>
    </w:p>
    <w:p>
      <w:pPr>
        <w:numPr>
          <w:ilvl w:val="0"/>
          <w:numId w:val="1240"/>
        </w:numPr>
        <w:pStyle w:val="Compact"/>
      </w:pPr>
      <w:r>
        <w:rPr>
          <w:bCs/>
          <w:b/>
        </w:rPr>
        <w:t xml:space="preserve">4TAZPower</w:t>
      </w:r>
      <w:r>
        <w:rPr>
          <w:rStyle w:val="FootnoteReference"/>
        </w:rPr>
        <w:footnoteReference w:id="1900"/>
      </w:r>
      <w:r>
        <w:t xml:space="preserve">: Bestätigungsstudie bei Barth-Syndrom mit 48 geplanten Teilnehmenden, in Rekrutierung.</w:t>
      </w:r>
    </w:p>
    <w:p>
      <w:pPr>
        <w:numPr>
          <w:ilvl w:val="0"/>
          <w:numId w:val="1240"/>
        </w:numPr>
        <w:pStyle w:val="Compact"/>
      </w:pPr>
      <w:r>
        <w:rPr>
          <w:bCs/>
          <w:b/>
        </w:rPr>
        <w:t xml:space="preserve">NuPOWER</w:t>
      </w:r>
      <w:r>
        <w:rPr>
          <w:rStyle w:val="FootnoteReference"/>
        </w:rPr>
        <w:footnoteReference w:id="1901"/>
      </w:r>
      <w:r>
        <w:t xml:space="preserve">: Phase 3 bei mitochondrialer Erkrankung durch Kern-DNA-Mutationen, 102 Teilnehmende, abgeschlossen; Ergebnisse ausstehend.</w:t>
      </w:r>
    </w:p>
    <w:p>
      <w:pPr>
        <w:numPr>
          <w:ilvl w:val="0"/>
          <w:numId w:val="1240"/>
        </w:numPr>
        <w:pStyle w:val="Compact"/>
      </w:pPr>
      <w:r>
        <w:t xml:space="preserve">Eine kleine Phase-2-Studie bei gesunden älteren Menschen untersucht körperliche Funktion</w:t>
      </w:r>
      <w:r>
        <w:rPr>
          <w:rStyle w:val="FootnoteReference"/>
        </w:rPr>
        <w:footnoteReference w:id="1902"/>
      </w:r>
      <w:r>
        <w:t xml:space="preserve">.</w:t>
      </w:r>
    </w:p>
    <w:p>
      <w:pPr>
        <w:pStyle w:val="FirstParagraph"/>
      </w:pPr>
      <w:r>
        <w:rPr>
          <w:bCs/>
          <w:b/>
        </w:rPr>
        <w:t xml:space="preserve">Einschätzung:</w:t>
      </w:r>
      <w:r>
        <w:t xml:space="preserve"> </w:t>
      </w:r>
      <w:r>
        <w:t xml:space="preserve">Ob Elamipretid über das Barth-Syndrom hinaus einen Platz findet, entscheiden ReNEW und NuPOWER. Die Erfahrung aus MMPOWER-3, EMBRACE und PROGRESS-HF mahnt zur Vorsicht: Ein überzeugender Mechanismus garantiert keinen klinischen Nutzen.</w:t>
      </w:r>
    </w:p>
    <w:bookmarkEnd w:id="1903"/>
    <w:bookmarkStart w:id="1904" w:name="fazit-43"/>
    <w:p>
      <w:pPr>
        <w:pStyle w:val="Heading3"/>
      </w:pPr>
      <w:r>
        <w:t xml:space="preserve">Fazit</w:t>
      </w:r>
    </w:p>
    <w:p>
      <w:pPr>
        <w:pStyle w:val="FirstParagraph"/>
      </w:pPr>
      <w:r>
        <w:t xml:space="preserve">Elamipretid (SS-31) ist ein Tetrapeptid, das an Cardiolipin in den Mitochondrien bindet und als erstes Mitochondrien-Medikament 2025 in den USA eine beschleunigte Zulassung für das sehr seltene Barth-Syndrom erhielt – auf Grundlage einer Studie mit zwölf Personen, deren kontrollierter Teil seine Hauptendpunkte verfehlte, und offener Langzeitdaten. In größeren randomisierten Studien bei mitochondrialer Myopathie, Herzinfarkt, Herzschwäche und Makuladegeneration wurden die Hauptendpunkte nicht erreicht. Das Medikament ist gut verträglich, vor allem Reaktionen an der Einstichstelle sind häufig. Für Gesunde oder als „Anti-Aging“-Mittel gibt es keinen belegten Nutzen.</w:t>
      </w:r>
    </w:p>
    <w:bookmarkEnd w:id="1904"/>
    <w:bookmarkEnd w:id="1905"/>
    <w:bookmarkStart w:id="1924" w:name="foxo4-dri"/>
    <w:p>
      <w:pPr>
        <w:pStyle w:val="Heading2"/>
      </w:pPr>
      <w:r>
        <w:t xml:space="preserve">FOXO4-DRI</w:t>
      </w:r>
    </w:p>
    <w:bookmarkStart w:id="1906" w:name="steckbrief-44"/>
    <w:p>
      <w:pPr>
        <w:pStyle w:val="Heading3"/>
      </w:pPr>
      <w:r>
        <w:t xml:space="preserve">Steckbrief</w:t>
      </w:r>
    </w:p>
    <w:p>
      <w:pPr>
        <w:numPr>
          <w:ilvl w:val="0"/>
          <w:numId w:val="1241"/>
        </w:numPr>
        <w:pStyle w:val="Compact"/>
      </w:pPr>
      <w:r>
        <w:rPr>
          <w:bCs/>
          <w:b/>
        </w:rPr>
        <w:t xml:space="preserve">Art und Struktur:</w:t>
      </w:r>
      <w:r>
        <w:t xml:space="preserve"> </w:t>
      </w:r>
      <w:r>
        <w:t xml:space="preserve">vergleichsweise langes synthetisches Peptid, abgeleitet von einem Abschnitt des Eiweißes FOXO4. „DRI“ steht für</w:t>
      </w:r>
      <w:r>
        <w:t xml:space="preserve"> </w:t>
      </w:r>
      <w:r>
        <w:rPr>
          <w:iCs/>
          <w:i/>
        </w:rPr>
        <w:t xml:space="preserve">D-retro-inverso</w:t>
      </w:r>
      <w:r>
        <w:t xml:space="preserve">: Das Peptid ist aus spiegelbildlichen D-Aminosäuren in umgekehrter Reihenfolge aufgebaut. Dadurch wird es von körpereigenen Enzymen kaum abgebaut. Ein angehängter, positiv geladener Abschnitt (abgeleitet aus einem Virus-Eiweiß) soll es in Zellen einschleusen.</w:t>
      </w:r>
    </w:p>
    <w:p>
      <w:pPr>
        <w:numPr>
          <w:ilvl w:val="0"/>
          <w:numId w:val="1241"/>
        </w:numPr>
        <w:pStyle w:val="Compact"/>
      </w:pPr>
      <w:r>
        <w:rPr>
          <w:bCs/>
          <w:b/>
        </w:rPr>
        <w:t xml:space="preserve">Herkunft:</w:t>
      </w:r>
      <w:r>
        <w:t xml:space="preserve"> </w:t>
      </w:r>
      <w:r>
        <w:t xml:space="preserve">2017 von einer niederländischen Arbeitsgruppe um Peter de Keizer (Erasmus MC Rotterdam) vorgestellt.</w:t>
      </w:r>
    </w:p>
    <w:p>
      <w:pPr>
        <w:numPr>
          <w:ilvl w:val="0"/>
          <w:numId w:val="1241"/>
        </w:numPr>
        <w:pStyle w:val="Compact"/>
      </w:pPr>
      <w:r>
        <w:rPr>
          <w:bCs/>
          <w:b/>
        </w:rPr>
        <w:t xml:space="preserve">Wirkprinzip:</w:t>
      </w:r>
      <w:r>
        <w:t xml:space="preserve"> </w:t>
      </w:r>
      <w:r>
        <w:rPr>
          <w:bCs/>
          <w:b/>
        </w:rPr>
        <w:t xml:space="preserve">Senolytikum</w:t>
      </w:r>
      <w:r>
        <w:t xml:space="preserve"> </w:t>
      </w:r>
      <w:r>
        <w:t xml:space="preserve">– ein Stoff, der gezielt gealterte, sogenannte seneszente Zellen in den programmierten Zelltod treiben soll, indem er die Bindung zwischen FOXO4 und dem Schutzeiweiß p53 stört.</w:t>
      </w:r>
    </w:p>
    <w:p>
      <w:pPr>
        <w:numPr>
          <w:ilvl w:val="0"/>
          <w:numId w:val="1241"/>
        </w:numPr>
        <w:pStyle w:val="Compact"/>
      </w:pPr>
      <w:r>
        <w:rPr>
          <w:bCs/>
          <w:b/>
        </w:rPr>
        <w:t xml:space="preserve">Zulassung EU:</w:t>
      </w:r>
      <w:r>
        <w:t xml:space="preserve"> </w:t>
      </w:r>
      <w:r>
        <w:t xml:space="preserve">nein.</w:t>
      </w:r>
    </w:p>
    <w:p>
      <w:pPr>
        <w:numPr>
          <w:ilvl w:val="0"/>
          <w:numId w:val="1241"/>
        </w:numPr>
        <w:pStyle w:val="Compact"/>
      </w:pPr>
      <w:r>
        <w:rPr>
          <w:bCs/>
          <w:b/>
        </w:rPr>
        <w:t xml:space="preserve">Zulassung USA:</w:t>
      </w:r>
      <w:r>
        <w:t xml:space="preserve"> </w:t>
      </w:r>
      <w:r>
        <w:t xml:space="preserve">nein.</w:t>
      </w:r>
    </w:p>
    <w:p>
      <w:pPr>
        <w:numPr>
          <w:ilvl w:val="0"/>
          <w:numId w:val="1241"/>
        </w:numPr>
        <w:pStyle w:val="Compact"/>
      </w:pPr>
      <w:r>
        <w:rPr>
          <w:bCs/>
          <w:b/>
        </w:rPr>
        <w:t xml:space="preserve">WADA:</w:t>
      </w:r>
      <w:r>
        <w:t xml:space="preserve"> </w:t>
      </w:r>
      <w:r>
        <w:t xml:space="preserve">nicht namentlich gelistet; als nirgends zugelassene Substanz fällt FOXO4-DRI nach unserer Einschätzung unter die Sammelkategorie S0.</w:t>
      </w:r>
    </w:p>
    <w:p>
      <w:pPr>
        <w:numPr>
          <w:ilvl w:val="0"/>
          <w:numId w:val="1241"/>
        </w:numPr>
        <w:pStyle w:val="Compact"/>
      </w:pPr>
      <w:r>
        <w:rPr>
          <w:bCs/>
          <w:b/>
        </w:rPr>
        <w:t xml:space="preserve">Evidenzstufe:</w:t>
      </w:r>
      <w:r>
        <w:t xml:space="preserve"> </w:t>
      </w:r>
      <w:r>
        <w:rPr>
          <w:bCs/>
          <w:b/>
        </w:rPr>
        <w:t xml:space="preserve">D</w:t>
      </w:r>
      <w:r>
        <w:t xml:space="preserve"> </w:t>
      </w:r>
      <w:r>
        <w:t xml:space="preserve">– ausschließlich Tier- und Laborstudien.</w:t>
      </w:r>
    </w:p>
    <w:bookmarkEnd w:id="1906"/>
    <w:bookmarkStart w:id="1912" w:name="wie-es-wirken-soll-44"/>
    <w:p>
      <w:pPr>
        <w:pStyle w:val="Heading3"/>
      </w:pPr>
      <w:r>
        <w:t xml:space="preserve">Wie es wirken soll</w:t>
      </w:r>
    </w:p>
    <w:p>
      <w:pPr>
        <w:pStyle w:val="FirstParagraph"/>
      </w:pPr>
      <w:r>
        <w:rPr>
          <w:bCs/>
          <w:b/>
        </w:rPr>
        <w:t xml:space="preserve">Seneszente Zellen</w:t>
      </w:r>
      <w:r>
        <w:t xml:space="preserve"> </w:t>
      </w:r>
      <w:r>
        <w:t xml:space="preserve">sind Zellen, die sich nach Schäden – etwa durch Strahlung, Chemotherapie, oxidativen Stress oder einfach durch viele Teilungen – nicht mehr teilen, aber auch nicht absterben. Sie verbleiben im Gewebe und geben eine Mischung aus Entzündungsbotenstoffen und gewebeabbauenden Enzymen ab, die man als SASP bezeichnet (</w:t>
      </w:r>
      <w:r>
        <w:rPr>
          <w:iCs/>
          <w:i/>
        </w:rPr>
        <w:t xml:space="preserve">senescence-associated secretory phenotype</w:t>
      </w:r>
      <w:r>
        <w:t xml:space="preserve">). Mit dem Alter nehmen sie in vielen Organen zu. In Mäusen, bei denen solche Zellen genetisch gezielt entfernt wurden, verzögerten sich verschiedene Alterserscheinungen. Daraus entstand die Idee der</w:t>
      </w:r>
      <w:r>
        <w:t xml:space="preserve"> </w:t>
      </w:r>
      <w:r>
        <w:rPr>
          <w:bCs/>
          <w:b/>
        </w:rPr>
        <w:t xml:space="preserve">Senolytika</w:t>
      </w:r>
      <w:r>
        <w:t xml:space="preserve">: Medikamente, die seneszente Zellen beseitigen.</w:t>
      </w:r>
    </w:p>
    <w:p>
      <w:pPr>
        <w:pStyle w:val="BodyText"/>
      </w:pPr>
      <w:r>
        <w:t xml:space="preserve">Seneszente Zellen überleben unter anderem, weil sie Selbstmordprogramme unterdrücken. Die Rotterdamer Gruppe fand, dass dabei das Eiweiß FOXO4 eine Schlüsselrolle spielt: Es hält das Eiweiß p53, das sonst den Zelltod auslösen würde, im Zellkern fest. Das Peptid FOXO4-DRI stört diese Bindung; p53 wird aus dem Kern verdrängt, und die seneszente Zelle stirbt. Gesunde, sich normal teilende Zellen sollen davon weitgehend verschont bleiben</w:t>
      </w:r>
      <w:r>
        <w:rPr>
          <w:rStyle w:val="FootnoteReference"/>
        </w:rPr>
        <w:footnoteReference w:id="1907"/>
      </w:r>
      <w:r>
        <w:t xml:space="preserve">. Strukturuntersuchungen von 2025 bestätigten, dass FOXO4-DRI an einen ungeordneten Abschnitt von p53 bindet – wobei auch der zelleinschleusende Abschnitt des Peptids an der Bindung beteiligt ist</w:t>
      </w:r>
      <w:r>
        <w:rPr>
          <w:rStyle w:val="FootnoteReference"/>
        </w:rPr>
        <w:footnoteReference w:id="1908"/>
      </w:r>
      <w:r>
        <w:t xml:space="preserve">.</w:t>
      </w:r>
    </w:p>
    <w:bookmarkStart w:id="1911" w:name="senolytika-beim-menschen-der-kontext"/>
    <w:p>
      <w:pPr>
        <w:pStyle w:val="Heading4"/>
      </w:pPr>
      <w:r>
        <w:t xml:space="preserve">Senolytika beim Menschen: der Kontext</w:t>
      </w:r>
    </w:p>
    <w:p>
      <w:pPr>
        <w:pStyle w:val="FirstParagraph"/>
      </w:pPr>
      <w:r>
        <w:t xml:space="preserve">FOXO4-DRI selbst wurde nie am Menschen geprüft. Zur Einordnung hilft ein Blick auf andere Senolytika, die schon klinisch untersucht wurden – vor allem die Kombination aus dem Krebsmedikament Dasatinib und dem Pflanzenstoff Quercetin (kurz D+Q):</w:t>
      </w:r>
    </w:p>
    <w:p>
      <w:pPr>
        <w:numPr>
          <w:ilvl w:val="0"/>
          <w:numId w:val="1242"/>
        </w:numPr>
        <w:pStyle w:val="Compact"/>
      </w:pPr>
      <w:r>
        <w:t xml:space="preserve">In einer ersten offenen Pilotstudie mit 14 Personen mit idiopathischer Lungenfibrose verbesserten sich Gehstrecke und Gehgeschwindigkeit, die Lungenfunktion jedoch nicht; ein schweres unerwünschtes Ereignis trat auf</w:t>
      </w:r>
      <w:r>
        <w:rPr>
          <w:rStyle w:val="FootnoteReference"/>
        </w:rPr>
        <w:footnoteReference w:id="1909"/>
      </w:r>
      <w:r>
        <w:t xml:space="preserve">.</w:t>
      </w:r>
    </w:p>
    <w:p>
      <w:pPr>
        <w:numPr>
          <w:ilvl w:val="0"/>
          <w:numId w:val="1242"/>
        </w:numPr>
        <w:pStyle w:val="Compact"/>
      </w:pPr>
      <w:r>
        <w:t xml:space="preserve">In einer randomisierten Phase-2-Studie mit 60 Frauen nach den Wechseljahren verringerte D+Q den Knochenabbau-Marker nicht (Hauptendpunkt verfehlt); nur in einer nachträglich betrachteten Untergruppe mit vielen seneszenten Zellen zeigten sich günstige Effekte</w:t>
      </w:r>
      <w:r>
        <w:rPr>
          <w:rStyle w:val="FootnoteReference"/>
        </w:rPr>
        <w:footnoteReference w:id="1910"/>
      </w:r>
      <w:r>
        <w:t xml:space="preserve">.</w:t>
      </w:r>
    </w:p>
    <w:p>
      <w:pPr>
        <w:pStyle w:val="FirstParagraph"/>
      </w:pPr>
      <w:r>
        <w:t xml:space="preserve">Die klinische Senolytika-Forschung steht also noch am Anfang, und erste kontrollierte Ergebnisse fallen zurückhaltend aus. Das ist der Hintergrund, vor dem FOXO4-DRI im Internet als „Verjüngungspeptid“ verkauft wird.</w:t>
      </w:r>
    </w:p>
    <w:bookmarkEnd w:id="1911"/>
    <w:bookmarkEnd w:id="1912"/>
    <w:bookmarkStart w:id="1914" w:name="studien-am-menschen-4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FOXO4-DRI; insgesamt führt PubMed rund 20 Arbeiten mit dem Begriff. Auf ClinicalTrials.gov ist keine Studie registriert. Auch Fallberichte über die Anwendung am Menschen oder Analysen von Graumarktprodukten fanden sich nicht.</w:t>
      </w:r>
    </w:p>
    <w:p>
      <w:pPr>
        <w:pStyle w:val="BodyText"/>
      </w:pPr>
      <w:r>
        <w:t xml:space="preserve">Am nächsten an den Menschen heran kommt eine Laborstudie mit menschlichen Knorpelzellen: Bei Zellen, die für eine Knorpeltransplantation im Labor vermehrt worden waren, entfernte FOXO4-DRI mehr als die Hälfte der stark vermehrten (und damit häufiger seneszenten) Zellen, verbesserte aber die Fähigkeit, neuen Knorpel zu bilden, nicht</w:t>
      </w:r>
      <w:r>
        <w:rPr>
          <w:rStyle w:val="FootnoteReference"/>
        </w:rPr>
        <w:footnoteReference w:id="1913"/>
      </w:r>
      <w:r>
        <w:t xml:space="preserve">.</w:t>
      </w:r>
    </w:p>
    <w:bookmarkEnd w:id="1914"/>
    <w:bookmarkStart w:id="1917" w:name="tier--und-laborstudien-44"/>
    <w:p>
      <w:pPr>
        <w:pStyle w:val="Heading3"/>
      </w:pPr>
      <w:r>
        <w:t xml:space="preserve">Tier- und Laborstudien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Baar 2017, PMID 28340339</w:t>
            </w:r>
          </w:p>
        </w:tc>
        <w:tc>
          <w:tcPr/>
          <w:p>
            <w:pPr>
              <w:pStyle w:val="Compact"/>
              <w:jc w:val="left"/>
            </w:pPr>
            <w:r>
              <w:t xml:space="preserve">schnell alternde und natürlich gealterte Mäuse; Chemotherapie-Schäden</w:t>
            </w:r>
          </w:p>
        </w:tc>
        <w:tc>
          <w:tcPr/>
          <w:p>
            <w:pPr>
              <w:pStyle w:val="Compact"/>
              <w:jc w:val="left"/>
            </w:pPr>
            <w:r>
              <w:t xml:space="preserve">bessere Fitness, dichteres Fell, bessere Nierenfunktion; Schutz vor Doxorubicin-Schäden</w:t>
            </w:r>
          </w:p>
        </w:tc>
      </w:tr>
      <w:tr>
        <w:tc>
          <w:tcPr/>
          <w:p>
            <w:pPr>
              <w:pStyle w:val="Compact"/>
              <w:jc w:val="left"/>
            </w:pPr>
            <w:r>
              <w:t xml:space="preserve">Zhang 2020, PMID 31959736</w:t>
            </w:r>
          </w:p>
        </w:tc>
        <w:tc>
          <w:tcPr/>
          <w:p>
            <w:pPr>
              <w:pStyle w:val="Compact"/>
              <w:jc w:val="left"/>
            </w:pPr>
            <w:r>
              <w:t xml:space="preserve">natürlich gealterte Mäuse</w:t>
            </w:r>
          </w:p>
        </w:tc>
        <w:tc>
          <w:tcPr/>
          <w:p>
            <w:pPr>
              <w:pStyle w:val="Compact"/>
              <w:jc w:val="left"/>
            </w:pPr>
            <w:r>
              <w:t xml:space="preserve">Testosteronbildung in den Hoden verbessert</w:t>
            </w:r>
          </w:p>
        </w:tc>
      </w:tr>
      <w:tr>
        <w:tc>
          <w:tcPr/>
          <w:p>
            <w:pPr>
              <w:pStyle w:val="Compact"/>
              <w:jc w:val="left"/>
            </w:pPr>
            <w:r>
              <w:t xml:space="preserve">Han 2022, PMID 35510614</w:t>
            </w:r>
          </w:p>
        </w:tc>
        <w:tc>
          <w:tcPr/>
          <w:p>
            <w:pPr>
              <w:pStyle w:val="Compact"/>
              <w:jc w:val="left"/>
            </w:pPr>
            <w:r>
              <w:t xml:space="preserve">Lungenfibrose bei Mäusen</w:t>
            </w:r>
          </w:p>
        </w:tc>
        <w:tc>
          <w:tcPr/>
          <w:p>
            <w:pPr>
              <w:pStyle w:val="Compact"/>
              <w:jc w:val="left"/>
            </w:pPr>
            <w:r>
              <w:t xml:space="preserve">weniger Vernarbung</w:t>
            </w:r>
          </w:p>
        </w:tc>
      </w:tr>
      <w:tr>
        <w:tc>
          <w:tcPr/>
          <w:p>
            <w:pPr>
              <w:pStyle w:val="Compact"/>
              <w:jc w:val="left"/>
            </w:pPr>
            <w:r>
              <w:t xml:space="preserve">Kong 2025, PMID 39994346</w:t>
            </w:r>
          </w:p>
        </w:tc>
        <w:tc>
          <w:tcPr/>
          <w:p>
            <w:pPr>
              <w:pStyle w:val="Compact"/>
              <w:jc w:val="left"/>
            </w:pPr>
            <w:r>
              <w:t xml:space="preserve">Keloid-Gewebe (überschießende Narben) im Labor</w:t>
            </w:r>
          </w:p>
        </w:tc>
        <w:tc>
          <w:tcPr/>
          <w:p>
            <w:pPr>
              <w:pStyle w:val="Compact"/>
              <w:jc w:val="left"/>
            </w:pPr>
            <w:r>
              <w:t xml:space="preserve">mehr Zelltod seneszenter Bindegewebszellen</w:t>
            </w:r>
          </w:p>
        </w:tc>
      </w:tr>
      <w:tr>
        <w:tc>
          <w:tcPr/>
          <w:p>
            <w:pPr>
              <w:pStyle w:val="Compact"/>
              <w:jc w:val="left"/>
            </w:pPr>
            <w:r>
              <w:t xml:space="preserve">Born 2023, PMID 36515093</w:t>
            </w:r>
          </w:p>
        </w:tc>
        <w:tc>
          <w:tcPr/>
          <w:p>
            <w:pPr>
              <w:pStyle w:val="Compact"/>
              <w:jc w:val="left"/>
            </w:pPr>
            <w:r>
              <w:t xml:space="preserve">Lungenhochdruck-Modelle bei Mäusen und Ratten</w:t>
            </w:r>
          </w:p>
        </w:tc>
        <w:tc>
          <w:tcPr/>
          <w:p>
            <w:pPr>
              <w:pStyle w:val="Compact"/>
              <w:jc w:val="left"/>
            </w:pPr>
            <w:r>
              <w:t xml:space="preserve">Entfernung seneszenter Zellen, auch mit FOXO4-DRI,</w:t>
            </w:r>
            <w:r>
              <w:t xml:space="preserve"> </w:t>
            </w:r>
            <w:r>
              <w:rPr>
                <w:bCs/>
                <w:b/>
              </w:rPr>
              <w:t xml:space="preserve">verschlechterte</w:t>
            </w:r>
            <w:r>
              <w:t xml:space="preserve"> </w:t>
            </w:r>
            <w:r>
              <w:t xml:space="preserve">den Lungenkreislauf</w:t>
            </w:r>
          </w:p>
        </w:tc>
      </w:tr>
    </w:tbl>
    <w:p>
      <w:pPr>
        <w:pStyle w:val="BodyText"/>
      </w:pPr>
      <w:r>
        <w:t xml:space="preserve">Die Erstbeschreibung erregte große Aufmerksamkeit: Bei schnell alternden Mäusen und bei natürlich gealterten Tieren verbesserten sich körperliche Fitness, Fellbild und Nierenfunktion</w:t>
      </w:r>
      <w:r>
        <w:rPr>
          <w:rStyle w:val="FootnoteReference"/>
        </w:rPr>
        <w:footnoteReference w:id="1915"/>
      </w:r>
      <w:r>
        <w:t xml:space="preserve">. Spätere Arbeiten anderer Gruppen, überwiegend aus China, beschrieben Effekte auf Hoden, Lunge und Haut.</w:t>
      </w:r>
    </w:p>
    <w:p>
      <w:pPr>
        <w:pStyle w:val="BodyText"/>
      </w:pPr>
      <w:r>
        <w:t xml:space="preserve">Ein wichtiger Gegenbefund kommt aus der Herz-Kreislauf-Forschung: In Modellen des Lungenhochdrucks verschlechterte die Beseitigung seneszenter Zellen – sowohl genetisch als auch mit den Senolytika ABT263 oder FOXO4-DRI – den Druck im Lungenkreislauf und führte zum Verlust von Gefäßinnenzellen der Lunge. Die Autoren folgern, dass Senolytika den Lungengefäßen schaden könnten</w:t>
      </w:r>
      <w:r>
        <w:rPr>
          <w:rStyle w:val="FootnoteReference"/>
        </w:rPr>
        <w:footnoteReference w:id="1916"/>
      </w:r>
      <w:r>
        <w:t xml:space="preserve">. Das zeigt: Seneszente Zellen sind nicht nur „Altlast“, sondern können in manchen Geweben auch stabilisierende Aufgaben haben.</w:t>
      </w:r>
    </w:p>
    <w:bookmarkEnd w:id="1917"/>
    <w:bookmarkStart w:id="1920" w:name="risiken-und-nebenwirkungen-44"/>
    <w:p>
      <w:pPr>
        <w:pStyle w:val="Heading3"/>
      </w:pPr>
      <w:r>
        <w:t xml:space="preserve">Risiken und Nebenwirkungen</w:t>
      </w:r>
    </w:p>
    <w:p>
      <w:pPr>
        <w:pStyle w:val="FirstParagraph"/>
      </w:pPr>
      <w:r>
        <w:rPr>
          <w:bCs/>
          <w:b/>
        </w:rPr>
        <w:t xml:space="preserve">Belegt:</w:t>
      </w:r>
      <w:r>
        <w:t xml:space="preserve"> </w:t>
      </w:r>
      <w:r>
        <w:t xml:space="preserve">Keine Daten am Menschen.</w:t>
      </w:r>
    </w:p>
    <w:p>
      <w:pPr>
        <w:pStyle w:val="BodyText"/>
      </w:pPr>
      <w:r>
        <w:rPr>
          <w:bCs/>
          <w:b/>
        </w:rPr>
        <w:t xml:space="preserve">Theoretisch – und teils durch Tierdaten gestützt:</w:t>
      </w:r>
    </w:p>
    <w:p>
      <w:pPr>
        <w:numPr>
          <w:ilvl w:val="0"/>
          <w:numId w:val="1243"/>
        </w:numPr>
        <w:pStyle w:val="Compact"/>
      </w:pPr>
      <w:r>
        <w:rPr>
          <w:bCs/>
          <w:b/>
        </w:rPr>
        <w:t xml:space="preserve">Gefäße und Lunge:</w:t>
      </w:r>
      <w:r>
        <w:t xml:space="preserve"> </w:t>
      </w:r>
      <w:r>
        <w:t xml:space="preserve">Im Tiermodell verschlechterte FOXO4-DRI einen bestehenden Lungenhochdruck</w:t>
      </w:r>
      <w:r>
        <w:rPr>
          <w:rStyle w:val="FootnoteReference"/>
        </w:rPr>
        <w:footnoteReference w:id="1918"/>
      </w:r>
      <w:r>
        <w:t xml:space="preserve">.</w:t>
      </w:r>
    </w:p>
    <w:p>
      <w:pPr>
        <w:numPr>
          <w:ilvl w:val="0"/>
          <w:numId w:val="1243"/>
        </w:numPr>
        <w:pStyle w:val="Compact"/>
      </w:pPr>
      <w:r>
        <w:rPr>
          <w:bCs/>
          <w:b/>
        </w:rPr>
        <w:t xml:space="preserve">p53 und Krebs:</w:t>
      </w:r>
      <w:r>
        <w:t xml:space="preserve"> </w:t>
      </w:r>
      <w:r>
        <w:t xml:space="preserve">p53 ist einer der wichtigsten Tumor-Unterdrücker des Körpers. FOXO4-DRI verändert gezielt, wo sich p53 in der Zelle aufhält. Welche Folgen das langfristig für die Krebsabwehr hat, ist nicht untersucht. Die Entwickler sehen das Prinzip umgekehrt auch als Ansatz für die Krebstherapie</w:t>
      </w:r>
      <w:r>
        <w:rPr>
          <w:rStyle w:val="FootnoteReference"/>
        </w:rPr>
        <w:footnoteReference w:id="1919"/>
      </w:r>
      <w:r>
        <w:t xml:space="preserve">.</w:t>
      </w:r>
    </w:p>
    <w:p>
      <w:pPr>
        <w:numPr>
          <w:ilvl w:val="0"/>
          <w:numId w:val="1243"/>
        </w:numPr>
        <w:pStyle w:val="Compact"/>
      </w:pPr>
      <w:r>
        <w:rPr>
          <w:bCs/>
          <w:b/>
        </w:rPr>
        <w:t xml:space="preserve">Wundheilung und Gewebereparatur:</w:t>
      </w:r>
      <w:r>
        <w:t xml:space="preserve"> </w:t>
      </w:r>
      <w:r>
        <w:t xml:space="preserve">Seneszente Zellen wirken auch an Wundheilung und Gewebeumbau mit; deren Beseitigung kann diese Prozesse stören.</w:t>
      </w:r>
    </w:p>
    <w:p>
      <w:pPr>
        <w:numPr>
          <w:ilvl w:val="0"/>
          <w:numId w:val="1243"/>
        </w:numPr>
        <w:pStyle w:val="Compact"/>
      </w:pPr>
      <w:r>
        <w:rPr>
          <w:bCs/>
          <w:b/>
        </w:rPr>
        <w:t xml:space="preserve">Immunreaktionen:</w:t>
      </w:r>
      <w:r>
        <w:t xml:space="preserve"> </w:t>
      </w:r>
      <w:r>
        <w:t xml:space="preserve">Das Peptid enthält einen Abschnitt aus einem Virus-Eiweiß und ist relativ groß; Immunreaktionen bei wiederholter Gabe sind denkbar, aber nicht untersucht.</w:t>
      </w:r>
    </w:p>
    <w:p>
      <w:pPr>
        <w:pStyle w:val="FirstParagraph"/>
      </w:pPr>
      <w:r>
        <w:rPr>
          <w:bCs/>
          <w:b/>
        </w:rPr>
        <w:t xml:space="preserve">Graumarkt:</w:t>
      </w:r>
      <w:r>
        <w:t xml:space="preserve"> </w:t>
      </w:r>
      <w:r>
        <w:t xml:space="preserve">FOXO4-DRI wird online als „Senolytikum“ zur Injektion angeboten, oft zu hohen Preisen. Die Herstellung eines langen Peptids aus D-Aminosäuren ist anspruchsvoll; ob verkaufte Produkte tatsächlich die richtige Sequenz und Reinheit haben, ist ungeprüft.</w:t>
      </w:r>
    </w:p>
    <w:bookmarkEnd w:id="1920"/>
    <w:bookmarkStart w:id="1921" w:name="rechtslage-44"/>
    <w:p>
      <w:pPr>
        <w:pStyle w:val="Heading3"/>
      </w:pPr>
      <w:r>
        <w:t xml:space="preserve">Rechtslage</w:t>
      </w:r>
    </w:p>
    <w:p>
      <w:pPr>
        <w:numPr>
          <w:ilvl w:val="0"/>
          <w:numId w:val="1244"/>
        </w:numPr>
        <w:pStyle w:val="Compact"/>
      </w:pPr>
      <w:r>
        <w:rPr>
          <w:bCs/>
          <w:b/>
        </w:rPr>
        <w:t xml:space="preserve">EU / Österreich / Deutschland:</w:t>
      </w:r>
      <w:r>
        <w:t xml:space="preserve"> </w:t>
      </w:r>
      <w:r>
        <w:t xml:space="preserve">nicht zugelassen; als Stoff mit pharmakologischer Wirkung gilt FOXO4-DRI als Arzneimittel, ein Verkauf zur Anwendung am Menschen ist nicht erlaubt.</w:t>
      </w:r>
    </w:p>
    <w:p>
      <w:pPr>
        <w:numPr>
          <w:ilvl w:val="0"/>
          <w:numId w:val="1244"/>
        </w:numPr>
        <w:pStyle w:val="Compact"/>
      </w:pPr>
      <w:r>
        <w:rPr>
          <w:bCs/>
          <w:b/>
        </w:rPr>
        <w:t xml:space="preserve">USA:</w:t>
      </w:r>
      <w:r>
        <w:t xml:space="preserve"> </w:t>
      </w:r>
      <w:r>
        <w:t xml:space="preserve">nicht zugelassen.</w:t>
      </w:r>
    </w:p>
    <w:p>
      <w:pPr>
        <w:numPr>
          <w:ilvl w:val="0"/>
          <w:numId w:val="1244"/>
        </w:numPr>
        <w:pStyle w:val="Compact"/>
      </w:pPr>
      <w:r>
        <w:rPr>
          <w:bCs/>
          <w:b/>
        </w:rPr>
        <w:t xml:space="preserve">Sport:</w:t>
      </w:r>
      <w:r>
        <w:t xml:space="preserve"> </w:t>
      </w:r>
      <w:r>
        <w:t xml:space="preserve">nach unserer Einschätzung WADA-Kategorie S0 (Stand 2026, bitte aktuell prüfen).</w:t>
      </w:r>
    </w:p>
    <w:bookmarkEnd w:id="1921"/>
    <w:bookmarkStart w:id="1922" w:name="laufende-studien-und-ausblick-44"/>
    <w:p>
      <w:pPr>
        <w:pStyle w:val="Heading3"/>
      </w:pPr>
      <w:r>
        <w:t xml:space="preserve">Laufende Studien und Ausblick</w:t>
      </w:r>
    </w:p>
    <w:p>
      <w:pPr>
        <w:pStyle w:val="FirstParagraph"/>
      </w:pPr>
      <w:r>
        <w:rPr>
          <w:bCs/>
          <w:b/>
        </w:rPr>
        <w:t xml:space="preserve">Gesichert:</w:t>
      </w:r>
      <w:r>
        <w:t xml:space="preserve"> </w:t>
      </w:r>
      <w:r>
        <w:t xml:space="preserve">Keine registrierte klinische Studie mit FOXO4-DRI (Abfrage Oktober 2026). Die Entwicklergruppe arbeitet an Weiterentwicklungen des Prinzips; klinische Studien mit Senolytika laufen vor allem mit anderen Wirkstoffen.</w:t>
      </w:r>
    </w:p>
    <w:p>
      <w:pPr>
        <w:pStyle w:val="BodyText"/>
      </w:pPr>
      <w:r>
        <w:rPr>
          <w:bCs/>
          <w:b/>
        </w:rPr>
        <w:t xml:space="preserve">Einschätzung:</w:t>
      </w:r>
      <w:r>
        <w:t xml:space="preserve"> </w:t>
      </w:r>
      <w:r>
        <w:t xml:space="preserve">Die Senolytika-Forschung ist eines der spannendsten Felder der Altersforschung, aber die ersten kontrollierten Studien am Menschen waren ernüchternd. Für FOXO4-DRI wären zunächst systematische Toxizitätsstudien und eine erste vorsichtige Studie am Menschen nötig – idealerweise bei einer klar definierten Erkrankung, nicht als allgemeines „Anti-Aging“.</w:t>
      </w:r>
    </w:p>
    <w:bookmarkEnd w:id="1922"/>
    <w:bookmarkStart w:id="1923" w:name="fazit-44"/>
    <w:p>
      <w:pPr>
        <w:pStyle w:val="Heading3"/>
      </w:pPr>
      <w:r>
        <w:t xml:space="preserve">Fazit</w:t>
      </w:r>
    </w:p>
    <w:p>
      <w:pPr>
        <w:pStyle w:val="FirstParagraph"/>
      </w:pPr>
      <w:r>
        <w:t xml:space="preserve">FOXO4-DRI ist ein künstliches Peptid, das in Zellkulturen und bei Mäusen gezielt seneszente Zellen beseitigte und bei gealterten Tieren Fitness, Fell und Nierenfunktion verbesserte. Am Menschen wurde es nie untersucht. In Tiermodellen des Lungenhochdrucks verschlechterte die Entfernung seneszenter Zellen mit FOXO4-DRI den Krankheitsverlauf, und der Eingriff in das Krebsschutz-Eiweiß p53 wirft offene Fragen auf. Die Daten reichen nicht aus, um Nutzen oder Sicherheit beim Menschen zu beurteilen.</w:t>
      </w:r>
    </w:p>
    <w:bookmarkEnd w:id="1923"/>
    <w:bookmarkEnd w:id="1924"/>
    <w:bookmarkStart w:id="1956" w:name="glutathion"/>
    <w:p>
      <w:pPr>
        <w:pStyle w:val="Heading2"/>
      </w:pPr>
      <w:r>
        <w:t xml:space="preserve">Glutathion</w:t>
      </w:r>
    </w:p>
    <w:bookmarkStart w:id="1925" w:name="steckbrief-45"/>
    <w:p>
      <w:pPr>
        <w:pStyle w:val="Heading3"/>
      </w:pPr>
      <w:r>
        <w:t xml:space="preserve">Steckbrief</w:t>
      </w:r>
    </w:p>
    <w:p>
      <w:pPr>
        <w:numPr>
          <w:ilvl w:val="0"/>
          <w:numId w:val="1245"/>
        </w:numPr>
        <w:pStyle w:val="Compact"/>
      </w:pPr>
      <w:r>
        <w:rPr>
          <w:bCs/>
          <w:b/>
        </w:rPr>
        <w:t xml:space="preserve">Art und Struktur:</w:t>
      </w:r>
      <w:r>
        <w:t xml:space="preserve"> </w:t>
      </w:r>
      <w:r>
        <w:t xml:space="preserve">Tripeptid aus drei Aminosäuren – Glutaminsäure, Cystein und Glycin (γ-Glutamyl-Cysteinyl-Glycin, abgekürzt GSH). Die reduzierte Form (GSH) ist die aktive; bei der Abwehr von Oxidation werden zwei Moleküle zu oxidiertem Glutathion (GSSG) verbunden.</w:t>
      </w:r>
    </w:p>
    <w:p>
      <w:pPr>
        <w:numPr>
          <w:ilvl w:val="0"/>
          <w:numId w:val="1245"/>
        </w:numPr>
        <w:pStyle w:val="Compact"/>
      </w:pPr>
      <w:r>
        <w:rPr>
          <w:bCs/>
          <w:b/>
        </w:rPr>
        <w:t xml:space="preserve">Herkunft:</w:t>
      </w:r>
      <w:r>
        <w:t xml:space="preserve"> </w:t>
      </w:r>
      <w:r>
        <w:t xml:space="preserve">wird von praktisch allen Körperzellen selbst gebildet, besonders viel in der Leber. Als Präparat wird es meist durch Fermentation mit Hefen hergestellt.</w:t>
      </w:r>
    </w:p>
    <w:p>
      <w:pPr>
        <w:numPr>
          <w:ilvl w:val="0"/>
          <w:numId w:val="1245"/>
        </w:numPr>
        <w:pStyle w:val="Compact"/>
      </w:pPr>
      <w:r>
        <w:rPr>
          <w:bCs/>
          <w:b/>
        </w:rPr>
        <w:t xml:space="preserve">Wirkprinzip:</w:t>
      </w:r>
      <w:r>
        <w:t xml:space="preserve"> </w:t>
      </w:r>
      <w:r>
        <w:t xml:space="preserve">wichtigster körpereigener Schutzstoff gegen Oxidation in Zellen; beteiligt an der Entgiftung von Medikamenten und Schadstoffen (etwa beim Abbau von Paracetamol) und an der Regulation von Immunzellen. In der Haut verschiebt es die Pigmentbildung vom dunklen zum helleren Melanin.</w:t>
      </w:r>
    </w:p>
    <w:p>
      <w:pPr>
        <w:numPr>
          <w:ilvl w:val="0"/>
          <w:numId w:val="1245"/>
        </w:numPr>
        <w:pStyle w:val="Compact"/>
      </w:pPr>
      <w:r>
        <w:rPr>
          <w:bCs/>
          <w:b/>
        </w:rPr>
        <w:t xml:space="preserve">Zulassung EU:</w:t>
      </w:r>
      <w:r>
        <w:t xml:space="preserve"> </w:t>
      </w:r>
      <w:r>
        <w:t xml:space="preserve">als Nahrungsergänzungsmittel verbreitet im Handel; als Arzneimittel zur Injektion nur in einzelnen Ländern für eng umrissene Anwendungsgebiete, nicht zur Hautaufhellung.</w:t>
      </w:r>
    </w:p>
    <w:p>
      <w:pPr>
        <w:numPr>
          <w:ilvl w:val="0"/>
          <w:numId w:val="1245"/>
        </w:numPr>
        <w:pStyle w:val="Compact"/>
      </w:pPr>
      <w:r>
        <w:rPr>
          <w:bCs/>
          <w:b/>
        </w:rPr>
        <w:t xml:space="preserve">Zulassung USA:</w:t>
      </w:r>
      <w:r>
        <w:t xml:space="preserve"> </w:t>
      </w:r>
      <w:r>
        <w:t xml:space="preserve">kein von der FDA zugelassenes Glutathion-Arzneimittel; erhältlich als Nahrungsergänzungsmittel und als Apotheken-Rezeptur.</w:t>
      </w:r>
    </w:p>
    <w:p>
      <w:pPr>
        <w:numPr>
          <w:ilvl w:val="0"/>
          <w:numId w:val="1245"/>
        </w:numPr>
        <w:pStyle w:val="Compact"/>
      </w:pPr>
      <w:r>
        <w:rPr>
          <w:bCs/>
          <w:b/>
        </w:rPr>
        <w:t xml:space="preserve">WADA:</w:t>
      </w:r>
      <w:r>
        <w:t xml:space="preserve"> </w:t>
      </w:r>
      <w:r>
        <w:t xml:space="preserve">Glutathion selbst ist nicht verboten. Infusionen oder Injektionen von mehr als 100 ml innerhalb von zwölf Stunden sind jedoch als verbotene Methode (M2) erfasst, außer im Rahmen einer Krankenhausbehandlung oder Untersuchung.</w:t>
      </w:r>
    </w:p>
    <w:p>
      <w:pPr>
        <w:numPr>
          <w:ilvl w:val="0"/>
          <w:numId w:val="1245"/>
        </w:numPr>
        <w:pStyle w:val="Compact"/>
      </w:pPr>
      <w:r>
        <w:rPr>
          <w:bCs/>
          <w:b/>
        </w:rPr>
        <w:t xml:space="preserve">Evidenzstufe:</w:t>
      </w:r>
      <w:r>
        <w:t xml:space="preserve"> </w:t>
      </w:r>
      <w:r>
        <w:rPr>
          <w:bCs/>
          <w:b/>
        </w:rPr>
        <w:t xml:space="preserve">B</w:t>
      </w:r>
      <w:r>
        <w:t xml:space="preserve"> </w:t>
      </w:r>
      <w:r>
        <w:t xml:space="preserve">– zahlreiche randomisierte, überwiegend kleine Studien mit wechselnden Ergebnissen; keine Zulassung auf Basis großer Endpunktstudien.</w:t>
      </w:r>
    </w:p>
    <w:bookmarkEnd w:id="1925"/>
    <w:bookmarkStart w:id="1926" w:name="wie-es-wirken-soll-45"/>
    <w:p>
      <w:pPr>
        <w:pStyle w:val="Heading3"/>
      </w:pPr>
      <w:r>
        <w:t xml:space="preserve">Wie es wirken soll</w:t>
      </w:r>
    </w:p>
    <w:p>
      <w:pPr>
        <w:pStyle w:val="FirstParagraph"/>
      </w:pPr>
      <w:r>
        <w:t xml:space="preserve">Glutathion ist ein ganz gewöhnlicher Bestandteil jeder Zelle. Es fängt reaktive Sauerstoffverbindungen ab, hilft Enzymen bei der Entgiftung und hält andere Schutzstoffe wie Vitamin C und E in ihrer aktiven Form. Bei vielen Erkrankungen – etwa Diabetes, Lebererkrankungen, HIV, Parkinson – und mit zunehmendem Alter sind die Glutathion-Spiegel in Blut oder Gewebe niedriger. Daraus entstand die naheliegende Idee, Glutathion von außen zuzuführen.</w:t>
      </w:r>
    </w:p>
    <w:p>
      <w:pPr>
        <w:pStyle w:val="BodyText"/>
      </w:pPr>
      <w:r>
        <w:t xml:space="preserve">Das ist aus drei Gründen schwieriger, als es klingt:</w:t>
      </w:r>
    </w:p>
    <w:p>
      <w:pPr>
        <w:numPr>
          <w:ilvl w:val="0"/>
          <w:numId w:val="1246"/>
        </w:numPr>
        <w:pStyle w:val="Compact"/>
      </w:pPr>
      <w:r>
        <w:rPr>
          <w:bCs/>
          <w:b/>
        </w:rPr>
        <w:t xml:space="preserve">Verdauung:</w:t>
      </w:r>
      <w:r>
        <w:t xml:space="preserve"> </w:t>
      </w:r>
      <w:r>
        <w:t xml:space="preserve">Als Peptid wird Glutathion im Darm teilweise zerlegt; lange galt es deshalb als kaum wirksam beim Schlucken.</w:t>
      </w:r>
    </w:p>
    <w:p>
      <w:pPr>
        <w:numPr>
          <w:ilvl w:val="0"/>
          <w:numId w:val="1246"/>
        </w:numPr>
        <w:pStyle w:val="Compact"/>
      </w:pPr>
      <w:r>
        <w:rPr>
          <w:bCs/>
          <w:b/>
        </w:rPr>
        <w:t xml:space="preserve">Aufnahme in Zellen:</w:t>
      </w:r>
      <w:r>
        <w:t xml:space="preserve"> </w:t>
      </w:r>
      <w:r>
        <w:t xml:space="preserve">Glutathion wird überwiegend</w:t>
      </w:r>
      <w:r>
        <w:t xml:space="preserve"> </w:t>
      </w:r>
      <w:r>
        <w:rPr>
          <w:iCs/>
          <w:i/>
        </w:rPr>
        <w:t xml:space="preserve">in</w:t>
      </w:r>
      <w:r>
        <w:t xml:space="preserve"> </w:t>
      </w:r>
      <w:r>
        <w:t xml:space="preserve">den Zellen gebildet; aus dem Blut gelangt es nur begrenzt hinein.</w:t>
      </w:r>
    </w:p>
    <w:p>
      <w:pPr>
        <w:numPr>
          <w:ilvl w:val="0"/>
          <w:numId w:val="1246"/>
        </w:numPr>
        <w:pStyle w:val="Compact"/>
      </w:pPr>
      <w:r>
        <w:rPr>
          <w:bCs/>
          <w:b/>
        </w:rPr>
        <w:t xml:space="preserve">Kurze Verweildauer:</w:t>
      </w:r>
      <w:r>
        <w:t xml:space="preserve"> </w:t>
      </w:r>
      <w:r>
        <w:t xml:space="preserve">Infundiertes Glutathion wird im Blut rasch abgebaut.</w:t>
      </w:r>
    </w:p>
    <w:p>
      <w:pPr>
        <w:pStyle w:val="FirstParagraph"/>
      </w:pPr>
      <w:r>
        <w:t xml:space="preserve">Deshalb werden verschiedene Darreichungsformen angeboten: Kapseln und Tabletten,</w:t>
      </w:r>
      <w:r>
        <w:t xml:space="preserve"> </w:t>
      </w:r>
      <w:r>
        <w:rPr>
          <w:bCs/>
          <w:b/>
        </w:rPr>
        <w:t xml:space="preserve">liposomales</w:t>
      </w:r>
      <w:r>
        <w:t xml:space="preserve"> </w:t>
      </w:r>
      <w:r>
        <w:t xml:space="preserve">Glutathion (in Fettbläschen verpackt), Lutschtabletten und Filme für die Mundschleimhaut, Nasenspray, Cremes – und</w:t>
      </w:r>
      <w:r>
        <w:t xml:space="preserve"> </w:t>
      </w:r>
      <w:r>
        <w:rPr>
          <w:bCs/>
          <w:b/>
        </w:rPr>
        <w:t xml:space="preserve">Infusionen</w:t>
      </w:r>
      <w:r>
        <w:t xml:space="preserve"> </w:t>
      </w:r>
      <w:r>
        <w:t xml:space="preserve">in die Vene. Außerdem gibt es Vorstufen wie N-Acetylcystein (NAC) oder Glycin plus NAC, die der Körper zur Eigenbildung nutzt; sie sind nicht Thema dieses Kapitels.</w:t>
      </w:r>
    </w:p>
    <w:p>
      <w:pPr>
        <w:pStyle w:val="BodyText"/>
      </w:pPr>
      <w:r>
        <w:t xml:space="preserve">Für die Hautaufhellung wird ein weiterer Mechanismus angenommen: Glutathion hemmt in Laborversuchen das Enzym Tyrosinase und lenkt die Pigmentbildung von dunklem Eumelanin zu hellerem Phäomelanin um.</w:t>
      </w:r>
    </w:p>
    <w:bookmarkEnd w:id="1926"/>
    <w:bookmarkStart w:id="1946" w:name="studien-am-menschen-4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161 als Humanstudien klassifizierte Veröffentlichungen, dazu 15 Übersichten und Meta-Analysen. Auf ClinicalTrials.gov waren 273 Studien registriert. Beide Zahlen überschätzen die direkte Datenlage deutlich: Viele Treffer messen nur Glutathion als Laborwert (etwa unter Selen, Vitaminen, Sport oder NAC) oder betreffen das Enzym Glutathion-S-Transferase. Studien, in denen Glutathion selbst gegeben wurde, sind eine Minderheit – aber immerhin einige Dutzend.</w:t>
      </w:r>
    </w:p>
    <w:bookmarkStart w:id="1930" w:name="X8ea8cc8fd3be10399d99ee61b14185a7298e01b"/>
    <w:p>
      <w:pPr>
        <w:pStyle w:val="Heading4"/>
      </w:pPr>
      <w:r>
        <w:t xml:space="preserve">Kommt geschlucktes Glutathion überhaupt 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Allen 2011, PMID 21875351</w:t>
            </w:r>
          </w:p>
        </w:tc>
        <w:tc>
          <w:tcPr/>
          <w:p>
            <w:pPr>
              <w:pStyle w:val="Compact"/>
              <w:jc w:val="left"/>
            </w:pPr>
            <w:r>
              <w:t xml:space="preserve">40 Gesunde, Kapseln gegen Placebo, doppelblind</w:t>
            </w:r>
          </w:p>
        </w:tc>
        <w:tc>
          <w:tcPr/>
          <w:p>
            <w:pPr>
              <w:pStyle w:val="Compact"/>
              <w:jc w:val="left"/>
            </w:pPr>
            <w:r>
              <w:t xml:space="preserve">4 Wochen</w:t>
            </w:r>
          </w:p>
        </w:tc>
        <w:tc>
          <w:tcPr/>
          <w:p>
            <w:pPr>
              <w:pStyle w:val="Compact"/>
              <w:jc w:val="left"/>
            </w:pPr>
            <w:r>
              <w:t xml:space="preserve">keine Veränderung der Glutathion-Spiegel oder Oxidationsmarker</w:t>
            </w:r>
          </w:p>
        </w:tc>
      </w:tr>
      <w:tr>
        <w:tc>
          <w:tcPr/>
          <w:p>
            <w:pPr>
              <w:pStyle w:val="Compact"/>
              <w:jc w:val="left"/>
            </w:pPr>
            <w:r>
              <w:t xml:space="preserve">Richie 2015, PMID 24791752</w:t>
            </w:r>
          </w:p>
        </w:tc>
        <w:tc>
          <w:tcPr/>
          <w:p>
            <w:pPr>
              <w:pStyle w:val="Compact"/>
              <w:jc w:val="left"/>
            </w:pPr>
            <w:r>
              <w:t xml:space="preserve">54 Gesunde, zwei Dosen gegen Placebo, doppelblind</w:t>
            </w:r>
          </w:p>
        </w:tc>
        <w:tc>
          <w:tcPr/>
          <w:p>
            <w:pPr>
              <w:pStyle w:val="Compact"/>
              <w:jc w:val="left"/>
            </w:pPr>
            <w:r>
              <w:t xml:space="preserve">6 Monate</w:t>
            </w:r>
          </w:p>
        </w:tc>
        <w:tc>
          <w:tcPr/>
          <w:p>
            <w:pPr>
              <w:pStyle w:val="Compact"/>
              <w:jc w:val="left"/>
            </w:pPr>
            <w:r>
              <w:t xml:space="preserve">Spiegel in Blutzellen und Plasma um 30–35 % höher (hohe Dosis); nach Absetzen zurück</w:t>
            </w:r>
          </w:p>
        </w:tc>
      </w:tr>
      <w:tr>
        <w:tc>
          <w:tcPr/>
          <w:p>
            <w:pPr>
              <w:pStyle w:val="Compact"/>
              <w:jc w:val="left"/>
            </w:pPr>
            <w:r>
              <w:t xml:space="preserve">Sinha 2018, PMID 28853742</w:t>
            </w:r>
          </w:p>
        </w:tc>
        <w:tc>
          <w:tcPr/>
          <w:p>
            <w:pPr>
              <w:pStyle w:val="Compact"/>
              <w:jc w:val="left"/>
            </w:pPr>
            <w:r>
              <w:t xml:space="preserve">12 Gesunde, liposomales Glutathion, ohne Placebo</w:t>
            </w:r>
          </w:p>
        </w:tc>
        <w:tc>
          <w:tcPr/>
          <w:p>
            <w:pPr>
              <w:pStyle w:val="Compact"/>
              <w:jc w:val="left"/>
            </w:pPr>
            <w:r>
              <w:t xml:space="preserve">4 Wochen</w:t>
            </w:r>
          </w:p>
        </w:tc>
        <w:tc>
          <w:tcPr/>
          <w:p>
            <w:pPr>
              <w:pStyle w:val="Compact"/>
              <w:jc w:val="left"/>
            </w:pPr>
            <w:r>
              <w:t xml:space="preserve">Spiegel in Vollblut bis 40 % höher, in Immunzellen bis 100 %</w:t>
            </w:r>
          </w:p>
        </w:tc>
      </w:tr>
      <w:tr>
        <w:tc>
          <w:tcPr/>
          <w:p>
            <w:pPr>
              <w:pStyle w:val="Compact"/>
              <w:jc w:val="left"/>
            </w:pPr>
            <w:r>
              <w:t xml:space="preserve">Schmitt 2015, PMID 26262996</w:t>
            </w:r>
          </w:p>
        </w:tc>
        <w:tc>
          <w:tcPr/>
          <w:p>
            <w:pPr>
              <w:pStyle w:val="Compact"/>
              <w:jc w:val="left"/>
            </w:pPr>
            <w:r>
              <w:t xml:space="preserve">20 Personen mit metabolischem Syndrom, Überkreuz: Kapsel, Sublingual-Form, NAC</w:t>
            </w:r>
          </w:p>
        </w:tc>
        <w:tc>
          <w:tcPr/>
          <w:p>
            <w:pPr>
              <w:pStyle w:val="Compact"/>
              <w:jc w:val="left"/>
            </w:pPr>
            <w:r>
              <w:t xml:space="preserve">je 3 Wochen</w:t>
            </w:r>
          </w:p>
        </w:tc>
        <w:tc>
          <w:tcPr/>
          <w:p>
            <w:pPr>
              <w:pStyle w:val="Compact"/>
              <w:jc w:val="left"/>
            </w:pPr>
            <w:r>
              <w:t xml:space="preserve">Sublingual-Form erhöhte Plasmaspiegel stärker als Kapseln</w:t>
            </w:r>
          </w:p>
        </w:tc>
      </w:tr>
      <w:tr>
        <w:tc>
          <w:tcPr/>
          <w:p>
            <w:pPr>
              <w:pStyle w:val="Compact"/>
              <w:jc w:val="left"/>
            </w:pPr>
            <w:r>
              <w:t xml:space="preserve">Jung 2026, PMID 42392376</w:t>
            </w:r>
          </w:p>
        </w:tc>
        <w:tc>
          <w:tcPr/>
          <w:p>
            <w:pPr>
              <w:pStyle w:val="Compact"/>
              <w:jc w:val="left"/>
            </w:pPr>
            <w:r>
              <w:t xml:space="preserve">Gesunde, Film zum Auflösen im Mund gegen Tablette</w:t>
            </w:r>
          </w:p>
        </w:tc>
        <w:tc>
          <w:tcPr/>
          <w:p>
            <w:pPr>
              <w:pStyle w:val="Compact"/>
              <w:jc w:val="left"/>
            </w:pPr>
            <w:r>
              <w:t xml:space="preserve">Einzeldosis und 4 Wochen</w:t>
            </w:r>
          </w:p>
        </w:tc>
        <w:tc>
          <w:tcPr/>
          <w:p>
            <w:pPr>
              <w:pStyle w:val="Compact"/>
              <w:jc w:val="left"/>
            </w:pPr>
            <w:r>
              <w:t xml:space="preserve">beide Formen erhöhten Blutspiegel; keine Änderung der Oxidationsmarker</w:t>
            </w:r>
          </w:p>
        </w:tc>
      </w:tr>
    </w:tbl>
    <w:p>
      <w:pPr>
        <w:pStyle w:val="BodyText"/>
      </w:pPr>
      <w:r>
        <w:t xml:space="preserve">Die Frage war lange umstritten. Eine kurze Studie mit 40 Gesunden fand nach vier Wochen keinerlei Veränderung</w:t>
      </w:r>
      <w:r>
        <w:rPr>
          <w:rStyle w:val="FootnoteReference"/>
        </w:rPr>
        <w:footnoteReference w:id="1927"/>
      </w:r>
      <w:r>
        <w:t xml:space="preserve">. Eine längere, ebenfalls doppelblinde Studie mit 54 Gesunden fand dagegen nach sechs Monaten dosisabhängig höhere Glutathion-Spiegel in Blut, Blutzellen und Mundschleimhaut; einen Monat nach dem Absetzen waren die Werte wieder auf dem Ausgangsniveau</w:t>
      </w:r>
      <w:r>
        <w:rPr>
          <w:rStyle w:val="FootnoteReference"/>
        </w:rPr>
        <w:footnoteReference w:id="1928"/>
      </w:r>
      <w:r>
        <w:t xml:space="preserve">. Eine kleine Pilotstudie ohne Placebogruppe berichtete für liposomales Glutathion bereits nach ein bis zwei Wochen Anstiege</w:t>
      </w:r>
      <w:r>
        <w:rPr>
          <w:rStyle w:val="FootnoteReference"/>
        </w:rPr>
        <w:footnoteReference w:id="1929"/>
      </w:r>
      <w:r>
        <w:t xml:space="preserve">.</w:t>
      </w:r>
    </w:p>
    <w:p>
      <w:pPr>
        <w:pStyle w:val="BodyText"/>
      </w:pPr>
      <w:r>
        <w:t xml:space="preserve">Zusammengefasst: Geschlucktes Glutathion kann die Spiegel im Blut messbar erhöhen, vermutlich abhängig von Dosis, Dauer und Darreichungsform. Ob höhere Spiegel im Blut auch zu gesundheitlichem Nutzen führen, ist eine andere Frage.</w:t>
      </w:r>
    </w:p>
    <w:bookmarkEnd w:id="1930"/>
    <w:bookmarkStart w:id="1938" w:name="krankheitsbezogene-studien"/>
    <w:p>
      <w:pPr>
        <w:pStyle w:val="Heading4"/>
      </w:pPr>
      <w:r>
        <w:t xml:space="preserve">Krankheitsbezogene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Leal 2014, PMID 24619793</w:t>
            </w:r>
          </w:p>
        </w:tc>
        <w:tc>
          <w:tcPr/>
          <w:p>
            <w:pPr>
              <w:pStyle w:val="Compact"/>
              <w:jc w:val="left"/>
            </w:pPr>
            <w:r>
              <w:t xml:space="preserve">185 Krebspatientinnen und -patienten unter Paclitaxel/Carboplatin, Infusion gegen Placebo, Phase 3</w:t>
            </w:r>
          </w:p>
        </w:tc>
        <w:tc>
          <w:tcPr/>
          <w:p>
            <w:pPr>
              <w:pStyle w:val="Compact"/>
              <w:jc w:val="left"/>
            </w:pPr>
            <w:r>
              <w:t xml:space="preserve">Chemotherapie-Dauer</w:t>
            </w:r>
          </w:p>
        </w:tc>
        <w:tc>
          <w:tcPr/>
          <w:p>
            <w:pPr>
              <w:pStyle w:val="Compact"/>
              <w:jc w:val="left"/>
            </w:pPr>
            <w:r>
              <w:rPr>
                <w:bCs/>
                <w:b/>
              </w:rPr>
              <w:t xml:space="preserve">keine</w:t>
            </w:r>
            <w:r>
              <w:t xml:space="preserve"> </w:t>
            </w:r>
            <w:r>
              <w:t xml:space="preserve">Verringerung der Nervenschäden durch Chemotherapie</w:t>
            </w:r>
          </w:p>
        </w:tc>
      </w:tr>
      <w:tr>
        <w:tc>
          <w:tcPr/>
          <w:p>
            <w:pPr>
              <w:pStyle w:val="Compact"/>
              <w:jc w:val="left"/>
            </w:pPr>
            <w:r>
              <w:t xml:space="preserve">Hauser 2009, PMID 19230029</w:t>
            </w:r>
          </w:p>
        </w:tc>
        <w:tc>
          <w:tcPr/>
          <w:p>
            <w:pPr>
              <w:pStyle w:val="Compact"/>
              <w:jc w:val="left"/>
            </w:pPr>
            <w:r>
              <w:t xml:space="preserve">21 Personen mit Parkinson, Infusion gegen Placebo</w:t>
            </w:r>
          </w:p>
        </w:tc>
        <w:tc>
          <w:tcPr/>
          <w:p>
            <w:pPr>
              <w:pStyle w:val="Compact"/>
              <w:jc w:val="left"/>
            </w:pPr>
            <w:r>
              <w:t xml:space="preserve">4 Wochen</w:t>
            </w:r>
          </w:p>
        </w:tc>
        <w:tc>
          <w:tcPr/>
          <w:p>
            <w:pPr>
              <w:pStyle w:val="Compact"/>
              <w:jc w:val="left"/>
            </w:pPr>
            <w:r>
              <w:t xml:space="preserve">kein signifikanter Unterschied in der Parkinson-Skala</w:t>
            </w:r>
          </w:p>
        </w:tc>
      </w:tr>
      <w:tr>
        <w:tc>
          <w:tcPr/>
          <w:p>
            <w:pPr>
              <w:pStyle w:val="Compact"/>
              <w:jc w:val="left"/>
            </w:pPr>
            <w:r>
              <w:t xml:space="preserve">Mischley 2017, PMID 28436395</w:t>
            </w:r>
          </w:p>
        </w:tc>
        <w:tc>
          <w:tcPr/>
          <w:p>
            <w:pPr>
              <w:pStyle w:val="Compact"/>
              <w:jc w:val="left"/>
            </w:pPr>
            <w:r>
              <w:t xml:space="preserve">45 Personen mit Parkinson, Nasenspray in zwei Dosen gegen Placebo</w:t>
            </w:r>
          </w:p>
        </w:tc>
        <w:tc>
          <w:tcPr/>
          <w:p>
            <w:pPr>
              <w:pStyle w:val="Compact"/>
              <w:jc w:val="left"/>
            </w:pPr>
            <w:r>
              <w:t xml:space="preserve">3 Monate</w:t>
            </w:r>
          </w:p>
        </w:tc>
        <w:tc>
          <w:tcPr/>
          <w:p>
            <w:pPr>
              <w:pStyle w:val="Compact"/>
              <w:jc w:val="left"/>
            </w:pPr>
            <w:r>
              <w:t xml:space="preserve">alle Gruppen besserten sich, Glutathion nicht besser als Placebo</w:t>
            </w:r>
          </w:p>
        </w:tc>
      </w:tr>
      <w:tr>
        <w:tc>
          <w:tcPr/>
          <w:p>
            <w:pPr>
              <w:pStyle w:val="Compact"/>
              <w:jc w:val="left"/>
            </w:pPr>
            <w:r>
              <w:t xml:space="preserve">Bozic 2020, PMID 32960827</w:t>
            </w:r>
          </w:p>
        </w:tc>
        <w:tc>
          <w:tcPr/>
          <w:p>
            <w:pPr>
              <w:pStyle w:val="Compact"/>
              <w:jc w:val="left"/>
            </w:pPr>
            <w:r>
              <w:t xml:space="preserve">58 Kinder mit Mukoviszidose, Kapseln gegen Placebo</w:t>
            </w:r>
          </w:p>
        </w:tc>
        <w:tc>
          <w:tcPr/>
          <w:p>
            <w:pPr>
              <w:pStyle w:val="Compact"/>
              <w:jc w:val="left"/>
            </w:pPr>
            <w:r>
              <w:t xml:space="preserve">24 Wochen</w:t>
            </w:r>
          </w:p>
        </w:tc>
        <w:tc>
          <w:tcPr/>
          <w:p>
            <w:pPr>
              <w:pStyle w:val="Compact"/>
              <w:jc w:val="left"/>
            </w:pPr>
            <w:r>
              <w:t xml:space="preserve">kein Effekt auf Wachstum und Entzündungsmarker</w:t>
            </w:r>
          </w:p>
        </w:tc>
      </w:tr>
      <w:tr>
        <w:tc>
          <w:tcPr/>
          <w:p>
            <w:pPr>
              <w:pStyle w:val="Compact"/>
              <w:jc w:val="left"/>
            </w:pPr>
            <w:r>
              <w:t xml:space="preserve">Søndergård 2021, PMID 33740389</w:t>
            </w:r>
          </w:p>
        </w:tc>
        <w:tc>
          <w:tcPr/>
          <w:p>
            <w:pPr>
              <w:pStyle w:val="Compact"/>
              <w:jc w:val="left"/>
            </w:pPr>
            <w:r>
              <w:t xml:space="preserve">20 übergewichtige Männer mit und ohne Typ-2-Diabetes, gegen Placebo</w:t>
            </w:r>
          </w:p>
        </w:tc>
        <w:tc>
          <w:tcPr/>
          <w:p>
            <w:pPr>
              <w:pStyle w:val="Compact"/>
              <w:jc w:val="left"/>
            </w:pPr>
            <w:r>
              <w:t xml:space="preserve">3 Wochen</w:t>
            </w:r>
          </w:p>
        </w:tc>
        <w:tc>
          <w:tcPr/>
          <w:p>
            <w:pPr>
              <w:pStyle w:val="Compact"/>
              <w:jc w:val="left"/>
            </w:pPr>
            <w:r>
              <w:t xml:space="preserve">Insulinempfindlichkeit verbessert; Oxidationsmarker unverändert</w:t>
            </w:r>
          </w:p>
        </w:tc>
      </w:tr>
      <w:tr>
        <w:tc>
          <w:tcPr/>
          <w:p>
            <w:pPr>
              <w:pStyle w:val="Compact"/>
              <w:jc w:val="left"/>
            </w:pPr>
            <w:r>
              <w:t xml:space="preserve">Honda 2017, PMID 28789631</w:t>
            </w:r>
          </w:p>
        </w:tc>
        <w:tc>
          <w:tcPr/>
          <w:p>
            <w:pPr>
              <w:pStyle w:val="Compact"/>
              <w:jc w:val="left"/>
            </w:pPr>
            <w:r>
              <w:t xml:space="preserve">34 Personen mit Fettleber, offen, ohne Kontrollgruppe</w:t>
            </w:r>
          </w:p>
        </w:tc>
        <w:tc>
          <w:tcPr/>
          <w:p>
            <w:pPr>
              <w:pStyle w:val="Compact"/>
              <w:jc w:val="left"/>
            </w:pPr>
            <w:r>
              <w:t xml:space="preserve">4 Monate</w:t>
            </w:r>
          </w:p>
        </w:tc>
        <w:tc>
          <w:tcPr/>
          <w:p>
            <w:pPr>
              <w:pStyle w:val="Compact"/>
              <w:jc w:val="left"/>
            </w:pPr>
            <w:r>
              <w:t xml:space="preserve">Leberwert ALT gesunken</w:t>
            </w:r>
          </w:p>
        </w:tc>
      </w:tr>
      <w:tr>
        <w:tc>
          <w:tcPr/>
          <w:p>
            <w:pPr>
              <w:pStyle w:val="Compact"/>
              <w:jc w:val="left"/>
            </w:pPr>
            <w:r>
              <w:t xml:space="preserve">Arrivi 2023, PMID 36083043</w:t>
            </w:r>
          </w:p>
        </w:tc>
        <w:tc>
          <w:tcPr/>
          <w:p>
            <w:pPr>
              <w:pStyle w:val="Compact"/>
              <w:jc w:val="left"/>
            </w:pPr>
            <w:r>
              <w:t xml:space="preserve">100 Personen mit Herzinfarkt, Infusion gegen Placebo (Nachauswertung)</w:t>
            </w:r>
          </w:p>
        </w:tc>
        <w:tc>
          <w:tcPr/>
          <w:p>
            <w:pPr>
              <w:pStyle w:val="Compact"/>
              <w:jc w:val="left"/>
            </w:pPr>
            <w:r>
              <w:t xml:space="preserve">Krankenhausaufenthalt</w:t>
            </w:r>
          </w:p>
        </w:tc>
        <w:tc>
          <w:tcPr/>
          <w:p>
            <w:pPr>
              <w:pStyle w:val="Compact"/>
              <w:jc w:val="left"/>
            </w:pPr>
            <w:r>
              <w:t xml:space="preserve">Klinikaufenthalt 8,6 statt 10,8 Tage</w:t>
            </w:r>
          </w:p>
        </w:tc>
      </w:tr>
    </w:tbl>
    <w:p>
      <w:pPr>
        <w:pStyle w:val="BodyText"/>
      </w:pPr>
      <w:r>
        <w:t xml:space="preserve">Das Bild ist ernüchternd: Die größte und methodisch stärkste Studie – eine Phase-3-Studie mit 185 Krebspatientinnen und -patienten – fand keinen Schutz vor chemotherapiebedingten Nervenschäden; bei einzelnen Nebenzielen schnitt Placebo sogar besser ab</w:t>
      </w:r>
      <w:r>
        <w:rPr>
          <w:rStyle w:val="FootnoteReference"/>
        </w:rPr>
        <w:footnoteReference w:id="1931"/>
      </w:r>
      <w:r>
        <w:t xml:space="preserve">. Bei Parkinson war Glutathion weder als Infusion</w:t>
      </w:r>
      <w:r>
        <w:rPr>
          <w:rStyle w:val="FootnoteReference"/>
        </w:rPr>
        <w:footnoteReference w:id="1932"/>
      </w:r>
      <w:r>
        <w:t xml:space="preserve"> </w:t>
      </w:r>
      <w:r>
        <w:t xml:space="preserve">noch als Nasenspray besser als Placebo; in der Nasenspray-Studie entwickelte eine Person unter der höheren Dosis eine Herzmuskelerkrankung</w:t>
      </w:r>
      <w:r>
        <w:rPr>
          <w:rStyle w:val="FootnoteReference"/>
        </w:rPr>
        <w:footnoteReference w:id="1933"/>
      </w:r>
      <w:r>
        <w:t xml:space="preserve">. Bei Kindern mit Mukoviszidose blieb das Wachstum unbeeinflusst</w:t>
      </w:r>
      <w:r>
        <w:rPr>
          <w:rStyle w:val="FootnoteReference"/>
        </w:rPr>
        <w:footnoteReference w:id="1934"/>
      </w:r>
      <w:r>
        <w:t xml:space="preserve">.</w:t>
      </w:r>
    </w:p>
    <w:p>
      <w:pPr>
        <w:pStyle w:val="BodyText"/>
      </w:pPr>
      <w:r>
        <w:t xml:space="preserve">Positive Signale stammen aus kleinen Studien: Bei 20 übergewichtigen Männern verbesserte sich nach drei Wochen die Insulinempfindlichkeit</w:t>
      </w:r>
      <w:r>
        <w:rPr>
          <w:rStyle w:val="FootnoteReference"/>
        </w:rPr>
        <w:footnoteReference w:id="1935"/>
      </w:r>
      <w:r>
        <w:t xml:space="preserve">; bei Fettleber sanken in einer unkontrollierten Studie die Leberwerte</w:t>
      </w:r>
      <w:r>
        <w:rPr>
          <w:rStyle w:val="FootnoteReference"/>
        </w:rPr>
        <w:footnoteReference w:id="1936"/>
      </w:r>
      <w:r>
        <w:t xml:space="preserve">; nach Herzinfarkt war die Klinikverweildauer in einer Nachauswertung kürzer</w:t>
      </w:r>
      <w:r>
        <w:rPr>
          <w:rStyle w:val="FootnoteReference"/>
        </w:rPr>
        <w:footnoteReference w:id="1937"/>
      </w:r>
      <w:r>
        <w:t xml:space="preserve">. Keiner dieser Befunde ist bisher in einer größeren Studie bestätigt.</w:t>
      </w:r>
    </w:p>
    <w:bookmarkEnd w:id="1938"/>
    <w:bookmarkStart w:id="1945" w:name="hautaufhellung-oral-örtlich-intravenös"/>
    <w:p>
      <w:pPr>
        <w:pStyle w:val="Heading4"/>
      </w:pPr>
      <w:r>
        <w:t xml:space="preserve">Hautaufhellung: oral, örtlich, intravenös</w:t>
      </w:r>
    </w:p>
    <w:p>
      <w:pPr>
        <w:pStyle w:val="FirstParagraph"/>
      </w:pPr>
      <w:r>
        <w:t xml:space="preserve">In Teilen Asiens, Afrikas und zunehmend auch in Europa wird Glutathion vor allem als „Hautaufheller“ vermarktet – in Kapseln, Cremes und in Form von Infusionen in Schönheitskliniken.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Arjinpathana 2012, PMID 20524875</w:t>
            </w:r>
          </w:p>
        </w:tc>
        <w:tc>
          <w:tcPr/>
          <w:p>
            <w:pPr>
              <w:pStyle w:val="Compact"/>
              <w:jc w:val="left"/>
            </w:pPr>
            <w:r>
              <w:t xml:space="preserve">60 Medizinstudierende in Thailand, Kapseln gegen Placebo</w:t>
            </w:r>
          </w:p>
        </w:tc>
        <w:tc>
          <w:tcPr/>
          <w:p>
            <w:pPr>
              <w:pStyle w:val="Compact"/>
              <w:jc w:val="left"/>
            </w:pPr>
            <w:r>
              <w:t xml:space="preserve">4 Wochen</w:t>
            </w:r>
          </w:p>
        </w:tc>
        <w:tc>
          <w:tcPr/>
          <w:p>
            <w:pPr>
              <w:pStyle w:val="Compact"/>
              <w:jc w:val="left"/>
            </w:pPr>
            <w:r>
              <w:t xml:space="preserve">Melanin-Index an 2 von 6 Messstellen stärker gesenkt</w:t>
            </w:r>
          </w:p>
        </w:tc>
      </w:tr>
      <w:tr>
        <w:tc>
          <w:tcPr/>
          <w:p>
            <w:pPr>
              <w:pStyle w:val="Compact"/>
              <w:jc w:val="left"/>
            </w:pPr>
            <w:r>
              <w:t xml:space="preserve">Weschawalit 2017, PMID 28490897</w:t>
            </w:r>
          </w:p>
        </w:tc>
        <w:tc>
          <w:tcPr/>
          <w:p>
            <w:pPr>
              <w:pStyle w:val="Compact"/>
              <w:jc w:val="left"/>
            </w:pPr>
            <w:r>
              <w:t xml:space="preserve">gesunde Frauen, reduziertes oder oxidiertes Glutathion gegen Placebo</w:t>
            </w:r>
          </w:p>
        </w:tc>
        <w:tc>
          <w:tcPr/>
          <w:p>
            <w:pPr>
              <w:pStyle w:val="Compact"/>
              <w:jc w:val="left"/>
            </w:pPr>
            <w:r>
              <w:t xml:space="preserve">12 Wochen</w:t>
            </w:r>
          </w:p>
        </w:tc>
        <w:tc>
          <w:tcPr/>
          <w:p>
            <w:pPr>
              <w:pStyle w:val="Compact"/>
              <w:jc w:val="left"/>
            </w:pPr>
            <w:r>
              <w:t xml:space="preserve">Melanin-Index tendenziell niedriger; teils weniger Falten</w:t>
            </w:r>
          </w:p>
        </w:tc>
      </w:tr>
      <w:tr>
        <w:tc>
          <w:tcPr/>
          <w:p>
            <w:pPr>
              <w:pStyle w:val="Compact"/>
              <w:jc w:val="left"/>
            </w:pPr>
            <w:r>
              <w:t xml:space="preserve">Handog 2016, PMID 26148180</w:t>
            </w:r>
          </w:p>
        </w:tc>
        <w:tc>
          <w:tcPr/>
          <w:p>
            <w:pPr>
              <w:pStyle w:val="Compact"/>
              <w:jc w:val="left"/>
            </w:pPr>
            <w:r>
              <w:t xml:space="preserve">30 Frauen auf den Philippinen, Lutschtablette, ohne Kontrollgruppe</w:t>
            </w:r>
          </w:p>
        </w:tc>
        <w:tc>
          <w:tcPr/>
          <w:p>
            <w:pPr>
              <w:pStyle w:val="Compact"/>
              <w:jc w:val="left"/>
            </w:pPr>
            <w:r>
              <w:t xml:space="preserve">8 Wochen</w:t>
            </w:r>
          </w:p>
        </w:tc>
        <w:tc>
          <w:tcPr/>
          <w:p>
            <w:pPr>
              <w:pStyle w:val="Compact"/>
              <w:jc w:val="left"/>
            </w:pPr>
            <w:r>
              <w:t xml:space="preserve">Melanin-Index gesunken</w:t>
            </w:r>
          </w:p>
        </w:tc>
      </w:tr>
      <w:tr>
        <w:tc>
          <w:tcPr/>
          <w:p>
            <w:pPr>
              <w:pStyle w:val="Compact"/>
              <w:jc w:val="left"/>
            </w:pPr>
            <w:r>
              <w:t xml:space="preserve">Wahab 2021, PMID 33871071</w:t>
            </w:r>
          </w:p>
        </w:tc>
        <w:tc>
          <w:tcPr/>
          <w:p>
            <w:pPr>
              <w:pStyle w:val="Compact"/>
              <w:jc w:val="left"/>
            </w:pPr>
            <w:r>
              <w:t xml:space="preserve">46 Personen, Kombination Creme und Kapsel gegen Placebo</w:t>
            </w:r>
          </w:p>
        </w:tc>
        <w:tc>
          <w:tcPr/>
          <w:p>
            <w:pPr>
              <w:pStyle w:val="Compact"/>
              <w:jc w:val="left"/>
            </w:pPr>
            <w:r>
              <w:t xml:space="preserve">8 Wochen</w:t>
            </w:r>
          </w:p>
        </w:tc>
        <w:tc>
          <w:tcPr/>
          <w:p>
            <w:pPr>
              <w:pStyle w:val="Compact"/>
              <w:jc w:val="left"/>
            </w:pPr>
            <w:r>
              <w:t xml:space="preserve">Kombination möglicherweise wirksamer als Einzelanwendung</w:t>
            </w:r>
          </w:p>
        </w:tc>
      </w:tr>
    </w:tbl>
    <w:p>
      <w:pPr>
        <w:pStyle w:val="BodyText"/>
      </w:pPr>
      <w:r>
        <w:rPr>
          <w:bCs/>
          <w:b/>
        </w:rPr>
        <w:t xml:space="preserve">Oral und örtlich:</w:t>
      </w:r>
      <w:r>
        <w:t xml:space="preserve"> </w:t>
      </w:r>
      <w:r>
        <w:t xml:space="preserve">Mehrere kleine randomisierte Studien zeigen eine leichte Aufhellung, vor allem an sonnenexponierten Stellen. In der ersten Studie war der Effekt nur an zwei von sechs Messstellen statistisch signifikant</w:t>
      </w:r>
      <w:r>
        <w:rPr>
          <w:rStyle w:val="FootnoteReference"/>
        </w:rPr>
        <w:footnoteReference w:id="1939"/>
      </w:r>
      <w:r>
        <w:t xml:space="preserve">. Eine systematische Übersicht kam 2019 zu dem Schluss, die Belege seien wegen Studienqualität und widersprüchlicher Befunde „noch nicht eindeutig“</w:t>
      </w:r>
      <w:r>
        <w:rPr>
          <w:rStyle w:val="FootnoteReference"/>
        </w:rPr>
        <w:footnoteReference w:id="1940"/>
      </w:r>
      <w:r>
        <w:t xml:space="preserve">. Eine neuere Übersicht bewertet Cremes und Kapseln als mäßig wirksam, mit Effekten, die nach dem Absetzen nicht anhalten</w:t>
      </w:r>
      <w:r>
        <w:rPr>
          <w:rStyle w:val="FootnoteReference"/>
        </w:rPr>
        <w:footnoteReference w:id="1941"/>
      </w:r>
      <w:r>
        <w:t xml:space="preserve">.</w:t>
      </w:r>
    </w:p>
    <w:p>
      <w:pPr>
        <w:pStyle w:val="BodyText"/>
      </w:pPr>
      <w:r>
        <w:rPr>
          <w:bCs/>
          <w:b/>
        </w:rPr>
        <w:t xml:space="preserve">Intravenös:</w:t>
      </w:r>
      <w:r>
        <w:t xml:space="preserve"> </w:t>
      </w:r>
      <w:r>
        <w:t xml:space="preserve">Für Infusionen zur Hautaufhellung gibt es laut derselben Übersicht nur eine placebokontrollierte Studie, die keinen signifikanten Unterschied fand (37,5 % gegenüber 18,7 %, p = 0,054). Die Autorinnen und Autoren halten intravenöses Glutathion zur Hautaufhellung wegen fehlender Wirksamkeit und Nebenwirkungen für</w:t>
      </w:r>
      <w:r>
        <w:t xml:space="preserve"> </w:t>
      </w:r>
      <w:r>
        <w:rPr>
          <w:bCs/>
          <w:b/>
        </w:rPr>
        <w:t xml:space="preserve">kontraindiziert</w:t>
      </w:r>
      <w:r>
        <w:t xml:space="preserve">, also nicht vertretbar</w:t>
      </w:r>
      <w:r>
        <w:rPr>
          <w:rStyle w:val="FootnoteReference"/>
        </w:rPr>
        <w:footnoteReference w:id="1942"/>
      </w:r>
      <w:r>
        <w:t xml:space="preserve">. Eine südafrikanische Übersicht fand keine einzige Studie zur Sicherheit wiederholter Infusionen bei irgendeiner Anwendung</w:t>
      </w:r>
      <w:r>
        <w:rPr>
          <w:rStyle w:val="FootnoteReference"/>
        </w:rPr>
        <w:footnoteReference w:id="1943"/>
      </w:r>
      <w:r>
        <w:t xml:space="preserve">. Im British Medical Journal wurde die Praxis als „unethisches Bleichen“ kritisiert</w:t>
      </w:r>
      <w:r>
        <w:rPr>
          <w:rStyle w:val="FootnoteReference"/>
        </w:rPr>
        <w:footnoteReference w:id="1944"/>
      </w:r>
      <w:r>
        <w:t xml:space="preserve">.</w:t>
      </w:r>
    </w:p>
    <w:bookmarkEnd w:id="1945"/>
    <w:bookmarkEnd w:id="1946"/>
    <w:bookmarkStart w:id="1947" w:name="tier--und-laborstudien-45"/>
    <w:p>
      <w:pPr>
        <w:pStyle w:val="Heading3"/>
      </w:pPr>
      <w:r>
        <w:t xml:space="preserve">Tier- und Laborstudien</w:t>
      </w:r>
    </w:p>
    <w:p>
      <w:pPr>
        <w:pStyle w:val="FirstParagraph"/>
      </w:pPr>
      <w:r>
        <w:t xml:space="preserve">Die Laborforschung zu Glutathion ist enorm umfangreich und betrifft fast jeden Bereich der Zellbiologie. Für dieses Buch relevant ist vor allem, dass in Zell- und Tierversuchen Glutathion bzw. seine Vorstufen vor oxidativen Schäden, Medikamentengiftigkeit und Entzündungsreaktionen schützen konnten – Effekte, die sich in den klinischen Studien am Menschen nur teilweise und meist schwach wiederfinden.</w:t>
      </w:r>
    </w:p>
    <w:bookmarkEnd w:id="1947"/>
    <w:bookmarkStart w:id="1951" w:name="risiken-und-nebenwirkungen-45"/>
    <w:p>
      <w:pPr>
        <w:pStyle w:val="Heading3"/>
      </w:pPr>
      <w:r>
        <w:t xml:space="preserve">Risiken und Nebenwirkungen</w:t>
      </w:r>
    </w:p>
    <w:p>
      <w:pPr>
        <w:pStyle w:val="FirstParagraph"/>
      </w:pPr>
      <w:r>
        <w:rPr>
          <w:bCs/>
          <w:b/>
        </w:rPr>
        <w:t xml:space="preserve">Orale Einnahme:</w:t>
      </w:r>
      <w:r>
        <w:t xml:space="preserve"> </w:t>
      </w:r>
      <w:r>
        <w:t xml:space="preserve">In den Studien gut verträglich; berichtet werden vereinzelt Magen-Darm-Beschwerden. Langzeitdaten über mehr als sechs Monate fehlen weitgehend.</w:t>
      </w:r>
    </w:p>
    <w:p>
      <w:pPr>
        <w:pStyle w:val="BodyText"/>
      </w:pPr>
      <w:r>
        <w:rPr>
          <w:bCs/>
          <w:b/>
        </w:rPr>
        <w:t xml:space="preserve">Nasenspray:</w:t>
      </w:r>
      <w:r>
        <w:t xml:space="preserve"> </w:t>
      </w:r>
      <w:r>
        <w:t xml:space="preserve">In einer Parkinson-Studie trat bei einer Person unter der höheren Dosis eine Herzmuskelerkrankung auf; ein Zusammenhang ist nicht belegt</w:t>
      </w:r>
      <w:r>
        <w:rPr>
          <w:rStyle w:val="FootnoteReference"/>
        </w:rPr>
        <w:footnoteReference w:id="1948"/>
      </w:r>
      <w:r>
        <w:t xml:space="preserve">.</w:t>
      </w:r>
    </w:p>
    <w:p>
      <w:pPr>
        <w:pStyle w:val="BodyText"/>
      </w:pPr>
      <w:r>
        <w:rPr>
          <w:bCs/>
          <w:b/>
        </w:rPr>
        <w:t xml:space="preserve">Infusionen – die eigentlichen Risiken:</w:t>
      </w:r>
    </w:p>
    <w:p>
      <w:pPr>
        <w:numPr>
          <w:ilvl w:val="0"/>
          <w:numId w:val="1247"/>
        </w:numPr>
        <w:pStyle w:val="Compact"/>
      </w:pPr>
      <w:r>
        <w:rPr>
          <w:bCs/>
          <w:b/>
        </w:rPr>
        <w:t xml:space="preserve">Verunreinigte Rezepturen:</w:t>
      </w:r>
      <w:r>
        <w:t xml:space="preserve"> </w:t>
      </w:r>
      <w:r>
        <w:t xml:space="preserve">Die US-Arzneimittelbehörde FDA warnte 2019 Apotheken davor, Glutathion eines bestimmten Großhändlers für Infusionen zu verwenden, nachdem Patientinnen und Patienten nach Infusionen Übelkeit, Erbrechen und Atemnot entwickelt hatten und erhöhte Endotoxin-Werte (Bestandteile von Bakterien, die Fieber und Schock auslösen können) gemessen wurden. Im August 2026 forderte die FDA Apotheken erneut auf, kein Glutathion in Nahrungsergänzungsmittel-Qualität für Injektionen zu verwenden; nach Infusionen aus einer bestimmten Charge war es zu Fieber, Schüttelfrost, schockähnlichen Zuständen und Krankenhausaufnahmen gekommen.</w:t>
      </w:r>
    </w:p>
    <w:p>
      <w:pPr>
        <w:numPr>
          <w:ilvl w:val="0"/>
          <w:numId w:val="1247"/>
        </w:numPr>
        <w:pStyle w:val="Compact"/>
      </w:pPr>
      <w:r>
        <w:rPr>
          <w:bCs/>
          <w:b/>
        </w:rPr>
        <w:t xml:space="preserve">Behördenwarnungen zur Hautaufhellung:</w:t>
      </w:r>
      <w:r>
        <w:t xml:space="preserve"> </w:t>
      </w:r>
      <w:r>
        <w:t xml:space="preserve">Die philippinische Arzneimittelbehörde warnte 2011 und 2019 vor Glutathion-Injektionen zur Hautaufhellung; sie nannte Nebenwirkungen von Hautausschlägen bis zu den lebensbedrohlichen Hautreaktionen Stevens-Johnson-Syndrom und toxische epidermale Nekrolyse sowie Risiken durch unsachgemäße Injektionen wie Blutvergiftung und Infektionsübertragung. Auch die US-FDA warnte Verbraucherinnen und Verbraucher, dass keine Injektionspräparate zur Hautaufhellung zugelassen sind und solche Produkte unbekannte, schädliche Bestandteile enthalten können.</w:t>
      </w:r>
    </w:p>
    <w:p>
      <w:pPr>
        <w:numPr>
          <w:ilvl w:val="0"/>
          <w:numId w:val="1247"/>
        </w:numPr>
        <w:pStyle w:val="Compact"/>
      </w:pPr>
      <w:r>
        <w:rPr>
          <w:bCs/>
          <w:b/>
        </w:rPr>
        <w:t xml:space="preserve">Hautkrebs (theoretisch):</w:t>
      </w:r>
      <w:r>
        <w:t xml:space="preserve"> </w:t>
      </w:r>
      <w:r>
        <w:t xml:space="preserve">Die Verschiebung von dunklem zu hellem Melanin könnte den natürlichen Sonnenschutz der Haut verringern</w:t>
      </w:r>
      <w:r>
        <w:rPr>
          <w:rStyle w:val="FootnoteReference"/>
        </w:rPr>
        <w:footnoteReference w:id="1949"/>
      </w:r>
      <w:r>
        <w:t xml:space="preserve">.</w:t>
      </w:r>
    </w:p>
    <w:p>
      <w:pPr>
        <w:pStyle w:val="FirstParagraph"/>
      </w:pPr>
      <w:r>
        <w:rPr>
          <w:bCs/>
          <w:b/>
        </w:rPr>
        <w:t xml:space="preserve">Wechselwirkungen:</w:t>
      </w:r>
      <w:r>
        <w:t xml:space="preserve"> </w:t>
      </w:r>
      <w:r>
        <w:t xml:space="preserve">In einer Krebsstudie wurde Glutathion vor der Chemotherapie gegeben; die Zeit bis zum Fortschreiten der Erkrankung unterschied sich dort nicht von Placebo</w:t>
      </w:r>
      <w:r>
        <w:rPr>
          <w:rStyle w:val="FootnoteReference"/>
        </w:rPr>
        <w:footnoteReference w:id="1950"/>
      </w:r>
      <w:r>
        <w:t xml:space="preserve">. Grundsätzlich wird diskutiert, ob Antioxidantien die Wirkung mancher Krebstherapien abschwächen könnten. Wer in Krebsbehandlung ist, sollte Glutathion nur nach Rücksprache mit dem Behandlungsteam einnehmen.</w:t>
      </w:r>
    </w:p>
    <w:bookmarkEnd w:id="1951"/>
    <w:bookmarkStart w:id="1952" w:name="rechtslage-45"/>
    <w:p>
      <w:pPr>
        <w:pStyle w:val="Heading3"/>
      </w:pPr>
      <w:r>
        <w:t xml:space="preserve">Rechtslage</w:t>
      </w:r>
    </w:p>
    <w:p>
      <w:pPr>
        <w:numPr>
          <w:ilvl w:val="0"/>
          <w:numId w:val="1248"/>
        </w:numPr>
        <w:pStyle w:val="Compact"/>
      </w:pPr>
      <w:r>
        <w:rPr>
          <w:bCs/>
          <w:b/>
        </w:rPr>
        <w:t xml:space="preserve">EU / Österreich / Deutschland:</w:t>
      </w:r>
      <w:r>
        <w:t xml:space="preserve"> </w:t>
      </w:r>
      <w:r>
        <w:t xml:space="preserve">Glutathion wird als Nahrungsergänzungsmittel in Kapseln und Pulvern verkauft; Gesundheitsversprechen in der Werbung sind ohne zugelassene Health Claims nicht erlaubt. Infusionen und Injektionen sind Arzneimittel; Präparate zur Hautaufhellung per Infusion sind nicht zugelassen. In einzelnen Ländern (nach unserem Kenntnisstand etwa Italien) gibt es zugelassene Glutathion-Injektionen für spezielle medizinische Anwendungen; Details bitte der jeweiligen Fachinformation entnehmen.</w:t>
      </w:r>
    </w:p>
    <w:p>
      <w:pPr>
        <w:numPr>
          <w:ilvl w:val="0"/>
          <w:numId w:val="1248"/>
        </w:numPr>
        <w:pStyle w:val="Compact"/>
      </w:pPr>
      <w:r>
        <w:rPr>
          <w:bCs/>
          <w:b/>
        </w:rPr>
        <w:t xml:space="preserve">USA:</w:t>
      </w:r>
      <w:r>
        <w:t xml:space="preserve"> </w:t>
      </w:r>
      <w:r>
        <w:t xml:space="preserve">kein zugelassenes Glutathion-Arzneimittel; Nahrungsergänzungsmittel sind erlaubt, Infusionen werden als Apotheken-Rezeptur hergestellt und unterliegen den FDA-Vorgaben für sterile Zubereitungen.</w:t>
      </w:r>
    </w:p>
    <w:p>
      <w:pPr>
        <w:numPr>
          <w:ilvl w:val="0"/>
          <w:numId w:val="1248"/>
        </w:numPr>
        <w:pStyle w:val="Compact"/>
      </w:pPr>
      <w:r>
        <w:rPr>
          <w:bCs/>
          <w:b/>
        </w:rPr>
        <w:t xml:space="preserve">Sport:</w:t>
      </w:r>
      <w:r>
        <w:t xml:space="preserve"> </w:t>
      </w:r>
      <w:r>
        <w:t xml:space="preserve">Glutathion ist nicht verboten; Infusionen über 100 ml in zwölf Stunden fallen außerhalb von Klinikbehandlungen unter WADA-Methode M2 (Stand 2026, bitte aktuell prüfen).</w:t>
      </w:r>
    </w:p>
    <w:bookmarkEnd w:id="1952"/>
    <w:bookmarkStart w:id="1954" w:name="laufende-studien-und-ausblick-45"/>
    <w:p>
      <w:pPr>
        <w:pStyle w:val="Heading3"/>
      </w:pPr>
      <w:r>
        <w:t xml:space="preserve">Laufende Studien und Ausblick</w:t>
      </w:r>
    </w:p>
    <w:p>
      <w:pPr>
        <w:pStyle w:val="FirstParagraph"/>
      </w:pPr>
      <w:r>
        <w:rPr>
          <w:bCs/>
          <w:b/>
        </w:rPr>
        <w:t xml:space="preserve">Gesichert (registrierte Studien, Stand Oktober 2026):</w:t>
      </w:r>
    </w:p>
    <w:p>
      <w:pPr>
        <w:numPr>
          <w:ilvl w:val="0"/>
          <w:numId w:val="1249"/>
        </w:numPr>
        <w:pStyle w:val="Compact"/>
      </w:pPr>
      <w:r>
        <w:t xml:space="preserve">Eine Phase-1-Studie in China prüft Glutathion zusätzlich zu Immuntherapie und Chemotherapie bei fortgeschrittenem Lungenkrebs (NCT06896422, 80 geplante Teilnehmende).</w:t>
      </w:r>
    </w:p>
    <w:p>
      <w:pPr>
        <w:numPr>
          <w:ilvl w:val="0"/>
          <w:numId w:val="1249"/>
        </w:numPr>
        <w:pStyle w:val="Compact"/>
      </w:pPr>
      <w:r>
        <w:t xml:space="preserve">Eine Studie zu Glutathion-unterstütztem Microneedling bei Melasma (Pigmentflecken) ist registriert</w:t>
      </w:r>
      <w:r>
        <w:rPr>
          <w:rStyle w:val="FootnoteReference"/>
        </w:rPr>
        <w:footnoteReference w:id="1953"/>
      </w:r>
      <w:r>
        <w:t xml:space="preserve">.</w:t>
      </w:r>
    </w:p>
    <w:p>
      <w:pPr>
        <w:numPr>
          <w:ilvl w:val="0"/>
          <w:numId w:val="1249"/>
        </w:numPr>
        <w:pStyle w:val="Compact"/>
      </w:pPr>
      <w:r>
        <w:t xml:space="preserve">Mehrere kleine Studien untersuchen neue Darreichungsformen (liposomal, mizellar) und Sporterholung, häufig von Herstellern finanziert.</w:t>
      </w:r>
    </w:p>
    <w:p>
      <w:pPr>
        <w:pStyle w:val="FirstParagraph"/>
      </w:pPr>
      <w:r>
        <w:rPr>
          <w:bCs/>
          <w:b/>
        </w:rPr>
        <w:t xml:space="preserve">Einschätzung:</w:t>
      </w:r>
      <w:r>
        <w:t xml:space="preserve"> </w:t>
      </w:r>
      <w:r>
        <w:t xml:space="preserve">Die wichtigste offene Frage ist nicht mehr, ob Glutathion aufgenommen wird, sondern ob höhere Spiegel klinisch etwas bringen. Die bisherigen großen Studien sprechen eher dagegen. Bei Infusionen zur Hautaufhellung oder als „Wellness“-Drip übersteigen die Risiken einen nicht belegten Nutzen.</w:t>
      </w:r>
    </w:p>
    <w:bookmarkEnd w:id="1954"/>
    <w:bookmarkStart w:id="1955" w:name="fazit-45"/>
    <w:p>
      <w:pPr>
        <w:pStyle w:val="Heading3"/>
      </w:pPr>
      <w:r>
        <w:t xml:space="preserve">Fazit</w:t>
      </w:r>
    </w:p>
    <w:p>
      <w:pPr>
        <w:pStyle w:val="FirstParagraph"/>
      </w:pPr>
      <w:r>
        <w:t xml:space="preserve">Glutathion ist das wichtigste körpereigene Schutzpeptid gegen Oxidation; als Kapsel eingenommen kann es die Blutspiegel bei längerer Einnahme messbar erhöhen. Klinisch zeigten die größeren Studien jedoch keinen Nutzen – weder gegen chemotherapiebedingte Nervenschäden noch bei Parkinson oder Mukoviszidose; positive Hinweise stammen aus kleinen Studien. Kapseln und Cremes hellten die Haut in kleinen Studien leicht und vorübergehend auf. Infusionen zur Hautaufhellung sind nicht belegt wirksam, nicht zugelassen und wurden von mehreren Behörden wegen schwerer Nebenwirkungen und verunreinigter Präparate ausdrücklich gewarnt.</w:t>
      </w:r>
    </w:p>
    <w:bookmarkEnd w:id="1955"/>
    <w:bookmarkEnd w:id="1956"/>
    <w:bookmarkEnd w:id="1957"/>
    <w:bookmarkStart w:id="2313" w:name="X1785d8ee771a6b6b7859359fbef806a0d6deb64"/>
    <w:p>
      <w:pPr>
        <w:pStyle w:val="Heading1"/>
      </w:pPr>
      <w:r>
        <w:t xml:space="preserve">Teil II · E – Hormone, Sexualität und Pigmentierung</w:t>
      </w:r>
    </w:p>
    <w:p>
      <w:pPr>
        <w:pStyle w:val="FirstParagraph"/>
      </w:pPr>
      <w:r>
        <w:t xml:space="preserve">Die sechs Peptide dieser Gruppe wirken auf ganz unterschiedliche Dinge: Hautfarbe, sexuelles Verlangen, Fruchtbarkeit und soziales Verhalten. Gemeinsam ist ihnen, dass sie körpereigene Signalwege des Gehirns und der Hormondrüsen nachahmen, die eng miteinander verflochten sind. Drei von ihnen gehören zu einer einzigen Familie, dem Melanocortin-System; drei weitere steuern die Hormonachse der Fortpflanzung oder sind mit ihr verbunden.</w:t>
      </w:r>
    </w:p>
    <w:bookmarkStart w:id="1960" w:name="das-melanocortin-system"/>
    <w:p>
      <w:pPr>
        <w:pStyle w:val="Heading3"/>
      </w:pPr>
      <w:r>
        <w:t xml:space="preserve">Das Melanocortin-System</w:t>
      </w:r>
    </w:p>
    <w:p>
      <w:pPr>
        <w:pStyle w:val="FirstParagraph"/>
      </w:pPr>
      <w:r>
        <w:t xml:space="preserve">Am Anfang steht ein großes Vorläufereiweiß namens Proopiomelanocortin (POMC). Aus ihm schneiden Enzyme mehrere kleinere Peptide heraus, darunter das Stresshormon ACTH und die melanozytenstimulierenden Hormone (MSH), vor allem Alpha-MSH. Diese Botenstoffe heißen zusammen Melanocortine. Sie wirken über fünf Rezeptoren, MC1R bis MC5R, die in verschiedenen Geweben sitzen:</w:t>
      </w:r>
    </w:p>
    <w:p>
      <w:pPr>
        <w:numPr>
          <w:ilvl w:val="0"/>
          <w:numId w:val="1250"/>
        </w:numPr>
        <w:pStyle w:val="Compact"/>
      </w:pPr>
      <w:r>
        <w:rPr>
          <w:bCs/>
          <w:b/>
        </w:rPr>
        <w:t xml:space="preserve">MC1R</w:t>
      </w:r>
      <w:r>
        <w:t xml:space="preserve"> </w:t>
      </w:r>
      <w:r>
        <w:t xml:space="preserve">auf den Pigmentzellen der Haut steuert, ob diese dunkles, schützendes Eumelanin bilden. Menschen mit roten Haaren und heller Haut tragen oft weniger wirksame Varianten dieses Rezeptors.</w:t>
      </w:r>
    </w:p>
    <w:p>
      <w:pPr>
        <w:numPr>
          <w:ilvl w:val="0"/>
          <w:numId w:val="1250"/>
        </w:numPr>
        <w:pStyle w:val="Compact"/>
      </w:pPr>
      <w:r>
        <w:rPr>
          <w:bCs/>
          <w:b/>
        </w:rPr>
        <w:t xml:space="preserve">MC2R</w:t>
      </w:r>
      <w:r>
        <w:t xml:space="preserve"> </w:t>
      </w:r>
      <w:r>
        <w:t xml:space="preserve">in der Nebenniere ist der Rezeptor für ACTH und regelt die Cortisolbildung.</w:t>
      </w:r>
    </w:p>
    <w:p>
      <w:pPr>
        <w:numPr>
          <w:ilvl w:val="0"/>
          <w:numId w:val="1250"/>
        </w:numPr>
        <w:pStyle w:val="Compact"/>
      </w:pPr>
      <w:r>
        <w:rPr>
          <w:bCs/>
          <w:b/>
        </w:rPr>
        <w:t xml:space="preserve">MC3R und MC4R</w:t>
      </w:r>
      <w:r>
        <w:t xml:space="preserve"> </w:t>
      </w:r>
      <w:r>
        <w:t xml:space="preserve">im Gehirn beeinflussen Appetit, Energieverbrauch und – wie sich zufällig zeigte – sexuelle Erregung. Defekte im MC4R sind die häufigste genetische Ursache schwerer Adipositas.</w:t>
      </w:r>
    </w:p>
    <w:p>
      <w:pPr>
        <w:numPr>
          <w:ilvl w:val="0"/>
          <w:numId w:val="1250"/>
        </w:numPr>
        <w:pStyle w:val="Compact"/>
      </w:pPr>
      <w:r>
        <w:rPr>
          <w:bCs/>
          <w:b/>
        </w:rPr>
        <w:t xml:space="preserve">MC5R</w:t>
      </w:r>
      <w:r>
        <w:t xml:space="preserve"> </w:t>
      </w:r>
      <w:r>
        <w:t xml:space="preserve">wirkt unter anderem auf Talg- und andere Drüsen.</w:t>
      </w:r>
    </w:p>
    <w:p>
      <w:pPr>
        <w:pStyle w:val="FirstParagraph"/>
      </w:pPr>
      <w:r>
        <w:t xml:space="preserve">Die Geschichte der drei Melanocortin-Peptide in diesem Teil beginnt an der Universität von Arizona. Dort entwickelten Forschende in den 1980er- und 1990er-Jahren zwei stabilisierte Abwandlungen von Alpha-MSH, um eine Bräunung ohne Sonne zu erzeugen: das lineare Melanotan I und das ringförmige Melanotan II</w:t>
      </w:r>
      <w:r>
        <w:rPr>
          <w:rStyle w:val="FootnoteReference"/>
        </w:rPr>
        <w:footnoteReference w:id="1958"/>
      </w:r>
      <w:r>
        <w:t xml:space="preserve">. Bei Versuchen mit Melanotan II berichteten Männer über spontane Erektionen – die Entdeckung, dass Melanocortine im Gehirn die Sexualfunktion beeinflussen</w:t>
      </w:r>
      <w:r>
        <w:rPr>
          <w:rStyle w:val="FootnoteReference"/>
        </w:rPr>
        <w:footnoteReference w:id="1959"/>
      </w:r>
      <w:r>
        <w:t xml:space="preserve">.</w:t>
      </w:r>
    </w:p>
    <w:p>
      <w:pPr>
        <w:pStyle w:val="BodyText"/>
      </w:pPr>
      <w:r>
        <w:t xml:space="preserve">Aus diesen Anfängen entstanden drei Wege:</w:t>
      </w:r>
    </w:p>
    <w:p>
      <w:pPr>
        <w:numPr>
          <w:ilvl w:val="0"/>
          <w:numId w:val="1251"/>
        </w:numPr>
        <w:pStyle w:val="Compact"/>
      </w:pPr>
      <w:r>
        <w:rPr>
          <w:bCs/>
          <w:b/>
        </w:rPr>
        <w:t xml:space="preserve">Melanotan I</w:t>
      </w:r>
      <w:r>
        <w:t xml:space="preserve"> </w:t>
      </w:r>
      <w:r>
        <w:t xml:space="preserve">wurde unter dem Namen</w:t>
      </w:r>
      <w:r>
        <w:t xml:space="preserve"> </w:t>
      </w:r>
      <w:r>
        <w:rPr>
          <w:bCs/>
          <w:b/>
        </w:rPr>
        <w:t xml:space="preserve">Afamelanotid</w:t>
      </w:r>
      <w:r>
        <w:t xml:space="preserve"> </w:t>
      </w:r>
      <w:r>
        <w:t xml:space="preserve">zum Implantat gegen eine seltene, schmerzhafte Lichtempfindlichkeit weiterentwickelt und ist in der EU und den USA zugelassen.</w:t>
      </w:r>
    </w:p>
    <w:p>
      <w:pPr>
        <w:numPr>
          <w:ilvl w:val="0"/>
          <w:numId w:val="1251"/>
        </w:numPr>
        <w:pStyle w:val="Compact"/>
      </w:pPr>
      <w:r>
        <w:rPr>
          <w:bCs/>
          <w:b/>
        </w:rPr>
        <w:t xml:space="preserve">Melanotan II</w:t>
      </w:r>
      <w:r>
        <w:t xml:space="preserve"> </w:t>
      </w:r>
      <w:r>
        <w:t xml:space="preserve">wurde nie zugelassen, ist aber als „Bräunungsspritze“ auf dem Graumarkt verbreitet.</w:t>
      </w:r>
    </w:p>
    <w:p>
      <w:pPr>
        <w:numPr>
          <w:ilvl w:val="0"/>
          <w:numId w:val="1251"/>
        </w:numPr>
        <w:pStyle w:val="Compact"/>
      </w:pPr>
      <w:r>
        <w:rPr>
          <w:bCs/>
          <w:b/>
        </w:rPr>
        <w:t xml:space="preserve">Bremelanotid</w:t>
      </w:r>
      <w:r>
        <w:t xml:space="preserve">, eine Abwandlung von Melanotan II, ist in den USA gegen geringes sexuelles Verlangen bei Frauen zugelassen.</w:t>
      </w:r>
    </w:p>
    <w:p>
      <w:pPr>
        <w:pStyle w:val="FirstParagraph"/>
      </w:pPr>
      <w:r>
        <w:t xml:space="preserve">Ein vierter Melanocortin-Wirkstoff, Setmelanotid, zielt gezielt auf MC4R und wird bei seltenen genetischen Formen der Adipositas eingesetzt; er wird in Teil II · A behandelt. Je selektiver ein Wirkstoff einen Rezeptor anspricht, desto gezielter wirkt er. Melanotan II spricht fast alle an und vereint deshalb Bräunung, Übelkeit, Appetitverlust und Erektionen in einem Molekül.</w:t>
      </w:r>
    </w:p>
    <w:bookmarkEnd w:id="1960"/>
    <w:bookmarkStart w:id="1961" w:name="die-hormonachse-der-fortpflanzung"/>
    <w:p>
      <w:pPr>
        <w:pStyle w:val="Heading3"/>
      </w:pPr>
      <w:r>
        <w:t xml:space="preserve">Die Hormonachse der Fortpflanzung</w:t>
      </w:r>
    </w:p>
    <w:p>
      <w:pPr>
        <w:pStyle w:val="FirstParagraph"/>
      </w:pPr>
      <w:r>
        <w:t xml:space="preserve">Die drei anderen Peptide dieses Teils setzen an der Achse an, die Pubertät, Zyklus und Fruchtbarkeit steuert.</w:t>
      </w:r>
      <w:r>
        <w:t xml:space="preserve"> </w:t>
      </w:r>
      <w:r>
        <w:rPr>
          <w:bCs/>
          <w:b/>
        </w:rPr>
        <w:t xml:space="preserve">Kisspeptin</w:t>
      </w:r>
      <w:r>
        <w:t xml:space="preserve"> </w:t>
      </w:r>
      <w:r>
        <w:t xml:space="preserve">schaltet im Hypothalamus die GnRH-Nervenzellen an.</w:t>
      </w:r>
      <w:r>
        <w:t xml:space="preserve"> </w:t>
      </w:r>
      <w:r>
        <w:rPr>
          <w:bCs/>
          <w:b/>
        </w:rPr>
        <w:t xml:space="preserve">Gonadorelin</w:t>
      </w:r>
      <w:r>
        <w:t xml:space="preserve"> </w:t>
      </w:r>
      <w:r>
        <w:t xml:space="preserve">ist die synthetische Form von GnRH selbst, das in Pulsen die Hirnanhangdrüse zur Ausschüttung von LH und FSH anregt. Beide zeigen ein gemeinsames Prinzip: Im richtigen Rhythmus gegeben, aktivieren sie die Achse; als Dauerreiz bremsen sie sie.</w:t>
      </w:r>
      <w:r>
        <w:t xml:space="preserve"> </w:t>
      </w:r>
      <w:r>
        <w:rPr>
          <w:bCs/>
          <w:b/>
        </w:rPr>
        <w:t xml:space="preserve">Oxytocin</w:t>
      </w:r>
      <w:r>
        <w:t xml:space="preserve"> </w:t>
      </w:r>
      <w:r>
        <w:t xml:space="preserve">schließlich stammt aus denselben Hirnregionen, steuert Geburt und Stillen und wird seit zwei Jahrzehnten als Nasenspray für soziales Verhalten untersucht – mit ernüchternden Ergebnissen.</w:t>
      </w:r>
    </w:p>
    <w:bookmarkEnd w:id="1961"/>
    <w:bookmarkStart w:id="1962" w:name="überblick-3"/>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USA (Vyleesi), nicht EU</w:t>
            </w:r>
          </w:p>
        </w:tc>
        <w:tc>
          <w:tcPr/>
          <w:p>
            <w:pPr>
              <w:pStyle w:val="Compact"/>
              <w:jc w:val="left"/>
            </w:pPr>
            <w:r>
              <w:t xml:space="preserve">Lust bei Frauen mit HSDD; kleiner Effekt, viel Übelkeit</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keine</w:t>
            </w:r>
          </w:p>
        </w:tc>
        <w:tc>
          <w:tcPr/>
          <w:p>
            <w:pPr>
              <w:pStyle w:val="Compact"/>
              <w:jc w:val="left"/>
            </w:pPr>
            <w:r>
              <w:t xml:space="preserve">Graumarkt-Bräunung; Fallberichte zu Muttermalen und Priapismus</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EU und USA (Scenesse)</w:t>
            </w:r>
          </w:p>
        </w:tc>
        <w:tc>
          <w:tcPr/>
          <w:p>
            <w:pPr>
              <w:pStyle w:val="Compact"/>
              <w:jc w:val="left"/>
            </w:pPr>
            <w:r>
              <w:t xml:space="preserve">Lichtschutz bei EPP; Vitiligo in Prüfung</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Eizellreifung bei IVF, Hormontests; Forschung</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als Infusion (Geburtshilfe)</w:t>
            </w:r>
          </w:p>
        </w:tc>
        <w:tc>
          <w:tcPr/>
          <w:p>
            <w:pPr>
              <w:pStyle w:val="Compact"/>
              <w:jc w:val="left"/>
            </w:pPr>
            <w:r>
              <w:t xml:space="preserve">Autismus und Vertrauen: große Studien negativ</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(EU), nicht mehr in den USA</w:t>
            </w:r>
          </w:p>
        </w:tc>
        <w:tc>
          <w:tcPr/>
          <w:p>
            <w:pPr>
              <w:pStyle w:val="Compact"/>
              <w:jc w:val="left"/>
            </w:pPr>
            <w:r>
              <w:t xml:space="preserve">GnRH-Test und Pumpe bei Kinderwunsch; Dopingverbot</w:t>
            </w:r>
          </w:p>
        </w:tc>
      </w:tr>
    </w:tbl>
    <w:p>
      <w:pPr>
        <w:pStyle w:val="BodyText"/>
      </w:pPr>
      <w:r>
        <w:t xml:space="preserve">Die Zulassungsangaben entsprechen dem Stand 2026 und sollten aktuell geprüft werden.</w:t>
      </w:r>
    </w:p>
    <w:bookmarkEnd w:id="1962"/>
    <w:bookmarkStart w:id="1963" w:name="lesehinweis-4"/>
    <w:p>
      <w:pPr>
        <w:pStyle w:val="Heading3"/>
      </w:pPr>
      <w:r>
        <w:t xml:space="preserve">Lesehinweis</w:t>
      </w:r>
    </w:p>
    <w:p>
      <w:pPr>
        <w:pStyle w:val="FirstParagraph"/>
      </w:pPr>
      <w:r>
        <w:t xml:space="preserve">Wer sich für Bräunungsmittel interessiert, sollte die Kapitel zu Melanotan II und Afamelanotid zusammen lesen: Sie zeigen, wie verschieden derselbe Grundgedanke ausfallen kann – einmal als geprüftes Arzneimittel in einer Spezialambulanz, einmal als ungeprüftes Pulver aus dem Internet. Für das Thema Sexualität lohnt der Vergleich von Bremelanotid, Kisspeptin und Oxytocin; alle drei zeigen, wie stark Placeboeffekte in diesem Feld sind. Kisspeptin und Gonadorelin erklären gemeinsam die Hormonachse der Fruchtbarkeit. Allgemeines zu Graumarkt-Produkten steht in Teil I, die Risiken im Vergleich in Teil IV.</w:t>
      </w:r>
    </w:p>
    <w:bookmarkEnd w:id="1963"/>
    <w:bookmarkStart w:id="2020" w:name="bremelanotid-pt-141"/>
    <w:p>
      <w:pPr>
        <w:pStyle w:val="Heading2"/>
      </w:pPr>
      <w:r>
        <w:t xml:space="preserve">Bremelanotid (PT-141)</w:t>
      </w:r>
    </w:p>
    <w:bookmarkStart w:id="1966" w:name="steckbrief-46"/>
    <w:p>
      <w:pPr>
        <w:pStyle w:val="Heading3"/>
      </w:pPr>
      <w:r>
        <w:t xml:space="preserve">Steckbrief</w:t>
      </w:r>
    </w:p>
    <w:p>
      <w:pPr>
        <w:numPr>
          <w:ilvl w:val="0"/>
          <w:numId w:val="1252"/>
        </w:numPr>
        <w:pStyle w:val="Compact"/>
      </w:pPr>
      <w:r>
        <w:rPr>
          <w:bCs/>
          <w:b/>
        </w:rPr>
        <w:t xml:space="preserve">Art/Struktur:</w:t>
      </w:r>
      <w:r>
        <w:t xml:space="preserve"> </w:t>
      </w:r>
      <w:r>
        <w:t xml:space="preserve">ringförmiges (zyklisches) Peptid aus sieben Aminosäuren, synthetisch hergestellt. Es leitet sich vom körpereigenen Hormon Alpha-MSH (alpha-Melanozyten-stimulierendes Hormon) ab und ist ein naher Verwandter von Melanotan II (Kapitel 2E02). In der Literatur heißt es auch PT-141.</w:t>
      </w:r>
    </w:p>
    <w:p>
      <w:pPr>
        <w:numPr>
          <w:ilvl w:val="0"/>
          <w:numId w:val="1252"/>
        </w:numPr>
        <w:pStyle w:val="Compact"/>
      </w:pPr>
      <w:r>
        <w:rPr>
          <w:bCs/>
          <w:b/>
        </w:rPr>
        <w:t xml:space="preserve">Herkunft:</w:t>
      </w:r>
      <w:r>
        <w:t xml:space="preserve"> </w:t>
      </w:r>
      <w:r>
        <w:t xml:space="preserve">entstanden aus der Entwicklung von Melanotan II an der Universität von Arizona; weiterentwickelt von der Firma Palatin Technologies</w:t>
      </w:r>
      <w:r>
        <w:rPr>
          <w:rStyle w:val="FootnoteReference"/>
        </w:rPr>
        <w:footnoteReference w:id="1964"/>
      </w:r>
      <w:r>
        <w:t xml:space="preserve">.</w:t>
      </w:r>
    </w:p>
    <w:p>
      <w:pPr>
        <w:numPr>
          <w:ilvl w:val="0"/>
          <w:numId w:val="1252"/>
        </w:numPr>
        <w:pStyle w:val="Compact"/>
      </w:pPr>
      <w:r>
        <w:rPr>
          <w:bCs/>
          <w:b/>
        </w:rPr>
        <w:t xml:space="preserve">Wirkprinzip:</w:t>
      </w:r>
      <w:r>
        <w:t xml:space="preserve"> </w:t>
      </w:r>
      <w:r>
        <w:t xml:space="preserve">Agonist an Melanocortin-Rezeptoren, vor allem MC4R im Gehirn. Es wirkt nicht an den Blutgefäßen der Geschlechtsorgane wie Sildenafil, sondern auf Hirnregionen, die an sexuellem Verlangen beteiligt sind.</w:t>
      </w:r>
    </w:p>
    <w:p>
      <w:pPr>
        <w:numPr>
          <w:ilvl w:val="0"/>
          <w:numId w:val="1252"/>
        </w:numPr>
        <w:pStyle w:val="Compact"/>
      </w:pPr>
      <w:r>
        <w:rPr>
          <w:bCs/>
          <w:b/>
        </w:rPr>
        <w:t xml:space="preserve">Darreichungsform:</w:t>
      </w:r>
      <w:r>
        <w:t xml:space="preserve"> </w:t>
      </w:r>
      <w:r>
        <w:t xml:space="preserve">Fertigspritze (Autoinjektor) zur Anwendung unter die Haut bei Bedarf, etwa 45 Minuten vor sexueller Aktivität. Frühe Studien nutzten ein Nasenspray.</w:t>
      </w:r>
    </w:p>
    <w:p>
      <w:pPr>
        <w:numPr>
          <w:ilvl w:val="0"/>
          <w:numId w:val="1252"/>
        </w:numPr>
        <w:pStyle w:val="Compact"/>
      </w:pPr>
      <w:r>
        <w:rPr>
          <w:bCs/>
          <w:b/>
        </w:rPr>
        <w:t xml:space="preserve">Zulassung EU:</w:t>
      </w:r>
      <w:r>
        <w:t xml:space="preserve"> </w:t>
      </w:r>
      <w:r>
        <w:t xml:space="preserve">nein.</w:t>
      </w:r>
    </w:p>
    <w:p>
      <w:pPr>
        <w:numPr>
          <w:ilvl w:val="0"/>
          <w:numId w:val="1252"/>
        </w:numPr>
        <w:pStyle w:val="Compact"/>
      </w:pPr>
      <w:r>
        <w:rPr>
          <w:bCs/>
          <w:b/>
        </w:rPr>
        <w:t xml:space="preserve">Zulassung USA:</w:t>
      </w:r>
      <w:r>
        <w:t xml:space="preserve"> </w:t>
      </w:r>
      <w:r>
        <w:t xml:space="preserve">ja, seit 2019 als Vyleesi für Frauen vor den Wechseljahren mit erworbener, generalisierter Störung des sexuellen Verlangens (hypoaktive sexuelle Luststörung, HSDD)</w:t>
      </w:r>
      <w:r>
        <w:rPr>
          <w:rStyle w:val="FootnoteReference"/>
        </w:rPr>
        <w:footnoteReference w:id="1965"/>
      </w:r>
      <w:r>
        <w:t xml:space="preserve">. Anwendung nur nach ärztlicher Verordnung und gemäß Fachinformation.</w:t>
      </w:r>
    </w:p>
    <w:p>
      <w:pPr>
        <w:numPr>
          <w:ilvl w:val="0"/>
          <w:numId w:val="1252"/>
        </w:numPr>
        <w:pStyle w:val="Compact"/>
      </w:pPr>
      <w:r>
        <w:rPr>
          <w:bCs/>
          <w:b/>
        </w:rPr>
        <w:t xml:space="preserve">WADA:</w:t>
      </w:r>
      <w:r>
        <w:t xml:space="preserve"> </w:t>
      </w:r>
      <w:r>
        <w:t xml:space="preserve">nicht namentlich gelistet.</w:t>
      </w:r>
    </w:p>
    <w:p>
      <w:pPr>
        <w:numPr>
          <w:ilvl w:val="0"/>
          <w:numId w:val="1252"/>
        </w:numPr>
        <w:pStyle w:val="Compact"/>
      </w:pPr>
      <w:r>
        <w:rPr>
          <w:bCs/>
          <w:b/>
        </w:rPr>
        <w:t xml:space="preserve">Evidenzstufe:</w:t>
      </w:r>
      <w:r>
        <w:t xml:space="preserve"> </w:t>
      </w:r>
      <w:r>
        <w:rPr>
          <w:bCs/>
          <w:b/>
        </w:rPr>
        <w:t xml:space="preserve">A</w:t>
      </w:r>
      <w:r>
        <w:t xml:space="preserve"> </w:t>
      </w:r>
      <w:r>
        <w:t xml:space="preserve">– zwei große randomisierte Phase-3-Studien mit zusammen über 1.200 Teilnehmerinnen, Zulassung in den USA. Der klinische Nutzen ist allerdings klein und umstritten (siehe unten).</w:t>
      </w:r>
    </w:p>
    <w:bookmarkEnd w:id="1966"/>
    <w:bookmarkStart w:id="1971" w:name="wie-es-wirken-soll-46"/>
    <w:p>
      <w:pPr>
        <w:pStyle w:val="Heading3"/>
      </w:pPr>
      <w:r>
        <w:t xml:space="preserve">Wie es wirken soll</w:t>
      </w:r>
    </w:p>
    <w:p>
      <w:pPr>
        <w:pStyle w:val="FirstParagraph"/>
      </w:pPr>
      <w:r>
        <w:t xml:space="preserve">Das Melanocortin-System ist ein Netz aus Botenstoffen und fünf Rezeptoren (MC1R bis MC5R), das in der Einleitung zu diesem Teil näher beschrieben wird. Für Bremelanotid ist vor allem der Rezeptor MC4R wichtig. Er sitzt unter anderem im Hypothalamus, einer Steuerzentrale im Zwischenhirn, und beeinflusst dort Appetit, Energieverbrauch und – wie sich zufällig herausstellte – sexuelle Erregung.</w:t>
      </w:r>
    </w:p>
    <w:p>
      <w:pPr>
        <w:pStyle w:val="BodyText"/>
      </w:pPr>
      <w:r>
        <w:t xml:space="preserve">Die Entdeckung war ein Nebenprodukt der Bräunungsforschung: Männer, die in den 1990er-Jahren Melanotan II zur Hautbräunung erhielten, berichteten über spontane Erektionen</w:t>
      </w:r>
      <w:r>
        <w:rPr>
          <w:rStyle w:val="FootnoteReference"/>
        </w:rPr>
        <w:footnoteReference w:id="1967"/>
      </w:r>
      <w:r>
        <w:t xml:space="preserve">. Bremelanotid ist eine leicht abgewandelte Form dieses Moleküls. Es aktiviert mehrere Melanocortin-Rezeptoren, bei den eingesetzten Dosen ist aber MC4R der wichtigste</w:t>
      </w:r>
      <w:r>
        <w:rPr>
          <w:rStyle w:val="FootnoteReference"/>
        </w:rPr>
        <w:footnoteReference w:id="1968"/>
      </w:r>
      <w:r>
        <w:t xml:space="preserve">. Ganz frei von Wirkung auf die Haut ist es aber nicht – das erklärt die beobachteten Pigmentflecken.</w:t>
      </w:r>
    </w:p>
    <w:p>
      <w:pPr>
        <w:pStyle w:val="BodyText"/>
      </w:pPr>
      <w:r>
        <w:t xml:space="preserve">Wie genau die Aktivierung von MC4R das sexuelle Verlangen beeinflusst, ist nur teilweise verstanden. Tierversuche deuten darauf hin, dass Bremelanotid in einer bestimmten Region des Hypothalamus (der medialen präoptischen Area) die Freisetzung des Botenstoffs Dopamin anregt, der sexuelles Verlangen fördert</w:t>
      </w:r>
      <w:r>
        <w:rPr>
          <w:rStyle w:val="FootnoteReference"/>
        </w:rPr>
        <w:footnoteReference w:id="1969"/>
      </w:r>
      <w:r>
        <w:t xml:space="preserve">. Eine britische Studie mit funktioneller Magnetresonanztomografie (fMRT) bei 31 Frauen mit HSDD fand unter einem MC4R-Agonisten veränderte Aktivität in Hirnregionen, die erotische Reize verarbeiten</w:t>
      </w:r>
      <w:r>
        <w:rPr>
          <w:rStyle w:val="FootnoteReference"/>
        </w:rPr>
        <w:footnoteReference w:id="1970"/>
      </w:r>
      <w:r>
        <w:t xml:space="preserve">. Die Autorinnen und Autoren deuten das als verringerte Selbstbeobachtung und gesteigerte Empfänglichkeit für erotische Reize – eine Interpretation, keine bewiesene Erklärung.</w:t>
      </w:r>
    </w:p>
    <w:p>
      <w:pPr>
        <w:pStyle w:val="BodyText"/>
      </w:pPr>
      <w:r>
        <w:t xml:space="preserve">Wichtig für das Verständnis: Die Zulassung zielt nicht auf „mehr Lust“ bei Gesunden, sondern auf eine definierte Diagnose. HSDD bedeutet anhaltend geringes sexuelles Verlangen, das Leidensdruck verursacht und nicht durch eine andere Erkrankung, Medikamente oder Beziehungsprobleme erklärt wird.</w:t>
      </w:r>
    </w:p>
    <w:bookmarkEnd w:id="1971"/>
    <w:bookmarkStart w:id="1997" w:name="studien-am-menschen-4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16</w:t>
      </w:r>
      <w:r>
        <w:t xml:space="preserve"> </w:t>
      </w:r>
      <w:r>
        <w:t xml:space="preserve">Humanstudien in PubMed (</w:t>
      </w:r>
      <w:r>
        <w:rPr>
          <w:rStyle w:val="VerbatimChar"/>
        </w:rPr>
        <w:t xml:space="preserve">humanstudien_alle</w:t>
      </w:r>
      <w:r>
        <w:t xml:space="preserve">) und</w:t>
      </w:r>
      <w:r>
        <w:t xml:space="preserve"> </w:t>
      </w:r>
      <w:r>
        <w:rPr>
          <w:bCs/>
          <w:b/>
        </w:rPr>
        <w:t xml:space="preserve">10</w:t>
      </w:r>
      <w:r>
        <w:t xml:space="preserve"> </w:t>
      </w:r>
      <w:r>
        <w:t xml:space="preserve">Einträge bei ClinicalTrials.gov. Dazu kommen mehrere Übersichtsarbeiten und Meta-Analysen. Für die Bewertung tragen vor allem die beiden Zulassungsstudien RECONNECT, ihre Verlängerung und die Sicherheitsauswertung des gesamten Entwicklungsprogramms.</w:t>
      </w:r>
    </w:p>
    <w:bookmarkStart w:id="1977" w:name="frühe-studien-bei-männern"/>
    <w:p>
      <w:pPr>
        <w:pStyle w:val="Heading4"/>
      </w:pPr>
      <w:r>
        <w:t xml:space="preserve">Frühe Studien bei Männern</w:t>
      </w:r>
    </w:p>
    <w:p>
      <w:pPr>
        <w:pStyle w:val="FirstParagraph"/>
      </w:pPr>
      <w:r>
        <w:t xml:space="preserve">Bremelanotid wurde zuerst als Mittel gegen Erektionsstörungen entwickelt. In Phase-1-Studien mit Nasenspray</w:t>
      </w:r>
      <w:r>
        <w:rPr>
          <w:rStyle w:val="FootnoteReference"/>
        </w:rPr>
        <w:footnoteReference w:id="1972"/>
      </w:r>
      <w:r>
        <w:t xml:space="preserve"> </w:t>
      </w:r>
      <w:r>
        <w:t xml:space="preserve">und Spritze</w:t>
      </w:r>
      <w:r>
        <w:rPr>
          <w:rStyle w:val="FootnoteReference"/>
        </w:rPr>
        <w:footnoteReference w:id="1973"/>
      </w:r>
      <w:r>
        <w:t xml:space="preserve"> </w:t>
      </w:r>
      <w:r>
        <w:t xml:space="preserve">löste es bei gesunden Männern und bei Männern mit Erektionsstörung messbare Erektionen aus, auch bei solchen, die auf Viagra nur unzureichend ansprachen. In einer kleinen Studie mit 19 Patienten verstärkte eine niedrige Dosis Bremelanotid die Wirkung einer niedrigen Dosis Sildenafil</w:t>
      </w:r>
      <w:r>
        <w:rPr>
          <w:rStyle w:val="FootnoteReference"/>
        </w:rPr>
        <w:footnoteReference w:id="1974"/>
      </w:r>
      <w:r>
        <w:t xml:space="preserve">.</w:t>
      </w:r>
    </w:p>
    <w:p>
      <w:pPr>
        <w:pStyle w:val="BodyText"/>
      </w:pPr>
      <w:r>
        <w:t xml:space="preserve">Eine Studie mit 342 Männern, bei denen Sildenafil nicht gewirkt hatte, berichtete ein positives Ergebnis bei 33,5 % unter Bremelanotid-Nasenspray gegenüber 8,5 % unter Placebo</w:t>
      </w:r>
      <w:r>
        <w:rPr>
          <w:rStyle w:val="FootnoteReference"/>
        </w:rPr>
        <w:footnoteReference w:id="1975"/>
      </w:r>
      <w:r>
        <w:t xml:space="preserve">. Diese Arbeit sollte mit Vorsicht gelesen werden: Eine zweite Bremelanotid-Studie desselben Erstautors an Frauen wurde von der Fachzeitschrift zurückgezogen, weil Methoden und Ergebnisse nicht überprüfbar waren</w:t>
      </w:r>
      <w:r>
        <w:rPr>
          <w:rStyle w:val="FootnoteReference"/>
        </w:rPr>
        <w:footnoteReference w:id="1976"/>
      </w:r>
      <w:r>
        <w:t xml:space="preserve">; weitere Arbeiten des Autors wurden ebenfalls zurückgezogen.</w:t>
      </w:r>
    </w:p>
    <w:p>
      <w:pPr>
        <w:pStyle w:val="BodyText"/>
      </w:pPr>
      <w:r>
        <w:t xml:space="preserve">Die Entwicklung des Nasensprays wurde eingestellt, nachdem in Studien Blutdruckanstiege aufgefallen waren. Das Unternehmen wechselte zur Spritze und zur Zielgruppe Frauen.</w:t>
      </w:r>
    </w:p>
    <w:bookmarkEnd w:id="1977"/>
    <w:bookmarkStart w:id="1981" w:name="dosisfindung-bei-frauen"/>
    <w:p>
      <w:pPr>
        <w:pStyle w:val="Heading4"/>
      </w:pPr>
      <w:r>
        <w:t xml:space="preserve">Dosisfindung bei Frauen</w:t>
      </w:r>
    </w:p>
    <w:p>
      <w:pPr>
        <w:pStyle w:val="FirstParagraph"/>
      </w:pPr>
      <w:r>
        <w:t xml:space="preserve">Eine erste kleine Laborstudie mit 18 Frauen mit Erregungsstörung zeigte nach einer einzelnen Gabe häufiger moderates bis hohes Verlangen als nach Placebo, aber keine messbare Veränderung der Durchblutung der Scheide beim Betrachten erotischer Filme</w:t>
      </w:r>
      <w:r>
        <w:rPr>
          <w:rStyle w:val="FootnoteReference"/>
        </w:rPr>
        <w:footnoteReference w:id="1978"/>
      </w:r>
      <w:r>
        <w:t xml:space="preserve">.</w:t>
      </w:r>
    </w:p>
    <w:p>
      <w:pPr>
        <w:pStyle w:val="BodyText"/>
      </w:pPr>
      <w:r>
        <w:t xml:space="preserve">Die entscheidende Phase-2b-Studie</w:t>
      </w:r>
      <w:r>
        <w:rPr>
          <w:rStyle w:val="FootnoteReference"/>
        </w:rPr>
        <w:footnoteReference w:id="1979"/>
      </w:r>
      <w:r>
        <w:t xml:space="preserve"> </w:t>
      </w:r>
      <w:r>
        <w:t xml:space="preserve">prüfte drei Dosierungen gegen Placebo über zwölf Wochen bei Frauen vor den Wechseljahren. Ausgewertet wurden 327 Teilnehmerinnen. Bei den beiden höheren Dosen zusammengefasst stieg die Zahl „befriedigender sexueller Ereignisse“ um 0,7 pro Monat gegenüber 0,2 unter Placebo. Auf dem Fragebogen FSFI (Female Sexual Function Index, ein Punktwert für sexuelle Funktion) betrug der Anstieg 3,6 gegenüber 1,9 Punkten. Eine nachträgliche Auswertung legte fest, ab welcher Veränderung ein Effekt als klinisch bedeutsam gilt; diese Schwellen wurden dann für die Phase-3-Studien übernommen</w:t>
      </w:r>
      <w:r>
        <w:rPr>
          <w:rStyle w:val="FootnoteReference"/>
        </w:rPr>
        <w:footnoteReference w:id="1980"/>
      </w:r>
      <w:r>
        <w:t xml:space="preserve">.</w:t>
      </w:r>
    </w:p>
    <w:bookmarkEnd w:id="1981"/>
    <w:bookmarkStart w:id="1985" w:name="die-zulassungsstudien-reconnect"/>
    <w:p>
      <w:pPr>
        <w:pStyle w:val="Heading4"/>
      </w:pPr>
      <w:r>
        <w:t xml:space="preserve">Die Zulassungsstudien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RECONNECT 301 und 302 (Kingsberg 2019), PMID 31599840</w:t>
            </w:r>
          </w:p>
        </w:tc>
        <w:tc>
          <w:tcPr/>
          <w:p>
            <w:pPr>
              <w:pStyle w:val="Compact"/>
              <w:jc w:val="left"/>
            </w:pPr>
            <w:r>
              <w:t xml:space="preserve">1.267 Frauen vor den Wechseljahren mit HSDD, zwei RCTs gegen Placebo, Anwendung bei Bedarf</w:t>
            </w:r>
          </w:p>
        </w:tc>
        <w:tc>
          <w:tcPr/>
          <w:p>
            <w:pPr>
              <w:pStyle w:val="Compact"/>
              <w:jc w:val="left"/>
            </w:pPr>
            <w:r>
              <w:t xml:space="preserve">24 Wochen</w:t>
            </w:r>
          </w:p>
        </w:tc>
        <w:tc>
          <w:tcPr/>
          <w:p>
            <w:pPr>
              <w:pStyle w:val="Compact"/>
              <w:jc w:val="left"/>
            </w:pPr>
            <w:r>
              <w:t xml:space="preserve">Verlangen (FSFI-Desire) +0,35 Punkte mehr als Placebo; Leidensdruck −0,33 Punkte stärker gesenkt</w:t>
            </w:r>
          </w:p>
        </w:tc>
      </w:tr>
      <w:tr>
        <w:tc>
          <w:tcPr/>
          <w:p>
            <w:pPr>
              <w:pStyle w:val="Compact"/>
              <w:jc w:val="left"/>
            </w:pPr>
            <w:r>
              <w:t xml:space="preserve">Offene Verlängerung (Simon 2019), PMID 31599847</w:t>
            </w:r>
          </w:p>
        </w:tc>
        <w:tc>
          <w:tcPr/>
          <w:p>
            <w:pPr>
              <w:pStyle w:val="Compact"/>
              <w:jc w:val="left"/>
            </w:pPr>
            <w:r>
              <w:t xml:space="preserve">684 Frauen aus beiden Studien, alle mit Bremelanotid</w:t>
            </w:r>
          </w:p>
        </w:tc>
        <w:tc>
          <w:tcPr/>
          <w:p>
            <w:pPr>
              <w:pStyle w:val="Compact"/>
              <w:jc w:val="left"/>
            </w:pPr>
            <w:r>
              <w:t xml:space="preserve">52 Wochen</w:t>
            </w:r>
          </w:p>
        </w:tc>
        <w:tc>
          <w:tcPr/>
          <w:p>
            <w:pPr>
              <w:pStyle w:val="Compact"/>
              <w:jc w:val="left"/>
            </w:pPr>
            <w:r>
              <w:t xml:space="preserve">272 beendeten die Verlängerung; keine neuen Sicherheitssignale</w:t>
            </w:r>
          </w:p>
        </w:tc>
      </w:tr>
      <w:tr>
        <w:tc>
          <w:tcPr/>
          <w:p>
            <w:pPr>
              <w:pStyle w:val="Compact"/>
              <w:jc w:val="left"/>
            </w:pPr>
            <w:r>
              <w:t xml:space="preserve">Untergruppenanalyse (Simon 2022), PMID 35230162</w:t>
            </w:r>
          </w:p>
        </w:tc>
        <w:tc>
          <w:tcPr/>
          <w:p>
            <w:pPr>
              <w:pStyle w:val="Compact"/>
              <w:jc w:val="left"/>
            </w:pPr>
            <w:r>
              <w:t xml:space="preserve">1.202 Frauen aus beiden Studien</w:t>
            </w:r>
          </w:p>
        </w:tc>
        <w:tc>
          <w:tcPr/>
          <w:p>
            <w:pPr>
              <w:pStyle w:val="Compact"/>
              <w:jc w:val="left"/>
            </w:pPr>
            <w:r>
              <w:t xml:space="preserve">24 Wochen</w:t>
            </w:r>
          </w:p>
        </w:tc>
        <w:tc>
          <w:tcPr/>
          <w:p>
            <w:pPr>
              <w:pStyle w:val="Compact"/>
              <w:jc w:val="left"/>
            </w:pPr>
            <w:r>
              <w:t xml:space="preserve">Effekt in fast allen Alters-, Gewichts- und Hormon-Untergruppen ähnlich</w:t>
            </w:r>
          </w:p>
        </w:tc>
      </w:tr>
      <w:tr>
        <w:tc>
          <w:tcPr/>
          <w:p>
            <w:pPr>
              <w:pStyle w:val="Compact"/>
              <w:jc w:val="left"/>
            </w:pPr>
            <w:r>
              <w:t xml:space="preserve">Sicherheitsauswertung (Clayton 2022), PMID 35147466</w:t>
            </w:r>
          </w:p>
        </w:tc>
        <w:tc>
          <w:tcPr/>
          <w:p>
            <w:pPr>
              <w:pStyle w:val="Compact"/>
              <w:jc w:val="left"/>
            </w:pPr>
            <w:r>
              <w:t xml:space="preserve">rund 3.500 Personen in 43 Studien</w:t>
            </w:r>
          </w:p>
        </w:tc>
        <w:tc>
          <w:tcPr/>
          <w:p>
            <w:pPr>
              <w:pStyle w:val="Compact"/>
              <w:jc w:val="left"/>
            </w:pPr>
            <w:r>
              <w:t xml:space="preserve">bis 18 Monate</w:t>
            </w:r>
          </w:p>
        </w:tc>
        <w:tc>
          <w:tcPr/>
          <w:p>
            <w:pPr>
              <w:pStyle w:val="Compact"/>
              <w:jc w:val="left"/>
            </w:pPr>
            <w:r>
              <w:t xml:space="preserve">Übelkeit 40,0 % vs. 1,3 %, Hitzegefühl 20,3 % vs. 1,3 %</w:t>
            </w:r>
          </w:p>
        </w:tc>
      </w:tr>
    </w:tbl>
    <w:p>
      <w:pPr>
        <w:pStyle w:val="BodyText"/>
      </w:pPr>
      <w:r>
        <w:t xml:space="preserve">Die beiden identischen Studien 301 und 302</w:t>
      </w:r>
      <w:r>
        <w:rPr>
          <w:rStyle w:val="FootnoteReference"/>
        </w:rPr>
        <w:footnoteReference w:id="1982"/>
      </w:r>
      <w:r>
        <w:t xml:space="preserve"> </w:t>
      </w:r>
      <w:r>
        <w:t xml:space="preserve">liefen 2015 und 2016 überwiegend in den USA. Die Teilnehmerinnen spritzten sich bei Bedarf vor sexueller Aktivität 1,75 mg Bremelanotid oder Placebo mit einem Autoinjektor. Gemessen wurden zwei Hauptzielgrößen: das sexuelle Verlangen (Desire-Bereich des FSFI, Skala von 1,2 bis 6) und der Leidensdruck wegen geringen Verlangens (eine Einzelfrage des Fragebogens FSDS-DAO, Skala 0 bis 4).</w:t>
      </w:r>
    </w:p>
    <w:p>
      <w:pPr>
        <w:pStyle w:val="BodyText"/>
      </w:pPr>
      <w:r>
        <w:t xml:space="preserve">Beide Studien erreichten ihre Hauptziele. In der gemeinsamen Auswertung stieg das Verlangen um 0,35 Punkte mehr als unter Placebo, der Leidensdruck sank um 0,33 Punkte mehr</w:t>
      </w:r>
      <w:r>
        <w:rPr>
          <w:rStyle w:val="FootnoteReference"/>
        </w:rPr>
        <w:footnoteReference w:id="1983"/>
      </w:r>
      <w:r>
        <w:t xml:space="preserve">. Diese Zahlen sind statistisch eindeutig, aber klein: Auf einer Skala bis 6 bedeutet ein Drittel Punkt einen bescheidenen Unterschied. Auch unter Placebo verbesserten sich die Werte deutlich – ein in der Sexualmedizin bekanntes Muster.</w:t>
      </w:r>
    </w:p>
    <w:p>
      <w:pPr>
        <w:pStyle w:val="BodyText"/>
      </w:pPr>
      <w:r>
        <w:t xml:space="preserve">In Austrittsbefragungen mit 242 Teilnehmerinnen, die noch nicht wussten, was sie erhalten hatten, beschrieben Frauen unter Bremelanotid häufiger körperliche Erregung und mehr Verlangen; unter Placebo nannten sie eher bessere Kommunikation in der Partnerschaft</w:t>
      </w:r>
      <w:r>
        <w:rPr>
          <w:rStyle w:val="FootnoteReference"/>
        </w:rPr>
        <w:footnoteReference w:id="1984"/>
      </w:r>
      <w:r>
        <w:t xml:space="preserve">.</w:t>
      </w:r>
    </w:p>
    <w:bookmarkEnd w:id="1985"/>
    <w:bookmarkStart w:id="1988" w:name="die-kritik-an-den-zulassungsstudien"/>
    <w:p>
      <w:pPr>
        <w:pStyle w:val="Heading4"/>
      </w:pPr>
      <w:r>
        <w:t xml:space="preserve">Die Kritik an den Zulassungsstudien</w:t>
      </w:r>
    </w:p>
    <w:p>
      <w:pPr>
        <w:pStyle w:val="FirstParagraph"/>
      </w:pPr>
      <w:r>
        <w:t xml:space="preserve">Eine unabhängige Neuauswertung auf Basis der Unterlagen, die bei der US-Arzneimittelbehörde FDA eingereicht wurden, kam zu einem anderen Gesamturteil</w:t>
      </w:r>
      <w:r>
        <w:rPr>
          <w:rStyle w:val="FootnoteReference"/>
        </w:rPr>
        <w:footnoteReference w:id="1986"/>
      </w:r>
      <w:r>
        <w:t xml:space="preserve">. Der Autor bestätigt die kleinen Effekte, kritisiert aber, dass rund 73 % der im Studienprotokoll vorgesehenen Ergebnisse nicht veröffentlicht wurden. Zwei Befunde fehlten in der Hauptpublikation:</w:t>
      </w:r>
    </w:p>
    <w:p>
      <w:pPr>
        <w:numPr>
          <w:ilvl w:val="0"/>
          <w:numId w:val="1253"/>
        </w:numPr>
        <w:pStyle w:val="Compact"/>
      </w:pPr>
      <w:r>
        <w:t xml:space="preserve">Abbrüche wegen Nebenwirkungen waren unter Bremelanotid deutlich häufiger (Odds Ratio 11,98). Rechnerisch brach etwa eine von sechs behandelten Frauen wegen Nebenwirkungen ab, die es unter Placebo nicht getan hätte.</w:t>
      </w:r>
    </w:p>
    <w:p>
      <w:pPr>
        <w:numPr>
          <w:ilvl w:val="0"/>
          <w:numId w:val="1253"/>
        </w:numPr>
        <w:pStyle w:val="Compact"/>
      </w:pPr>
      <w:r>
        <w:t xml:space="preserve">Wer die Studie beendete und danach in die offene Verlängerung wechselte, kam häufiger aus der Placebogruppe. Auch die Sicherheitsauswertung des Herstellers nennt diese Zahlen: 70 % der Bremelanotid-Gruppe gegenüber 87 % der Placebogruppe gingen in die Verlängerung über</w:t>
      </w:r>
      <w:r>
        <w:rPr>
          <w:rStyle w:val="FootnoteReference"/>
        </w:rPr>
        <w:footnoteReference w:id="1987"/>
      </w:r>
      <w:r>
        <w:t xml:space="preserve">.</w:t>
      </w:r>
    </w:p>
    <w:p>
      <w:pPr>
        <w:pStyle w:val="FirstParagraph"/>
      </w:pPr>
      <w:r>
        <w:t xml:space="preserve">Spielmans folgert, das Mittel sei für die meisten Frauen nicht nützlich. Das ist eine pointierte Einzelmeinung, die aber auf Daten beruht, die auch die Herstellerseite veröffentlicht hat.</w:t>
      </w:r>
    </w:p>
    <w:bookmarkEnd w:id="1988"/>
    <w:bookmarkStart w:id="1992" w:name="meta-analysen-1"/>
    <w:p>
      <w:pPr>
        <w:pStyle w:val="Heading4"/>
      </w:pPr>
      <w:r>
        <w:t xml:space="preserve">Meta-Analysen</w:t>
      </w:r>
    </w:p>
    <w:p>
      <w:pPr>
        <w:pStyle w:val="FirstParagraph"/>
      </w:pPr>
      <w:r>
        <w:t xml:space="preserve">Eine Meta-Analyse zu Medikamenten gegen sexuelle Funktionsstörungen der Frau (darunter Bremelanotid, Flibanserin und intranasales Oxytocin) fand, dass rund 67,7 % der Verbesserung in den Behandlungsgruppen auch unter Placebo auftrat</w:t>
      </w:r>
      <w:r>
        <w:rPr>
          <w:rStyle w:val="FootnoteReference"/>
        </w:rPr>
        <w:footnoteReference w:id="1989"/>
      </w:r>
      <w:r>
        <w:t xml:space="preserve">. Eine neuere Meta-Analyse bestätigt für Bremelanotid kleine Verbesserungen bei Verlangen und Erregung und eine Verringerung des Leidensdrucks, ohne Vergleich mit Psychotherapie</w:t>
      </w:r>
      <w:r>
        <w:rPr>
          <w:rStyle w:val="FootnoteReference"/>
        </w:rPr>
        <w:footnoteReference w:id="1990"/>
      </w:r>
      <w:r>
        <w:t xml:space="preserve">. Eine Übersicht der bei ClinicalTrials.gov abgeschlossenen Studien bemängelt uneinheitliche Zielgrößen und unvollständige Berichte</w:t>
      </w:r>
      <w:r>
        <w:rPr>
          <w:rStyle w:val="FootnoteReference"/>
        </w:rPr>
        <w:footnoteReference w:id="1991"/>
      </w:r>
      <w:r>
        <w:t xml:space="preserve">.</w:t>
      </w:r>
    </w:p>
    <w:bookmarkEnd w:id="1992"/>
    <w:bookmarkStart w:id="1996" w:name="weitere-fragestellungen"/>
    <w:p>
      <w:pPr>
        <w:pStyle w:val="Heading4"/>
      </w:pPr>
      <w:r>
        <w:t xml:space="preserve">Weitere Fragestellungen</w:t>
      </w:r>
    </w:p>
    <w:p>
      <w:pPr>
        <w:numPr>
          <w:ilvl w:val="0"/>
          <w:numId w:val="1254"/>
        </w:numPr>
        <w:pStyle w:val="Compact"/>
      </w:pPr>
      <w:r>
        <w:rPr>
          <w:bCs/>
          <w:b/>
        </w:rPr>
        <w:t xml:space="preserve">Alkohol:</w:t>
      </w:r>
      <w:r>
        <w:t xml:space="preserve"> </w:t>
      </w:r>
      <w:r>
        <w:t xml:space="preserve">In einer Phase-1-Studie mit 24 Gesunden traten bei gleichzeitigem Alkoholkonsum keine bedeutsamen Wechselwirkungen auf</w:t>
      </w:r>
      <w:r>
        <w:rPr>
          <w:rStyle w:val="FootnoteReference"/>
        </w:rPr>
        <w:footnoteReference w:id="1993"/>
      </w:r>
      <w:r>
        <w:t xml:space="preserve">.</w:t>
      </w:r>
    </w:p>
    <w:p>
      <w:pPr>
        <w:numPr>
          <w:ilvl w:val="0"/>
          <w:numId w:val="1254"/>
        </w:numPr>
        <w:pStyle w:val="Compact"/>
      </w:pPr>
      <w:r>
        <w:rPr>
          <w:bCs/>
          <w:b/>
        </w:rPr>
        <w:t xml:space="preserve">Gewicht:</w:t>
      </w:r>
      <w:r>
        <w:t xml:space="preserve"> </w:t>
      </w:r>
      <w:r>
        <w:t xml:space="preserve">Weil MC4R auch den Appetit steuert, wurde Bremelanotid bei Frauen mit Adipositas getestet. In zwei kleinen Phase-1-Studien sank die Kalorienaufnahme um etwa 400 kcal pro Tag; nach 16 Tagen lag das Gewicht 1,3 kg unter dem der Placebogruppe</w:t>
      </w:r>
      <w:r>
        <w:rPr>
          <w:rStyle w:val="FootnoteReference"/>
        </w:rPr>
        <w:footnoteReference w:id="1994"/>
      </w:r>
      <w:r>
        <w:t xml:space="preserve">. Das sind Kurzzeitdaten ohne Aussage über eine Dauerbehandlung.</w:t>
      </w:r>
    </w:p>
    <w:p>
      <w:pPr>
        <w:numPr>
          <w:ilvl w:val="0"/>
          <w:numId w:val="1254"/>
        </w:numPr>
        <w:pStyle w:val="Compact"/>
      </w:pPr>
      <w:r>
        <w:rPr>
          <w:bCs/>
          <w:b/>
        </w:rPr>
        <w:t xml:space="preserve">Gehirn:</w:t>
      </w:r>
      <w:r>
        <w:t xml:space="preserve"> </w:t>
      </w:r>
      <w:r>
        <w:t xml:space="preserve">Die bereits erwähnte fMRT-Studie</w:t>
      </w:r>
      <w:r>
        <w:rPr>
          <w:rStyle w:val="FootnoteReference"/>
        </w:rPr>
        <w:footnoteReference w:id="1995"/>
      </w:r>
      <w:r>
        <w:t xml:space="preserve"> </w:t>
      </w:r>
      <w:r>
        <w:t xml:space="preserve">ist eine der wenigen Arbeiten, die nicht vom Hersteller geleitet wurden.</w:t>
      </w:r>
    </w:p>
    <w:bookmarkEnd w:id="1996"/>
    <w:bookmarkEnd w:id="1997"/>
    <w:bookmarkStart w:id="2001" w:name="tier--und-laborstudien-46"/>
    <w:p>
      <w:pPr>
        <w:pStyle w:val="Heading3"/>
      </w:pPr>
      <w:r>
        <w:t xml:space="preserve">Tier- und Laborstudien</w:t>
      </w:r>
    </w:p>
    <w:p>
      <w:pPr>
        <w:pStyle w:val="FirstParagraph"/>
      </w:pPr>
      <w:r>
        <w:t xml:space="preserve">Die Tierforschung zu Bremelanotid stammt überwiegend von Ratten. Eine Übersicht fasst sie so zusammen: Bremelanotid aktiviert MC4R an Nervenzellen im Hypothalamus, die daraufhin mehr Dopamin freisetzen; bei weiblichen Ratten nahm Verhalten zu, mit dem Weibchen sexuelles Interesse zeigen</w:t>
      </w:r>
      <w:r>
        <w:rPr>
          <w:rStyle w:val="FootnoteReference"/>
        </w:rPr>
        <w:footnoteReference w:id="1998"/>
      </w:r>
      <w:r>
        <w:t xml:space="preserve">. Die Übersicht stammt von Forschenden mit Verbindung zur Entwicklung des Mittels.</w:t>
      </w:r>
    </w:p>
    <w:p>
      <w:pPr>
        <w:pStyle w:val="BodyText"/>
      </w:pPr>
      <w:r>
        <w:t xml:space="preserve">Eine unabhängige Studie an weiblichen Hamstern kam zu einem ernüchternden Ergebnis: Bremelanotid veränderte weder die Rezeptoren im Belohnungssystem noch verstärkte es den „Belohnungswert“ sexueller Begegnungen in einem Verhaltenstest</w:t>
      </w:r>
      <w:r>
        <w:rPr>
          <w:rStyle w:val="FootnoteReference"/>
        </w:rPr>
        <w:footnoteReference w:id="1999"/>
      </w:r>
      <w:r>
        <w:t xml:space="preserve">. Die Autorinnen und Autoren schließen, dass das Mittel nicht über den klassischen Belohnungskreislauf wirkt. Wie es genau wirkt, bleibt also offen.</w:t>
      </w:r>
    </w:p>
    <w:p>
      <w:pPr>
        <w:pStyle w:val="BodyText"/>
      </w:pPr>
      <w:r>
        <w:t xml:space="preserve">In Zellkulturen hemmte Bremelanotid das Wachstum von Glioblastomzellen, einer Hirntumorart</w:t>
      </w:r>
      <w:r>
        <w:rPr>
          <w:rStyle w:val="FootnoteReference"/>
        </w:rPr>
        <w:footnoteReference w:id="2000"/>
      </w:r>
      <w:r>
        <w:t xml:space="preserve">. Das ist ein reiner Laborbefund ohne klinische Bedeutung.</w:t>
      </w:r>
    </w:p>
    <w:bookmarkEnd w:id="2001"/>
    <w:bookmarkStart w:id="2012" w:name="risiken-und-nebenwirkungen-46"/>
    <w:p>
      <w:pPr>
        <w:pStyle w:val="Heading3"/>
      </w:pPr>
      <w:r>
        <w:t xml:space="preserve">Risiken und Nebenwirkungen</w:t>
      </w:r>
    </w:p>
    <w:bookmarkStart w:id="2007" w:name="belegt-7"/>
    <w:p>
      <w:pPr>
        <w:pStyle w:val="Heading4"/>
      </w:pPr>
      <w:r>
        <w:t xml:space="preserve">Belegt</w:t>
      </w:r>
    </w:p>
    <w:p>
      <w:pPr>
        <w:numPr>
          <w:ilvl w:val="0"/>
          <w:numId w:val="1255"/>
        </w:numPr>
        <w:pStyle w:val="Compact"/>
      </w:pPr>
      <w:r>
        <w:rPr>
          <w:bCs/>
          <w:b/>
        </w:rPr>
        <w:t xml:space="preserve">Übelkeit:</w:t>
      </w:r>
      <w:r>
        <w:t xml:space="preserve"> </w:t>
      </w:r>
      <w:r>
        <w:t xml:space="preserve">die häufigste Nebenwirkung. In den Phase-3-Studien betraf sie 40,0 % gegenüber 1,3 % unter Placebo und war der häufigste Abbruchgrund</w:t>
      </w:r>
      <w:r>
        <w:rPr>
          <w:rStyle w:val="FootnoteReference"/>
        </w:rPr>
        <w:footnoteReference w:id="2002"/>
      </w:r>
      <w:r>
        <w:t xml:space="preserve">. Eine eigene Studie mit 228 gesunden Frauen prüfte, ob das Mittel gegen Übelkeit Ondansetron vorbeugend hilft</w:t>
      </w:r>
      <w:r>
        <w:rPr>
          <w:rStyle w:val="FootnoteReference"/>
        </w:rPr>
        <w:footnoteReference w:id="2003"/>
      </w:r>
      <w:r>
        <w:t xml:space="preserve">.</w:t>
      </w:r>
    </w:p>
    <w:p>
      <w:pPr>
        <w:numPr>
          <w:ilvl w:val="0"/>
          <w:numId w:val="1255"/>
        </w:numPr>
        <w:pStyle w:val="Compact"/>
      </w:pPr>
      <w:r>
        <w:rPr>
          <w:bCs/>
          <w:b/>
        </w:rPr>
        <w:t xml:space="preserve">Hitzegefühl (Flushing)</w:t>
      </w:r>
      <w:r>
        <w:t xml:space="preserve"> </w:t>
      </w:r>
      <w:r>
        <w:t xml:space="preserve">bei 20,3 %,</w:t>
      </w:r>
      <w:r>
        <w:t xml:space="preserve"> </w:t>
      </w:r>
      <w:r>
        <w:rPr>
          <w:bCs/>
          <w:b/>
        </w:rPr>
        <w:t xml:space="preserve">Kopfschmerzen</w:t>
      </w:r>
      <w:r>
        <w:t xml:space="preserve"> </w:t>
      </w:r>
      <w:r>
        <w:t xml:space="preserve">bei 11,3 %,</w:t>
      </w:r>
      <w:r>
        <w:t xml:space="preserve"> </w:t>
      </w:r>
      <w:r>
        <w:rPr>
          <w:bCs/>
          <w:b/>
        </w:rPr>
        <w:t xml:space="preserve">Reaktionen an der Einstichstelle</w:t>
      </w:r>
      <w:r>
        <w:t xml:space="preserve"> </w:t>
      </w:r>
      <w:r>
        <w:t xml:space="preserve">bei 5,4 % (gegenüber 1,3 %, 1,9 % und 0,5 % unter Placebo).</w:t>
      </w:r>
    </w:p>
    <w:p>
      <w:pPr>
        <w:numPr>
          <w:ilvl w:val="0"/>
          <w:numId w:val="1255"/>
        </w:numPr>
        <w:pStyle w:val="Compact"/>
      </w:pPr>
      <w:r>
        <w:rPr>
          <w:bCs/>
          <w:b/>
        </w:rPr>
        <w:t xml:space="preserve">Blutdruck:</w:t>
      </w:r>
      <w:r>
        <w:t xml:space="preserve"> </w:t>
      </w:r>
      <w:r>
        <w:t xml:space="preserve">In einer Studie mit 24-Stunden-Messung bei 397 Frauen stieg der obere Blutdruckwert nach der Gabe vorübergehend um 2,4 bis 3,2 mmHg; die Spitzen dauerten meist weniger als 15 Minuten. Gleichzeitig sank die Herzfrequenz um rund 4,6 Schläge pro Minute</w:t>
      </w:r>
      <w:r>
        <w:rPr>
          <w:rStyle w:val="FootnoteReference"/>
        </w:rPr>
        <w:footnoteReference w:id="2004"/>
      </w:r>
      <w:r>
        <w:t xml:space="preserve">. Die Fachinformation rät deshalb bei unkontrolliertem Bluthochdruck oder bekannter Herz-Kreislauf-Erkrankung von der Anwendung ab.</w:t>
      </w:r>
    </w:p>
    <w:p>
      <w:pPr>
        <w:numPr>
          <w:ilvl w:val="0"/>
          <w:numId w:val="1255"/>
        </w:numPr>
        <w:pStyle w:val="Compact"/>
      </w:pPr>
      <w:r>
        <w:rPr>
          <w:bCs/>
          <w:b/>
        </w:rPr>
        <w:t xml:space="preserve">Pigmentflecken:</w:t>
      </w:r>
      <w:r>
        <w:t xml:space="preserve"> </w:t>
      </w:r>
      <w:r>
        <w:t xml:space="preserve">Bei Anwendung gemäß Fachinformation selten. Wurde Bremelanotid jedoch an bis zu 16 aufeinanderfolgenden Tagen gegeben, entwickelte mehr als ein Drittel der Teilnehmenden umschriebene dunkle Flecken</w:t>
      </w:r>
      <w:r>
        <w:rPr>
          <w:rStyle w:val="FootnoteReference"/>
        </w:rPr>
        <w:footnoteReference w:id="2005"/>
      </w:r>
      <w:r>
        <w:t xml:space="preserve"> </w:t>
      </w:r>
      <w:r>
        <w:t xml:space="preserve">– ein Hinweis auf die Restwirkung am Pigment-Rezeptor.</w:t>
      </w:r>
    </w:p>
    <w:p>
      <w:pPr>
        <w:numPr>
          <w:ilvl w:val="0"/>
          <w:numId w:val="1255"/>
        </w:numPr>
        <w:pStyle w:val="Compact"/>
      </w:pPr>
      <w:r>
        <w:rPr>
          <w:bCs/>
          <w:b/>
        </w:rPr>
        <w:t xml:space="preserve">Wechselwirkungen:</w:t>
      </w:r>
      <w:r>
        <w:t xml:space="preserve"> </w:t>
      </w:r>
      <w:r>
        <w:t xml:space="preserve">Bremelanotid verlangsamt die Magenentleerung kurzzeitig und senkte in Studien die Blutspiegel von Indometacin und Naltrexon</w:t>
      </w:r>
      <w:r>
        <w:rPr>
          <w:rStyle w:val="FootnoteReference"/>
        </w:rPr>
        <w:footnoteReference w:id="2006"/>
      </w:r>
      <w:r>
        <w:t xml:space="preserve">.</w:t>
      </w:r>
    </w:p>
    <w:bookmarkEnd w:id="2007"/>
    <w:bookmarkStart w:id="2009" w:name="offen"/>
    <w:p>
      <w:pPr>
        <w:pStyle w:val="Heading4"/>
      </w:pPr>
      <w:r>
        <w:t xml:space="preserve">Offen</w:t>
      </w:r>
    </w:p>
    <w:p>
      <w:pPr>
        <w:pStyle w:val="FirstParagraph"/>
      </w:pPr>
      <w:r>
        <w:t xml:space="preserve">Für Schwangerschaft liegen keine ausreichenden Daten vor. Eine kleine Studie misst derzeit den Übergang in die Muttermilch</w:t>
      </w:r>
      <w:r>
        <w:rPr>
          <w:rStyle w:val="FootnoteReference"/>
        </w:rPr>
        <w:footnoteReference w:id="2008"/>
      </w:r>
      <w:r>
        <w:t xml:space="preserve">. Langzeitdaten über 18 Monate hinaus fehlen.</w:t>
      </w:r>
    </w:p>
    <w:bookmarkEnd w:id="2009"/>
    <w:bookmarkStart w:id="2011" w:name="graumarkt-1"/>
    <w:p>
      <w:pPr>
        <w:pStyle w:val="Heading4"/>
      </w:pPr>
      <w:r>
        <w:t xml:space="preserve">Graumarkt</w:t>
      </w:r>
    </w:p>
    <w:p>
      <w:pPr>
        <w:pStyle w:val="FirstParagraph"/>
      </w:pPr>
      <w:r>
        <w:t xml:space="preserve">Unter dem Namen „PT-141“ wird Bremelanotid im Internet als Pulver zur Selbstinjektion angeboten, häufig neben Melanotan II. Forensische Labore identifizierten beide Stoffe in von der Polizei beschlagnahmten Proben aus dem Bodybuilding-Umfeld</w:t>
      </w:r>
      <w:r>
        <w:rPr>
          <w:rStyle w:val="FootnoteReference"/>
        </w:rPr>
        <w:footnoteReference w:id="2010"/>
      </w:r>
      <w:r>
        <w:t xml:space="preserve">. Für solche Produkte gelten dieselben Risiken wie bei anderen Graumarkt-Peptiden (Teil I, Kapitel „Der Graumarkt“): unbekannte Reinheit, falsche Mengen, Verunreinigungen, unsterile Herstellung. Vom Bremelanotid-Nasenspray ist bekannt, dass es stärker auf den Blutdruck wirkte; Graumarkt-Sprays sind nicht geprüft.</w:t>
      </w:r>
    </w:p>
    <w:bookmarkEnd w:id="2011"/>
    <w:bookmarkEnd w:id="2012"/>
    <w:bookmarkStart w:id="2014" w:name="rechtslage-46"/>
    <w:p>
      <w:pPr>
        <w:pStyle w:val="Heading3"/>
      </w:pPr>
      <w:r>
        <w:t xml:space="preserve">Rechtslage</w:t>
      </w:r>
    </w:p>
    <w:p>
      <w:pPr>
        <w:pStyle w:val="FirstParagraph"/>
      </w:pPr>
      <w:r>
        <w:rPr>
          <w:iCs/>
          <w:i/>
        </w:rPr>
        <w:t xml:space="preserve">Stand 2026, bitte aktuell prüfen.</w:t>
      </w:r>
    </w:p>
    <w:p>
      <w:pPr>
        <w:numPr>
          <w:ilvl w:val="0"/>
          <w:numId w:val="1256"/>
        </w:numPr>
        <w:pStyle w:val="Compact"/>
      </w:pPr>
      <w:r>
        <w:rPr>
          <w:bCs/>
          <w:b/>
        </w:rPr>
        <w:t xml:space="preserve">EU:</w:t>
      </w:r>
      <w:r>
        <w:t xml:space="preserve"> </w:t>
      </w:r>
      <w:r>
        <w:t xml:space="preserve">keine Zulassung, auch kein laufendes Zulassungsverfahren bekannt. Der Verkauf zur Anwendung am Menschen ist in der EU unzulässig.</w:t>
      </w:r>
    </w:p>
    <w:p>
      <w:pPr>
        <w:numPr>
          <w:ilvl w:val="0"/>
          <w:numId w:val="1256"/>
        </w:numPr>
        <w:pStyle w:val="Compact"/>
      </w:pPr>
      <w:r>
        <w:rPr>
          <w:bCs/>
          <w:b/>
        </w:rPr>
        <w:t xml:space="preserve">Deutschland und Österreich:</w:t>
      </w:r>
      <w:r>
        <w:t xml:space="preserve"> </w:t>
      </w:r>
      <w:r>
        <w:t xml:space="preserve">keine Zulassung. Eine Einzeleinfuhr eines in den USA zugelassenen Arzneimittels auf ärztliche Verordnung ist rechtlich eng begrenzt möglich; Graumarkt-Produkte fallen nicht darunter.</w:t>
      </w:r>
    </w:p>
    <w:p>
      <w:pPr>
        <w:numPr>
          <w:ilvl w:val="0"/>
          <w:numId w:val="1256"/>
        </w:numPr>
        <w:pStyle w:val="Compact"/>
      </w:pPr>
      <w:r>
        <w:rPr>
          <w:bCs/>
          <w:b/>
        </w:rPr>
        <w:t xml:space="preserve">USA:</w:t>
      </w:r>
      <w:r>
        <w:t xml:space="preserve"> </w:t>
      </w:r>
      <w:r>
        <w:t xml:space="preserve">zugelassen seit Juni 2019 (Vyleesi) für Frauen vor den Wechseljahren mit erworbener, generalisierter HSDD. Nicht zugelassen für Männer, für Frauen nach den Wechseljahren oder zur Steigerung der Lust bei Gesunden. Die Vermarktungsrechte wechselten mehrfach; laut Registereinträgen ist inzwischen die Firma Cosette Pharmaceuticals verantwortlich.</w:t>
      </w:r>
    </w:p>
    <w:p>
      <w:pPr>
        <w:numPr>
          <w:ilvl w:val="0"/>
          <w:numId w:val="1256"/>
        </w:numPr>
        <w:pStyle w:val="Compact"/>
      </w:pPr>
      <w:r>
        <w:rPr>
          <w:bCs/>
          <w:b/>
        </w:rPr>
        <w:t xml:space="preserve">Andere Länder:</w:t>
      </w:r>
      <w:r>
        <w:t xml:space="preserve"> </w:t>
      </w:r>
      <w:r>
        <w:t xml:space="preserve">In Südkorea lief eine Brückenstudie mit 193 Frauen für eine dortige Zulassung</w:t>
      </w:r>
      <w:r>
        <w:rPr>
          <w:rStyle w:val="FootnoteReference"/>
        </w:rPr>
        <w:footnoteReference w:id="2013"/>
      </w:r>
      <w:r>
        <w:t xml:space="preserve">.</w:t>
      </w:r>
    </w:p>
    <w:p>
      <w:pPr>
        <w:numPr>
          <w:ilvl w:val="0"/>
          <w:numId w:val="1256"/>
        </w:numPr>
        <w:pStyle w:val="Compact"/>
      </w:pPr>
      <w:r>
        <w:rPr>
          <w:bCs/>
          <w:b/>
        </w:rPr>
        <w:t xml:space="preserve">WADA:</w:t>
      </w:r>
      <w:r>
        <w:t xml:space="preserve"> </w:t>
      </w:r>
      <w:r>
        <w:t xml:space="preserve">nicht namentlich gelistet. Bitte die aktuelle Verbotsliste prüfen.</w:t>
      </w:r>
    </w:p>
    <w:bookmarkEnd w:id="2014"/>
    <w:bookmarkStart w:id="2018" w:name="laufende-studien-und-ausblick-46"/>
    <w:p>
      <w:pPr>
        <w:pStyle w:val="Heading3"/>
      </w:pPr>
      <w:r>
        <w:t xml:space="preserve">Laufende Studien und Ausblick</w:t>
      </w:r>
    </w:p>
    <w:p>
      <w:pPr>
        <w:pStyle w:val="FirstParagraph"/>
      </w:pPr>
      <w:r>
        <w:rPr>
          <w:bCs/>
          <w:b/>
        </w:rPr>
        <w:t xml:space="preserve">Gesichert (registrierte Studien):</w:t>
      </w:r>
    </w:p>
    <w:p>
      <w:pPr>
        <w:numPr>
          <w:ilvl w:val="0"/>
          <w:numId w:val="1257"/>
        </w:numPr>
        <w:pStyle w:val="Compact"/>
      </w:pPr>
      <w:r>
        <w:t xml:space="preserve">Eine Phase-2-Studie mit 108 Personen prüft Bremelanotid zusätzlich zu Tirzepatid bei Adipositas</w:t>
      </w:r>
      <w:r>
        <w:rPr>
          <w:rStyle w:val="FootnoteReference"/>
        </w:rPr>
        <w:footnoteReference w:id="2015"/>
      </w:r>
      <w:r>
        <w:t xml:space="preserve">. Hintergrund ist die appetitsenkende Wirkung über MC4R. Veröffentlichte, begutachtete Ergebnisse lagen bei Redaktionsschluss nicht in PubMed vor.</w:t>
      </w:r>
    </w:p>
    <w:p>
      <w:pPr>
        <w:numPr>
          <w:ilvl w:val="0"/>
          <w:numId w:val="1257"/>
        </w:numPr>
        <w:pStyle w:val="Compact"/>
      </w:pPr>
      <w:r>
        <w:t xml:space="preserve">Eine kleine offene Phase-2-Studie mit 16 Personen bei diabetischer Nierenerkrankung ist abgeschlossen</w:t>
      </w:r>
      <w:r>
        <w:rPr>
          <w:rStyle w:val="FootnoteReference"/>
        </w:rPr>
        <w:footnoteReference w:id="2016"/>
      </w:r>
      <w:r>
        <w:t xml:space="preserve">, ebenfalls ohne veröffentlichtes Ergebnis in PubMed.</w:t>
      </w:r>
    </w:p>
    <w:p>
      <w:pPr>
        <w:numPr>
          <w:ilvl w:val="0"/>
          <w:numId w:val="1257"/>
        </w:numPr>
        <w:pStyle w:val="Compact"/>
      </w:pPr>
      <w:r>
        <w:t xml:space="preserve">Die Stillstudie</w:t>
      </w:r>
      <w:r>
        <w:rPr>
          <w:rStyle w:val="FootnoteReference"/>
        </w:rPr>
        <w:footnoteReference w:id="2017"/>
      </w:r>
      <w:r>
        <w:t xml:space="preserve"> </w:t>
      </w:r>
      <w:r>
        <w:t xml:space="preserve">mit 10 Frauen wurde 2025 abgeschlossen.</w:t>
      </w:r>
    </w:p>
    <w:p>
      <w:pPr>
        <w:pStyle w:val="FirstParagraph"/>
      </w:pPr>
      <w:r>
        <w:rPr>
          <w:bCs/>
          <w:b/>
        </w:rPr>
        <w:t xml:space="preserve">Einschätzung des Autors:</w:t>
      </w:r>
      <w:r>
        <w:t xml:space="preserve"> </w:t>
      </w:r>
      <w:r>
        <w:t xml:space="preserve">Für die Zulassung in Europa fehlt nach heutigem Stand das wirtschaftliche Interesse; ein Antrag ist nicht bekannt. Spannender ist die Rolle von MC4R in der Adipositasforschung, wo mit Setmelanotid (Kapitel in Teil II · A) bereits ein MC4R-Agonist für seltene genetische Formen zugelassen ist. Ob Bremelanotid hier eine Nische findet, entscheidet sich an den noch ausstehenden Studienergebnissen.</w:t>
      </w:r>
    </w:p>
    <w:bookmarkEnd w:id="2018"/>
    <w:bookmarkStart w:id="2019" w:name="fazit-46"/>
    <w:p>
      <w:pPr>
        <w:pStyle w:val="Heading3"/>
      </w:pPr>
      <w:r>
        <w:t xml:space="preserve">Fazit</w:t>
      </w:r>
    </w:p>
    <w:p>
      <w:pPr>
        <w:pStyle w:val="FirstParagraph"/>
      </w:pPr>
      <w:r>
        <w:t xml:space="preserve">Bremelanotid ist das einzige zugelassene Medikament, das über das Melanocortin-System im Gehirn auf das sexuelle Verlangen zielt – allerdings nur in den USA und nur für eine eng umrissene Gruppe von Frauen. In zwei großen Phase-3-Studien verbesserten sich Verlangen und Leidensdruck statistisch eindeutig, aber in kleinem Ausmaß und bei hohem Placeboeffekt. Übelkeit trifft fast die Hälfte der Anwenderinnen und führt häufig zum Abbruch; kurzzeitige Blutdruckanstiege erfordern Vorsicht bei Herz-Kreislauf-Risiken. Graumarkt-Produkte unter dem Namen „PT-141“ sind ungeprüft, und für Männer oder Menschen ohne Diagnose fehlt jede zulassungsreife Evidenz.</w:t>
      </w:r>
    </w:p>
    <w:bookmarkEnd w:id="2019"/>
    <w:bookmarkEnd w:id="2020"/>
    <w:bookmarkStart w:id="2075" w:name="melanotan-ii"/>
    <w:p>
      <w:pPr>
        <w:pStyle w:val="Heading2"/>
      </w:pPr>
      <w:r>
        <w:t xml:space="preserve">Melanotan II</w:t>
      </w:r>
    </w:p>
    <w:bookmarkStart w:id="2023" w:name="steckbrief-47"/>
    <w:p>
      <w:pPr>
        <w:pStyle w:val="Heading3"/>
      </w:pPr>
      <w:r>
        <w:t xml:space="preserve">Steckbrief</w:t>
      </w:r>
    </w:p>
    <w:p>
      <w:pPr>
        <w:numPr>
          <w:ilvl w:val="0"/>
          <w:numId w:val="1258"/>
        </w:numPr>
        <w:pStyle w:val="Compact"/>
      </w:pPr>
      <w:r>
        <w:rPr>
          <w:bCs/>
          <w:b/>
        </w:rPr>
        <w:t xml:space="preserve">Art/Struktur:</w:t>
      </w:r>
      <w:r>
        <w:t xml:space="preserve"> </w:t>
      </w:r>
      <w:r>
        <w:t xml:space="preserve">ringförmiges (zyklisches) Peptid aus sieben Aminosäuren, eine verkürzte und chemisch stabilisierte Abwandlung des körpereigenen Hormons Alpha-MSH. Die Ringstruktur schützt vor raschem Abbau und macht das Molekül deutlich wirksamer als das natürliche Vorbild</w:t>
      </w:r>
      <w:r>
        <w:rPr>
          <w:rStyle w:val="FootnoteReference"/>
        </w:rPr>
        <w:footnoteReference w:id="2021"/>
      </w:r>
      <w:r>
        <w:t xml:space="preserve">.</w:t>
      </w:r>
    </w:p>
    <w:p>
      <w:pPr>
        <w:numPr>
          <w:ilvl w:val="0"/>
          <w:numId w:val="1258"/>
        </w:numPr>
        <w:pStyle w:val="Compact"/>
      </w:pPr>
      <w:r>
        <w:rPr>
          <w:bCs/>
          <w:b/>
        </w:rPr>
        <w:t xml:space="preserve">Herkunft:</w:t>
      </w:r>
      <w:r>
        <w:t xml:space="preserve"> </w:t>
      </w:r>
      <w:r>
        <w:t xml:space="preserve">entwickelt Ende der 1980er- und Anfang der 1990er-Jahre an der Universität von Arizona in Tucson, ursprünglich mit dem Ziel, eine Bräunung ohne Sonne zu erzeugen und so Hautkrebs vorzubeugen</w:t>
      </w:r>
      <w:r>
        <w:rPr>
          <w:rStyle w:val="FootnoteReference"/>
        </w:rPr>
        <w:footnoteReference w:id="2022"/>
      </w:r>
      <w:r>
        <w:t xml:space="preserve">.</w:t>
      </w:r>
    </w:p>
    <w:p>
      <w:pPr>
        <w:numPr>
          <w:ilvl w:val="0"/>
          <w:numId w:val="1258"/>
        </w:numPr>
        <w:pStyle w:val="Compact"/>
      </w:pPr>
      <w:r>
        <w:rPr>
          <w:bCs/>
          <w:b/>
        </w:rPr>
        <w:t xml:space="preserve">Wirkprinzip:</w:t>
      </w:r>
      <w:r>
        <w:t xml:space="preserve"> </w:t>
      </w:r>
      <w:r>
        <w:t xml:space="preserve">nicht-selektiver Agonist an Melanocortin-Rezeptoren: MC1R (Pigmentbildung in der Haut), MC3R und MC4R (Appetit, Sexualfunktion) und weitere.</w:t>
      </w:r>
    </w:p>
    <w:p>
      <w:pPr>
        <w:numPr>
          <w:ilvl w:val="0"/>
          <w:numId w:val="1258"/>
        </w:numPr>
        <w:pStyle w:val="Compact"/>
      </w:pPr>
      <w:r>
        <w:rPr>
          <w:bCs/>
          <w:b/>
        </w:rPr>
        <w:t xml:space="preserve">Zulassung EU:</w:t>
      </w:r>
      <w:r>
        <w:t xml:space="preserve"> </w:t>
      </w:r>
      <w:r>
        <w:t xml:space="preserve">nein.</w:t>
      </w:r>
    </w:p>
    <w:p>
      <w:pPr>
        <w:numPr>
          <w:ilvl w:val="0"/>
          <w:numId w:val="1258"/>
        </w:numPr>
        <w:pStyle w:val="Compact"/>
      </w:pPr>
      <w:r>
        <w:rPr>
          <w:bCs/>
          <w:b/>
        </w:rPr>
        <w:t xml:space="preserve">Zulassung USA:</w:t>
      </w:r>
      <w:r>
        <w:t xml:space="preserve"> </w:t>
      </w:r>
      <w:r>
        <w:t xml:space="preserve">nein.</w:t>
      </w:r>
    </w:p>
    <w:p>
      <w:pPr>
        <w:numPr>
          <w:ilvl w:val="0"/>
          <w:numId w:val="1258"/>
        </w:numPr>
        <w:pStyle w:val="Compact"/>
      </w:pPr>
      <w:r>
        <w:rPr>
          <w:bCs/>
          <w:b/>
        </w:rPr>
        <w:t xml:space="preserve">WADA:</w:t>
      </w:r>
      <w:r>
        <w:t xml:space="preserve"> </w:t>
      </w:r>
      <w:r>
        <w:t xml:space="preserve">nicht namentlich genannt; als nirgends zugelassener Wirkstoff fällt es unter die Gruppe S0 (nicht zugelassene Substanzen) und ist damit jederzeit verboten.</w:t>
      </w:r>
    </w:p>
    <w:p>
      <w:pPr>
        <w:numPr>
          <w:ilvl w:val="0"/>
          <w:numId w:val="1258"/>
        </w:numPr>
        <w:pStyle w:val="Compact"/>
      </w:pPr>
      <w:r>
        <w:rPr>
          <w:bCs/>
          <w:b/>
        </w:rPr>
        <w:t xml:space="preserve">Evidenzstufe:</w:t>
      </w:r>
      <w:r>
        <w:t xml:space="preserve"> </w:t>
      </w:r>
      <w:r>
        <w:rPr>
          <w:bCs/>
          <w:b/>
        </w:rPr>
        <w:t xml:space="preserve">C</w:t>
      </w:r>
      <w:r>
        <w:t xml:space="preserve"> </w:t>
      </w:r>
      <w:r>
        <w:t xml:space="preserve">– nur sehr kleine Pilotstudien aus den 1990er-Jahren mit insgesamt rund zwei Dutzend Teilnehmenden, ergänzt durch zahlreiche Fallberichte über Nebenwirkungen bei unkontrollierter Selbstanwendung.</w:t>
      </w:r>
    </w:p>
    <w:bookmarkEnd w:id="2023"/>
    <w:bookmarkStart w:id="2025" w:name="wie-es-wirken-soll-47"/>
    <w:p>
      <w:pPr>
        <w:pStyle w:val="Heading3"/>
      </w:pPr>
      <w:r>
        <w:t xml:space="preserve">Wie es wirken soll</w:t>
      </w:r>
    </w:p>
    <w:p>
      <w:pPr>
        <w:pStyle w:val="FirstParagraph"/>
      </w:pPr>
      <w:r>
        <w:t xml:space="preserve">Die Haut bräunt, wenn Pigmentzellen (Melanozyten) mehr Melanin bilden. Das Signal dafür liefert unter anderem das Hormon Alpha-MSH, das an den Rezeptor MC1R auf den Pigmentzellen bindet. Nach einem Sonnenbad steigt die Alpha-MSH-Bildung in der Haut, und die Pigmentzellen schalten auf das dunkle, schützende Eumelanin um.</w:t>
      </w:r>
    </w:p>
    <w:p>
      <w:pPr>
        <w:pStyle w:val="BodyText"/>
      </w:pPr>
      <w:r>
        <w:t xml:space="preserve">Melanotan II ahmt dieses Signal nach – ohne dass vorher UV-Strahlung die Haut schädigen muss. Das war der ursprüngliche Gedanke: eine „Bräune aus der Spritze“, die vor Sonnenbrand schützt. Das Problem: Melanotan II bindet nicht nur an MC1R, sondern auch an die Rezeptoren MC3R und MC4R im Gehirn. Diese steuern Appetit, Energieverbrauch und sexuelle Erregung. Daher kommen die typischen Begleitwirkungen: Übelkeit, Gähnen und Strecken, verminderter Appetit und spontane Erektionen.</w:t>
      </w:r>
    </w:p>
    <w:p>
      <w:pPr>
        <w:pStyle w:val="BodyText"/>
      </w:pPr>
      <w:r>
        <w:t xml:space="preserve">Aus der Erforschung dieser „Nebenwirkung“ gingen zwei andere Wirkstoffe hervor, die im Gegensatz zu Melanotan II klinisch weiterentwickelt wurden:</w:t>
      </w:r>
    </w:p>
    <w:p>
      <w:pPr>
        <w:numPr>
          <w:ilvl w:val="0"/>
          <w:numId w:val="1259"/>
        </w:numPr>
        <w:pStyle w:val="Compact"/>
      </w:pPr>
      <w:r>
        <w:rPr>
          <w:bCs/>
          <w:b/>
        </w:rPr>
        <w:t xml:space="preserve">Afamelanotid</w:t>
      </w:r>
      <w:r>
        <w:t xml:space="preserve">, früher Melanotan I genannt, ist ein lineares, längeres Molekül, das bevorzugt auf die Haut wirkt und als Implantat für eine seltene Lichtkrankheit zugelassen ist (Kapitel 2E03).</w:t>
      </w:r>
    </w:p>
    <w:p>
      <w:pPr>
        <w:numPr>
          <w:ilvl w:val="0"/>
          <w:numId w:val="1259"/>
        </w:numPr>
        <w:pStyle w:val="Compact"/>
      </w:pPr>
      <w:r>
        <w:rPr>
          <w:bCs/>
          <w:b/>
        </w:rPr>
        <w:t xml:space="preserve">Bremelanotid</w:t>
      </w:r>
      <w:r>
        <w:t xml:space="preserve"> </w:t>
      </w:r>
      <w:r>
        <w:t xml:space="preserve">(PT-141) ist eine leicht abgewandelte Form von Melanotan II, die für die Behandlung geringen sexuellen Verlangens bei Frauen in den USA zugelassen ist (Kapitel 2E01).</w:t>
      </w:r>
    </w:p>
    <w:p>
      <w:pPr>
        <w:pStyle w:val="FirstParagraph"/>
      </w:pPr>
      <w:r>
        <w:t xml:space="preserve">Im Internet werden diese Namen oft vermischt. „Melanotan“ ohne Zusatz kann je nach Anbieter das eine oder das andere bezeichnen – oder etwas ganz anderes</w:t>
      </w:r>
      <w:r>
        <w:rPr>
          <w:rStyle w:val="FootnoteReference"/>
        </w:rPr>
        <w:footnoteReference w:id="2024"/>
      </w:r>
      <w:r>
        <w:t xml:space="preserve">.</w:t>
      </w:r>
    </w:p>
    <w:bookmarkEnd w:id="2025"/>
    <w:bookmarkStart w:id="2039" w:name="studien-am-menschen-4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8</w:t>
      </w:r>
      <w:r>
        <w:t xml:space="preserve"> </w:t>
      </w:r>
      <w:r>
        <w:t xml:space="preserve">Humanstudien in PubMed (</w:t>
      </w:r>
      <w:r>
        <w:rPr>
          <w:rStyle w:val="VerbatimChar"/>
        </w:rPr>
        <w:t xml:space="preserve">humanstudien_alle</w:t>
      </w:r>
      <w:r>
        <w:t xml:space="preserve">) und einen einzigen Eintrag bei ClinicalTrials.gov, der sich bei Prüfung als nicht vertrauenswürdig erwies (siehe Ausblick) – es gibt also</w:t>
      </w:r>
      <w:r>
        <w:t xml:space="preserve"> </w:t>
      </w:r>
      <w:r>
        <w:rPr>
          <w:bCs/>
          <w:b/>
        </w:rPr>
        <w:t xml:space="preserve">0</w:t>
      </w:r>
      <w:r>
        <w:t xml:space="preserve"> </w:t>
      </w:r>
      <w:r>
        <w:t xml:space="preserve">belastbare Registerstudien. Auch die PubMed-Zahl täuscht: Vier der acht Studien untersuchten Melanotan I, also das spätere Afamelanotid, nicht Melanotan II. Zu Melanotan II selbst gibt es nur drei kleine Originalstudien und eine Zusammenfassung derselben Forschungsgruppe. Weit umfangreicher ist die Literatur zu Nebenwirkungen: Fallberichte, Fallserien, Analysen von Internetforen und Laboruntersuchungen von Graumarkt-Produkten.</w:t>
      </w:r>
    </w:p>
    <w:bookmarkStart w:id="2029" w:name="die-klinischen-studien-der-1990er-jahre"/>
    <w:p>
      <w:pPr>
        <w:pStyle w:val="Heading4"/>
      </w:pPr>
      <w:r>
        <w:t xml:space="preserve">Die klinischen Studien der 1990er-Jahre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Dorr 1996, PMID 8637402</w:t>
            </w:r>
          </w:p>
        </w:tc>
        <w:tc>
          <w:tcPr/>
          <w:p>
            <w:pPr>
              <w:pStyle w:val="Compact"/>
              <w:jc w:val="left"/>
            </w:pPr>
            <w:r>
              <w:t xml:space="preserve">3 gesunde Männer, einfach verblindet, abwechselnd Wirkstoff und Kochsalz</w:t>
            </w:r>
          </w:p>
        </w:tc>
        <w:tc>
          <w:tcPr/>
          <w:p>
            <w:pPr>
              <w:pStyle w:val="Compact"/>
              <w:jc w:val="left"/>
            </w:pPr>
            <w:r>
              <w:t xml:space="preserve">2 Wochen</w:t>
            </w:r>
          </w:p>
        </w:tc>
        <w:tc>
          <w:tcPr/>
          <w:p>
            <w:pPr>
              <w:pStyle w:val="Compact"/>
              <w:jc w:val="left"/>
            </w:pPr>
            <w:r>
              <w:t xml:space="preserve">Bräunung in Gesicht, Oberkörper und Gesäß bei 2 von 3; spontane Erektionen; Übelkeit, Müdigkeit</w:t>
            </w:r>
          </w:p>
        </w:tc>
      </w:tr>
      <w:tr>
        <w:tc>
          <w:tcPr/>
          <w:p>
            <w:pPr>
              <w:pStyle w:val="Compact"/>
              <w:jc w:val="left"/>
            </w:pPr>
            <w:r>
              <w:t xml:space="preserve">Wessells 1998, PMID 9679884</w:t>
            </w:r>
          </w:p>
        </w:tc>
        <w:tc>
          <w:tcPr/>
          <w:p>
            <w:pPr>
              <w:pStyle w:val="Compact"/>
              <w:jc w:val="left"/>
            </w:pPr>
            <w:r>
              <w:t xml:space="preserve">10 Männer mit psychisch bedingter Erektionsstörung, doppelblinde Kreuzstudie gegen Placebo</w:t>
            </w:r>
          </w:p>
        </w:tc>
        <w:tc>
          <w:tcPr/>
          <w:p>
            <w:pPr>
              <w:pStyle w:val="Compact"/>
              <w:jc w:val="left"/>
            </w:pPr>
            <w:r>
              <w:t xml:space="preserve">Einzelgaben</w:t>
            </w:r>
          </w:p>
        </w:tc>
        <w:tc>
          <w:tcPr/>
          <w:p>
            <w:pPr>
              <w:pStyle w:val="Compact"/>
              <w:jc w:val="left"/>
            </w:pPr>
            <w:r>
              <w:t xml:space="preserve">Erektionen bei 8 von 10; Dauer hoher Steifigkeit 38,0 vs. 3,0 Minuten</w:t>
            </w:r>
          </w:p>
        </w:tc>
      </w:tr>
      <w:tr>
        <w:tc>
          <w:tcPr/>
          <w:p>
            <w:pPr>
              <w:pStyle w:val="Compact"/>
              <w:jc w:val="left"/>
            </w:pPr>
            <w:r>
              <w:t xml:space="preserve">Wessells 2000, PMID 11018622</w:t>
            </w:r>
          </w:p>
        </w:tc>
        <w:tc>
          <w:tcPr/>
          <w:p>
            <w:pPr>
              <w:pStyle w:val="Compact"/>
              <w:jc w:val="left"/>
            </w:pPr>
            <w:r>
              <w:t xml:space="preserve">10 Männer mit organisch bedingter Erektionsstörung, doppelblinde Kreuzstudie</w:t>
            </w:r>
          </w:p>
        </w:tc>
        <w:tc>
          <w:tcPr/>
          <w:p>
            <w:pPr>
              <w:pStyle w:val="Compact"/>
              <w:jc w:val="left"/>
            </w:pPr>
            <w:r>
              <w:t xml:space="preserve">Einzelgaben</w:t>
            </w:r>
          </w:p>
        </w:tc>
        <w:tc>
          <w:tcPr/>
          <w:p>
            <w:pPr>
              <w:pStyle w:val="Compact"/>
              <w:jc w:val="left"/>
            </w:pPr>
            <w:r>
              <w:t xml:space="preserve">Erektionen nach 12 von 19 Injektionen vs. 1 von 21 Placebogaben; 4 von 19 Injektionen mit starker Übelkeit</w:t>
            </w:r>
          </w:p>
        </w:tc>
      </w:tr>
      <w:tr>
        <w:tc>
          <w:tcPr/>
          <w:p>
            <w:pPr>
              <w:pStyle w:val="Compact"/>
              <w:jc w:val="left"/>
            </w:pPr>
            <w:r>
              <w:t xml:space="preserve">Wessells 2000 (Zusammenfassung), PMID 11035391</w:t>
            </w:r>
          </w:p>
        </w:tc>
        <w:tc>
          <w:tcPr/>
          <w:p>
            <w:pPr>
              <w:pStyle w:val="Compact"/>
              <w:jc w:val="left"/>
            </w:pPr>
            <w:r>
              <w:t xml:space="preserve">beide Studien zusammen, 20 Männer</w:t>
            </w:r>
          </w:p>
        </w:tc>
        <w:tc>
          <w:tcPr/>
          <w:p>
            <w:pPr>
              <w:pStyle w:val="Compact"/>
              <w:jc w:val="left"/>
            </w:pPr>
            <w:r>
              <w:t xml:space="preserve">Einzelgaben</w:t>
            </w:r>
          </w:p>
        </w:tc>
        <w:tc>
          <w:tcPr/>
          <w:p>
            <w:pPr>
              <w:pStyle w:val="Compact"/>
              <w:jc w:val="left"/>
            </w:pPr>
            <w:r>
              <w:t xml:space="preserve">Erektionen ohne sexuelle Reize bei 17 von 20; mehr Verlangen nach 68 % vs. 19 % der Gaben</w:t>
            </w:r>
          </w:p>
        </w:tc>
      </w:tr>
    </w:tbl>
    <w:p>
      <w:pPr>
        <w:pStyle w:val="BodyText"/>
      </w:pPr>
      <w:r>
        <w:t xml:space="preserve">Die erste Studie am Menschen</w:t>
      </w:r>
      <w:r>
        <w:rPr>
          <w:rStyle w:val="FootnoteReference"/>
        </w:rPr>
        <w:footnoteReference w:id="2026"/>
      </w:r>
      <w:r>
        <w:t xml:space="preserve"> </w:t>
      </w:r>
      <w:r>
        <w:t xml:space="preserve">war eine Pilotstudie mit nur drei Männern. Schon hier zeigten sich alle Wirkungen, die später Nutzer im Internet beschreiben: Zwei der drei Männer bräunten sichtbar, leichte Übelkeit trat bei den meisten Dosisstufen auf, einer bekam stärkere Müdigkeit. Ein „Streck- und Gähnkomplex“ ging mit spontanen Erektionen einher, die je nach Dosis eine bis fünf Stunden lang immer wieder auftraten.</w:t>
      </w:r>
    </w:p>
    <w:p>
      <w:pPr>
        <w:pStyle w:val="BodyText"/>
      </w:pPr>
      <w:r>
        <w:t xml:space="preserve">Die Arbeitsgruppe um den Urologen Hunter Wessells verfolgte daraufhin die Erektionswirkung. In zwei kleinen Kreuzstudien (jeder Teilnehmer erhielt in zufälliger Reihenfolge Wirkstoff und Placebo) löste Melanotan II bei der Mehrzahl der Männer mit Erektionsstörung Erektionen aus, auch ohne sexuelle Reize</w:t>
      </w:r>
      <w:r>
        <w:rPr>
          <w:rStyle w:val="FootnoteReference"/>
        </w:rPr>
        <w:footnoteReference w:id="2027"/>
      </w:r>
      <w:r>
        <w:t xml:space="preserve">. In der Zusammenfassung beider Studien berichteten die Männer nach 68 % der Melanotan-Gaben über gesteigertes Verlangen, nach Placebo bei 19 %. Bei 12,9 % trat starke Übelkeit auf</w:t>
      </w:r>
      <w:r>
        <w:rPr>
          <w:rStyle w:val="FootnoteReference"/>
        </w:rPr>
        <w:footnoteReference w:id="2028"/>
      </w:r>
      <w:r>
        <w:t xml:space="preserve">.</w:t>
      </w:r>
    </w:p>
    <w:p>
      <w:pPr>
        <w:pStyle w:val="BodyText"/>
      </w:pPr>
      <w:r>
        <w:t xml:space="preserve">Danach endete die klinische Forschung an Melanotan II. Die Entwicklung wechselte zu Bremelanotid, das als Nasenspray und später als Spritze geprüft wurde. Zur Hautbräunung bei Gesunden gibt es keine einzige kontrollierte Studie mit Melanotan II.</w:t>
      </w:r>
    </w:p>
    <w:bookmarkEnd w:id="2029"/>
    <w:bookmarkStart w:id="2032" w:name="die-studien-zu-melanotan-i"/>
    <w:p>
      <w:pPr>
        <w:pStyle w:val="Heading4"/>
      </w:pPr>
      <w:r>
        <w:t xml:space="preserve">Die Studien zu Melanotan I</w:t>
      </w:r>
    </w:p>
    <w:p>
      <w:pPr>
        <w:pStyle w:val="FirstParagraph"/>
      </w:pPr>
      <w:r>
        <w:t xml:space="preserve">Zur Einordnung: Die übrigen Studien der Datenbankabfrage betreffen Melanotan I. In ihnen bildeten Freiwillige nach Injektionen mehr Eumelanin, in der Unterarmhaut fast doppelt so viel wie zuvor</w:t>
      </w:r>
      <w:r>
        <w:rPr>
          <w:rStyle w:val="FootnoteReference"/>
        </w:rPr>
        <w:footnoteReference w:id="2030"/>
      </w:r>
      <w:r>
        <w:t xml:space="preserve">. In Kombination mit Sonnenlicht verstärkte und verlängerte sich die Bräune</w:t>
      </w:r>
      <w:r>
        <w:rPr>
          <w:rStyle w:val="FootnoteReference"/>
        </w:rPr>
        <w:footnoteReference w:id="2031"/>
      </w:r>
      <w:r>
        <w:t xml:space="preserve">. Diese Ergebnisse gehören zur Geschichte von Afamelanotid und lassen sich nicht auf Melanotan II übertragen, das stärker im Gehirn wirkt.</w:t>
      </w:r>
    </w:p>
    <w:bookmarkEnd w:id="2032"/>
    <w:bookmarkStart w:id="2038" w:name="wer-melanotan-ii-verwendet"/>
    <w:p>
      <w:pPr>
        <w:pStyle w:val="Heading4"/>
      </w:pPr>
      <w:r>
        <w:t xml:space="preserve">Wer Melanotan II verwendet</w:t>
      </w:r>
    </w:p>
    <w:p>
      <w:pPr>
        <w:pStyle w:val="FirstParagraph"/>
      </w:pPr>
      <w:r>
        <w:t xml:space="preserve">Weil Melanotan II nie zugelassen wurde, stammt fast alles Wissen über die heutige Anwendung aus Beobachtungen außerhalb von Studien. Bereits 2009 beschrieben britische Fachleute im British Medical Journal die Verbreitung von Melanotan I und II in der Allgemeinbevölkerung</w:t>
      </w:r>
      <w:r>
        <w:rPr>
          <w:rStyle w:val="FootnoteReference"/>
        </w:rPr>
        <w:footnoteReference w:id="2033"/>
      </w:r>
      <w:r>
        <w:t xml:space="preserve">. Eine systematische Übersicht zählte Melanotan zu den häufig gespritzten Mitteln zur Körper- und Leistungsoptimierung neben anabolen Steroiden und Wachstumshormon</w:t>
      </w:r>
      <w:r>
        <w:rPr>
          <w:rStyle w:val="FootnoteReference"/>
        </w:rPr>
        <w:footnoteReference w:id="2034"/>
      </w:r>
      <w:r>
        <w:t xml:space="preserve">.</w:t>
      </w:r>
    </w:p>
    <w:p>
      <w:pPr>
        <w:pStyle w:val="BodyText"/>
      </w:pPr>
      <w:r>
        <w:t xml:space="preserve">Eine Analyse britischer und irischer Internetforen aus den Jahren 2016 und 2017 wertete 623 Beiträge von 205 Personen aus</w:t>
      </w:r>
      <w:r>
        <w:rPr>
          <w:rStyle w:val="FootnoteReference"/>
        </w:rPr>
        <w:footnoteReference w:id="2035"/>
      </w:r>
      <w:r>
        <w:t xml:space="preserve">. Als Motive nannten die Nutzerinnen und Nutzer vor allem einen gebräunten Teint vor Urlauben und vor Bodybuilding-Wettkämpfen. Die Foren zeigten Fehlinformationen, selbst entwickelte Dosierschemata, die Kombination mit Solarien und weitere riskante Praktiken. Eine Online-Umfrage unter Nutzern beschreibt, wie leicht die Substanz zu bekommen war</w:t>
      </w:r>
      <w:r>
        <w:rPr>
          <w:rStyle w:val="FootnoteReference"/>
        </w:rPr>
        <w:footnoteReference w:id="2036"/>
      </w:r>
      <w:r>
        <w:t xml:space="preserve">.</w:t>
      </w:r>
    </w:p>
    <w:p>
      <w:pPr>
        <w:pStyle w:val="BodyText"/>
      </w:pPr>
      <w:r>
        <w:t xml:space="preserve">In den letzten Jahren hat sich die Werbung zunehmend in soziale Medien wie TikTok verlagert, wo Melanotan als „Barbie Drug“ beworben wird. Mehrere dermatologische Fachzeitschriften haben solche Inhalte analysiert und warnen vor der Verharmlosung</w:t>
      </w:r>
      <w:r>
        <w:rPr>
          <w:rStyle w:val="FootnoteReference"/>
        </w:rPr>
        <w:footnoteReference w:id="2037"/>
      </w:r>
      <w:r>
        <w:t xml:space="preserve">.</w:t>
      </w:r>
    </w:p>
    <w:bookmarkEnd w:id="2038"/>
    <w:bookmarkEnd w:id="2039"/>
    <w:bookmarkStart w:id="2043" w:name="tier--und-laborstudien-47"/>
    <w:p>
      <w:pPr>
        <w:pStyle w:val="Heading3"/>
      </w:pPr>
      <w:r>
        <w:t xml:space="preserve">Tier- und Laborstudien</w:t>
      </w:r>
    </w:p>
    <w:p>
      <w:pPr>
        <w:pStyle w:val="FirstParagraph"/>
      </w:pPr>
      <w:r>
        <w:t xml:space="preserve">Melanotan II ist in der Grundlagenforschung ein Standardwerkzeug, um Melanocortin-Rezeptoren zu aktivieren. Entsprechend zahlreich sind Tierversuche, die aber meist Fragen der Hirnforschung beantworten und nicht die Sicherheit beim Menschen betreffen:</w:t>
      </w:r>
    </w:p>
    <w:p>
      <w:pPr>
        <w:numPr>
          <w:ilvl w:val="0"/>
          <w:numId w:val="1260"/>
        </w:numPr>
        <w:pStyle w:val="Compact"/>
      </w:pPr>
      <w:r>
        <w:rPr>
          <w:bCs/>
          <w:b/>
        </w:rPr>
        <w:t xml:space="preserve">Gewicht und Fett:</w:t>
      </w:r>
      <w:r>
        <w:t xml:space="preserve"> </w:t>
      </w:r>
      <w:r>
        <w:t xml:space="preserve">Bei übergewichtigen Mäusen und Ratten auf fettreicher Diät senkte Melanotan II Gewicht und Fettmasse, vor allem über geringere Nahrungsaufnahme</w:t>
      </w:r>
      <w:r>
        <w:rPr>
          <w:rStyle w:val="FootnoteReference"/>
        </w:rPr>
        <w:footnoteReference w:id="2040"/>
      </w:r>
      <w:r>
        <w:t xml:space="preserve">.</w:t>
      </w:r>
    </w:p>
    <w:p>
      <w:pPr>
        <w:numPr>
          <w:ilvl w:val="0"/>
          <w:numId w:val="1260"/>
        </w:numPr>
        <w:pStyle w:val="Compact"/>
      </w:pPr>
      <w:r>
        <w:rPr>
          <w:bCs/>
          <w:b/>
        </w:rPr>
        <w:t xml:space="preserve">Körpertemperatur:</w:t>
      </w:r>
      <w:r>
        <w:t xml:space="preserve"> </w:t>
      </w:r>
      <w:r>
        <w:t xml:space="preserve">Bei Mäusen löste es eine vorübergehende starke Unterkühlung aus, vermittelt über Mastzellen und Histamin</w:t>
      </w:r>
      <w:r>
        <w:rPr>
          <w:rStyle w:val="FootnoteReference"/>
        </w:rPr>
        <w:footnoteReference w:id="2041"/>
      </w:r>
      <w:r>
        <w:t xml:space="preserve">.</w:t>
      </w:r>
    </w:p>
    <w:p>
      <w:pPr>
        <w:numPr>
          <w:ilvl w:val="0"/>
          <w:numId w:val="1260"/>
        </w:numPr>
        <w:pStyle w:val="Compact"/>
      </w:pPr>
      <w:r>
        <w:rPr>
          <w:bCs/>
          <w:b/>
        </w:rPr>
        <w:t xml:space="preserve">Sozialverhalten:</w:t>
      </w:r>
      <w:r>
        <w:t xml:space="preserve"> </w:t>
      </w:r>
      <w:r>
        <w:t xml:space="preserve">In einem Mausmodell für Autismus verbesserte eine einwöchige Gabe soziale Verhaltensmaße</w:t>
      </w:r>
      <w:r>
        <w:rPr>
          <w:rStyle w:val="FootnoteReference"/>
        </w:rPr>
        <w:footnoteReference w:id="2042"/>
      </w:r>
      <w:r>
        <w:t xml:space="preserve">. Der vermutete Weg führt über eine Aktivierung des Oxytocin-Systems (Kapitel 2E05).</w:t>
      </w:r>
    </w:p>
    <w:p>
      <w:pPr>
        <w:pStyle w:val="FirstParagraph"/>
      </w:pPr>
      <w:r>
        <w:t xml:space="preserve">Keines dieser Ergebnisse ist am Menschen bestätigt.</w:t>
      </w:r>
    </w:p>
    <w:bookmarkEnd w:id="2043"/>
    <w:bookmarkStart w:id="2069" w:name="risiken-und-nebenwirkungen-47"/>
    <w:p>
      <w:pPr>
        <w:pStyle w:val="Heading3"/>
      </w:pPr>
      <w:r>
        <w:t xml:space="preserve">Risiken und Nebenwirkungen</w:t>
      </w:r>
    </w:p>
    <w:p>
      <w:pPr>
        <w:pStyle w:val="FirstParagraph"/>
      </w:pPr>
      <w:r>
        <w:t xml:space="preserve">Die Risiken von Melanotan II lassen sich in drei Gruppen ordnen: die zu erwartenden Wirkungen über die Melanocortin-Rezeptoren, die Hautveränderungen mit der offenen Frage nach Hautkrebs, und schwere Einzelfälle.</w:t>
      </w:r>
    </w:p>
    <w:bookmarkStart w:id="2048" w:name="erwartbare-wirkungen"/>
    <w:p>
      <w:pPr>
        <w:pStyle w:val="Heading4"/>
      </w:pPr>
      <w:r>
        <w:t xml:space="preserve">Erwartbare Wirkungen</w:t>
      </w:r>
    </w:p>
    <w:p>
      <w:pPr>
        <w:pStyle w:val="FirstParagraph"/>
      </w:pPr>
      <w:r>
        <w:t xml:space="preserve">Übelkeit, Gesichtsrötung, Gähnen und Strecken, Appetitverlust, Müdigkeit und spontane Erektionen traten schon in den Studien auf</w:t>
      </w:r>
      <w:r>
        <w:rPr>
          <w:rStyle w:val="FootnoteReference"/>
        </w:rPr>
        <w:footnoteReference w:id="2044"/>
      </w:r>
      <w:r>
        <w:t xml:space="preserve">. Die Pigmentierung betrifft nicht nur die Haut: Fallberichte beschreiben quer verlaufende dunkle Streifen in den Fingernägeln</w:t>
      </w:r>
      <w:r>
        <w:rPr>
          <w:rStyle w:val="FootnoteReference"/>
        </w:rPr>
        <w:footnoteReference w:id="2045"/>
      </w:r>
      <w:r>
        <w:t xml:space="preserve"> </w:t>
      </w:r>
      <w:r>
        <w:t xml:space="preserve">und Pigmentveränderungen der Mundschleimhaut</w:t>
      </w:r>
      <w:r>
        <w:rPr>
          <w:rStyle w:val="FootnoteReference"/>
        </w:rPr>
        <w:footnoteReference w:id="2046"/>
      </w:r>
      <w:r>
        <w:t xml:space="preserve">. Paradoxerweise sind auch helle, entfärbte Flecken beschrieben</w:t>
      </w:r>
      <w:r>
        <w:rPr>
          <w:rStyle w:val="FootnoteReference"/>
        </w:rPr>
        <w:footnoteReference w:id="2047"/>
      </w:r>
      <w:r>
        <w:t xml:space="preserve">.</w:t>
      </w:r>
    </w:p>
    <w:bookmarkEnd w:id="2048"/>
    <w:bookmarkStart w:id="2056" w:name="muttermale-und-melanom"/>
    <w:p>
      <w:pPr>
        <w:pStyle w:val="Heading4"/>
      </w:pPr>
      <w:r>
        <w:t xml:space="preserve">Muttermale und Melanom</w:t>
      </w:r>
    </w:p>
    <w:p>
      <w:pPr>
        <w:pStyle w:val="FirstParagraph"/>
      </w:pPr>
      <w:r>
        <w:t xml:space="preserve">Dies ist die Sorge, die Hautärztinnen und Hautärzte am meisten beschäftigt. Melanotan II regt alle Pigmentzellen an, auch die in bestehenden Muttermalen (Nävi). Mehrere Fallberichte beschreiben:</w:t>
      </w:r>
    </w:p>
    <w:p>
      <w:pPr>
        <w:numPr>
          <w:ilvl w:val="0"/>
          <w:numId w:val="1261"/>
        </w:numPr>
        <w:pStyle w:val="Compact"/>
      </w:pPr>
      <w:r>
        <w:rPr>
          <w:bCs/>
          <w:b/>
        </w:rPr>
        <w:t xml:space="preserve">neu auftretende Muttermale in großer Zahl</w:t>
      </w:r>
      <w:r>
        <w:t xml:space="preserve"> </w:t>
      </w:r>
      <w:r>
        <w:t xml:space="preserve">(eruptive Nävi) nach Melanotan-Injektionen</w:t>
      </w:r>
      <w:r>
        <w:rPr>
          <w:rStyle w:val="FootnoteReference"/>
        </w:rPr>
        <w:footnoteReference w:id="2049"/>
      </w:r>
      <w:r>
        <w:t xml:space="preserve">, teils mit auffälligem, atypischem Aussehen</w:t>
      </w:r>
      <w:r>
        <w:rPr>
          <w:rStyle w:val="FootnoteReference"/>
        </w:rPr>
        <w:footnoteReference w:id="2050"/>
      </w:r>
      <w:r>
        <w:t xml:space="preserve">;</w:t>
      </w:r>
    </w:p>
    <w:p>
      <w:pPr>
        <w:numPr>
          <w:ilvl w:val="0"/>
          <w:numId w:val="1261"/>
        </w:numPr>
        <w:pStyle w:val="Compact"/>
      </w:pPr>
      <w:r>
        <w:rPr>
          <w:bCs/>
          <w:b/>
        </w:rPr>
        <w:t xml:space="preserve">dunkler werdende und sich verändernde bestehende Muttermale</w:t>
      </w:r>
      <w:r>
        <w:t xml:space="preserve">;</w:t>
      </w:r>
    </w:p>
    <w:p>
      <w:pPr>
        <w:numPr>
          <w:ilvl w:val="0"/>
          <w:numId w:val="1261"/>
        </w:numPr>
        <w:pStyle w:val="Compact"/>
      </w:pPr>
      <w:r>
        <w:rPr>
          <w:bCs/>
          <w:b/>
        </w:rPr>
        <w:t xml:space="preserve">Melanome</w:t>
      </w:r>
      <w:r>
        <w:t xml:space="preserve">, also schwarzen Hautkrebs, während oder kurz nach der Anwendung</w:t>
      </w:r>
      <w:r>
        <w:rPr>
          <w:rStyle w:val="FootnoteReference"/>
        </w:rPr>
        <w:footnoteReference w:id="2051"/>
      </w:r>
      <w:r>
        <w:t xml:space="preserve">. Eine 20-jährige Frau mit heller Haut entwickelte drei Monate nach einer drei- bis vierwöchigen Selbstbehandlung, kombiniert mit Solariumbesuchen, ein Melanom am Gesäß</w:t>
      </w:r>
      <w:r>
        <w:rPr>
          <w:rStyle w:val="FootnoteReference"/>
        </w:rPr>
        <w:footnoteReference w:id="2052"/>
      </w:r>
      <w:r>
        <w:t xml:space="preserve">. Ein 2025 veröffentlichter Fall beschreibt ein Melanom der Mundschleimhaut bei einer 22-Jährigen, die Melanotan-II-Nasenspray verwendet hatte</w:t>
      </w:r>
      <w:r>
        <w:rPr>
          <w:rStyle w:val="FootnoteReference"/>
        </w:rPr>
        <w:footnoteReference w:id="2053"/>
      </w:r>
      <w:r>
        <w:t xml:space="preserve">.</w:t>
      </w:r>
    </w:p>
    <w:p>
      <w:pPr>
        <w:pStyle w:val="FirstParagraph"/>
      </w:pPr>
      <w:r>
        <w:t xml:space="preserve">Eine Übersicht aller veröffentlichten Fälle plötzlich auftretender Muttermale (179 Personen) fand unter den Auslösern neben Immunsuppression und Chemotherapie auch Melanotan; 16 % der Fälle hatten mindestens ein dysplastisches, also auffällig verändertes Muttermal</w:t>
      </w:r>
      <w:r>
        <w:rPr>
          <w:rStyle w:val="FootnoteReference"/>
        </w:rPr>
        <w:footnoteReference w:id="2054"/>
      </w:r>
      <w:r>
        <w:t xml:space="preserve">.</w:t>
      </w:r>
    </w:p>
    <w:p>
      <w:pPr>
        <w:pStyle w:val="BodyText"/>
      </w:pPr>
      <w:r>
        <w:rPr>
          <w:bCs/>
          <w:b/>
        </w:rPr>
        <w:t xml:space="preserve">Was diese Daten bedeuten:</w:t>
      </w:r>
      <w:r>
        <w:t xml:space="preserve"> </w:t>
      </w:r>
      <w:r>
        <w:t xml:space="preserve">Fallberichte beweisen keinen ursächlichen Zusammenhang. Viele Betroffene nutzten gleichzeitig Solarien oder sonnten sich intensiv, was das Melanomrisiko unabhängig erhöht. Eine Übersicht kommt zu dem Schluss, dass ein Zusammenhang nicht schlüssig belegt ist, die Häufung aber Anlass zur Vorsicht gibt</w:t>
      </w:r>
      <w:r>
        <w:rPr>
          <w:rStyle w:val="FootnoteReference"/>
        </w:rPr>
        <w:footnoteReference w:id="2055"/>
      </w:r>
      <w:r>
        <w:t xml:space="preserve">. Weil Melanotan II nie systematisch untersucht wurde, kann niemand sagen, wie hoch ein mögliches Risiko ist. Zum Vergleich: Für das verwandte, zugelassene Afamelanotid ergab eine Untersuchung mit Auflichtmikroskopie nur vorübergehende Veränderungen der Muttermale ohne Hinweise auf bösartige Umwandlung (Kapitel 2E03) – diese Daten gelten aber nicht für Melanotan II.</w:t>
      </w:r>
    </w:p>
    <w:bookmarkEnd w:id="2056"/>
    <w:bookmarkStart w:id="2064" w:name="schwere-einzelfälle"/>
    <w:p>
      <w:pPr>
        <w:pStyle w:val="Heading4"/>
      </w:pPr>
      <w:r>
        <w:t xml:space="preserve">Schwere Einzelfälle</w:t>
      </w:r>
    </w:p>
    <w:p>
      <w:pPr>
        <w:numPr>
          <w:ilvl w:val="0"/>
          <w:numId w:val="1262"/>
        </w:numPr>
        <w:pStyle w:val="Compact"/>
      </w:pPr>
      <w:r>
        <w:rPr>
          <w:bCs/>
          <w:b/>
        </w:rPr>
        <w:t xml:space="preserve">Priapismus:</w:t>
      </w:r>
      <w:r>
        <w:t xml:space="preserve"> </w:t>
      </w:r>
      <w:r>
        <w:t xml:space="preserve">schmerzhafte Dauererektion, ein urologischer Notfall. Mehrere Fallberichte beschreiben sie nach Melanotan-Injektionen</w:t>
      </w:r>
      <w:r>
        <w:rPr>
          <w:rStyle w:val="FootnoteReference"/>
        </w:rPr>
        <w:footnoteReference w:id="2057"/>
      </w:r>
      <w:r>
        <w:t xml:space="preserve">. In einem Fall musste operativ entlastet werden</w:t>
      </w:r>
      <w:r>
        <w:rPr>
          <w:rStyle w:val="FootnoteReference"/>
        </w:rPr>
        <w:footnoteReference w:id="2058"/>
      </w:r>
      <w:r>
        <w:t xml:space="preserve">; in einem anderen war die Erektionsfähigkeit vier Wochen später noch nicht wiederhergestellt</w:t>
      </w:r>
      <w:r>
        <w:rPr>
          <w:rStyle w:val="FootnoteReference"/>
        </w:rPr>
        <w:footnoteReference w:id="2059"/>
      </w:r>
      <w:r>
        <w:t xml:space="preserve">.</w:t>
      </w:r>
    </w:p>
    <w:p>
      <w:pPr>
        <w:numPr>
          <w:ilvl w:val="0"/>
          <w:numId w:val="1262"/>
        </w:numPr>
        <w:pStyle w:val="Compact"/>
      </w:pPr>
      <w:r>
        <w:rPr>
          <w:bCs/>
          <w:b/>
        </w:rPr>
        <w:t xml:space="preserve">Muskelzerfall und Nierenschädigung:</w:t>
      </w:r>
      <w:r>
        <w:t xml:space="preserve"> </w:t>
      </w:r>
      <w:r>
        <w:t xml:space="preserve">Ein 39-jähriger Mann spritzte sich nach eigenen Angaben das Sechsfache der empfohlenen Startmenge. Er entwickelte Herzrasen, Unruhe und einen schweren Muskelzerfall (Rhabdomyolyse) mit einem Anstieg des Muskelenzyms CK auf 17.773 IU/L und vorübergehender Nierenschädigung; die Substanz wurde im Labor als Melanotan II bestätigt</w:t>
      </w:r>
      <w:r>
        <w:rPr>
          <w:rStyle w:val="FootnoteReference"/>
        </w:rPr>
        <w:footnoteReference w:id="2060"/>
      </w:r>
      <w:r>
        <w:t xml:space="preserve">.</w:t>
      </w:r>
    </w:p>
    <w:p>
      <w:pPr>
        <w:numPr>
          <w:ilvl w:val="0"/>
          <w:numId w:val="1262"/>
        </w:numPr>
        <w:pStyle w:val="Compact"/>
      </w:pPr>
      <w:r>
        <w:rPr>
          <w:bCs/>
          <w:b/>
        </w:rPr>
        <w:t xml:space="preserve">Niereninfarkt:</w:t>
      </w:r>
      <w:r>
        <w:t xml:space="preserve"> </w:t>
      </w:r>
      <w:r>
        <w:t xml:space="preserve">ein Fallbericht mit Literaturübersicht vermutet Melanotan II als Ursache eines Verschlusses von Nierengefäßen</w:t>
      </w:r>
      <w:r>
        <w:rPr>
          <w:rStyle w:val="FootnoteReference"/>
        </w:rPr>
        <w:footnoteReference w:id="2061"/>
      </w:r>
      <w:r>
        <w:t xml:space="preserve">.</w:t>
      </w:r>
    </w:p>
    <w:p>
      <w:pPr>
        <w:numPr>
          <w:ilvl w:val="0"/>
          <w:numId w:val="1262"/>
        </w:numPr>
        <w:pStyle w:val="Compact"/>
      </w:pPr>
      <w:r>
        <w:rPr>
          <w:bCs/>
          <w:b/>
        </w:rPr>
        <w:t xml:space="preserve">Hirnschwellung:</w:t>
      </w:r>
      <w:r>
        <w:t xml:space="preserve"> </w:t>
      </w:r>
      <w:r>
        <w:t xml:space="preserve">Ein Fallbericht beschreibt ein posteriores reversibles Enzephalopathie-Syndrom (PRES), eine Schwellung im Hinterhauptbereich des Gehirns, im Zusammenhang mit Melanotan</w:t>
      </w:r>
      <w:r>
        <w:rPr>
          <w:rStyle w:val="FootnoteReference"/>
        </w:rPr>
        <w:footnoteReference w:id="2062"/>
      </w:r>
      <w:r>
        <w:t xml:space="preserve">.</w:t>
      </w:r>
    </w:p>
    <w:p>
      <w:pPr>
        <w:numPr>
          <w:ilvl w:val="0"/>
          <w:numId w:val="1262"/>
        </w:numPr>
        <w:pStyle w:val="Compact"/>
      </w:pPr>
      <w:r>
        <w:rPr>
          <w:bCs/>
          <w:b/>
        </w:rPr>
        <w:t xml:space="preserve">Hautentzündung:</w:t>
      </w:r>
      <w:r>
        <w:t xml:space="preserve"> </w:t>
      </w:r>
      <w:r>
        <w:t xml:space="preserve">Beschrieben ist auch ein Pyoderma gangraenosum, eine schwere geschwürige Hauterkrankung</w:t>
      </w:r>
      <w:r>
        <w:rPr>
          <w:rStyle w:val="FootnoteReference"/>
        </w:rPr>
        <w:footnoteReference w:id="2063"/>
      </w:r>
      <w:r>
        <w:t xml:space="preserve">.</w:t>
      </w:r>
    </w:p>
    <w:bookmarkEnd w:id="2064"/>
    <w:bookmarkStart w:id="2068" w:name="graumarkt-risiken-1"/>
    <w:p>
      <w:pPr>
        <w:pStyle w:val="Heading4"/>
      </w:pPr>
      <w:r>
        <w:t xml:space="preserve">Graumarkt-Risiken</w:t>
      </w:r>
    </w:p>
    <w:p>
      <w:pPr>
        <w:pStyle w:val="FirstParagraph"/>
      </w:pPr>
      <w:r>
        <w:t xml:space="preserve">Ein Labor kaufte Melanotan-II-Fläschchen bei drei Online-Shops. Alle versprachen 10 mg pro Fläschchen; tatsächlich enthielten sie zwischen 4,32 und 8,84 mg. In Produkten von zwei Shops fanden sich 4,1 bis 5,9 % unbekannte Verunreinigungen</w:t>
      </w:r>
      <w:r>
        <w:rPr>
          <w:rStyle w:val="FootnoteReference"/>
        </w:rPr>
        <w:footnoteReference w:id="2065"/>
      </w:r>
      <w:r>
        <w:t xml:space="preserve">. Ein forensisches Labor bestimmte in einer beschlagnahmten Probe eine Reinheit von 30 %</w:t>
      </w:r>
      <w:r>
        <w:rPr>
          <w:rStyle w:val="FootnoteReference"/>
        </w:rPr>
        <w:footnoteReference w:id="2066"/>
      </w:r>
      <w:r>
        <w:t xml:space="preserve">. Hinzu kommen die Risiken unsteriler Zubereitung und gemeinsam genutzter Nadeln, auf die Fachleute ausdrücklich hinweisen</w:t>
      </w:r>
      <w:r>
        <w:rPr>
          <w:rStyle w:val="FootnoteReference"/>
        </w:rPr>
        <w:footnoteReference w:id="2067"/>
      </w:r>
      <w:r>
        <w:t xml:space="preserve">. Mehr zu Reinheit und Fälschungen im Graumarkt steht in Teil I und Teil IV.</w:t>
      </w:r>
    </w:p>
    <w:bookmarkEnd w:id="2068"/>
    <w:bookmarkEnd w:id="2069"/>
    <w:bookmarkStart w:id="2072" w:name="rechtslage-47"/>
    <w:p>
      <w:pPr>
        <w:pStyle w:val="Heading3"/>
      </w:pPr>
      <w:r>
        <w:t xml:space="preserve">Rechtslage</w:t>
      </w:r>
    </w:p>
    <w:p>
      <w:pPr>
        <w:pStyle w:val="FirstParagraph"/>
      </w:pPr>
      <w:r>
        <w:rPr>
          <w:iCs/>
          <w:i/>
        </w:rPr>
        <w:t xml:space="preserve">Stand 2026, bitte aktuell prüfen.</w:t>
      </w:r>
    </w:p>
    <w:p>
      <w:pPr>
        <w:numPr>
          <w:ilvl w:val="0"/>
          <w:numId w:val="1263"/>
        </w:numPr>
        <w:pStyle w:val="Compact"/>
      </w:pPr>
      <w:r>
        <w:rPr>
          <w:bCs/>
          <w:b/>
        </w:rPr>
        <w:t xml:space="preserve">EU:</w:t>
      </w:r>
      <w:r>
        <w:t xml:space="preserve"> </w:t>
      </w:r>
      <w:r>
        <w:t xml:space="preserve">Melanotan II ist in keinem Mitgliedstaat zugelassen. Da es zur Anwendung am Menschen mit Wirkung auf Körperfunktionen angeboten wird, gilt es rechtlich als Arzneimittel; Herstellung, Einfuhr und Verkauf ohne Zulassung sind verboten. Der Aufdruck „nur für Forschungszwecke“ ändert daran nichts.</w:t>
      </w:r>
    </w:p>
    <w:p>
      <w:pPr>
        <w:numPr>
          <w:ilvl w:val="0"/>
          <w:numId w:val="1263"/>
        </w:numPr>
        <w:pStyle w:val="Compact"/>
      </w:pPr>
      <w:r>
        <w:rPr>
          <w:bCs/>
          <w:b/>
        </w:rPr>
        <w:t xml:space="preserve">Deutschland und Österreich:</w:t>
      </w:r>
      <w:r>
        <w:t xml:space="preserve"> </w:t>
      </w:r>
      <w:r>
        <w:t xml:space="preserve">nicht zugelassen. Die Abgabe zur Anwendung am Menschen verstößt gegen das jeweilige Arzneimittelgesetz. Behörden und Zoll beschlagnahmen Sendungen.</w:t>
      </w:r>
    </w:p>
    <w:p>
      <w:pPr>
        <w:numPr>
          <w:ilvl w:val="0"/>
          <w:numId w:val="1263"/>
        </w:numPr>
        <w:pStyle w:val="Compact"/>
      </w:pPr>
      <w:r>
        <w:rPr>
          <w:bCs/>
          <w:b/>
        </w:rPr>
        <w:t xml:space="preserve">Behördenwarnungen:</w:t>
      </w:r>
      <w:r>
        <w:t xml:space="preserve"> </w:t>
      </w:r>
      <w:r>
        <w:t xml:space="preserve">Mehrere nationale Arzneimittel- und Gesundheitsbehörden haben vor Melanotan I und II gewarnt</w:t>
      </w:r>
      <w:r>
        <w:rPr>
          <w:rStyle w:val="FootnoteReference"/>
        </w:rPr>
        <w:footnoteReference w:id="2070"/>
      </w:r>
      <w:r>
        <w:t xml:space="preserve">. Nach Kenntnis des Autors gehörten die Behörden in Großbritannien und Irland ab 2008 zu den ersten, später folgten weitere europäische Länder und Australien. In Großbritannien ist der Verkauf ausdrücklich illegal</w:t>
      </w:r>
      <w:r>
        <w:rPr>
          <w:rStyle w:val="FootnoteReference"/>
        </w:rPr>
        <w:footnoteReference w:id="2071"/>
      </w:r>
      <w:r>
        <w:t xml:space="preserve">.</w:t>
      </w:r>
    </w:p>
    <w:p>
      <w:pPr>
        <w:numPr>
          <w:ilvl w:val="0"/>
          <w:numId w:val="1263"/>
        </w:numPr>
        <w:pStyle w:val="Compact"/>
      </w:pPr>
      <w:r>
        <w:rPr>
          <w:bCs/>
          <w:b/>
        </w:rPr>
        <w:t xml:space="preserve">USA:</w:t>
      </w:r>
      <w:r>
        <w:t xml:space="preserve"> </w:t>
      </w:r>
      <w:r>
        <w:t xml:space="preserve">keine FDA-Zulassung; der Vertrieb als Arzneimittel zur Anwendung am Menschen ist nicht erlaubt.</w:t>
      </w:r>
    </w:p>
    <w:p>
      <w:pPr>
        <w:numPr>
          <w:ilvl w:val="0"/>
          <w:numId w:val="1263"/>
        </w:numPr>
        <w:pStyle w:val="Compact"/>
      </w:pPr>
      <w:r>
        <w:rPr>
          <w:bCs/>
          <w:b/>
        </w:rPr>
        <w:t xml:space="preserve">WADA:</w:t>
      </w:r>
      <w:r>
        <w:t xml:space="preserve"> </w:t>
      </w:r>
      <w:r>
        <w:t xml:space="preserve">verboten als nicht zugelassene Substanz (S0).</w:t>
      </w:r>
    </w:p>
    <w:bookmarkEnd w:id="2072"/>
    <w:bookmarkStart w:id="2073" w:name="laufende-studien-und-ausblick-47"/>
    <w:p>
      <w:pPr>
        <w:pStyle w:val="Heading3"/>
      </w:pPr>
      <w:r>
        <w:t xml:space="preserve">Laufende Studien und Ausblick</w:t>
      </w:r>
    </w:p>
    <w:p>
      <w:pPr>
        <w:pStyle w:val="FirstParagraph"/>
      </w:pPr>
      <w:r>
        <w:rPr>
          <w:bCs/>
          <w:b/>
        </w:rPr>
        <w:t xml:space="preserve">Gesichert (registrierte Studien):</w:t>
      </w:r>
      <w:r>
        <w:t xml:space="preserve"> </w:t>
      </w:r>
      <w:r>
        <w:t xml:space="preserve">keine. Bei ClinicalTrials.gov fand sich zwar ein Eintrag zu Melanotan II bei Vitiligo; der Sponsor dieses Eintrags hat jedoch auch Einträge registriert, die sich selbst als fiktiv bezeichnen. Der Eintrag wird deshalb hier nicht als echte Studie gewertet. Das zeigt nebenbei: Auch ein Registereintrag ist kein Beleg dafür, dass eine Studie tatsächlich stattfindet.</w:t>
      </w:r>
    </w:p>
    <w:p>
      <w:pPr>
        <w:pStyle w:val="BodyText"/>
      </w:pPr>
      <w:r>
        <w:rPr>
          <w:bCs/>
          <w:b/>
        </w:rPr>
        <w:t xml:space="preserve">Einschätzung des Autors:</w:t>
      </w:r>
      <w:r>
        <w:t xml:space="preserve"> </w:t>
      </w:r>
      <w:r>
        <w:t xml:space="preserve">Für eine Zulassung als Bräunungsmittel bei Gesunden gibt es keinen realistischen Weg: Der Nutzen ist kosmetisch, die Nebenwirkungen über das Gehirn sind ausgeprägt, und die Frage nach Muttermalen und Melanom müsste in großen, langen Studien geklärt werden. Medizinisch sinnvolle Anwendungen von Melanocortin-Agonisten werden mit selektiveren Molekülen verfolgt – Afamelanotid für die Haut, Bremelanotid und Setmelanotid für das Gehirn. Die Popularität in sozialen Medien dürfte die Zahl der Fallberichte weiter steigen lassen.</w:t>
      </w:r>
    </w:p>
    <w:bookmarkEnd w:id="2073"/>
    <w:bookmarkStart w:id="2074" w:name="fazit-47"/>
    <w:p>
      <w:pPr>
        <w:pStyle w:val="Heading3"/>
      </w:pPr>
      <w:r>
        <w:t xml:space="preserve">Fazit</w:t>
      </w:r>
    </w:p>
    <w:p>
      <w:pPr>
        <w:pStyle w:val="FirstParagraph"/>
      </w:pPr>
      <w:r>
        <w:t xml:space="preserve">Melanotan II ist ein Forschungspeptid aus den 1990er-Jahren, das nur an rund zwei Dutzend Menschen in kleinen Studien geprüft wurde und nie eine Zulassung erhielt. Es bräunt die Haut, löst aber über Rezeptoren im Gehirn regelmäßig Übelkeit und spontane Erektionen aus. Fallberichte beschreiben neue und veränderte Muttermale, Melanome, Priapismus und Muskelzerfall; ein ursächlicher Zusammenhang mit Hautkrebs ist nicht bewiesen, aber auch nicht ausgeschlossen. Graumarkt-Produkte enthielten in Laboranalysen weniger Wirkstoff als angegeben und unbekannte Verunreinigungen. Die Daten reichen nicht aus, um Melanotan II als sicher zu bezeichnen.</w:t>
      </w:r>
    </w:p>
    <w:bookmarkEnd w:id="2074"/>
    <w:bookmarkEnd w:id="2075"/>
    <w:bookmarkStart w:id="2135" w:name="afamelanotid"/>
    <w:p>
      <w:pPr>
        <w:pStyle w:val="Heading2"/>
      </w:pPr>
      <w:r>
        <w:t xml:space="preserve">Afamelanotid</w:t>
      </w:r>
    </w:p>
    <w:bookmarkStart w:id="2078" w:name="steckbrief-48"/>
    <w:p>
      <w:pPr>
        <w:pStyle w:val="Heading3"/>
      </w:pPr>
      <w:r>
        <w:t xml:space="preserve">Steckbrief</w:t>
      </w:r>
    </w:p>
    <w:p>
      <w:pPr>
        <w:numPr>
          <w:ilvl w:val="0"/>
          <w:numId w:val="1264"/>
        </w:numPr>
        <w:pStyle w:val="Compact"/>
      </w:pPr>
      <w:r>
        <w:rPr>
          <w:bCs/>
          <w:b/>
        </w:rPr>
        <w:t xml:space="preserve">Art/Struktur:</w:t>
      </w:r>
      <w:r>
        <w:t xml:space="preserve"> </w:t>
      </w:r>
      <w:r>
        <w:t xml:space="preserve">lineares Peptid aus 13 Aminosäuren. Es entspricht dem körpereigenen Hormon Alpha-MSH, bei dem zwei Bausteine ausgetauscht wurden (an Position 4 Norleucin, an Position 7 die spiegelbildliche D-Form von Phenylalanin). Diese Änderungen machen es stabiler und wirksamer. Frühere Namen: Melanotan I, MT-I, NDP-MSH, CUV1647.</w:t>
      </w:r>
    </w:p>
    <w:p>
      <w:pPr>
        <w:numPr>
          <w:ilvl w:val="0"/>
          <w:numId w:val="1264"/>
        </w:numPr>
        <w:pStyle w:val="Compact"/>
      </w:pPr>
      <w:r>
        <w:rPr>
          <w:bCs/>
          <w:b/>
        </w:rPr>
        <w:t xml:space="preserve">Herkunft:</w:t>
      </w:r>
      <w:r>
        <w:t xml:space="preserve"> </w:t>
      </w:r>
      <w:r>
        <w:t xml:space="preserve">entwickelt an der Universität von Arizona zusammen mit Melanotan II</w:t>
      </w:r>
      <w:r>
        <w:rPr>
          <w:rStyle w:val="FootnoteReference"/>
        </w:rPr>
        <w:footnoteReference w:id="2076"/>
      </w:r>
      <w:r>
        <w:t xml:space="preserve">; später vom australischen Unternehmen Clinuvel zum Arzneimittel weiterentwickelt.</w:t>
      </w:r>
    </w:p>
    <w:p>
      <w:pPr>
        <w:numPr>
          <w:ilvl w:val="0"/>
          <w:numId w:val="1264"/>
        </w:numPr>
        <w:pStyle w:val="Compact"/>
      </w:pPr>
      <w:r>
        <w:rPr>
          <w:bCs/>
          <w:b/>
        </w:rPr>
        <w:t xml:space="preserve">Wirkprinzip:</w:t>
      </w:r>
      <w:r>
        <w:t xml:space="preserve"> </w:t>
      </w:r>
      <w:r>
        <w:t xml:space="preserve">Agonist am Melanocortin-1-Rezeptor (MC1R) der Pigmentzellen. Es regt die Bildung des dunklen, lichtschützenden Pigments Eumelanin an – ohne vorherige UV-Strahlung.</w:t>
      </w:r>
    </w:p>
    <w:p>
      <w:pPr>
        <w:numPr>
          <w:ilvl w:val="0"/>
          <w:numId w:val="1264"/>
        </w:numPr>
        <w:pStyle w:val="Compact"/>
      </w:pPr>
      <w:r>
        <w:rPr>
          <w:bCs/>
          <w:b/>
        </w:rPr>
        <w:t xml:space="preserve">Darreichungsform:</w:t>
      </w:r>
      <w:r>
        <w:t xml:space="preserve"> </w:t>
      </w:r>
      <w:r>
        <w:t xml:space="preserve">kleines, sich selbst auflösendes Implantat (16 mg), das unter die Haut eingesetzt wird und den Wirkstoff über Wochen abgibt. Es wird in spezialisierten Zentren gesetzt.</w:t>
      </w:r>
    </w:p>
    <w:p>
      <w:pPr>
        <w:numPr>
          <w:ilvl w:val="0"/>
          <w:numId w:val="1264"/>
        </w:numPr>
        <w:pStyle w:val="Compact"/>
      </w:pPr>
      <w:r>
        <w:rPr>
          <w:bCs/>
          <w:b/>
        </w:rPr>
        <w:t xml:space="preserve">Zulassung EU:</w:t>
      </w:r>
      <w:r>
        <w:t xml:space="preserve"> </w:t>
      </w:r>
      <w:r>
        <w:t xml:space="preserve">ja, seit 2014 (Scenesse) zur Vorbeugung von Lichtschäden bei Erwachsenen mit erythropoetischer Protoporphyrie (EPP). Die Zulassung war an Auflagen gebunden, unter anderem an eine Sicherheitsstudie nach der Zulassung und ein Patientenregister</w:t>
      </w:r>
      <w:r>
        <w:rPr>
          <w:rStyle w:val="FootnoteReference"/>
        </w:rPr>
        <w:footnoteReference w:id="2077"/>
      </w:r>
      <w:r>
        <w:t xml:space="preserve">.</w:t>
      </w:r>
    </w:p>
    <w:p>
      <w:pPr>
        <w:numPr>
          <w:ilvl w:val="0"/>
          <w:numId w:val="1264"/>
        </w:numPr>
        <w:pStyle w:val="Compact"/>
      </w:pPr>
      <w:r>
        <w:rPr>
          <w:bCs/>
          <w:b/>
        </w:rPr>
        <w:t xml:space="preserve">Zulassung USA:</w:t>
      </w:r>
      <w:r>
        <w:t xml:space="preserve"> </w:t>
      </w:r>
      <w:r>
        <w:t xml:space="preserve">ja, seit 2019 für Erwachsene mit EPP.</w:t>
      </w:r>
    </w:p>
    <w:p>
      <w:pPr>
        <w:numPr>
          <w:ilvl w:val="0"/>
          <w:numId w:val="1264"/>
        </w:numPr>
        <w:pStyle w:val="Compact"/>
      </w:pPr>
      <w:r>
        <w:rPr>
          <w:bCs/>
          <w:b/>
        </w:rPr>
        <w:t xml:space="preserve">WADA:</w:t>
      </w:r>
      <w:r>
        <w:t xml:space="preserve"> </w:t>
      </w:r>
      <w:r>
        <w:t xml:space="preserve">nicht gelistet.</w:t>
      </w:r>
    </w:p>
    <w:p>
      <w:pPr>
        <w:numPr>
          <w:ilvl w:val="0"/>
          <w:numId w:val="1264"/>
        </w:numPr>
        <w:pStyle w:val="Compact"/>
      </w:pPr>
      <w:r>
        <w:rPr>
          <w:bCs/>
          <w:b/>
        </w:rPr>
        <w:t xml:space="preserve">Evidenzstufe:</w:t>
      </w:r>
      <w:r>
        <w:t xml:space="preserve"> </w:t>
      </w:r>
      <w:r>
        <w:rPr>
          <w:bCs/>
          <w:b/>
        </w:rPr>
        <w:t xml:space="preserve">A</w:t>
      </w:r>
      <w:r>
        <w:t xml:space="preserve"> </w:t>
      </w:r>
      <w:r>
        <w:t xml:space="preserve">– Zulassung in EU und USA auf Basis zweier randomisierter, placebokontrollierter Studien, ergänzt durch mehrere Langzeitkohorten. Die Studien sind wegen der Seltenheit der Erkrankung kleiner als bei Volkskrankheiten.</w:t>
      </w:r>
    </w:p>
    <w:bookmarkEnd w:id="2078"/>
    <w:bookmarkStart w:id="2081" w:name="wie-es-wirken-soll-48"/>
    <w:p>
      <w:pPr>
        <w:pStyle w:val="Heading3"/>
      </w:pPr>
      <w:r>
        <w:t xml:space="preserve">Wie es wirken soll</w:t>
      </w:r>
    </w:p>
    <w:p>
      <w:pPr>
        <w:pStyle w:val="FirstParagraph"/>
      </w:pPr>
      <w:r>
        <w:t xml:space="preserve">Die erythropoetische Protoporphyrie (EPP) ist eine seltene Erbkrankheit. In Europa ist mindestens eine von 140.000 Personen betroffen</w:t>
      </w:r>
      <w:r>
        <w:rPr>
          <w:rStyle w:val="FootnoteReference"/>
        </w:rPr>
        <w:footnoteReference w:id="2079"/>
      </w:r>
      <w:r>
        <w:t xml:space="preserve">. Durch einen Enzymdefekt in der Bildung des roten Blutfarbstoffs reichert sich eine Vorstufe, das Protoporphyrin IX, in Blut und Haut an. Dieser Stoff wird durch sichtbares Licht aktiviert und schädigt dann Gewebe und kleine Blutgefäße der Haut.</w:t>
      </w:r>
    </w:p>
    <w:p>
      <w:pPr>
        <w:pStyle w:val="BodyText"/>
      </w:pPr>
      <w:r>
        <w:t xml:space="preserve">Die Folge sind brennende, oft tagelang anhaltende Schmerzen nach wenigen Minuten im Sonnenlicht – häufig ohne sichtbare Hautveränderungen. Betroffene meiden von Kindheit an das Tageslicht. Herkömmlicher Sonnenschutz hilft kaum, weil vor allem sichtbares Licht und nicht UV-Strahlung die Reaktion auslöst. Ein Teil der Betroffenen entwickelt zudem Leberschäden, weil das überschüssige Protoporphyrin über die Galle ausgeschieden wird</w:t>
      </w:r>
      <w:r>
        <w:rPr>
          <w:rStyle w:val="FootnoteReference"/>
        </w:rPr>
        <w:footnoteReference w:id="2080"/>
      </w:r>
      <w:r>
        <w:t xml:space="preserve">.</w:t>
      </w:r>
    </w:p>
    <w:p>
      <w:pPr>
        <w:pStyle w:val="BodyText"/>
      </w:pPr>
      <w:r>
        <w:t xml:space="preserve">Afamelanotid setzt nicht an der Ursache an, sondern an der Haut: Es bräunt sie, und das zusätzliche Eumelanin fängt einen Teil des Lichts ab, bevor es das Protoporphyrin erreicht. Laborversuche legen außerdem entzündungshemmende und antioxidative Wirkungen nahe. Wie viel davon beim Menschen eine Rolle spielt, ist unklar.</w:t>
      </w:r>
    </w:p>
    <w:p>
      <w:pPr>
        <w:pStyle w:val="BodyText"/>
      </w:pPr>
      <w:r>
        <w:t xml:space="preserve">Im Unterschied zu Melanotan II (Kapitel 2E02) wirkt Afamelanotid überwiegend auf den Pigment-Rezeptor MC1R und nur wenig auf die Rezeptoren im Gehirn. Deshalb sind Übelkeit und sexuelle Begleitwirkungen deutlich seltener.</w:t>
      </w:r>
    </w:p>
    <w:bookmarkEnd w:id="2081"/>
    <w:bookmarkStart w:id="2109" w:name="studien-am-menschen-4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10</w:t>
      </w:r>
      <w:r>
        <w:t xml:space="preserve"> </w:t>
      </w:r>
      <w:r>
        <w:t xml:space="preserve">Humanstudien in PubMed (</w:t>
      </w:r>
      <w:r>
        <w:rPr>
          <w:rStyle w:val="VerbatimChar"/>
        </w:rPr>
        <w:t xml:space="preserve">humanstudien_alle</w:t>
      </w:r>
      <w:r>
        <w:t xml:space="preserve">) und</w:t>
      </w:r>
      <w:r>
        <w:t xml:space="preserve"> </w:t>
      </w:r>
      <w:r>
        <w:rPr>
          <w:bCs/>
          <w:b/>
        </w:rPr>
        <w:t xml:space="preserve">23</w:t>
      </w:r>
      <w:r>
        <w:t xml:space="preserve"> </w:t>
      </w:r>
      <w:r>
        <w:t xml:space="preserve">Einträge bei ClinicalTrials.gov. Die Suche erfasst allerdings nur den Namen „afamelanotide“; ältere Studien unter dem Namen Melanotan I oder NDP-MSH sowie mehrere Kohortenstudien sind darin nicht enthalten und werden hier ergänzend besprochen.</w:t>
      </w:r>
    </w:p>
    <w:bookmarkStart w:id="2085" w:name="vorgeschichte-melanotan-i-bei-gesunden"/>
    <w:p>
      <w:pPr>
        <w:pStyle w:val="Heading4"/>
      </w:pPr>
      <w:r>
        <w:t xml:space="preserve">Vorgeschichte: Melanotan I bei Gesunden</w:t>
      </w:r>
    </w:p>
    <w:p>
      <w:pPr>
        <w:pStyle w:val="FirstParagraph"/>
      </w:pPr>
      <w:r>
        <w:t xml:space="preserve">In den 1990er- und frühen 2000er-Jahren erhielten gesunde Freiwillige in Arizona tägliche Injektionen. Ihre Haut wurde an Gesicht, Hals und Unterarmen dunkler; der Eumelanin-Gehalt der Unterarmhaut stieg um durchschnittlich 98 %</w:t>
      </w:r>
      <w:r>
        <w:rPr>
          <w:rStyle w:val="FootnoteReference"/>
        </w:rPr>
        <w:footnoteReference w:id="2082"/>
      </w:r>
      <w:r>
        <w:t xml:space="preserve">. Kombiniert mit Sonnenlicht bräunte die Haut stärker und länger, und die Teilnehmenden ohne Wirkstoff brauchten 50 % mehr Sonnenzeit für die gleiche Bräune</w:t>
      </w:r>
      <w:r>
        <w:rPr>
          <w:rStyle w:val="FootnoteReference"/>
        </w:rPr>
        <w:footnoteReference w:id="2083"/>
      </w:r>
      <w:r>
        <w:t xml:space="preserve">. In einer Studie mit 77 hellhäutigen Personen war die Wirkung bei Trägern bestimmter MC1R-Genvarianten – also bei Menschen mit besonders sonnenempfindlicher Haut – sogar stärker</w:t>
      </w:r>
      <w:r>
        <w:rPr>
          <w:rStyle w:val="FootnoteReference"/>
        </w:rPr>
        <w:footnoteReference w:id="2084"/>
      </w:r>
      <w:r>
        <w:t xml:space="preserve">. Der Plan, daraus einen Hautkrebsschutz für die Allgemeinbevölkerung zu machen, wurde nicht weiterverfolgt.</w:t>
      </w:r>
    </w:p>
    <w:bookmarkEnd w:id="2085"/>
    <w:bookmarkStart w:id="2089" w:name="die-zulassungsstudien-bei-epp"/>
    <w:p>
      <w:pPr>
        <w:pStyle w:val="Heading4"/>
      </w:pPr>
      <w:r>
        <w:t xml:space="preserve">Die Zulassungsstudien bei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Harms 2009, PMID 19656325</w:t>
            </w:r>
          </w:p>
        </w:tc>
        <w:tc>
          <w:tcPr/>
          <w:p>
            <w:pPr>
              <w:pStyle w:val="Compact"/>
              <w:jc w:val="left"/>
            </w:pPr>
            <w:r>
              <w:t xml:space="preserve">5 Personen mit EPP, offene Pilotstudie</w:t>
            </w:r>
          </w:p>
        </w:tc>
        <w:tc>
          <w:tcPr/>
          <w:p>
            <w:pPr>
              <w:pStyle w:val="Compact"/>
              <w:jc w:val="left"/>
            </w:pPr>
            <w:r>
              <w:t xml:space="preserve">120 Tage</w:t>
            </w:r>
          </w:p>
        </w:tc>
        <w:tc>
          <w:tcPr/>
          <w:p>
            <w:pPr>
              <w:pStyle w:val="Compact"/>
              <w:jc w:val="left"/>
            </w:pPr>
            <w:r>
              <w:t xml:space="preserve">Toleranz gegenüber Licht deutlich erhöht</w:t>
            </w:r>
          </w:p>
        </w:tc>
      </w:tr>
      <w:tr>
        <w:tc>
          <w:tcPr/>
          <w:p>
            <w:pPr>
              <w:pStyle w:val="Compact"/>
              <w:jc w:val="left"/>
            </w:pPr>
            <w:r>
              <w:t xml:space="preserve">EU-Studie (Langendonk 2015), PMID 26132941</w:t>
            </w:r>
          </w:p>
        </w:tc>
        <w:tc>
          <w:tcPr/>
          <w:p>
            <w:pPr>
              <w:pStyle w:val="Compact"/>
              <w:jc w:val="left"/>
            </w:pPr>
            <w:r>
              <w:t xml:space="preserve">74 Personen, RCT gegen Placebo-Implantat</w:t>
            </w:r>
          </w:p>
        </w:tc>
        <w:tc>
          <w:tcPr/>
          <w:p>
            <w:pPr>
              <w:pStyle w:val="Compact"/>
              <w:jc w:val="left"/>
            </w:pPr>
            <w:r>
              <w:t xml:space="preserve">9 Monate</w:t>
            </w:r>
          </w:p>
        </w:tc>
        <w:tc>
          <w:tcPr/>
          <w:p>
            <w:pPr>
              <w:pStyle w:val="Compact"/>
              <w:jc w:val="left"/>
            </w:pPr>
            <w:r>
              <w:t xml:space="preserve">schmerzfreie Zeit in direkter Sonne Median 6,0 vs. 0,8 Stunden; 77 vs. 146 Lichtreaktionen</w:t>
            </w:r>
          </w:p>
        </w:tc>
      </w:tr>
      <w:tr>
        <w:tc>
          <w:tcPr/>
          <w:p>
            <w:pPr>
              <w:pStyle w:val="Compact"/>
              <w:jc w:val="left"/>
            </w:pPr>
            <w:r>
              <w:t xml:space="preserve">US-Studie (Langendonk 2015), PMID 26132941</w:t>
            </w:r>
          </w:p>
        </w:tc>
        <w:tc>
          <w:tcPr/>
          <w:p>
            <w:pPr>
              <w:pStyle w:val="Compact"/>
              <w:jc w:val="left"/>
            </w:pPr>
            <w:r>
              <w:t xml:space="preserve">94 Personen, RCT gegen Placebo-Implantat</w:t>
            </w:r>
          </w:p>
        </w:tc>
        <w:tc>
          <w:tcPr/>
          <w:p>
            <w:pPr>
              <w:pStyle w:val="Compact"/>
              <w:jc w:val="left"/>
            </w:pPr>
            <w:r>
              <w:t xml:space="preserve">6 Monate</w:t>
            </w:r>
          </w:p>
        </w:tc>
        <w:tc>
          <w:tcPr/>
          <w:p>
            <w:pPr>
              <w:pStyle w:val="Compact"/>
              <w:jc w:val="left"/>
            </w:pPr>
            <w:r>
              <w:t xml:space="preserve">schmerzfreie Zeit in direkter Sonne Median 69,4 vs. 40,8 Stunden</w:t>
            </w:r>
          </w:p>
        </w:tc>
      </w:tr>
      <w:tr>
        <w:tc>
          <w:tcPr/>
          <w:p>
            <w:pPr>
              <w:pStyle w:val="Compact"/>
              <w:jc w:val="left"/>
            </w:pPr>
            <w:r>
              <w:t xml:space="preserve">Systematische Übersicht (Heerfordt 2023), PMID 36525819</w:t>
            </w:r>
          </w:p>
        </w:tc>
        <w:tc>
          <w:tcPr/>
          <w:p>
            <w:pPr>
              <w:pStyle w:val="Compact"/>
              <w:jc w:val="left"/>
            </w:pPr>
            <w:r>
              <w:t xml:space="preserve">40 Studien zu 18 Behandlungen bei EPP</w:t>
            </w:r>
          </w:p>
        </w:tc>
        <w:tc>
          <w:tcPr/>
          <w:p>
            <w:pPr>
              <w:pStyle w:val="Compact"/>
              <w:jc w:val="left"/>
            </w:pPr>
            <w:r>
              <w:t xml:space="preserve">–</w:t>
            </w:r>
          </w:p>
        </w:tc>
        <w:tc>
          <w:tcPr/>
          <w:p>
            <w:pPr>
              <w:pStyle w:val="Compact"/>
              <w:jc w:val="left"/>
            </w:pPr>
            <w:r>
              <w:t xml:space="preserve">mäßiger positiver Effekt für Afamelanotid und mineralischen Sonnenschutz; kein Effekt für Beta-Carotin u. a.</w:t>
            </w:r>
          </w:p>
        </w:tc>
      </w:tr>
    </w:tbl>
    <w:p>
      <w:pPr>
        <w:pStyle w:val="BodyText"/>
      </w:pPr>
      <w:r>
        <w:t xml:space="preserve">In der ersten Pilotstudie erhielten fünf Betroffene zwei Implantate im Abstand von 60 Tagen. Danach vertrugen sie in einem standardisierten Lichttest deutlich mehr Licht, und die Melanindichte der Haut stieg</w:t>
      </w:r>
      <w:r>
        <w:rPr>
          <w:rStyle w:val="FootnoteReference"/>
        </w:rPr>
        <w:footnoteReference w:id="2086"/>
      </w:r>
      <w:r>
        <w:t xml:space="preserve">.</w:t>
      </w:r>
    </w:p>
    <w:p>
      <w:pPr>
        <w:pStyle w:val="BodyText"/>
      </w:pPr>
      <w:r>
        <w:t xml:space="preserve">Die Zulassung stützt sich auf zwei doppelblinde Studien, die gemeinsam im New England Journal of Medicine veröffentlicht wurden</w:t>
      </w:r>
      <w:r>
        <w:rPr>
          <w:rStyle w:val="FootnoteReference"/>
        </w:rPr>
        <w:footnoteReference w:id="2087"/>
      </w:r>
      <w:r>
        <w:t xml:space="preserve">. Alle 60 Tage erhielten die Teilnehmenden ein Implantat mit Afamelanotid oder ein Scheinimplantat. Hauptzielgröße war die Zahl der Stunden in direkter Sonne ohne Schmerzen, die die Teilnehmenden in einem Tagebuch festhielten.</w:t>
      </w:r>
    </w:p>
    <w:p>
      <w:pPr>
        <w:pStyle w:val="BodyText"/>
      </w:pPr>
      <w:r>
        <w:t xml:space="preserve">Beide Studien zeigten einen Vorteil für Afamelanotid, und in beiden verbesserte sich die Lebensqualität. Die absoluten Zahlen sind aber ernüchternd: In der europäischen Studie verbrachten die Teilnehmenden über neun Monate im Median sechs Stunden schmerzfrei in direkter Sonne, unter Placebo knapp eine Stunde. Dass die Werte so niedrig sind, liegt auch an der Krankheit selbst: Wer jahrelang Schmerzen erlebt hat, meidet die Sonne weiterhin, auch wenn er sie besser verträgt. Eine solche Tagebuch-Messung hängt außerdem stark von Wetter und Jahreszeit ab, was die Studien schwer vergleichbar macht</w:t>
      </w:r>
      <w:r>
        <w:rPr>
          <w:rStyle w:val="FootnoteReference"/>
        </w:rPr>
        <w:footnoteReference w:id="2088"/>
      </w:r>
      <w:r>
        <w:t xml:space="preserve">.</w:t>
      </w:r>
    </w:p>
    <w:bookmarkEnd w:id="2089"/>
    <w:bookmarkStart w:id="2093" w:name="langzeitdaten-aus-der-praxis"/>
    <w:p>
      <w:pPr>
        <w:pStyle w:val="Heading4"/>
      </w:pPr>
      <w:r>
        <w:t xml:space="preserve">Langzeitdaten aus der Praxis</w:t>
      </w:r>
    </w:p>
    <w:p>
      <w:pPr>
        <w:pStyle w:val="FirstParagraph"/>
      </w:pPr>
      <w:r>
        <w:t xml:space="preserve">Weil die Zulassungsstudien kurz und klein waren, sind Beobachtungen aus der Routineversorgung besonders wichtig.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Biolcati 2015, PMID 25494545</w:t>
            </w:r>
          </w:p>
        </w:tc>
        <w:tc>
          <w:tcPr/>
          <w:p>
            <w:pPr>
              <w:pStyle w:val="Compact"/>
              <w:jc w:val="left"/>
            </w:pPr>
            <w:r>
              <w:t xml:space="preserve">115 Personen in Rom und Zürich, 1.023 Implantate, Beobachtungsstudie</w:t>
            </w:r>
          </w:p>
        </w:tc>
        <w:tc>
          <w:tcPr/>
          <w:p>
            <w:pPr>
              <w:pStyle w:val="Compact"/>
              <w:jc w:val="left"/>
            </w:pPr>
            <w:r>
              <w:t xml:space="preserve">bis 8 Jahre</w:t>
            </w:r>
          </w:p>
        </w:tc>
        <w:tc>
          <w:tcPr/>
          <w:p>
            <w:pPr>
              <w:pStyle w:val="Compact"/>
              <w:jc w:val="left"/>
            </w:pPr>
            <w:r>
              <w:t xml:space="preserve">Lebensqualität von 31 % auf 74 % des Höchstwerts</w:t>
            </w:r>
          </w:p>
        </w:tc>
      </w:tr>
      <w:tr>
        <w:tc>
          <w:tcPr/>
          <w:p>
            <w:pPr>
              <w:pStyle w:val="Compact"/>
              <w:jc w:val="left"/>
            </w:pPr>
            <w:r>
              <w:t xml:space="preserve">Wensink 2020, PMID 32186677</w:t>
            </w:r>
          </w:p>
        </w:tc>
        <w:tc>
          <w:tcPr/>
          <w:p>
            <w:pPr>
              <w:pStyle w:val="Compact"/>
              <w:jc w:val="left"/>
            </w:pPr>
            <w:r>
              <w:t xml:space="preserve">117 Personen in Rotterdam, prospektive Kohorte</w:t>
            </w:r>
          </w:p>
        </w:tc>
        <w:tc>
          <w:tcPr/>
          <w:p>
            <w:pPr>
              <w:pStyle w:val="Compact"/>
              <w:jc w:val="left"/>
            </w:pPr>
            <w:r>
              <w:t xml:space="preserve">Median 2 Jahre</w:t>
            </w:r>
          </w:p>
        </w:tc>
        <w:tc>
          <w:tcPr/>
          <w:p>
            <w:pPr>
              <w:pStyle w:val="Compact"/>
              <w:jc w:val="left"/>
            </w:pPr>
            <w:r>
              <w:t xml:space="preserve">6,1 Stunden pro Woche mehr im Freien; 98 % setzten fort</w:t>
            </w:r>
          </w:p>
        </w:tc>
      </w:tr>
      <w:tr>
        <w:tc>
          <w:tcPr/>
          <w:p>
            <w:pPr>
              <w:pStyle w:val="Compact"/>
              <w:jc w:val="left"/>
            </w:pPr>
            <w:r>
              <w:t xml:space="preserve">Homey 2025, PMID 40082741</w:t>
            </w:r>
          </w:p>
        </w:tc>
        <w:tc>
          <w:tcPr/>
          <w:p>
            <w:pPr>
              <w:pStyle w:val="Compact"/>
              <w:jc w:val="left"/>
            </w:pPr>
            <w:r>
              <w:t xml:space="preserve">200 Personen in Deutschland, Sicherheitsstudie nach Zulassung</w:t>
            </w:r>
          </w:p>
        </w:tc>
        <w:tc>
          <w:tcPr/>
          <w:p>
            <w:pPr>
              <w:pStyle w:val="Compact"/>
              <w:jc w:val="left"/>
            </w:pPr>
            <w:r>
              <w:t xml:space="preserve">laufend</w:t>
            </w:r>
          </w:p>
        </w:tc>
        <w:tc>
          <w:tcPr/>
          <w:p>
            <w:pPr>
              <w:pStyle w:val="Compact"/>
              <w:jc w:val="left"/>
            </w:pPr>
            <w:r>
              <w:t xml:space="preserve">Lebensqualität signifikant besser; 91,0 % setzten fort</w:t>
            </w:r>
          </w:p>
        </w:tc>
      </w:tr>
      <w:tr>
        <w:tc>
          <w:tcPr/>
          <w:p>
            <w:pPr>
              <w:pStyle w:val="Compact"/>
              <w:jc w:val="left"/>
            </w:pPr>
            <w:r>
              <w:t xml:space="preserve">Seidl-Philipp 2026, PMID 41793078</w:t>
            </w:r>
          </w:p>
        </w:tc>
        <w:tc>
          <w:tcPr/>
          <w:p>
            <w:pPr>
              <w:pStyle w:val="Compact"/>
              <w:jc w:val="left"/>
            </w:pPr>
            <w:r>
              <w:t xml:space="preserve">20 Personen in Österreich</w:t>
            </w:r>
          </w:p>
        </w:tc>
        <w:tc>
          <w:tcPr/>
          <w:p>
            <w:pPr>
              <w:pStyle w:val="Compact"/>
              <w:jc w:val="left"/>
            </w:pPr>
            <w:r>
              <w:t xml:space="preserve">2023</w:t>
            </w:r>
          </w:p>
        </w:tc>
        <w:tc>
          <w:tcPr/>
          <w:p>
            <w:pPr>
              <w:pStyle w:val="Compact"/>
              <w:jc w:val="left"/>
            </w:pPr>
            <w:r>
              <w:t xml:space="preserve">Lichttoleranz Median 15 auf 250 Minuten; Lichtreaktionen bei 88 % vs. 33 %</w:t>
            </w:r>
          </w:p>
        </w:tc>
      </w:tr>
    </w:tbl>
    <w:p>
      <w:pPr>
        <w:pStyle w:val="BodyText"/>
      </w:pPr>
      <w:r>
        <w:t xml:space="preserve">Die italienisch-schweizerische Beobachtungsstudie umfasste Behandlungen seit 2006. Nur drei Personen gaben an, dass die Wirkung ihren Erwartungen nicht entsprach; 23 % unterbrachen aus anderen Gründen, etwa wegen Schwangerschaft oder Kosten</w:t>
      </w:r>
      <w:r>
        <w:rPr>
          <w:rStyle w:val="FootnoteReference"/>
        </w:rPr>
        <w:footnoteReference w:id="2090"/>
      </w:r>
      <w:r>
        <w:t xml:space="preserve">. In der niederländischen Kohorte wurden Lichtreaktionen weniger schmerzhaft, ihre Zahl und Dauer änderten sich aber nicht signifikant</w:t>
      </w:r>
      <w:r>
        <w:rPr>
          <w:rStyle w:val="FootnoteReference"/>
        </w:rPr>
        <w:footnoteReference w:id="2091"/>
      </w:r>
      <w:r>
        <w:t xml:space="preserve">. Die österreichische Auswertung aller 20 im Jahr 2023 behandelten Personen zeigt besonders deutliche Verbesserungen der Lebensqualität</w:t>
      </w:r>
      <w:r>
        <w:rPr>
          <w:rStyle w:val="FootnoteReference"/>
        </w:rPr>
        <w:footnoteReference w:id="2092"/>
      </w:r>
      <w:r>
        <w:t xml:space="preserve">.</w:t>
      </w:r>
    </w:p>
    <w:p>
      <w:pPr>
        <w:pStyle w:val="BodyText"/>
      </w:pPr>
      <w:r>
        <w:t xml:space="preserve">Diese Kohorten haben keine Kontrollgruppe. Wer gut anspricht, bleibt eher in Behandlung, und die Erwartung an ein teures Medikament beeinflusst die Selbstauskunft. Die durchweg hohen Fortsetzungsraten bei einer Behandlung, die alle zwei Monate einen Arztbesuch erfordert, sind dennoch ein beachtliches Signal.</w:t>
      </w:r>
    </w:p>
    <w:bookmarkEnd w:id="2093"/>
    <w:bookmarkStart w:id="2097" w:name="weitere-beobachtungen-bei-epp"/>
    <w:p>
      <w:pPr>
        <w:pStyle w:val="Heading4"/>
      </w:pPr>
      <w:r>
        <w:t xml:space="preserve">Weitere Beobachtungen bei EPP</w:t>
      </w:r>
    </w:p>
    <w:p>
      <w:pPr>
        <w:numPr>
          <w:ilvl w:val="0"/>
          <w:numId w:val="1265"/>
        </w:numPr>
        <w:pStyle w:val="Compact"/>
      </w:pPr>
      <w:r>
        <w:rPr>
          <w:bCs/>
          <w:b/>
        </w:rPr>
        <w:t xml:space="preserve">Leber:</w:t>
      </w:r>
      <w:r>
        <w:t xml:space="preserve"> </w:t>
      </w:r>
      <w:r>
        <w:t xml:space="preserve">In einer Schweizer Auswertung von 70 Behandelten mit fast 3.000 Leberwerten sanken der Leberwert ALAT und das Bilirubin, je mehr Implantate im Vorjahr gesetzt worden waren</w:t>
      </w:r>
      <w:r>
        <w:rPr>
          <w:rStyle w:val="FootnoteReference"/>
        </w:rPr>
        <w:footnoteReference w:id="2094"/>
      </w:r>
      <w:r>
        <w:t xml:space="preserve">. Das ist ein Zusammenhang aus Beobachtungsdaten, kein Nachweis eines Leberschutzes.</w:t>
      </w:r>
    </w:p>
    <w:p>
      <w:pPr>
        <w:numPr>
          <w:ilvl w:val="0"/>
          <w:numId w:val="1265"/>
        </w:numPr>
        <w:pStyle w:val="Compact"/>
      </w:pPr>
      <w:r>
        <w:rPr>
          <w:bCs/>
          <w:b/>
        </w:rPr>
        <w:t xml:space="preserve">Vitamin D:</w:t>
      </w:r>
      <w:r>
        <w:t xml:space="preserve"> </w:t>
      </w:r>
      <w:r>
        <w:t xml:space="preserve">Afamelanotid änderte den Vitamin-D-Spiegel nicht. In einer Studie mit 230 Personen blieb ein Mangel bei 71,8 % bestehen; nur die Gabe von Vitamin D3 hob die Werte</w:t>
      </w:r>
      <w:r>
        <w:rPr>
          <w:rStyle w:val="FootnoteReference"/>
        </w:rPr>
        <w:footnoteReference w:id="2095"/>
      </w:r>
      <w:r>
        <w:t xml:space="preserve">.</w:t>
      </w:r>
    </w:p>
    <w:p>
      <w:pPr>
        <w:numPr>
          <w:ilvl w:val="0"/>
          <w:numId w:val="1265"/>
        </w:numPr>
        <w:pStyle w:val="Compact"/>
      </w:pPr>
      <w:r>
        <w:rPr>
          <w:bCs/>
          <w:b/>
        </w:rPr>
        <w:t xml:space="preserve">Antikörper:</w:t>
      </w:r>
      <w:r>
        <w:t xml:space="preserve"> </w:t>
      </w:r>
      <w:r>
        <w:t xml:space="preserve">Bei 23 von 26 Personen bildeten sich über bis zu sechs Jahre keine Antikörper gegen den Wirkstoff; drei hatten schon vor der Behandlung messbare Antikörper, die sich nicht veränderten</w:t>
      </w:r>
      <w:r>
        <w:rPr>
          <w:rStyle w:val="FootnoteReference"/>
        </w:rPr>
        <w:footnoteReference w:id="2096"/>
      </w:r>
      <w:r>
        <w:t xml:space="preserve">.</w:t>
      </w:r>
    </w:p>
    <w:bookmarkEnd w:id="2097"/>
    <w:bookmarkStart w:id="2102" w:name="vitiligo"/>
    <w:p>
      <w:pPr>
        <w:pStyle w:val="Heading4"/>
      </w:pPr>
      <w:r>
        <w:t xml:space="preserve">Vitiligo</w:t>
      </w:r>
    </w:p>
    <w:p>
      <w:pPr>
        <w:pStyle w:val="FirstParagraph"/>
      </w:pPr>
      <w:r>
        <w:t xml:space="preserve">Bei der Weißfleckenkrankheit (Vitiligo) zerstört das Immunsystem Pigmentzellen; es entstehen helle Flecken. Die Standardbehandlung ist eine Lichttherapie mit Schmalband-UVB. Afamelanotid soll die verbliebenen Pigmentzellen zusätzlich anregen.</w:t>
      </w:r>
    </w:p>
    <w:p>
      <w:pPr>
        <w:pStyle w:val="BodyText"/>
      </w:pPr>
      <w:r>
        <w:t xml:space="preserve">Nach einer Fallserie mit vier Personen</w:t>
      </w:r>
      <w:r>
        <w:rPr>
          <w:rStyle w:val="FootnoteReference"/>
        </w:rPr>
        <w:footnoteReference w:id="2098"/>
      </w:r>
      <w:r>
        <w:t xml:space="preserve"> </w:t>
      </w:r>
      <w:r>
        <w:t xml:space="preserve">folgte eine randomisierte Studie mit 55 Teilnehmenden</w:t>
      </w:r>
      <w:r>
        <w:rPr>
          <w:rStyle w:val="FootnoteReference"/>
        </w:rPr>
        <w:footnoteReference w:id="2099"/>
      </w:r>
      <w:r>
        <w:t xml:space="preserve">. Die Kombination aus Lichttherapie und monatlichen Implantaten führte schneller zu neuer Pigmentierung als die Lichttherapie allein. Nach 168 Tagen war im Kombinationsarm 48,64 % der Fläche wiederpigmentiert, unter Lichttherapie allein 33,26 %. Der Vorteil zeigte sich vor allem bei dunkleren Hauttypen (IV bis VI). Ein Nachteil, auf den Fachleute hinweisen: Auch die gesunde Haut wird dunkler, sodass der Kontrast zu den hellen Flecken anfangs zunehmen kann</w:t>
      </w:r>
      <w:r>
        <w:rPr>
          <w:rStyle w:val="FootnoteReference"/>
        </w:rPr>
        <w:footnoteReference w:id="2100"/>
      </w:r>
      <w:r>
        <w:t xml:space="preserve">. Eine Studie bei asiatischen Patientinnen und Patienten wurde ebenfalls veröffentlicht</w:t>
      </w:r>
      <w:r>
        <w:rPr>
          <w:rStyle w:val="FootnoteReference"/>
        </w:rPr>
        <w:footnoteReference w:id="2101"/>
      </w:r>
      <w:r>
        <w:t xml:space="preserve">.</w:t>
      </w:r>
    </w:p>
    <w:bookmarkEnd w:id="2102"/>
    <w:bookmarkStart w:id="2108" w:name="weitere-anwendungen-in-pilotstudien"/>
    <w:p>
      <w:pPr>
        <w:pStyle w:val="Heading4"/>
      </w:pPr>
      <w:r>
        <w:t xml:space="preserve">Weitere Anwendungen in Pilotstudien</w:t>
      </w:r>
    </w:p>
    <w:p>
      <w:pPr>
        <w:pStyle w:val="FirstParagraph"/>
      </w:pPr>
      <w:r>
        <w:t xml:space="preserve">Die folgenden Ergebnisse stammen aus sehr kleinen, meist offenen Studien und sind als Hypothesen zu verstehen:</w:t>
      </w:r>
    </w:p>
    <w:p>
      <w:pPr>
        <w:numPr>
          <w:ilvl w:val="0"/>
          <w:numId w:val="1266"/>
        </w:numPr>
        <w:pStyle w:val="Compact"/>
      </w:pPr>
      <w:r>
        <w:rPr>
          <w:bCs/>
          <w:b/>
        </w:rPr>
        <w:t xml:space="preserve">Sonnenurtikaria</w:t>
      </w:r>
      <w:r>
        <w:t xml:space="preserve"> </w:t>
      </w:r>
      <w:r>
        <w:t xml:space="preserve">(Nesselsucht durch Licht): bei 5 Personen nach einem Implantat geringere Quaddelbildung</w:t>
      </w:r>
      <w:r>
        <w:rPr>
          <w:rStyle w:val="FootnoteReference"/>
        </w:rPr>
        <w:footnoteReference w:id="2103"/>
      </w:r>
      <w:r>
        <w:t xml:space="preserve">.</w:t>
      </w:r>
    </w:p>
    <w:p>
      <w:pPr>
        <w:numPr>
          <w:ilvl w:val="0"/>
          <w:numId w:val="1266"/>
        </w:numPr>
        <w:pStyle w:val="Compact"/>
      </w:pPr>
      <w:r>
        <w:rPr>
          <w:bCs/>
          <w:b/>
        </w:rPr>
        <w:t xml:space="preserve">Akne:</w:t>
      </w:r>
      <w:r>
        <w:t xml:space="preserve"> </w:t>
      </w:r>
      <w:r>
        <w:t xml:space="preserve">bei 3 Personen weniger entzündliche Läsionen</w:t>
      </w:r>
      <w:r>
        <w:rPr>
          <w:rStyle w:val="FootnoteReference"/>
        </w:rPr>
        <w:footnoteReference w:id="2104"/>
      </w:r>
      <w:r>
        <w:t xml:space="preserve">.</w:t>
      </w:r>
    </w:p>
    <w:p>
      <w:pPr>
        <w:numPr>
          <w:ilvl w:val="0"/>
          <w:numId w:val="1266"/>
        </w:numPr>
        <w:pStyle w:val="Compact"/>
      </w:pPr>
      <w:r>
        <w:rPr>
          <w:bCs/>
          <w:b/>
        </w:rPr>
        <w:t xml:space="preserve">Morbus Hailey-Hailey</w:t>
      </w:r>
      <w:r>
        <w:t xml:space="preserve"> </w:t>
      </w:r>
      <w:r>
        <w:t xml:space="preserve">(erbliche Blasenkrankheit): Abheilung der Hautläsionen bei 2 Personen</w:t>
      </w:r>
      <w:r>
        <w:rPr>
          <w:rStyle w:val="FootnoteReference"/>
        </w:rPr>
        <w:footnoteReference w:id="2105"/>
      </w:r>
      <w:r>
        <w:t xml:space="preserve">.</w:t>
      </w:r>
    </w:p>
    <w:p>
      <w:pPr>
        <w:numPr>
          <w:ilvl w:val="0"/>
          <w:numId w:val="1266"/>
        </w:numPr>
        <w:pStyle w:val="Compact"/>
      </w:pPr>
      <w:r>
        <w:rPr>
          <w:bCs/>
          <w:b/>
        </w:rPr>
        <w:t xml:space="preserve">Schlaganfall:</w:t>
      </w:r>
      <w:r>
        <w:t xml:space="preserve"> </w:t>
      </w:r>
      <w:r>
        <w:t xml:space="preserve">In einer offenen Machbarkeitsstudie mit 6 Personen war die Gabe durchführbar; eine Person starb an einem erneuten Schlaganfall, den die Forschenden nicht auf das Mittel zurückführten</w:t>
      </w:r>
      <w:r>
        <w:rPr>
          <w:rStyle w:val="FootnoteReference"/>
        </w:rPr>
        <w:footnoteReference w:id="2106"/>
      </w:r>
      <w:r>
        <w:t xml:space="preserve">.</w:t>
      </w:r>
    </w:p>
    <w:p>
      <w:pPr>
        <w:numPr>
          <w:ilvl w:val="0"/>
          <w:numId w:val="1266"/>
        </w:numPr>
        <w:pStyle w:val="Compact"/>
      </w:pPr>
      <w:r>
        <w:rPr>
          <w:bCs/>
          <w:b/>
        </w:rPr>
        <w:t xml:space="preserve">Gesunde Haut:</w:t>
      </w:r>
      <w:r>
        <w:t xml:space="preserve"> </w:t>
      </w:r>
      <w:r>
        <w:t xml:space="preserve">Bei 9 gesunden Freiwilligen fiel die Hautrötung nach UV-Bestrahlung sechs Tage nach dem Implantat geringer aus</w:t>
      </w:r>
      <w:r>
        <w:rPr>
          <w:rStyle w:val="FootnoteReference"/>
        </w:rPr>
        <w:footnoteReference w:id="2107"/>
      </w:r>
      <w:r>
        <w:t xml:space="preserve">.</w:t>
      </w:r>
    </w:p>
    <w:bookmarkEnd w:id="2108"/>
    <w:bookmarkEnd w:id="2109"/>
    <w:bookmarkStart w:id="2112" w:name="tier--und-laborstudien-48"/>
    <w:p>
      <w:pPr>
        <w:pStyle w:val="Heading3"/>
      </w:pPr>
      <w:r>
        <w:t xml:space="preserve">Tier- und Laborstudien</w:t>
      </w:r>
    </w:p>
    <w:p>
      <w:pPr>
        <w:pStyle w:val="FirstParagraph"/>
      </w:pPr>
      <w:r>
        <w:t xml:space="preserve">In Zellkulturen hat Afamelanotid antioxidative Wirkungen. In Hautzellen von Menschen mit Morbus Hailey-Hailey aktivierte es den Schutzfaktor Nrf2 und stellte die gestörte Zellteilung teilweise wieder her</w:t>
      </w:r>
      <w:r>
        <w:rPr>
          <w:rStyle w:val="FootnoteReference"/>
        </w:rPr>
        <w:footnoteReference w:id="2110"/>
      </w:r>
      <w:r>
        <w:t xml:space="preserve">. Untersuchungen zu Stabilität und Abbauprodukten des Wirkstoffs betreffen die Arzneimittelqualität</w:t>
      </w:r>
      <w:r>
        <w:rPr>
          <w:rStyle w:val="FootnoteReference"/>
        </w:rPr>
        <w:footnoteReference w:id="2111"/>
      </w:r>
      <w:r>
        <w:t xml:space="preserve">. Für die Bewertung beim Menschen spielen Tierdaten heute eine untergeordnete Rolle, weil die klinischen Daten aussagekräftiger sind.</w:t>
      </w:r>
    </w:p>
    <w:bookmarkEnd w:id="2112"/>
    <w:bookmarkStart w:id="2123" w:name="risiken-und-nebenwirkungen-48"/>
    <w:p>
      <w:pPr>
        <w:pStyle w:val="Heading3"/>
      </w:pPr>
      <w:r>
        <w:t xml:space="preserve">Risiken und Nebenwirkungen</w:t>
      </w:r>
    </w:p>
    <w:bookmarkStart w:id="2117" w:name="belegt-8"/>
    <w:p>
      <w:pPr>
        <w:pStyle w:val="Heading4"/>
      </w:pPr>
      <w:r>
        <w:t xml:space="preserve">Belegt</w:t>
      </w:r>
    </w:p>
    <w:p>
      <w:pPr>
        <w:numPr>
          <w:ilvl w:val="0"/>
          <w:numId w:val="1267"/>
        </w:numPr>
        <w:pStyle w:val="Compact"/>
      </w:pPr>
      <w:r>
        <w:rPr>
          <w:bCs/>
          <w:b/>
        </w:rPr>
        <w:t xml:space="preserve">Häufige, meist leichte Nebenwirkungen:</w:t>
      </w:r>
      <w:r>
        <w:t xml:space="preserve"> </w:t>
      </w:r>
      <w:r>
        <w:t xml:space="preserve">Übelkeit, Kopfschmerzen, Müdigkeit und Reaktionen an der Einsetzstelle des Implantats</w:t>
      </w:r>
      <w:r>
        <w:rPr>
          <w:rStyle w:val="FootnoteReference"/>
        </w:rPr>
        <w:footnoteReference w:id="2113"/>
      </w:r>
      <w:r>
        <w:t xml:space="preserve">. Schwere unerwünschte Ereignisse wurden in den Zulassungsstudien nicht dem Wirkstoff zugeschrieben.</w:t>
      </w:r>
    </w:p>
    <w:p>
      <w:pPr>
        <w:numPr>
          <w:ilvl w:val="0"/>
          <w:numId w:val="1267"/>
        </w:numPr>
        <w:pStyle w:val="Compact"/>
      </w:pPr>
      <w:r>
        <w:rPr>
          <w:bCs/>
          <w:b/>
        </w:rPr>
        <w:t xml:space="preserve">Dunklere Haut und Muttermale:</w:t>
      </w:r>
      <w:r>
        <w:t xml:space="preserve"> </w:t>
      </w:r>
      <w:r>
        <w:t xml:space="preserve">Die Bräunung ist die gewollte Wirkung. Muttermale und Sommersprossen werden ebenfalls dunkler. In einer Studie mit 15 Personen und 103 Muttermalen zeigten sich unter dem Auflichtmikroskop vorübergehende Veränderungen, die nach einem Jahr zurückgegangen waren; neue Muttermale oder Hinweise auf Bösartigkeit traten nicht auf</w:t>
      </w:r>
      <w:r>
        <w:rPr>
          <w:rStyle w:val="FootnoteReference"/>
        </w:rPr>
        <w:footnoteReference w:id="2114"/>
      </w:r>
      <w:r>
        <w:t xml:space="preserve">. Die Fachinformation sieht regelmäßige Hautuntersuchungen vor.</w:t>
      </w:r>
    </w:p>
    <w:p>
      <w:pPr>
        <w:numPr>
          <w:ilvl w:val="0"/>
          <w:numId w:val="1267"/>
        </w:numPr>
        <w:pStyle w:val="Compact"/>
      </w:pPr>
      <w:r>
        <w:rPr>
          <w:bCs/>
          <w:b/>
        </w:rPr>
        <w:t xml:space="preserve">Pigmentveränderungen der Mundschleimhaut</w:t>
      </w:r>
      <w:r>
        <w:t xml:space="preserve"> </w:t>
      </w:r>
      <w:r>
        <w:t xml:space="preserve">sind beschrieben (de Baat 2020, PMID 32459219; die Übersicht vermischt allerdings Befunde zum zugelassenen Implantat mit solchen zu Graumarkt-Melanotan), ebenso ein Fall von scheinbarer Entfärbung bei gleichzeitiger Neurodermitis</w:t>
      </w:r>
      <w:r>
        <w:rPr>
          <w:rStyle w:val="FootnoteReference"/>
        </w:rPr>
        <w:footnoteReference w:id="2115"/>
      </w:r>
      <w:r>
        <w:t xml:space="preserve">.</w:t>
      </w:r>
    </w:p>
    <w:p>
      <w:pPr>
        <w:numPr>
          <w:ilvl w:val="0"/>
          <w:numId w:val="1267"/>
        </w:numPr>
        <w:pStyle w:val="Compact"/>
      </w:pPr>
      <w:r>
        <w:rPr>
          <w:bCs/>
          <w:b/>
        </w:rPr>
        <w:t xml:space="preserve">Keine Wirkung auf Vitamin D:</w:t>
      </w:r>
      <w:r>
        <w:t xml:space="preserve"> </w:t>
      </w:r>
      <w:r>
        <w:t xml:space="preserve">siehe oben</w:t>
      </w:r>
      <w:r>
        <w:rPr>
          <w:rStyle w:val="FootnoteReference"/>
        </w:rPr>
        <w:footnoteReference w:id="2116"/>
      </w:r>
      <w:r>
        <w:t xml:space="preserve">.</w:t>
      </w:r>
    </w:p>
    <w:bookmarkEnd w:id="2117"/>
    <w:bookmarkStart w:id="2120" w:name="offen-1"/>
    <w:p>
      <w:pPr>
        <w:pStyle w:val="Heading4"/>
      </w:pPr>
      <w:r>
        <w:t xml:space="preserve">Offen</w:t>
      </w:r>
    </w:p>
    <w:p>
      <w:pPr>
        <w:pStyle w:val="FirstParagraph"/>
      </w:pPr>
      <w:r>
        <w:t xml:space="preserve">Daten zu Schwangerschaft fehlen weitgehend; in der Praxis wird die Behandlung pausiert. Für Kinder und Jugendliche ist Afamelanotid nicht zugelassen</w:t>
      </w:r>
      <w:r>
        <w:rPr>
          <w:rStyle w:val="FootnoteReference"/>
        </w:rPr>
        <w:footnoteReference w:id="2118"/>
      </w:r>
      <w:r>
        <w:t xml:space="preserve">, obwohl EPP meist in der frühen Kindheit beginnt. Einzelne Behandlungen von Kindern außerhalb der Zulassung sind als Fallberichte veröffentlicht</w:t>
      </w:r>
      <w:r>
        <w:rPr>
          <w:rStyle w:val="FootnoteReference"/>
        </w:rPr>
        <w:footnoteReference w:id="2119"/>
      </w:r>
      <w:r>
        <w:t xml:space="preserve">. Ob die jahrzehntelange Stimulation der Pigmentzellen das Hautkrebsrisiko beeinflusst, lässt sich mit den bisherigen Beobachtungszeiträumen nicht abschließend sagen.</w:t>
      </w:r>
    </w:p>
    <w:bookmarkEnd w:id="2120"/>
    <w:bookmarkStart w:id="2122" w:name="abgrenzung-zum-graumarkt"/>
    <w:p>
      <w:pPr>
        <w:pStyle w:val="Heading4"/>
      </w:pPr>
      <w:r>
        <w:t xml:space="preserve">Abgrenzung zum Graumarkt</w:t>
      </w:r>
    </w:p>
    <w:p>
      <w:pPr>
        <w:pStyle w:val="FirstParagraph"/>
      </w:pPr>
      <w:r>
        <w:t xml:space="preserve">Im Internet wird „Melanotan I“ als Bräunungsmittel angeboten. Solche Produkte haben mit dem zugelassenen Implantat nur den Namen des Wirkstoffs gemeinsam: Sie werden als Pulver zur Selbstinjektion verkauft, Reinheit und Gehalt sind ungeprüft, und es gibt keine ärztliche Kontrolle der Haut. Die Sicherheitsdaten aus der EPP-Behandlung lassen sich darauf nicht übertragen</w:t>
      </w:r>
      <w:r>
        <w:rPr>
          <w:rStyle w:val="FootnoteReference"/>
        </w:rPr>
        <w:footnoteReference w:id="2121"/>
      </w:r>
      <w:r>
        <w:t xml:space="preserve">.</w:t>
      </w:r>
    </w:p>
    <w:bookmarkEnd w:id="2122"/>
    <w:bookmarkEnd w:id="2123"/>
    <w:bookmarkStart w:id="2127" w:name="rechtslage-48"/>
    <w:p>
      <w:pPr>
        <w:pStyle w:val="Heading3"/>
      </w:pPr>
      <w:r>
        <w:t xml:space="preserve">Rechtslage</w:t>
      </w:r>
    </w:p>
    <w:p>
      <w:pPr>
        <w:pStyle w:val="FirstParagraph"/>
      </w:pPr>
      <w:r>
        <w:rPr>
          <w:iCs/>
          <w:i/>
        </w:rPr>
        <w:t xml:space="preserve">Stand 2026, bitte aktuell prüfen.</w:t>
      </w:r>
    </w:p>
    <w:p>
      <w:pPr>
        <w:numPr>
          <w:ilvl w:val="0"/>
          <w:numId w:val="1268"/>
        </w:numPr>
        <w:pStyle w:val="Compact"/>
      </w:pPr>
      <w:r>
        <w:rPr>
          <w:bCs/>
          <w:b/>
        </w:rPr>
        <w:t xml:space="preserve">EU:</w:t>
      </w:r>
      <w:r>
        <w:t xml:space="preserve"> </w:t>
      </w:r>
      <w:r>
        <w:t xml:space="preserve">zentral zugelassen seit 2014 als Arzneimittel für seltene Leiden (Scenesse) für Erwachsene mit EPP. Die Behandlung erfolgt in spezialisierten Zentren; eine Sicherheitsstudie und ein europäisches Register sind Teil der Auflagen</w:t>
      </w:r>
      <w:r>
        <w:rPr>
          <w:rStyle w:val="FootnoteReference"/>
        </w:rPr>
        <w:footnoteReference w:id="2124"/>
      </w:r>
      <w:r>
        <w:t xml:space="preserve">.</w:t>
      </w:r>
    </w:p>
    <w:p>
      <w:pPr>
        <w:numPr>
          <w:ilvl w:val="0"/>
          <w:numId w:val="1268"/>
        </w:numPr>
        <w:pStyle w:val="Compact"/>
      </w:pPr>
      <w:r>
        <w:rPr>
          <w:bCs/>
          <w:b/>
        </w:rPr>
        <w:t xml:space="preserve">Deutschland und Österreich:</w:t>
      </w:r>
      <w:r>
        <w:t xml:space="preserve"> </w:t>
      </w:r>
      <w:r>
        <w:t xml:space="preserve">verfügbar über spezialisierte Porphyrie- und Hautkliniken; die Kostenübernahme ist im Einzelfall zu klären. Veröffentlichte Behandlungskohorten gibt es aus beiden Ländern</w:t>
      </w:r>
      <w:r>
        <w:rPr>
          <w:rStyle w:val="FootnoteReference"/>
        </w:rPr>
        <w:footnoteReference w:id="2125"/>
      </w:r>
      <w:r>
        <w:t xml:space="preserve">.</w:t>
      </w:r>
    </w:p>
    <w:p>
      <w:pPr>
        <w:numPr>
          <w:ilvl w:val="0"/>
          <w:numId w:val="1268"/>
        </w:numPr>
        <w:pStyle w:val="Compact"/>
      </w:pPr>
      <w:r>
        <w:rPr>
          <w:bCs/>
          <w:b/>
        </w:rPr>
        <w:t xml:space="preserve">USA:</w:t>
      </w:r>
      <w:r>
        <w:t xml:space="preserve"> </w:t>
      </w:r>
      <w:r>
        <w:t xml:space="preserve">zugelassen seit 2019 für Erwachsene mit EPP und Lichtreaktionen.</w:t>
      </w:r>
    </w:p>
    <w:p>
      <w:pPr>
        <w:numPr>
          <w:ilvl w:val="0"/>
          <w:numId w:val="1268"/>
        </w:numPr>
        <w:pStyle w:val="Compact"/>
      </w:pPr>
      <w:r>
        <w:rPr>
          <w:bCs/>
          <w:b/>
        </w:rPr>
        <w:t xml:space="preserve">Kosten:</w:t>
      </w:r>
      <w:r>
        <w:t xml:space="preserve"> </w:t>
      </w:r>
      <w:r>
        <w:t xml:space="preserve">Afamelanotid gehört zu den teuren Arzneimitteln für seltene Erkrankungen. In England lehnte die Bewertungsbehörde NICE die Finanzierung ab – als bislang einzige Therapie in ihrem Programm für sehr seltene Erkrankungen. Patientenvertreter kritisieren die dabei verwendete Berechnung</w:t>
      </w:r>
      <w:r>
        <w:rPr>
          <w:rStyle w:val="FootnoteReference"/>
        </w:rPr>
        <w:footnoteReference w:id="2126"/>
      </w:r>
      <w:r>
        <w:t xml:space="preserve">.</w:t>
      </w:r>
    </w:p>
    <w:p>
      <w:pPr>
        <w:numPr>
          <w:ilvl w:val="0"/>
          <w:numId w:val="1268"/>
        </w:numPr>
        <w:pStyle w:val="Compact"/>
      </w:pPr>
      <w:r>
        <w:rPr>
          <w:bCs/>
          <w:b/>
        </w:rPr>
        <w:t xml:space="preserve">WADA:</w:t>
      </w:r>
      <w:r>
        <w:t xml:space="preserve"> </w:t>
      </w:r>
      <w:r>
        <w:t xml:space="preserve">nicht gelistet.</w:t>
      </w:r>
    </w:p>
    <w:bookmarkEnd w:id="2127"/>
    <w:bookmarkStart w:id="2133" w:name="laufende-studien-und-ausblick-48"/>
    <w:p>
      <w:pPr>
        <w:pStyle w:val="Heading3"/>
      </w:pPr>
      <w:r>
        <w:t xml:space="preserve">Laufende Studien und Ausblick</w:t>
      </w:r>
    </w:p>
    <w:p>
      <w:pPr>
        <w:pStyle w:val="FirstParagraph"/>
      </w:pPr>
      <w:r>
        <w:rPr>
          <w:bCs/>
          <w:b/>
        </w:rPr>
        <w:t xml:space="preserve">Gesichert (registrierte Studien):</w:t>
      </w:r>
    </w:p>
    <w:p>
      <w:pPr>
        <w:numPr>
          <w:ilvl w:val="0"/>
          <w:numId w:val="1269"/>
        </w:numPr>
        <w:pStyle w:val="Compact"/>
      </w:pPr>
      <w:r>
        <w:rPr>
          <w:bCs/>
          <w:b/>
        </w:rPr>
        <w:t xml:space="preserve">Vitiligo, Phase 3:</w:t>
      </w:r>
      <w:r>
        <w:t xml:space="preserve"> </w:t>
      </w:r>
      <w:r>
        <w:t xml:space="preserve">Eine Studie mit 200 Personen vergleicht Afamelanotid plus Schmalband-UVB mit Lichttherapie allein</w:t>
      </w:r>
      <w:r>
        <w:rPr>
          <w:rStyle w:val="FootnoteReference"/>
        </w:rPr>
        <w:footnoteReference w:id="2128"/>
      </w:r>
      <w:r>
        <w:t xml:space="preserve">. Das geplante Ende lag im Juni 2026; begutachtete Ergebnisse waren bei Redaktionsschluss nicht in PubMed veröffentlicht. Eine kleine Studie zu Vitiligo im Gesicht</w:t>
      </w:r>
      <w:r>
        <w:rPr>
          <w:rStyle w:val="FootnoteReference"/>
        </w:rPr>
        <w:footnoteReference w:id="2129"/>
      </w:r>
      <w:r>
        <w:t xml:space="preserve"> </w:t>
      </w:r>
      <w:r>
        <w:t xml:space="preserve">ist registriert.</w:t>
      </w:r>
    </w:p>
    <w:p>
      <w:pPr>
        <w:numPr>
          <w:ilvl w:val="0"/>
          <w:numId w:val="1269"/>
        </w:numPr>
        <w:pStyle w:val="Compact"/>
      </w:pPr>
      <w:r>
        <w:rPr>
          <w:bCs/>
          <w:b/>
        </w:rPr>
        <w:t xml:space="preserve">Weitere seltene Lichtkrankheiten:</w:t>
      </w:r>
      <w:r>
        <w:t xml:space="preserve"> </w:t>
      </w:r>
      <w:r>
        <w:t xml:space="preserve">Kleine Phase-2-Studien zur Porphyria variegata (NCT05854784, abgeschlossen) und zur Xeroderma pigmentosum, einer Erbkrankheit mit gestörter Reparatur von UV-Schäden</w:t>
      </w:r>
      <w:r>
        <w:rPr>
          <w:rStyle w:val="FootnoteReference"/>
        </w:rPr>
        <w:footnoteReference w:id="2130"/>
      </w:r>
      <w:r>
        <w:t xml:space="preserve">.</w:t>
      </w:r>
    </w:p>
    <w:p>
      <w:pPr>
        <w:numPr>
          <w:ilvl w:val="0"/>
          <w:numId w:val="1269"/>
        </w:numPr>
        <w:pStyle w:val="Compact"/>
      </w:pPr>
      <w:r>
        <w:rPr>
          <w:bCs/>
          <w:b/>
        </w:rPr>
        <w:t xml:space="preserve">Pharmakologie:</w:t>
      </w:r>
      <w:r>
        <w:t xml:space="preserve"> </w:t>
      </w:r>
      <w:r>
        <w:t xml:space="preserve">Eine Studie zur Pharmakokinetik bei EPP mit 28 Personen ist abgeschlossen</w:t>
      </w:r>
      <w:r>
        <w:rPr>
          <w:rStyle w:val="FootnoteReference"/>
        </w:rPr>
        <w:footnoteReference w:id="2131"/>
      </w:r>
      <w:r>
        <w:t xml:space="preserve">.</w:t>
      </w:r>
    </w:p>
    <w:p>
      <w:pPr>
        <w:pStyle w:val="FirstParagraph"/>
      </w:pPr>
      <w:r>
        <w:rPr>
          <w:bCs/>
          <w:b/>
        </w:rPr>
        <w:t xml:space="preserve">Neue Konkurrenz:</w:t>
      </w:r>
      <w:r>
        <w:t xml:space="preserve"> </w:t>
      </w:r>
      <w:r>
        <w:t xml:space="preserve">Für EPP werden zwei Tabletten entwickelt: Dersimelagon, ein nicht-peptidischer MC1R-Agonist, und Bitopertin, das an der Bildung des roten Blutfarbstoffs ansetzt. Beide zeigten in Studien Wirkungen gegenüber Placebo; Vergleiche mit Afamelanotid fehlen noch</w:t>
      </w:r>
      <w:r>
        <w:rPr>
          <w:rStyle w:val="FootnoteReference"/>
        </w:rPr>
        <w:footnoteReference w:id="2132"/>
      </w:r>
      <w:r>
        <w:t xml:space="preserve">.</w:t>
      </w:r>
    </w:p>
    <w:p>
      <w:pPr>
        <w:pStyle w:val="BodyText"/>
      </w:pPr>
      <w:r>
        <w:rPr>
          <w:bCs/>
          <w:b/>
        </w:rPr>
        <w:t xml:space="preserve">Einschätzung des Autors:</w:t>
      </w:r>
      <w:r>
        <w:t xml:space="preserve"> </w:t>
      </w:r>
      <w:r>
        <w:t xml:space="preserve">Afamelanotid wird für EPP vorerst die Referenz bleiben. Ob es bei Vitiligo eine Rolle spielt, hängt vom Ergebnis der Phase-3-Studie ab; die Kombination mit Lichttherapie ist aufwendig, und mit den JAK-Hemmer-Cremes gibt es inzwischen andere Optionen. Eine Zulassung für Jugendliche wäre für EPP besonders wichtig, weil die Erkrankung in der Kindheit beginnt.</w:t>
      </w:r>
    </w:p>
    <w:bookmarkEnd w:id="2133"/>
    <w:bookmarkStart w:id="2134" w:name="fazit-48"/>
    <w:p>
      <w:pPr>
        <w:pStyle w:val="Heading3"/>
      </w:pPr>
      <w:r>
        <w:t xml:space="preserve">Fazit</w:t>
      </w:r>
    </w:p>
    <w:p>
      <w:pPr>
        <w:pStyle w:val="FirstParagraph"/>
      </w:pPr>
      <w:r>
        <w:t xml:space="preserve">Afamelanotid ist das am besten untersuchte und das einzige in der EU zugelassene Peptid, das die Hautbräunung über das Melanocortin-System anregt. Bei Erwachsenen mit erythropoetischer Protoporphyrie verlängerte es in zwei randomisierten Studien die schmerzfreie Zeit im Sonnenlicht und verbesserte die Lebensqualität; Langzeitkohorten aus mehreren Ländern zeigen hohe Fortsetzungsraten bei überwiegend leichten Nebenwirkungen. Bei Vitiligo beschleunigte es in einer randomisierten Studie die Wiederpigmentierung unter Lichttherapie; die Phase-3-Ergebnisse stehen aus. Mit Graumarkt-„Melanotan I“ zur kosmetischen Bräunung hat das kontrollierte Implantat in der Spezialambulanz praktisch nichts gemein.</w:t>
      </w:r>
    </w:p>
    <w:bookmarkEnd w:id="2134"/>
    <w:bookmarkEnd w:id="2135"/>
    <w:bookmarkStart w:id="2194" w:name="kisspeptin"/>
    <w:p>
      <w:pPr>
        <w:pStyle w:val="Heading2"/>
      </w:pPr>
      <w:r>
        <w:t xml:space="preserve">Kisspeptin</w:t>
      </w:r>
    </w:p>
    <w:bookmarkStart w:id="2138" w:name="steckbrief-49"/>
    <w:p>
      <w:pPr>
        <w:pStyle w:val="Heading3"/>
      </w:pPr>
      <w:r>
        <w:t xml:space="preserve">Steckbrief</w:t>
      </w:r>
    </w:p>
    <w:p>
      <w:pPr>
        <w:numPr>
          <w:ilvl w:val="0"/>
          <w:numId w:val="1270"/>
        </w:numPr>
        <w:pStyle w:val="Compact"/>
      </w:pPr>
      <w:r>
        <w:rPr>
          <w:bCs/>
          <w:b/>
        </w:rPr>
        <w:t xml:space="preserve">Art/Struktur:</w:t>
      </w:r>
      <w:r>
        <w:t xml:space="preserve"> </w:t>
      </w:r>
      <w:r>
        <w:t xml:space="preserve">körpereigene Peptid-Familie. Das Gen KISS1 liefert ein Vorläufereiweiß, aus dem unterschiedlich lange Stücke entstehen: Kisspeptin-54 (54 Aminosäuren, die im Blut vorherrschende Form), Kisspeptin-14, -13 und -10. Die kürzeste Form, Kisspeptin-10, enthält bereits den vollständig wirksamen Teil. In Studien werden die natürlichen Formen sowie synthetische, stabilere Abwandlungen (etwa MVT-602 und TAK-448) eingesetzt.</w:t>
      </w:r>
    </w:p>
    <w:p>
      <w:pPr>
        <w:numPr>
          <w:ilvl w:val="0"/>
          <w:numId w:val="1270"/>
        </w:numPr>
        <w:pStyle w:val="Compact"/>
      </w:pPr>
      <w:r>
        <w:rPr>
          <w:bCs/>
          <w:b/>
        </w:rPr>
        <w:t xml:space="preserve">Herkunft:</w:t>
      </w:r>
      <w:r>
        <w:t xml:space="preserve"> </w:t>
      </w:r>
      <w:r>
        <w:t xml:space="preserve">1996 zunächst als Gen entdeckt, das die Metastasenbildung von Melanomzellen bremst</w:t>
      </w:r>
      <w:r>
        <w:rPr>
          <w:rStyle w:val="FootnoteReference"/>
        </w:rPr>
        <w:footnoteReference w:id="2136"/>
      </w:r>
      <w:r>
        <w:t xml:space="preserve">. Der Name geht auf die Stadt Hershey in Pennsylvania zurück, Heimat der Schokoladensorte „Kisses“. 2001 wurde das Peptid als Botenstoff eines bis dahin „verwaisten“ Rezeptors identifiziert und zunächst Metastin genannt</w:t>
      </w:r>
      <w:r>
        <w:rPr>
          <w:rStyle w:val="FootnoteReference"/>
        </w:rPr>
        <w:footnoteReference w:id="2137"/>
      </w:r>
      <w:r>
        <w:t xml:space="preserve">.</w:t>
      </w:r>
    </w:p>
    <w:p>
      <w:pPr>
        <w:numPr>
          <w:ilvl w:val="0"/>
          <w:numId w:val="1270"/>
        </w:numPr>
        <w:pStyle w:val="Compact"/>
      </w:pPr>
      <w:r>
        <w:rPr>
          <w:bCs/>
          <w:b/>
        </w:rPr>
        <w:t xml:space="preserve">Wirkprinzip:</w:t>
      </w:r>
      <w:r>
        <w:t xml:space="preserve"> </w:t>
      </w:r>
      <w:r>
        <w:t xml:space="preserve">Agonist am Kisspeptin-Rezeptor (KISS1R, früher GPR54) auf den GnRH-Nervenzellen im Hypothalamus. Kisspeptin ist der wichtigste bekannte Auslöser für die Freisetzung von GnRH und damit für die gesamte Hormonachse der Fortpflanzung.</w:t>
      </w:r>
    </w:p>
    <w:p>
      <w:pPr>
        <w:numPr>
          <w:ilvl w:val="0"/>
          <w:numId w:val="1270"/>
        </w:numPr>
        <w:pStyle w:val="Compact"/>
      </w:pPr>
      <w:r>
        <w:rPr>
          <w:bCs/>
          <w:b/>
        </w:rPr>
        <w:t xml:space="preserve">Zulassung EU:</w:t>
      </w:r>
      <w:r>
        <w:t xml:space="preserve"> </w:t>
      </w:r>
      <w:r>
        <w:t xml:space="preserve">nein.</w:t>
      </w:r>
    </w:p>
    <w:p>
      <w:pPr>
        <w:numPr>
          <w:ilvl w:val="0"/>
          <w:numId w:val="1270"/>
        </w:numPr>
        <w:pStyle w:val="Compact"/>
      </w:pPr>
      <w:r>
        <w:rPr>
          <w:bCs/>
          <w:b/>
        </w:rPr>
        <w:t xml:space="preserve">Zulassung USA:</w:t>
      </w:r>
      <w:r>
        <w:t xml:space="preserve"> </w:t>
      </w:r>
      <w:r>
        <w:t xml:space="preserve">nein.</w:t>
      </w:r>
    </w:p>
    <w:p>
      <w:pPr>
        <w:numPr>
          <w:ilvl w:val="0"/>
          <w:numId w:val="1270"/>
        </w:numPr>
        <w:pStyle w:val="Compact"/>
      </w:pPr>
      <w:r>
        <w:rPr>
          <w:bCs/>
          <w:b/>
        </w:rPr>
        <w:t xml:space="preserve">WADA:</w:t>
      </w:r>
      <w:r>
        <w:t xml:space="preserve"> </w:t>
      </w:r>
      <w:r>
        <w:t xml:space="preserve">nicht namentlich genannt. Als nicht zugelassener Wirkstoff fällt Kisspeptin unter S0; bei Männern erfasst zudem die Gruppe S2 Freisetzungsfaktoren des luteinisierenden Hormons.</w:t>
      </w:r>
    </w:p>
    <w:p>
      <w:pPr>
        <w:numPr>
          <w:ilvl w:val="0"/>
          <w:numId w:val="1270"/>
        </w:numPr>
        <w:pStyle w:val="Compact"/>
      </w:pPr>
      <w:r>
        <w:rPr>
          <w:bCs/>
          <w:b/>
        </w:rPr>
        <w:t xml:space="preserve">Evidenzstufe:</w:t>
      </w:r>
      <w:r>
        <w:t xml:space="preserve"> </w:t>
      </w:r>
      <w:r>
        <w:rPr>
          <w:bCs/>
          <w:b/>
        </w:rPr>
        <w:t xml:space="preserve">B</w:t>
      </w:r>
      <w:r>
        <w:t xml:space="preserve"> </w:t>
      </w:r>
      <w:r>
        <w:t xml:space="preserve">– zahlreiche kleine, teils randomisierte Studien und mehrere randomisierte Phase-2-Studien, vor allem aus London und Boston. Keine Phase-3-Studie, keine Zulassung.</w:t>
      </w:r>
    </w:p>
    <w:bookmarkEnd w:id="2138"/>
    <w:bookmarkStart w:id="2140" w:name="wie-es-wirken-soll-49"/>
    <w:p>
      <w:pPr>
        <w:pStyle w:val="Heading3"/>
      </w:pPr>
      <w:r>
        <w:t xml:space="preserve">Wie es wirken soll</w:t>
      </w:r>
    </w:p>
    <w:p>
      <w:pPr>
        <w:pStyle w:val="FirstParagraph"/>
      </w:pPr>
      <w:r>
        <w:t xml:space="preserve">Die Fortpflanzung des Menschen wird von einer Kette aus Hormonen gesteuert. Ganz oben steht das Hormon GnRH (Gonadotropin-Releasing-Hormon) aus dem Hypothalamus, das in Pulsen ausgeschüttet wird. Es veranlasst die Hirnanhangdrüse, die Hormone LH (luteinisierendes Hormon) und FSH (follikelstimulierendes Hormon) freizusetzen. Diese steuern wiederum Eierstöcke und Hoden: Eizellreifung und Eisprung, Spermienbildung, Östrogen- und Testosteronproduktion. Das Kapitel zu Gonadorelin (2E06) beschreibt diese Achse näher.</w:t>
      </w:r>
    </w:p>
    <w:p>
      <w:pPr>
        <w:pStyle w:val="BodyText"/>
      </w:pPr>
      <w:r>
        <w:t xml:space="preserve">Kisspeptin sitzt eine Stufe über GnRH. Spezielle Nervenzellen im Hypothalamus schütten es aus und „schalten“ damit die GnRH-Zellen an. Wie zentral diese Funktion ist, zeigte sich 2003: Menschen mit defektem Kisspeptin-Rezeptor kommen nicht in die Pubertät und bleiben unfruchtbar</w:t>
      </w:r>
      <w:r>
        <w:rPr>
          <w:rStyle w:val="FootnoteReference"/>
        </w:rPr>
        <w:footnoteReference w:id="2139"/>
      </w:r>
      <w:r>
        <w:t xml:space="preserve">.</w:t>
      </w:r>
    </w:p>
    <w:p>
      <w:pPr>
        <w:pStyle w:val="BodyText"/>
      </w:pPr>
      <w:r>
        <w:t xml:space="preserve">Für die Medizin ist Kisspeptin aus zwei Gründen interessant:</w:t>
      </w:r>
    </w:p>
    <w:p>
      <w:pPr>
        <w:numPr>
          <w:ilvl w:val="0"/>
          <w:numId w:val="1271"/>
        </w:numPr>
        <w:pStyle w:val="Compact"/>
      </w:pPr>
      <w:r>
        <w:rPr>
          <w:bCs/>
          <w:b/>
        </w:rPr>
        <w:t xml:space="preserve">Es wirkt „von oben“.</w:t>
      </w:r>
      <w:r>
        <w:t xml:space="preserve"> </w:t>
      </w:r>
      <w:r>
        <w:t xml:space="preserve">Anders als Medikamente, die direkt LH oder FSH ersetzen, regt Kisspeptin die körpereigene GnRH-Ausschüttung an. Die anschließende Hormonfreisetzung bleibt den natürlichen Rückkopplungen unterworfen. Das macht eine Überstimulation der Eierstöcke unwahrscheinlicher.</w:t>
      </w:r>
    </w:p>
    <w:p>
      <w:pPr>
        <w:numPr>
          <w:ilvl w:val="0"/>
          <w:numId w:val="1271"/>
        </w:numPr>
        <w:pStyle w:val="Compact"/>
      </w:pPr>
      <w:r>
        <w:rPr>
          <w:bCs/>
          <w:b/>
        </w:rPr>
        <w:t xml:space="preserve">Kurz wirkt es anregend, dauerhaft bremsend.</w:t>
      </w:r>
      <w:r>
        <w:t xml:space="preserve"> </w:t>
      </w:r>
      <w:r>
        <w:t xml:space="preserve">Bei ununterbrochener Gabe gewöhnen sich die Rezeptoren an das Signal (Tachyphylaxie), und die Hormonachse fährt herunter. Das ist ein Problem, wenn man die Fruchtbarkeit fördern will – und eine Chance, wenn man Hormone senken will, etwa bei Prostatakrebs.</w:t>
      </w:r>
    </w:p>
    <w:p>
      <w:pPr>
        <w:pStyle w:val="FirstParagraph"/>
      </w:pPr>
      <w:r>
        <w:t xml:space="preserve">Kisspeptin-Rezeptoren finden sich auch in Hirnregionen, die Emotionen und sexuelle Reize verarbeiten. Daraus entstand die Idee, Kisspeptin könnte das sexuelle Verlangen beeinflussen.</w:t>
      </w:r>
    </w:p>
    <w:bookmarkEnd w:id="2140"/>
    <w:bookmarkStart w:id="2175" w:name="studien-am-menschen-4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37</w:t>
      </w:r>
      <w:r>
        <w:t xml:space="preserve"> </w:t>
      </w:r>
      <w:r>
        <w:t xml:space="preserve">Humanstudien in PubMed (</w:t>
      </w:r>
      <w:r>
        <w:rPr>
          <w:rStyle w:val="VerbatimChar"/>
        </w:rPr>
        <w:t xml:space="preserve">humanstudien_alle</w:t>
      </w:r>
      <w:r>
        <w:t xml:space="preserve">) und</w:t>
      </w:r>
      <w:r>
        <w:t xml:space="preserve"> </w:t>
      </w:r>
      <w:r>
        <w:rPr>
          <w:bCs/>
          <w:b/>
        </w:rPr>
        <w:t xml:space="preserve">36</w:t>
      </w:r>
      <w:r>
        <w:t xml:space="preserve"> </w:t>
      </w:r>
      <w:r>
        <w:t xml:space="preserve">Einträge bei ClinicalTrials.gov. Nicht alle davon geben Kisspeptin als Wirkstoff: Einige Studien messen nur Kisspeptin-Spiegel im Blut, etwa in der Schwangerschaft. Die Gabe von Kisspeptin am Menschen wurde von wenigen Arbeitsgruppen vorangetrieben, vor allem am Imperial College London und am Massachusetts General Hospital in Boston. Die meisten Studien haben weniger als 50 Teilnehmende.</w:t>
      </w:r>
    </w:p>
    <w:bookmarkStart w:id="2145" w:name="erste-gaben-und-grundlagen"/>
    <w:p>
      <w:pPr>
        <w:pStyle w:val="Heading4"/>
      </w:pPr>
      <w:r>
        <w:t xml:space="preserve">Erste Gaben und Grundlagen</w:t>
      </w:r>
    </w:p>
    <w:p>
      <w:pPr>
        <w:pStyle w:val="FirstParagraph"/>
      </w:pPr>
      <w:r>
        <w:t xml:space="preserve">Die erste Studie am Menschen erhielt 2005 sechs gesunde Männer. Eine 90-minütige Infusion von Kisspeptin-54 erhöhte LH, FSH und Testosteron signifikant gegenüber Kochsalz</w:t>
      </w:r>
      <w:r>
        <w:rPr>
          <w:rStyle w:val="FootnoteReference"/>
        </w:rPr>
        <w:footnoteReference w:id="2141"/>
      </w:r>
      <w:r>
        <w:t xml:space="preserve">. Die Halbwertszeit im Blut lag bei knapp 28 Minuten. Bei Frauen hängt die Wirkung stark von der Zyklusphase ab und ist kurz vor dem Eisprung am stärksten</w:t>
      </w:r>
      <w:r>
        <w:rPr>
          <w:rStyle w:val="FootnoteReference"/>
        </w:rPr>
        <w:footnoteReference w:id="2142"/>
      </w:r>
      <w:r>
        <w:t xml:space="preserve">.</w:t>
      </w:r>
    </w:p>
    <w:p>
      <w:pPr>
        <w:pStyle w:val="BodyText"/>
      </w:pPr>
      <w:r>
        <w:t xml:space="preserve">Kisspeptin-10 löste bei gesunden Männern rasch einen dosisabhängigen LH-Anstieg aus und erhöhte bei Dauerinfusion die Frequenz der LH-Pulse</w:t>
      </w:r>
      <w:r>
        <w:rPr>
          <w:rStyle w:val="FootnoteReference"/>
        </w:rPr>
        <w:footnoteReference w:id="2143"/>
      </w:r>
      <w:r>
        <w:t xml:space="preserve">. Kinder mit verzögerter Pubertät reagierten sehr unterschiedlich: Einige hatten eine deutliche Antwort, andere keine</w:t>
      </w:r>
      <w:r>
        <w:rPr>
          <w:rStyle w:val="FootnoteReference"/>
        </w:rPr>
        <w:footnoteReference w:id="2144"/>
      </w:r>
      <w:r>
        <w:t xml:space="preserve">. Das könnte künftig helfen, eine bloß verspätete Pubertät von einem dauerhaften Hormonmangel zu unterscheiden.</w:t>
      </w:r>
    </w:p>
    <w:bookmarkEnd w:id="2145"/>
    <w:bookmarkStart w:id="2152" w:name="kinderwunschbehandlung-eizellreifung"/>
    <w:p>
      <w:pPr>
        <w:pStyle w:val="Heading4"/>
      </w:pPr>
      <w:r>
        <w:t xml:space="preserve">Kinderwunschbehandlung: Eizellreifung</w:t>
      </w:r>
    </w:p>
    <w:p>
      <w:pPr>
        <w:pStyle w:val="FirstParagraph"/>
      </w:pPr>
      <w:r>
        <w:t xml:space="preserve">Die bisher am weitesten entwickelte Anwendung ist die Auslösung der Eizellreifung bei der künstlichen Befruchtung (IVF). Normalerweise wird dafür das Hormon hCG gespritzt. hCG wirkt lange und kann bei empfindlichen Frauen ein ovarielles Überstimulationssyndrom (OHSS) auslösen – eine Flüssigkeitsverschiebung, die im Extremfall lebensgefährlich ist. Kisspeptin löst stattdessen eine körpereigene, kürzere LH-Welle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Jayasena 2014, PMID 25036713</w:t>
            </w:r>
          </w:p>
        </w:tc>
        <w:tc>
          <w:tcPr/>
          <w:p>
            <w:pPr>
              <w:pStyle w:val="Compact"/>
              <w:jc w:val="left"/>
            </w:pPr>
            <w:r>
              <w:t xml:space="preserve">53 Frauen in IVF-Behandlung, Dosisstudie ohne Kontrollgruppe</w:t>
            </w:r>
          </w:p>
        </w:tc>
        <w:tc>
          <w:tcPr/>
          <w:p>
            <w:pPr>
              <w:pStyle w:val="Compact"/>
              <w:jc w:val="left"/>
            </w:pPr>
            <w:r>
              <w:t xml:space="preserve">ein Zyklus</w:t>
            </w:r>
          </w:p>
        </w:tc>
        <w:tc>
          <w:tcPr/>
          <w:p>
            <w:pPr>
              <w:pStyle w:val="Compact"/>
              <w:jc w:val="left"/>
            </w:pPr>
            <w:r>
              <w:t xml:space="preserve">Eizellreifung bei allen Dosen; klinische Schwangerschaft 23 %</w:t>
            </w:r>
          </w:p>
        </w:tc>
      </w:tr>
      <w:tr>
        <w:tc>
          <w:tcPr/>
          <w:p>
            <w:pPr>
              <w:pStyle w:val="Compact"/>
              <w:jc w:val="left"/>
            </w:pPr>
            <w:r>
              <w:t xml:space="preserve">Abbara 2015, PMID 26192876</w:t>
            </w:r>
          </w:p>
        </w:tc>
        <w:tc>
          <w:tcPr/>
          <w:p>
            <w:pPr>
              <w:pStyle w:val="Compact"/>
              <w:jc w:val="left"/>
            </w:pPr>
            <w:r>
              <w:t xml:space="preserve">60 Frauen mit hohem OHSS-Risiko, randomisierte Dosisstudie</w:t>
            </w:r>
          </w:p>
        </w:tc>
        <w:tc>
          <w:tcPr/>
          <w:p>
            <w:pPr>
              <w:pStyle w:val="Compact"/>
              <w:jc w:val="left"/>
            </w:pPr>
            <w:r>
              <w:t xml:space="preserve">ein Zyklus</w:t>
            </w:r>
          </w:p>
        </w:tc>
        <w:tc>
          <w:tcPr/>
          <w:p>
            <w:pPr>
              <w:pStyle w:val="Compact"/>
              <w:jc w:val="left"/>
            </w:pPr>
            <w:r>
              <w:t xml:space="preserve">Eizellreifung bei 95 %; Lebendgeburt 45 % pro Transfer; kein mittelschweres oder schweres OHSS</w:t>
            </w:r>
          </w:p>
        </w:tc>
      </w:tr>
      <w:tr>
        <w:tc>
          <w:tcPr/>
          <w:p>
            <w:pPr>
              <w:pStyle w:val="Compact"/>
              <w:jc w:val="left"/>
            </w:pPr>
            <w:r>
              <w:t xml:space="preserve">Abbara 2017, PMID 28854728</w:t>
            </w:r>
          </w:p>
        </w:tc>
        <w:tc>
          <w:tcPr/>
          <w:p>
            <w:pPr>
              <w:pStyle w:val="Compact"/>
              <w:jc w:val="left"/>
            </w:pPr>
            <w:r>
              <w:t xml:space="preserve">62 Frauen mit hohem OHSS-Risiko, RCT: zweite Dosis vs. Kochsalz</w:t>
            </w:r>
          </w:p>
        </w:tc>
        <w:tc>
          <w:tcPr/>
          <w:p>
            <w:pPr>
              <w:pStyle w:val="Compact"/>
              <w:jc w:val="left"/>
            </w:pPr>
            <w:r>
              <w:t xml:space="preserve">ein Zyklus</w:t>
            </w:r>
          </w:p>
        </w:tc>
        <w:tc>
          <w:tcPr/>
          <w:p>
            <w:pPr>
              <w:pStyle w:val="Compact"/>
              <w:jc w:val="left"/>
            </w:pPr>
            <w:r>
              <w:t xml:space="preserve">ausreichende Eizellausbeute bei 71 % vs. 45 %</w:t>
            </w:r>
          </w:p>
        </w:tc>
      </w:tr>
      <w:tr>
        <w:tc>
          <w:tcPr/>
          <w:p>
            <w:pPr>
              <w:pStyle w:val="Compact"/>
              <w:jc w:val="left"/>
            </w:pPr>
            <w:r>
              <w:t xml:space="preserve">Abbara 2024, PMID 37925096</w:t>
            </w:r>
          </w:p>
        </w:tc>
        <w:tc>
          <w:tcPr/>
          <w:p>
            <w:pPr>
              <w:pStyle w:val="Compact"/>
              <w:jc w:val="left"/>
            </w:pPr>
            <w:r>
              <w:t xml:space="preserve">24 bzw. 75 gesunde Frauen, zwei RCTs mit dem Analogon MVT-602</w:t>
            </w:r>
          </w:p>
        </w:tc>
        <w:tc>
          <w:tcPr/>
          <w:p>
            <w:pPr>
              <w:pStyle w:val="Compact"/>
              <w:jc w:val="left"/>
            </w:pPr>
            <w:r>
              <w:t xml:space="preserve">Einzelgabe</w:t>
            </w:r>
          </w:p>
        </w:tc>
        <w:tc>
          <w:tcPr/>
          <w:p>
            <w:pPr>
              <w:pStyle w:val="Compact"/>
              <w:jc w:val="left"/>
            </w:pPr>
            <w:r>
              <w:t xml:space="preserve">LH-Anstieg ähnlich der natürlichen Zyklusmitte; Eisprung innerhalb von 5 Tagen bei bis zu 100 %</w:t>
            </w:r>
          </w:p>
        </w:tc>
      </w:tr>
    </w:tbl>
    <w:p>
      <w:pPr>
        <w:pStyle w:val="BodyText"/>
      </w:pPr>
      <w:r>
        <w:t xml:space="preserve">In der ersten Studie</w:t>
      </w:r>
      <w:r>
        <w:rPr>
          <w:rStyle w:val="FootnoteReference"/>
        </w:rPr>
        <w:footnoteReference w:id="2146"/>
      </w:r>
      <w:r>
        <w:t xml:space="preserve"> </w:t>
      </w:r>
      <w:r>
        <w:t xml:space="preserve">erhielten 53 Frauen eine einzelne Kisspeptin-Spritze. Bei allen getesteten Dosen reiften Eizellen; bei 49 Frauen wurden Embryonen übertragen, zwölf wurden klinisch schwanger. Damit war erstmals gezeigt, dass nach einer Kisspeptin-gesteuerten Eizellreifung eine Schwangerschaft möglich ist.</w:t>
      </w:r>
    </w:p>
    <w:p>
      <w:pPr>
        <w:pStyle w:val="BodyText"/>
      </w:pPr>
      <w:r>
        <w:t xml:space="preserve">Die Folgestudie konzentrierte sich auf Frauen mit hohem Risiko für eine Überstimulation</w:t>
      </w:r>
      <w:r>
        <w:rPr>
          <w:rStyle w:val="FootnoteReference"/>
        </w:rPr>
        <w:footnoteReference w:id="2147"/>
      </w:r>
      <w:r>
        <w:t xml:space="preserve">. Keine der 60 Frauen entwickelte ein mittelschweres oder schweres OHSS; die Lebendgeburtenrate pro Embryotransfer betrug 45 %. Eine zweite Kisspeptin-Dosis zehn Stunden nach der ersten verbesserte die Ausbeute reifer Eizellen</w:t>
      </w:r>
      <w:r>
        <w:rPr>
          <w:rStyle w:val="FootnoteReference"/>
        </w:rPr>
        <w:footnoteReference w:id="2148"/>
      </w:r>
      <w:r>
        <w:t xml:space="preserve">.</w:t>
      </w:r>
    </w:p>
    <w:p>
      <w:pPr>
        <w:pStyle w:val="BodyText"/>
      </w:pPr>
      <w:r>
        <w:rPr>
          <w:bCs/>
          <w:b/>
        </w:rPr>
        <w:t xml:space="preserve">Einordnung:</w:t>
      </w:r>
      <w:r>
        <w:t xml:space="preserve"> </w:t>
      </w:r>
      <w:r>
        <w:t xml:space="preserve">Diese Studien zeigen, dass das Prinzip funktioniert. Sie waren aber nicht darauf angelegt, Kisspeptin direkt mit den etablierten Alternativen zu vergleichen – neben hCG gibt es für Hochrisikopatientinnen bereits die Auslösung mit einem GnRH-Agonisten. Die Autorinnen und Autoren selbst fordern solche Vergleichsstudien</w:t>
      </w:r>
      <w:r>
        <w:rPr>
          <w:rStyle w:val="FootnoteReference"/>
        </w:rPr>
        <w:footnoteReference w:id="2149"/>
      </w:r>
      <w:r>
        <w:t xml:space="preserve">.</w:t>
      </w:r>
    </w:p>
    <w:p>
      <w:pPr>
        <w:pStyle w:val="BodyText"/>
      </w:pPr>
      <w:r>
        <w:t xml:space="preserve">Das synthetische Analogon MVT-602 wirkt deutlich länger als natürliches Kisspeptin: Der LH-Gipfel kam bei gesunden Frauen nach rund 21 statt 5 Stunden, die Gesamtmenge an ausgeschüttetem LH war etwa viermal so groß</w:t>
      </w:r>
      <w:r>
        <w:rPr>
          <w:rStyle w:val="FootnoteReference"/>
        </w:rPr>
        <w:footnoteReference w:id="2150"/>
      </w:r>
      <w:r>
        <w:t xml:space="preserve">. In zwei randomisierten Studien mit insgesamt 99 Frauen war MVT-602 gut verträglich und löste in der zweiten Studie innerhalb von fünf Tagen einen Eisprung aus, je nach Dosis bei 75 bis 100 % der Frauen – allerdings auch bei 60 % unter Placebo, weil die Teilnehmerinnen gesund waren</w:t>
      </w:r>
      <w:r>
        <w:rPr>
          <w:rStyle w:val="FootnoteReference"/>
        </w:rPr>
        <w:footnoteReference w:id="2151"/>
      </w:r>
      <w:r>
        <w:t xml:space="preserve">.</w:t>
      </w:r>
    </w:p>
    <w:bookmarkEnd w:id="2152"/>
    <w:bookmarkStart w:id="2158" w:name="ausbleibende-regelblutung-und-pcos"/>
    <w:p>
      <w:pPr>
        <w:pStyle w:val="Heading4"/>
      </w:pPr>
      <w:r>
        <w:t xml:space="preserve">Ausbleibende Regelblutung und PCOS</w:t>
      </w:r>
    </w:p>
    <w:p>
      <w:pPr>
        <w:pStyle w:val="FirstParagraph"/>
      </w:pPr>
      <w:r>
        <w:t xml:space="preserve">Bei der hypothalamischen Amenorrhö bleibt die Regel aus, weil das Gehirn – oft durch Untergewicht, intensiven Sport oder Stress – zu wenig GnRH ausschüttet. Eine einzelne Kisspeptin-Spritze erhöhte bei betroffenen Frauen LH und FSH kräftig. Bei zweimal täglicher Gabe über zwei Wochen war die Wirkung jedoch fast verschwunden</w:t>
      </w:r>
      <w:r>
        <w:rPr>
          <w:rStyle w:val="FootnoteReference"/>
        </w:rPr>
        <w:footnoteReference w:id="2153"/>
      </w:r>
      <w:r>
        <w:t xml:space="preserve">. Zweimal wöchentliche Gaben führten nur zu teilweiser Gewöhnung</w:t>
      </w:r>
      <w:r>
        <w:rPr>
          <w:rStyle w:val="FootnoteReference"/>
        </w:rPr>
        <w:footnoteReference w:id="2154"/>
      </w:r>
      <w:r>
        <w:t xml:space="preserve">, und eine Dauerinfusion verdreifachte vorübergehend die Zahl der LH-Pulse</w:t>
      </w:r>
      <w:r>
        <w:rPr>
          <w:rStyle w:val="FootnoteReference"/>
        </w:rPr>
        <w:footnoteReference w:id="2155"/>
      </w:r>
      <w:r>
        <w:t xml:space="preserve">. Bei Menschen mit genetischem Defekt im Neurokinin-B-System stellte eine Kisspeptin-Infusion die pulsatile Hormonausschüttung wieder her</w:t>
      </w:r>
      <w:r>
        <w:rPr>
          <w:rStyle w:val="FootnoteReference"/>
        </w:rPr>
        <w:footnoteReference w:id="2156"/>
      </w:r>
      <w:r>
        <w:t xml:space="preserve">.</w:t>
      </w:r>
    </w:p>
    <w:p>
      <w:pPr>
        <w:pStyle w:val="BodyText"/>
      </w:pPr>
      <w:r>
        <w:t xml:space="preserve">Beim polyzystischen Ovarsyndrom (PCOS) ist die Lage komplizierter. In einer Pilotstudie mit 12 Frauen erhöhte Kisspeptin den LH-Spiegel nur leicht; zwei Frauen hatten einen Eisprung, bei den meisten tat sich nichts</w:t>
      </w:r>
      <w:r>
        <w:rPr>
          <w:rStyle w:val="FootnoteReference"/>
        </w:rPr>
        <w:footnoteReference w:id="2157"/>
      </w:r>
      <w:r>
        <w:t xml:space="preserve">.</w:t>
      </w:r>
    </w:p>
    <w:bookmarkEnd w:id="2158"/>
    <w:bookmarkStart w:id="2161" w:name="männer-testosteron-und-diabetes"/>
    <w:p>
      <w:pPr>
        <w:pStyle w:val="Heading4"/>
      </w:pPr>
      <w:r>
        <w:t xml:space="preserve">Männer: Testosteron und Diabetes</w:t>
      </w:r>
    </w:p>
    <w:p>
      <w:pPr>
        <w:pStyle w:val="FirstParagraph"/>
      </w:pPr>
      <w:r>
        <w:t xml:space="preserve">Bei fünf Männern mit Typ-2-Diabetes und erniedrigtem Testosteron erhöhte eine Kisspeptin-10-Infusion LH, die LH-Pulsfrequenz und Testosteron</w:t>
      </w:r>
      <w:r>
        <w:rPr>
          <w:rStyle w:val="FootnoteReference"/>
        </w:rPr>
        <w:footnoteReference w:id="2159"/>
      </w:r>
      <w:r>
        <w:t xml:space="preserve">. Eine neue Studie mit 15 gesunden Männern zeigte, dass täglich achtstündige Infusionen unter die Haut die Hormonausschüttung zwölf Tage lang aufrechterhielten, während eine Dauerinfusion nach fünf Tagen keine Wirkung mehr auf LH und FSH hatte</w:t>
      </w:r>
      <w:r>
        <w:rPr>
          <w:rStyle w:val="FootnoteReference"/>
        </w:rPr>
        <w:footnoteReference w:id="2160"/>
      </w:r>
      <w:r>
        <w:t xml:space="preserve">. Das ist ein wichtiger Schritt für eine mögliche Langzeitbehandlung.</w:t>
      </w:r>
    </w:p>
    <w:bookmarkEnd w:id="2161"/>
    <w:bookmarkStart w:id="2165" w:name="sexuelles-verlangen-und-gehirn"/>
    <w:p>
      <w:pPr>
        <w:pStyle w:val="Heading4"/>
      </w:pPr>
      <w:r>
        <w:t xml:space="preserve">Sexuelles Verlangen und Gehirn</w:t>
      </w:r>
    </w:p>
    <w:p>
      <w:pPr>
        <w:pStyle w:val="FirstParagraph"/>
      </w:pPr>
      <w:r>
        <w:t xml:space="preserve">Die Londoner Gruppe untersuchte mit funktioneller Magnetresonanztomografie (fMRT), wie Kisspeptin die Verarbeitung erotischer Bilder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Comninos 2017, PMID 28112678</w:t>
            </w:r>
          </w:p>
        </w:tc>
        <w:tc>
          <w:tcPr/>
          <w:p>
            <w:pPr>
              <w:pStyle w:val="Compact"/>
              <w:jc w:val="left"/>
            </w:pPr>
            <w:r>
              <w:t xml:space="preserve">29 gesunde junge Männer, Kreuzstudie gegen Placebo</w:t>
            </w:r>
          </w:p>
        </w:tc>
        <w:tc>
          <w:tcPr/>
          <w:p>
            <w:pPr>
              <w:pStyle w:val="Compact"/>
              <w:jc w:val="left"/>
            </w:pPr>
            <w:r>
              <w:t xml:space="preserve">Einzelinfusion</w:t>
            </w:r>
          </w:p>
        </w:tc>
        <w:tc>
          <w:tcPr/>
          <w:p>
            <w:pPr>
              <w:pStyle w:val="Compact"/>
              <w:jc w:val="left"/>
            </w:pPr>
            <w:r>
              <w:t xml:space="preserve">mehr Aktivität in limbischen Hirnregionen bei sexuellen Reizen; weniger negative Stimmung</w:t>
            </w:r>
          </w:p>
        </w:tc>
      </w:tr>
      <w:tr>
        <w:tc>
          <w:tcPr/>
          <w:p>
            <w:pPr>
              <w:pStyle w:val="Compact"/>
              <w:jc w:val="left"/>
            </w:pPr>
            <w:r>
              <w:t xml:space="preserve">Thurston 2022, PMID 36287566</w:t>
            </w:r>
          </w:p>
        </w:tc>
        <w:tc>
          <w:tcPr/>
          <w:p>
            <w:pPr>
              <w:pStyle w:val="Compact"/>
              <w:jc w:val="left"/>
            </w:pPr>
            <w:r>
              <w:t xml:space="preserve">32 Frauen mit HSDD, doppelblinde Kreuzstudie</w:t>
            </w:r>
          </w:p>
        </w:tc>
        <w:tc>
          <w:tcPr/>
          <w:p>
            <w:pPr>
              <w:pStyle w:val="Compact"/>
              <w:jc w:val="left"/>
            </w:pPr>
            <w:r>
              <w:t xml:space="preserve">75 Minuten</w:t>
            </w:r>
          </w:p>
        </w:tc>
        <w:tc>
          <w:tcPr/>
          <w:p>
            <w:pPr>
              <w:pStyle w:val="Compact"/>
              <w:jc w:val="left"/>
            </w:pPr>
            <w:r>
              <w:t xml:space="preserve">veränderte Aktivität in Hirnregionen für sexuelle Reize und Attraktivität; keine Nebenwirkungen</w:t>
            </w:r>
          </w:p>
        </w:tc>
      </w:tr>
      <w:tr>
        <w:tc>
          <w:tcPr/>
          <w:p>
            <w:pPr>
              <w:pStyle w:val="Compact"/>
              <w:jc w:val="left"/>
            </w:pPr>
            <w:r>
              <w:t xml:space="preserve">Mills 2023, PMID 36735255</w:t>
            </w:r>
          </w:p>
        </w:tc>
        <w:tc>
          <w:tcPr/>
          <w:p>
            <w:pPr>
              <w:pStyle w:val="Compact"/>
              <w:jc w:val="left"/>
            </w:pPr>
            <w:r>
              <w:t xml:space="preserve">32 Männer mit HSDD, doppelblinde Kreuzstudie</w:t>
            </w:r>
          </w:p>
        </w:tc>
        <w:tc>
          <w:tcPr/>
          <w:p>
            <w:pPr>
              <w:pStyle w:val="Compact"/>
              <w:jc w:val="left"/>
            </w:pPr>
            <w:r>
              <w:t xml:space="preserve">75 Minuten</w:t>
            </w:r>
          </w:p>
        </w:tc>
        <w:tc>
          <w:tcPr/>
          <w:p>
            <w:pPr>
              <w:pStyle w:val="Compact"/>
              <w:jc w:val="left"/>
            </w:pPr>
            <w:r>
              <w:t xml:space="preserve">veränderte Hirnaktivität; Gliedschwellung bei erotischen Videos bis zu 56 % stärker als unter Placebo</w:t>
            </w:r>
          </w:p>
        </w:tc>
      </w:tr>
    </w:tbl>
    <w:p>
      <w:pPr>
        <w:pStyle w:val="BodyText"/>
      </w:pPr>
      <w:r>
        <w:t xml:space="preserve">HSDD (hypoaktive sexuelle Luststörung) bedeutet anhaltend geringes sexuelles Verlangen mit Leidensdruck. Bei Männern mit HSDD verstärkte eine einmalige Kisspeptin-Infusion nicht nur die Aktivität sexueller Hirnregionen, sondern auch die messbare körperliche Erregung und einzelne Angaben zum Verlangen, etwa die „Freude auf Sex“</w:t>
      </w:r>
      <w:r>
        <w:rPr>
          <w:rStyle w:val="FootnoteReference"/>
        </w:rPr>
        <w:footnoteReference w:id="2162"/>
      </w:r>
      <w:r>
        <w:t xml:space="preserve">. Bei Frauen mit HSDD korrelierten die Veränderungen der Hirnaktivität mit dem Leidensdruck und der sexuellen Abneigung</w:t>
      </w:r>
      <w:r>
        <w:rPr>
          <w:rStyle w:val="FootnoteReference"/>
        </w:rPr>
        <w:footnoteReference w:id="2163"/>
      </w:r>
      <w:r>
        <w:t xml:space="preserve">.</w:t>
      </w:r>
    </w:p>
    <w:p>
      <w:pPr>
        <w:pStyle w:val="BodyText"/>
      </w:pPr>
      <w:r>
        <w:rPr>
          <w:bCs/>
          <w:b/>
        </w:rPr>
        <w:t xml:space="preserve">Einordnung:</w:t>
      </w:r>
      <w:r>
        <w:t xml:space="preserve"> </w:t>
      </w:r>
      <w:r>
        <w:t xml:space="preserve">Diese Studien prüfen eine einzelne Infusion im Labor, mit Hirnaktivität als Hauptzielgröße. Sie sagen nichts darüber, ob Kisspeptin im Alltag über Wochen das sexuelle Erleben verbessert. Die Gabe als Infusion ist für eine Alltagsbehandlung ungeeignet. Eine Studie mit 95 Personen fand keine Wirkung auf Angst, Cortisol, Blutdruck oder Herzfrequenz</w:t>
      </w:r>
      <w:r>
        <w:rPr>
          <w:rStyle w:val="FootnoteReference"/>
        </w:rPr>
        <w:footnoteReference w:id="2164"/>
      </w:r>
      <w:r>
        <w:t xml:space="preserve"> </w:t>
      </w:r>
      <w:r>
        <w:t xml:space="preserve">– eine Entwarnung für die Verträglichkeit, kein Wirknachweis.</w:t>
      </w:r>
    </w:p>
    <w:bookmarkEnd w:id="2165"/>
    <w:bookmarkStart w:id="2167" w:name="nasenspray"/>
    <w:p>
      <w:pPr>
        <w:pStyle w:val="Heading4"/>
      </w:pPr>
      <w:r>
        <w:t xml:space="preserve">Nasenspray</w:t>
      </w:r>
    </w:p>
    <w:p>
      <w:pPr>
        <w:pStyle w:val="FirstParagraph"/>
      </w:pPr>
      <w:r>
        <w:t xml:space="preserve">Ein Nasenspray mit Kisspeptin-54 erhöhte LH bei gesunden Männern und Frauen und bei Frauen mit hypothalamischer Amenorrhö, ohne Nebenwirkungen</w:t>
      </w:r>
      <w:r>
        <w:rPr>
          <w:rStyle w:val="FootnoteReference"/>
        </w:rPr>
        <w:footnoteReference w:id="2166"/>
      </w:r>
      <w:r>
        <w:t xml:space="preserve">. Das zeigt einen möglichen Weg zu einer Behandlung ohne Nadel. Bei Mäusen wurde Kisspeptin in der Riechschleimhaut nachgewiesen, was auf einen Weg über das Riechsystem hindeutet.</w:t>
      </w:r>
    </w:p>
    <w:bookmarkEnd w:id="2167"/>
    <w:bookmarkStart w:id="2171" w:name="weitere-befunde"/>
    <w:p>
      <w:pPr>
        <w:pStyle w:val="Heading4"/>
      </w:pPr>
      <w:r>
        <w:t xml:space="preserve">Weitere Befunde</w:t>
      </w:r>
    </w:p>
    <w:p>
      <w:pPr>
        <w:numPr>
          <w:ilvl w:val="0"/>
          <w:numId w:val="1272"/>
        </w:numPr>
        <w:pStyle w:val="Compact"/>
      </w:pPr>
      <w:r>
        <w:rPr>
          <w:bCs/>
          <w:b/>
        </w:rPr>
        <w:t xml:space="preserve">Knochen:</w:t>
      </w:r>
      <w:r>
        <w:t xml:space="preserve"> </w:t>
      </w:r>
      <w:r>
        <w:t xml:space="preserve">Bei 26 gesunden Männern stieg nach einer Kisspeptin-Gabe der Knochenaufbau-Marker Osteocalcin um bis zu 20,3 %</w:t>
      </w:r>
      <w:r>
        <w:rPr>
          <w:rStyle w:val="FootnoteReference"/>
        </w:rPr>
        <w:footnoteReference w:id="2168"/>
      </w:r>
      <w:r>
        <w:t xml:space="preserve">.</w:t>
      </w:r>
    </w:p>
    <w:p>
      <w:pPr>
        <w:numPr>
          <w:ilvl w:val="0"/>
          <w:numId w:val="1272"/>
        </w:numPr>
        <w:pStyle w:val="Compact"/>
      </w:pPr>
      <w:r>
        <w:rPr>
          <w:bCs/>
          <w:b/>
        </w:rPr>
        <w:t xml:space="preserve">Stoffwechsel:</w:t>
      </w:r>
      <w:r>
        <w:t xml:space="preserve"> </w:t>
      </w:r>
      <w:r>
        <w:t xml:space="preserve">Bei 15 gesunden Männern steigerte Kisspeptin die Insulinausschüttung nach Zuckergabe, ohne Appetit oder Essmenge zu verändern</w:t>
      </w:r>
      <w:r>
        <w:rPr>
          <w:rStyle w:val="FootnoteReference"/>
        </w:rPr>
        <w:footnoteReference w:id="2169"/>
      </w:r>
      <w:r>
        <w:t xml:space="preserve">.</w:t>
      </w:r>
    </w:p>
    <w:p>
      <w:pPr>
        <w:numPr>
          <w:ilvl w:val="0"/>
          <w:numId w:val="1272"/>
        </w:numPr>
        <w:pStyle w:val="Compact"/>
      </w:pPr>
      <w:r>
        <w:rPr>
          <w:bCs/>
          <w:b/>
        </w:rPr>
        <w:t xml:space="preserve">Oxytocin:</w:t>
      </w:r>
      <w:r>
        <w:t xml:space="preserve"> </w:t>
      </w:r>
      <w:r>
        <w:t xml:space="preserve">Nach einer Kisspeptin-Spritze stieg der Oxytocin-Spiegel im Blut, bei Männern stärker als bei Frauen</w:t>
      </w:r>
      <w:r>
        <w:rPr>
          <w:rStyle w:val="FootnoteReference"/>
        </w:rPr>
        <w:footnoteReference w:id="2170"/>
      </w:r>
      <w:r>
        <w:t xml:space="preserve">. Das wird als möglicher Test für einen Oxytocin-Mangel untersucht (Kapitel 2E05).</w:t>
      </w:r>
    </w:p>
    <w:bookmarkEnd w:id="2171"/>
    <w:bookmarkStart w:id="2174" w:name="das-gegenteil-hormone-senken"/>
    <w:p>
      <w:pPr>
        <w:pStyle w:val="Heading4"/>
      </w:pPr>
      <w:r>
        <w:t xml:space="preserve">Das Gegenteil: Hormone senken</w:t>
      </w:r>
    </w:p>
    <w:p>
      <w:pPr>
        <w:pStyle w:val="FirstParagraph"/>
      </w:pPr>
      <w:r>
        <w:t xml:space="preserve">Das synthetische Analogon TAK-448 wurde bei Dauergabe zum Hormonblocker. Bei gesunden Männern über 50 sank Testosteron nach einer Woche Dauerinfusion in den Bereich einer Kastration; bei Männern mit Prostatakrebs senkte eine Depotspritze Testosteron und den Tumormarker PSA</w:t>
      </w:r>
      <w:r>
        <w:rPr>
          <w:rStyle w:val="FootnoteReference"/>
        </w:rPr>
        <w:footnoteReference w:id="2172"/>
      </w:r>
      <w:r>
        <w:t xml:space="preserve">. Zwei weitere Phase-2-Studien des Herstellers wurden vorzeitig beendet</w:t>
      </w:r>
      <w:r>
        <w:rPr>
          <w:rStyle w:val="FootnoteReference"/>
        </w:rPr>
        <w:footnoteReference w:id="2173"/>
      </w:r>
      <w:r>
        <w:t xml:space="preserve">.</w:t>
      </w:r>
    </w:p>
    <w:bookmarkEnd w:id="2174"/>
    <w:bookmarkEnd w:id="2175"/>
    <w:bookmarkStart w:id="2180" w:name="tier--und-laborstudien-49"/>
    <w:p>
      <w:pPr>
        <w:pStyle w:val="Heading3"/>
      </w:pPr>
      <w:r>
        <w:t xml:space="preserve">Tier- und Laborstudien</w:t>
      </w:r>
    </w:p>
    <w:p>
      <w:pPr>
        <w:pStyle w:val="FirstParagraph"/>
      </w:pPr>
      <w:r>
        <w:t xml:space="preserve">Die Rolle von Kisspeptin für Pubertät und Fortpflanzung wurde zuerst an Mäusen mit ausgeschaltetem Rezeptor-Gen gezeigt; die Tiere bleiben geschlechtlich unreif</w:t>
      </w:r>
      <w:r>
        <w:rPr>
          <w:rStyle w:val="FootnoteReference"/>
        </w:rPr>
        <w:footnoteReference w:id="2176"/>
      </w:r>
      <w:r>
        <w:t xml:space="preserve">. Ursprünglich wurde das Peptid als Bremse der Metastasierung beschrieben: In Zellkultur und bei Mäusen hemmte es die Ausbreitung von Melanomzellen</w:t>
      </w:r>
      <w:r>
        <w:rPr>
          <w:rStyle w:val="FootnoteReference"/>
        </w:rPr>
        <w:footnoteReference w:id="2177"/>
      </w:r>
      <w:r>
        <w:t xml:space="preserve">. Ob das therapeutisch nutzbar ist, ist offen.</w:t>
      </w:r>
    </w:p>
    <w:p>
      <w:pPr>
        <w:pStyle w:val="BodyText"/>
      </w:pPr>
      <w:r>
        <w:t xml:space="preserve">In Rattenmodellen für PCOS stellte Kisspeptin bei einem Teil der Tiere den Eisprung wieder her, bei anderen nicht</w:t>
      </w:r>
      <w:r>
        <w:rPr>
          <w:rStyle w:val="FootnoteReference"/>
        </w:rPr>
        <w:footnoteReference w:id="2178"/>
      </w:r>
      <w:r>
        <w:t xml:space="preserve">. Die Grundlagenforschung zu Kisspeptin und Neurokinin B ist in einer Übersichtsarbeit zusammengefasst</w:t>
      </w:r>
      <w:r>
        <w:rPr>
          <w:rStyle w:val="FootnoteReference"/>
        </w:rPr>
        <w:footnoteReference w:id="2179"/>
      </w:r>
      <w:r>
        <w:t xml:space="preserve">.</w:t>
      </w:r>
    </w:p>
    <w:bookmarkEnd w:id="2180"/>
    <w:bookmarkStart w:id="2188" w:name="risiken-und-nebenwirkungen-49"/>
    <w:p>
      <w:pPr>
        <w:pStyle w:val="Heading3"/>
      </w:pPr>
      <w:r>
        <w:t xml:space="preserve">Risiken und Nebenwirkungen</w:t>
      </w:r>
    </w:p>
    <w:bookmarkStart w:id="2185" w:name="belegt-9"/>
    <w:p>
      <w:pPr>
        <w:pStyle w:val="Heading4"/>
      </w:pPr>
      <w:r>
        <w:t xml:space="preserve">Belegt</w:t>
      </w:r>
    </w:p>
    <w:p>
      <w:pPr>
        <w:pStyle w:val="FirstParagraph"/>
      </w:pPr>
      <w:r>
        <w:t xml:space="preserve">In allen veröffentlichten Studien wurde Kisspeptin gut vertragen. Mehrere Studien berichten ausdrücklich über keine Nebenwirkungen</w:t>
      </w:r>
      <w:r>
        <w:rPr>
          <w:rStyle w:val="FootnoteReference"/>
        </w:rPr>
        <w:footnoteReference w:id="2181"/>
      </w:r>
      <w:r>
        <w:t xml:space="preserve">. Kisspeptin veränderte weder Wachstumshormon noch Prolaktin noch das Schilddrüsen-steuernde TSH</w:t>
      </w:r>
      <w:r>
        <w:rPr>
          <w:rStyle w:val="FootnoteReference"/>
        </w:rPr>
        <w:footnoteReference w:id="2182"/>
      </w:r>
      <w:r>
        <w:t xml:space="preserve"> </w:t>
      </w:r>
      <w:r>
        <w:t xml:space="preserve">und hatte keinen Einfluss auf Angst, Blutdruck oder Herzfrequenz</w:t>
      </w:r>
      <w:r>
        <w:rPr>
          <w:rStyle w:val="FootnoteReference"/>
        </w:rPr>
        <w:footnoteReference w:id="2183"/>
      </w:r>
      <w:r>
        <w:t xml:space="preserve">. Beim Analogon TAK-448 traten leichte bis mäßige Nebenwirkungen bei 26 % der Behandelten auf</w:t>
      </w:r>
      <w:r>
        <w:rPr>
          <w:rStyle w:val="FootnoteReference"/>
        </w:rPr>
        <w:footnoteReference w:id="2184"/>
      </w:r>
      <w:r>
        <w:t xml:space="preserve">.</w:t>
      </w:r>
    </w:p>
    <w:bookmarkEnd w:id="2185"/>
    <w:bookmarkStart w:id="2186" w:name="theoretisch-und-offen"/>
    <w:p>
      <w:pPr>
        <w:pStyle w:val="Heading4"/>
      </w:pPr>
      <w:r>
        <w:t xml:space="preserve">Theoretisch und offen</w:t>
      </w:r>
    </w:p>
    <w:p>
      <w:pPr>
        <w:numPr>
          <w:ilvl w:val="0"/>
          <w:numId w:val="1273"/>
        </w:numPr>
        <w:pStyle w:val="Compact"/>
      </w:pPr>
      <w:r>
        <w:rPr>
          <w:bCs/>
          <w:b/>
        </w:rPr>
        <w:t xml:space="preserve">Gewöhnung und Hormonabfall:</w:t>
      </w:r>
      <w:r>
        <w:t xml:space="preserve"> </w:t>
      </w:r>
      <w:r>
        <w:t xml:space="preserve">Bei Dauergabe kann das Gegenteil des gewünschten Effekts eintreten, wie die Studien zu TAK-448 zeigen. Wer Kisspeptin ohne ärztliche Kontrolle anwendet, riskiert also eine Unterdrückung der eigenen Hormonachse.</w:t>
      </w:r>
    </w:p>
    <w:p>
      <w:pPr>
        <w:numPr>
          <w:ilvl w:val="0"/>
          <w:numId w:val="1273"/>
        </w:numPr>
        <w:pStyle w:val="Compact"/>
      </w:pPr>
      <w:r>
        <w:rPr>
          <w:bCs/>
          <w:b/>
        </w:rPr>
        <w:t xml:space="preserve">Langzeitdaten</w:t>
      </w:r>
      <w:r>
        <w:t xml:space="preserve"> </w:t>
      </w:r>
      <w:r>
        <w:t xml:space="preserve">fehlen. Die längsten Studien liefen über acht Wochen.</w:t>
      </w:r>
    </w:p>
    <w:p>
      <w:pPr>
        <w:numPr>
          <w:ilvl w:val="0"/>
          <w:numId w:val="1273"/>
        </w:numPr>
        <w:pStyle w:val="Compact"/>
      </w:pPr>
      <w:r>
        <w:rPr>
          <w:bCs/>
          <w:b/>
        </w:rPr>
        <w:t xml:space="preserve">Schwangerschaft:</w:t>
      </w:r>
      <w:r>
        <w:t xml:space="preserve"> </w:t>
      </w:r>
      <w:r>
        <w:t xml:space="preserve">Bei IVF-Anwendung wurden Kinder geboren; systematische Daten über die Gesundheit dieser Kinder sind nicht veröffentlicht.</w:t>
      </w:r>
    </w:p>
    <w:bookmarkEnd w:id="2186"/>
    <w:bookmarkStart w:id="2187" w:name="graumarkt-2"/>
    <w:p>
      <w:pPr>
        <w:pStyle w:val="Heading4"/>
      </w:pPr>
      <w:r>
        <w:t xml:space="preserve">Graumarkt</w:t>
      </w:r>
    </w:p>
    <w:p>
      <w:pPr>
        <w:pStyle w:val="FirstParagraph"/>
      </w:pPr>
      <w:r>
        <w:t xml:space="preserve">Kisspeptin-10 wird im Internet als „Research Peptide“ angeboten und in Foren zur Steigerung von Testosteron oder Libido beworben. Studien zu solchen Produkten gibt es nicht. Wegen der kurzen Halbwertszeit und der Gewöhnung bei häufiger Gabe ist eine anhaltende Wirkung bei Selbstanwendung nicht belegt; Reinheit und Gehalt sind ungeprüft (siehe Teil I und Teil IV).</w:t>
      </w:r>
    </w:p>
    <w:bookmarkEnd w:id="2187"/>
    <w:bookmarkEnd w:id="2188"/>
    <w:bookmarkStart w:id="2189" w:name="rechtslage-49"/>
    <w:p>
      <w:pPr>
        <w:pStyle w:val="Heading3"/>
      </w:pPr>
      <w:r>
        <w:t xml:space="preserve">Rechtslage</w:t>
      </w:r>
    </w:p>
    <w:p>
      <w:pPr>
        <w:pStyle w:val="FirstParagraph"/>
      </w:pPr>
      <w:r>
        <w:rPr>
          <w:iCs/>
          <w:i/>
        </w:rPr>
        <w:t xml:space="preserve">Stand 2026, bitte aktuell prüfen.</w:t>
      </w:r>
    </w:p>
    <w:p>
      <w:pPr>
        <w:numPr>
          <w:ilvl w:val="0"/>
          <w:numId w:val="1274"/>
        </w:numPr>
        <w:pStyle w:val="Compact"/>
      </w:pPr>
      <w:r>
        <w:rPr>
          <w:bCs/>
          <w:b/>
        </w:rPr>
        <w:t xml:space="preserve">EU, Deutschland, Österreich:</w:t>
      </w:r>
      <w:r>
        <w:t xml:space="preserve"> </w:t>
      </w:r>
      <w:r>
        <w:t xml:space="preserve">keine Zulassung. Kisspeptin darf nur im Rahmen genehmigter klinischer Studien am Menschen angewendet werden. Der Verkauf zur Anwendung am Menschen ist unzulässig.</w:t>
      </w:r>
    </w:p>
    <w:p>
      <w:pPr>
        <w:numPr>
          <w:ilvl w:val="0"/>
          <w:numId w:val="1274"/>
        </w:numPr>
        <w:pStyle w:val="Compact"/>
      </w:pPr>
      <w:r>
        <w:rPr>
          <w:bCs/>
          <w:b/>
        </w:rPr>
        <w:t xml:space="preserve">USA:</w:t>
      </w:r>
      <w:r>
        <w:t xml:space="preserve"> </w:t>
      </w:r>
      <w:r>
        <w:t xml:space="preserve">keine Zulassung; Anwendung nur in Studien mit Genehmigung der FDA.</w:t>
      </w:r>
    </w:p>
    <w:p>
      <w:pPr>
        <w:numPr>
          <w:ilvl w:val="0"/>
          <w:numId w:val="1274"/>
        </w:numPr>
        <w:pStyle w:val="Compact"/>
      </w:pPr>
      <w:r>
        <w:rPr>
          <w:bCs/>
          <w:b/>
        </w:rPr>
        <w:t xml:space="preserve">WADA:</w:t>
      </w:r>
      <w:r>
        <w:t xml:space="preserve"> </w:t>
      </w:r>
      <w:r>
        <w:t xml:space="preserve">Bei Männern sind Freisetzungsfaktoren des LH nach S2 verboten, nicht zugelassene Wirkstoffe allgemein nach S0. Kisspeptin ist nicht namentlich genannt, fällt aber nach Einschätzung des Autors unter diese Gruppen.</w:t>
      </w:r>
    </w:p>
    <w:bookmarkEnd w:id="2189"/>
    <w:bookmarkStart w:id="2192" w:name="laufende-studien-und-ausblick-49"/>
    <w:p>
      <w:pPr>
        <w:pStyle w:val="Heading3"/>
      </w:pPr>
      <w:r>
        <w:t xml:space="preserve">Laufende Studien und Ausblick</w:t>
      </w:r>
    </w:p>
    <w:p>
      <w:pPr>
        <w:pStyle w:val="FirstParagraph"/>
      </w:pPr>
      <w:r>
        <w:rPr>
          <w:bCs/>
          <w:b/>
        </w:rPr>
        <w:t xml:space="preserve">Gesichert (registrierte Studien):</w:t>
      </w:r>
    </w:p>
    <w:p>
      <w:pPr>
        <w:numPr>
          <w:ilvl w:val="0"/>
          <w:numId w:val="1275"/>
        </w:numPr>
        <w:pStyle w:val="Compact"/>
      </w:pPr>
      <w:r>
        <w:rPr>
          <w:bCs/>
          <w:b/>
        </w:rPr>
        <w:t xml:space="preserve">Massachusetts General Hospital, Boston:</w:t>
      </w:r>
      <w:r>
        <w:t xml:space="preserve"> </w:t>
      </w:r>
      <w:r>
        <w:t xml:space="preserve">mehrere Phase-1- und Phase-2-Studien mit wiederholter Kisspeptin-Gabe unter die Haut bei angeborenem Hormonmangel (idiopathischer hypogonadotroper Hypogonadismus, NCT05896293, 36 Personen, bis 2028) und bei hypothalamischer Amenorrhö (NCT07224438, 20 Personen, bis 2030). Eine weitere Studie nutzt Kisspeptin als Test für die Funktion der GnRH-Nervenzellen</w:t>
      </w:r>
      <w:r>
        <w:rPr>
          <w:rStyle w:val="FootnoteReference"/>
        </w:rPr>
        <w:footnoteReference w:id="2190"/>
      </w:r>
      <w:r>
        <w:t xml:space="preserve">.</w:t>
      </w:r>
    </w:p>
    <w:p>
      <w:pPr>
        <w:numPr>
          <w:ilvl w:val="0"/>
          <w:numId w:val="1275"/>
        </w:numPr>
        <w:pStyle w:val="Compact"/>
      </w:pPr>
      <w:r>
        <w:rPr>
          <w:bCs/>
          <w:b/>
        </w:rPr>
        <w:t xml:space="preserve">Imperial College London:</w:t>
      </w:r>
      <w:r>
        <w:t xml:space="preserve"> </w:t>
      </w:r>
      <w:r>
        <w:t xml:space="preserve">eine seit 2014 laufende Studie zur Hormonausschüttung bei längerer Kisspeptin-Gabe (NCT02081924, 76 Personen).</w:t>
      </w:r>
    </w:p>
    <w:p>
      <w:pPr>
        <w:numPr>
          <w:ilvl w:val="0"/>
          <w:numId w:val="1275"/>
        </w:numPr>
        <w:pStyle w:val="Compact"/>
      </w:pPr>
      <w:r>
        <w:t xml:space="preserve">Eine Phase-2-Studie mit pulsatiler Kisspeptin-Gabe bei Hypogonadismus ist abgeschlossen</w:t>
      </w:r>
      <w:r>
        <w:rPr>
          <w:rStyle w:val="FootnoteReference"/>
        </w:rPr>
        <w:footnoteReference w:id="2191"/>
      </w:r>
      <w:r>
        <w:t xml:space="preserve">; Ergebnisse waren bei Redaktionsschluss nicht in PubMed veröffentlicht.</w:t>
      </w:r>
    </w:p>
    <w:p>
      <w:pPr>
        <w:pStyle w:val="FirstParagraph"/>
      </w:pPr>
      <w:r>
        <w:rPr>
          <w:bCs/>
          <w:b/>
        </w:rPr>
        <w:t xml:space="preserve">Einschätzung des Autors:</w:t>
      </w:r>
      <w:r>
        <w:t xml:space="preserve"> </w:t>
      </w:r>
      <w:r>
        <w:t xml:space="preserve">Kisspeptin ist eines der wissenschaftlich solidesten Peptide in diesem Buch, was die Grundlagen betrifft – die Rolle in der Pubertät ist genetisch bewiesen. Die klinische Entwicklung ist aber langsam, weil sie überwiegend von Universitäten getragen wird. Am ehesten erscheint eine Zulassung zur Eizellreifung bei Frauen mit OHSS-Risiko oder als diagnostischer Test für Pubertätsstörungen realistisch, dafür wären allerdings größere Vergleichsstudien nötig. Für die Behandlung sexueller Lustlosigkeit fehlt bislang jeder Nachweis eines Alltagsnutzens.</w:t>
      </w:r>
    </w:p>
    <w:bookmarkEnd w:id="2192"/>
    <w:bookmarkStart w:id="2193" w:name="fazit-49"/>
    <w:p>
      <w:pPr>
        <w:pStyle w:val="Heading3"/>
      </w:pPr>
      <w:r>
        <w:t xml:space="preserve">Fazit</w:t>
      </w:r>
    </w:p>
    <w:p>
      <w:pPr>
        <w:pStyle w:val="FirstParagraph"/>
      </w:pPr>
      <w:r>
        <w:t xml:space="preserve">Kisspeptin ist der körpereigene Hauptschalter der Fortpflanzungshormone, wie Menschen mit Rezeptordefekt eindrucksvoll zeigen. In kleinen Studien löste es zuverlässig LH-Ausschüttung aus und ermöglichte bei Frauen mit hohem Überstimulationsrisiko eine Eizellreifung ohne schweres OHSS. Labor-Studien mit Hirnbildgebung deuten auf Wirkungen bei der Verarbeitung sexueller Reize hin, sind aber kein Beleg für einen Nutzen im Alltag. Größtes praktisches Hindernis ist die Gewöhnung bei häufiger Gabe, die bis zur Unterdrückung der Hormonachse führen kann. Zugelassen ist Kisspeptin nirgends; außerhalb von Studien gibt es keine geprüfte Anwendung.</w:t>
      </w:r>
    </w:p>
    <w:bookmarkEnd w:id="2193"/>
    <w:bookmarkEnd w:id="2194"/>
    <w:bookmarkStart w:id="2274" w:name="oxytocin-nasenspray"/>
    <w:p>
      <w:pPr>
        <w:pStyle w:val="Heading2"/>
      </w:pPr>
      <w:r>
        <w:t xml:space="preserve">Oxytocin (Nasenspray)</w:t>
      </w:r>
    </w:p>
    <w:bookmarkStart w:id="2195" w:name="steckbrief-50"/>
    <w:p>
      <w:pPr>
        <w:pStyle w:val="Heading3"/>
      </w:pPr>
      <w:r>
        <w:t xml:space="preserve">Steckbrief</w:t>
      </w:r>
    </w:p>
    <w:p>
      <w:pPr>
        <w:numPr>
          <w:ilvl w:val="0"/>
          <w:numId w:val="1276"/>
        </w:numPr>
        <w:pStyle w:val="Compact"/>
      </w:pPr>
      <w:r>
        <w:rPr>
          <w:bCs/>
          <w:b/>
        </w:rPr>
        <w:t xml:space="preserve">Art/Struktur:</w:t>
      </w:r>
      <w:r>
        <w:t xml:space="preserve"> </w:t>
      </w:r>
      <w:r>
        <w:t xml:space="preserve">körpereigenes Peptidhormon aus neun Aminosäuren. Zwei Schwefelbrücken schließen sechs davon zu einem Ring. Oxytocin ist eng verwandt mit dem Hormon Vasopressin (antidiuretisches Hormon), das sich nur in zwei Bausteinen unterscheidet.</w:t>
      </w:r>
    </w:p>
    <w:p>
      <w:pPr>
        <w:numPr>
          <w:ilvl w:val="0"/>
          <w:numId w:val="1276"/>
        </w:numPr>
        <w:pStyle w:val="Compact"/>
      </w:pPr>
      <w:r>
        <w:rPr>
          <w:bCs/>
          <w:b/>
        </w:rPr>
        <w:t xml:space="preserve">Herkunft:</w:t>
      </w:r>
      <w:r>
        <w:t xml:space="preserve"> </w:t>
      </w:r>
      <w:r>
        <w:t xml:space="preserve">gebildet in Nervenzellen des Hypothalamus und von der hinteren Hirnanhangdrüse ins Blut abgegeben; zugleich Botenstoff innerhalb des Gehirns. Oxytocin war 1953 das erste Peptidhormon, das im Labor nachgebaut wurde; Vincent du Vigneaud erhielt dafür 1955 den Nobelpreis für Chemie.</w:t>
      </w:r>
    </w:p>
    <w:p>
      <w:pPr>
        <w:numPr>
          <w:ilvl w:val="0"/>
          <w:numId w:val="1276"/>
        </w:numPr>
        <w:pStyle w:val="Compact"/>
      </w:pPr>
      <w:r>
        <w:rPr>
          <w:bCs/>
          <w:b/>
        </w:rPr>
        <w:t xml:space="preserve">Wirkprinzip:</w:t>
      </w:r>
      <w:r>
        <w:t xml:space="preserve"> </w:t>
      </w:r>
      <w:r>
        <w:t xml:space="preserve">Agonist am Oxytocin-Rezeptor. Im Körper löst es Wehen und den Milchspendereflex aus; im Gehirn ist es an Bindung, sozialem Verhalten und Stressregulation beteiligt.</w:t>
      </w:r>
    </w:p>
    <w:p>
      <w:pPr>
        <w:numPr>
          <w:ilvl w:val="0"/>
          <w:numId w:val="1276"/>
        </w:numPr>
        <w:pStyle w:val="Compact"/>
      </w:pPr>
      <w:r>
        <w:rPr>
          <w:bCs/>
          <w:b/>
        </w:rPr>
        <w:t xml:space="preserve">Zulassung EU und USA (Spritze/Infusion):</w:t>
      </w:r>
      <w:r>
        <w:t xml:space="preserve"> </w:t>
      </w:r>
      <w:r>
        <w:t xml:space="preserve">ja, seit Jahrzehnten in der Geburtshilfe, zur Einleitung und Unterstützung von Wehen und zur Vorbeugung starker Blutungen nach der Geburt.</w:t>
      </w:r>
    </w:p>
    <w:p>
      <w:pPr>
        <w:numPr>
          <w:ilvl w:val="0"/>
          <w:numId w:val="1276"/>
        </w:numPr>
        <w:pStyle w:val="Compact"/>
      </w:pPr>
      <w:r>
        <w:rPr>
          <w:bCs/>
          <w:b/>
        </w:rPr>
        <w:t xml:space="preserve">Zulassung als Nasenspray:</w:t>
      </w:r>
      <w:r>
        <w:t xml:space="preserve"> </w:t>
      </w:r>
      <w:r>
        <w:t xml:space="preserve">Ein Oxytocin-Nasenspray war früher in mehreren europäischen Ländern zur Förderung des Milchflusses beim Stillen zugelassen, ist aber vielerorts nicht mehr im Handel. Für psychische, soziale oder sexuelle Anwendungen ist Oxytocin nirgends zugelassen.</w:t>
      </w:r>
    </w:p>
    <w:p>
      <w:pPr>
        <w:numPr>
          <w:ilvl w:val="0"/>
          <w:numId w:val="1276"/>
        </w:numPr>
        <w:pStyle w:val="Compact"/>
      </w:pPr>
      <w:r>
        <w:rPr>
          <w:bCs/>
          <w:b/>
        </w:rPr>
        <w:t xml:space="preserve">WADA:</w:t>
      </w:r>
      <w:r>
        <w:t xml:space="preserve"> </w:t>
      </w:r>
      <w:r>
        <w:t xml:space="preserve">nicht gelistet.</w:t>
      </w:r>
    </w:p>
    <w:p>
      <w:pPr>
        <w:numPr>
          <w:ilvl w:val="0"/>
          <w:numId w:val="1276"/>
        </w:numPr>
        <w:pStyle w:val="Compact"/>
      </w:pPr>
      <w:r>
        <w:rPr>
          <w:bCs/>
          <w:b/>
        </w:rPr>
        <w:t xml:space="preserve">Evidenzstufe:</w:t>
      </w:r>
      <w:r>
        <w:t xml:space="preserve"> </w:t>
      </w:r>
      <w:r>
        <w:rPr>
          <w:bCs/>
          <w:b/>
        </w:rPr>
        <w:t xml:space="preserve">B</w:t>
      </w:r>
      <w:r>
        <w:t xml:space="preserve"> </w:t>
      </w:r>
      <w:r>
        <w:t xml:space="preserve">für die Anwendung als Nasenspray – Hunderte randomisierte Studien, aber überwiegend klein und mit Einzelgaben; die wenigen großen Behandlungsstudien waren negativ. Für die Geburtshilfe (Infusion, Spritze) gilt Stufe A; sie ist nicht Schwerpunkt dieses Kapitels.</w:t>
      </w:r>
    </w:p>
    <w:bookmarkEnd w:id="2195"/>
    <w:bookmarkStart w:id="2207" w:name="wie-es-wirken-soll-50"/>
    <w:p>
      <w:pPr>
        <w:pStyle w:val="Heading3"/>
      </w:pPr>
      <w:r>
        <w:t xml:space="preserve">Wie es wirken soll</w:t>
      </w:r>
    </w:p>
    <w:bookmarkStart w:id="2196" w:name="vom-wehenhormon-zum-kuschelhormon"/>
    <w:p>
      <w:pPr>
        <w:pStyle w:val="Heading4"/>
      </w:pPr>
      <w:r>
        <w:t xml:space="preserve">Vom Wehenhormon zum „Kuschelhormon“</w:t>
      </w:r>
    </w:p>
    <w:p>
      <w:pPr>
        <w:pStyle w:val="FirstParagraph"/>
      </w:pPr>
      <w:r>
        <w:t xml:space="preserve">Oxytocin hat seinen Namen vom griechischen Ausdruck für „schnelle Geburt“. Seine klassischen Aufgaben sind körperlich: Es lässt die Gebärmutter sich zusammenziehen und presst Milch aus den Drüsen der Brust. Seit den 1990er-Jahren rückte eine zweite Rolle in den Blick. Bei Präriewühlmäusen, die lebenslange Paare bilden, hängt die Partnerbindung vom Oxytocin-System im Gehirn ab (Tierversuche). Bei Schafen und Nagetieren steuert es das Fürsorgeverhalten der Mütter gegenüber ihrem Nachwuchs.</w:t>
      </w:r>
    </w:p>
    <w:p>
      <w:pPr>
        <w:pStyle w:val="BodyText"/>
      </w:pPr>
      <w:r>
        <w:t xml:space="preserve">Aus diesen Tierbefunden entstand ab 2005 eine Welle von Studien am Menschen, die Oxytocin als Nasenspray gaben und soziales Verhalten maßen. Medien prägten Etiketten wie „Kuschelhormon“, „Vertrauenshormon“ oder „Liebeshormon“. Wie dieses Kapitel zeigt, ist die Studienlage heute weit ernüchternder als diese Schlagworte.</w:t>
      </w:r>
    </w:p>
    <w:bookmarkEnd w:id="2196"/>
    <w:bookmarkStart w:id="2204" w:name="das-problem-mit-der-nase"/>
    <w:p>
      <w:pPr>
        <w:pStyle w:val="Heading4"/>
      </w:pPr>
      <w:r>
        <w:t xml:space="preserve">Das Problem mit der Nase</w:t>
      </w:r>
    </w:p>
    <w:p>
      <w:pPr>
        <w:pStyle w:val="FirstParagraph"/>
      </w:pPr>
      <w:r>
        <w:t xml:space="preserve">Oxytocin ist als Peptid zu groß und zu wasserlöslich, um die Blut-Hirn-Schranke in nennenswerter Menge zu überwinden. Das Nasenspray soll über die Riech- und Trigeminusnerven in der Nasenschleimhaut einen Weg direkt ins Gehirn finden. Ob das funktioniert und in welchem Ausmaß, ist eine der zentralen offenen Fragen des Feldes:</w:t>
      </w:r>
    </w:p>
    <w:p>
      <w:pPr>
        <w:numPr>
          <w:ilvl w:val="0"/>
          <w:numId w:val="1277"/>
        </w:numPr>
        <w:pStyle w:val="Compact"/>
      </w:pPr>
      <w:r>
        <w:rPr>
          <w:bCs/>
          <w:b/>
        </w:rPr>
        <w:t xml:space="preserve">Skeptische Sicht:</w:t>
      </w:r>
      <w:r>
        <w:t xml:space="preserve"> </w:t>
      </w:r>
      <w:r>
        <w:t xml:space="preserve">Nur ein winziger Bruchteil der gesprühten Menge erreicht das Nervenwasser, während der Spiegel im Blut weit über natürliche Werte steigt. Viele beobachtete Effekte könnten daher von Wirkungen im Körper herrühren, etwa auf Herz oder Darm, die dann indirekt das Gehirn beeinflussen</w:t>
      </w:r>
      <w:r>
        <w:rPr>
          <w:rStyle w:val="FootnoteReference"/>
        </w:rPr>
        <w:footnoteReference w:id="2197"/>
      </w:r>
      <w:r>
        <w:t xml:space="preserve">.</w:t>
      </w:r>
    </w:p>
    <w:p>
      <w:pPr>
        <w:numPr>
          <w:ilvl w:val="0"/>
          <w:numId w:val="1277"/>
        </w:numPr>
        <w:pStyle w:val="Compact"/>
      </w:pPr>
      <w:r>
        <w:rPr>
          <w:bCs/>
          <w:b/>
        </w:rPr>
        <w:t xml:space="preserve">Befunde bei Affen:</w:t>
      </w:r>
      <w:r>
        <w:t xml:space="preserve"> </w:t>
      </w:r>
      <w:r>
        <w:t xml:space="preserve">Bei Rhesusaffen erreichte markiertes Oxytocin nach Nasen- und nach Venengabe das Nervenwasser; die Nase war dabei nicht überlegen</w:t>
      </w:r>
      <w:r>
        <w:rPr>
          <w:rStyle w:val="FootnoteReference"/>
        </w:rPr>
        <w:footnoteReference w:id="2198"/>
      </w:r>
      <w:r>
        <w:t xml:space="preserve">. In einer zweiten Studie fand sich markiertes Oxytocin nach Nasengabe – nicht nach Venengabe – in Hirnregionen entlang der Riech- und Trigeminusbahnen</w:t>
      </w:r>
      <w:r>
        <w:rPr>
          <w:rStyle w:val="FootnoteReference"/>
        </w:rPr>
        <w:footnoteReference w:id="2199"/>
      </w:r>
      <w:r>
        <w:t xml:space="preserve">.</w:t>
      </w:r>
    </w:p>
    <w:p>
      <w:pPr>
        <w:numPr>
          <w:ilvl w:val="0"/>
          <w:numId w:val="1277"/>
        </w:numPr>
        <w:pStyle w:val="Compact"/>
      </w:pPr>
      <w:r>
        <w:rPr>
          <w:bCs/>
          <w:b/>
        </w:rPr>
        <w:t xml:space="preserve">Befunde beim Menschen:</w:t>
      </w:r>
      <w:r>
        <w:t xml:space="preserve"> </w:t>
      </w:r>
      <w:r>
        <w:t xml:space="preserve">Eine Studie verglich Nasenspray, Vernebler und Infusion. Die Abnahme der Durchblutung im Mandelkern (Amygdala) ließ sich vollständig durch den Anstieg im Blut erklären; zugleich gab es Hinweise auf direkte Effekte über die Nase in anderen Regionen</w:t>
      </w:r>
      <w:r>
        <w:rPr>
          <w:rStyle w:val="FootnoteReference"/>
        </w:rPr>
        <w:footnoteReference w:id="2200"/>
      </w:r>
      <w:r>
        <w:t xml:space="preserve">.</w:t>
      </w:r>
    </w:p>
    <w:p>
      <w:pPr>
        <w:numPr>
          <w:ilvl w:val="0"/>
          <w:numId w:val="1277"/>
        </w:numPr>
        <w:pStyle w:val="Compact"/>
      </w:pPr>
      <w:r>
        <w:rPr>
          <w:bCs/>
          <w:b/>
        </w:rPr>
        <w:t xml:space="preserve">Messprobleme:</w:t>
      </w:r>
      <w:r>
        <w:t xml:space="preserve"> </w:t>
      </w:r>
      <w:r>
        <w:t xml:space="preserve">Oxytocin-Spiegel im Blut spiegeln die Werte im Gehirn unter Ruhebedingungen nicht wider</w:t>
      </w:r>
      <w:r>
        <w:rPr>
          <w:rStyle w:val="FootnoteReference"/>
        </w:rPr>
        <w:footnoteReference w:id="2201"/>
      </w:r>
      <w:r>
        <w:t xml:space="preserve">. Viele ältere Studien nutzten zudem Messmethoden, die heute als unzuverlässig gelten</w:t>
      </w:r>
      <w:r>
        <w:rPr>
          <w:rStyle w:val="FootnoteReference"/>
        </w:rPr>
        <w:footnoteReference w:id="2202"/>
      </w:r>
      <w:r>
        <w:t xml:space="preserve">.</w:t>
      </w:r>
    </w:p>
    <w:p>
      <w:pPr>
        <w:pStyle w:val="FirstParagraph"/>
      </w:pPr>
      <w:r>
        <w:t xml:space="preserve">Fachleute, die das Feld insgesamt positiv sehen, halten einen direkten Weg von der Nase ins Gehirn inzwischen für belegt, betonen aber, dass Dosis, Sprühtechnik und Geschlecht der Teilnehmenden die Ergebnisse stark beeinflussen</w:t>
      </w:r>
      <w:r>
        <w:rPr>
          <w:rStyle w:val="FootnoteReference"/>
        </w:rPr>
        <w:footnoteReference w:id="2203"/>
      </w:r>
      <w:r>
        <w:t xml:space="preserve">. Für Leserinnen und Leser heißt das: Ob ein Oxytocin-Nasenspray im Gehirn ankommt, hängt von vielen Details ab, und selbst Fachleute sind sich über die Größenordnung uneinig.</w:t>
      </w:r>
    </w:p>
    <w:bookmarkEnd w:id="2204"/>
    <w:bookmarkStart w:id="2206" w:name="Xb50031ec6a4b8dea26c8762477d1752363a0113"/>
    <w:p>
      <w:pPr>
        <w:pStyle w:val="Heading4"/>
      </w:pPr>
      <w:r>
        <w:t xml:space="preserve">Kurz eingeordnet: Oxytocin in der Geburtshilfe</w:t>
      </w:r>
    </w:p>
    <w:p>
      <w:pPr>
        <w:pStyle w:val="FirstParagraph"/>
      </w:pPr>
      <w:r>
        <w:t xml:space="preserve">Als Infusion oder Spritze ist Oxytocin eines der wichtigsten Medikamente der Welt; die Weltgesundheitsorganisation führt es auf ihrer Liste unentbehrlicher Arzneimittel. Es wird eingesetzt, um Wehen einzuleiten oder zu verstärken und um nach der Geburt starke Blutungen zu verhindern. Eine Cochrane-Übersicht mit 24 Studien kam zu dem Ergebnis, dass vorbeugend gegebenes Oxytocin das Risiko eines Blutverlusts von 500 ml oder mehr etwa halbiert (relatives Risiko 0,51), bei teils niedriger Qualität der Einzelstudien</w:t>
      </w:r>
      <w:r>
        <w:rPr>
          <w:rStyle w:val="FootnoteReference"/>
        </w:rPr>
        <w:footnoteReference w:id="2205"/>
      </w:r>
      <w:r>
        <w:t xml:space="preserve">. Diese Anwendung gehört ausschließlich in die Hand von Hebammen und Ärztinnen; Dosierung und Überwachung regelt die Fachinformation. Für die Bewertung des Nasensprays bei psychischen Fragestellungen spielt sie keine Rolle.</w:t>
      </w:r>
    </w:p>
    <w:bookmarkEnd w:id="2206"/>
    <w:bookmarkEnd w:id="2207"/>
    <w:bookmarkStart w:id="2252" w:name="studien-am-menschen-5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(Begriff „intranasal oxytocin“ in Titel oder Abstract) fand</w:t>
      </w:r>
      <w:r>
        <w:t xml:space="preserve"> </w:t>
      </w:r>
      <w:r>
        <w:rPr>
          <w:bCs/>
          <w:b/>
        </w:rPr>
        <w:t xml:space="preserve">349</w:t>
      </w:r>
      <w:r>
        <w:t xml:space="preserve"> </w:t>
      </w:r>
      <w:r>
        <w:t xml:space="preserve">Humanstudien in PubMed (</w:t>
      </w:r>
      <w:r>
        <w:rPr>
          <w:rStyle w:val="VerbatimChar"/>
        </w:rPr>
        <w:t xml:space="preserve">humanstudien_alle</w:t>
      </w:r>
      <w:r>
        <w:t xml:space="preserve">) und</w:t>
      </w:r>
      <w:r>
        <w:t xml:space="preserve"> </w:t>
      </w:r>
      <w:r>
        <w:rPr>
          <w:bCs/>
          <w:b/>
        </w:rPr>
        <w:t xml:space="preserve">263</w:t>
      </w:r>
      <w:r>
        <w:t xml:space="preserve"> </w:t>
      </w:r>
      <w:r>
        <w:t xml:space="preserve">Einträge bei ClinicalTrials.gov, davon rund 20 noch in der Rekrutierung. Hinzu kommen mindestens 15 Meta-Analysen und systematische Übersichten. Damit ist Oxytocin das am häufigsten am Menschen untersuchte Peptid in diesem Teil des Buches. Die große Mehrheit der Studien gab jedoch nur eine einzige Dosis an meist 20 bis 60 junge, gesunde Männer und maß kurzfristige Veränderungen in Labortests oder im Hirnscanner.</w:t>
      </w:r>
    </w:p>
    <w:p>
      <w:pPr>
        <w:pStyle w:val="BodyText"/>
      </w:pPr>
      <w:r>
        <w:t xml:space="preserve">Dieses Kapitel ordnet die Studien in vier Gruppen: Grundlagenstudien bei Gesunden mit der anschließenden Replikationskrise, Autismus als wichtigstes Behandlungsfeld, weitere psychiatrische Erkrankungen und schließlich Stoffwechsel, Schmerz und Sexualität.</w:t>
      </w:r>
    </w:p>
    <w:bookmarkStart w:id="2211" w:name="X1385ca08eb468176378469a335ae826b7672bdc"/>
    <w:p>
      <w:pPr>
        <w:pStyle w:val="Heading4"/>
      </w:pPr>
      <w:r>
        <w:t xml:space="preserve">Soziales Verhalten bei Gesunden: Vertrauen, Stress, Gefühle</w:t>
      </w:r>
    </w:p>
    <w:p>
      <w:pPr>
        <w:pStyle w:val="FirstParagraph"/>
      </w:pPr>
      <w:r>
        <w:rPr>
          <w:bCs/>
          <w:b/>
        </w:rPr>
        <w:t xml:space="preserve">Vertrauen.</w:t>
      </w:r>
      <w:r>
        <w:t xml:space="preserve"> </w:t>
      </w:r>
      <w:r>
        <w:t xml:space="preserve">Die Studie, die das Feld begründete, erschien 2005 in Nature: Männer, die Oxytocin geschnupft hatten, vertrauten in einem ökonomischen Spiel einem Fremden mehr Geld an</w:t>
      </w:r>
      <w:r>
        <w:rPr>
          <w:rStyle w:val="FootnoteReference"/>
        </w:rPr>
        <w:footnoteReference w:id="2208"/>
      </w:r>
      <w:r>
        <w:t xml:space="preserve">. In diesem „Vertrauensspiel“ entscheidet ein Investor, wie viel Geld er einem Treuhänder überlässt; der Betrag wird vervielfacht, und der Treuhänder entscheidet, wie viel er zurückgibt. Oxytocin erhöhte nicht die Risikobereitschaft allgemein, sondern speziell die Bereitschaft, soziale Risiken einzugehen.</w:t>
      </w:r>
    </w:p>
    <w:p>
      <w:pPr>
        <w:pStyle w:val="BodyText"/>
      </w:pPr>
      <w:r>
        <w:rPr>
          <w:bCs/>
          <w:b/>
        </w:rPr>
        <w:t xml:space="preserve">Stress.</w:t>
      </w:r>
      <w:r>
        <w:t xml:space="preserve"> </w:t>
      </w:r>
      <w:r>
        <w:t xml:space="preserve">In einer Studie mit 37 gesunden Männern dämpfte Oxytocin die Angst bei einem standardisierten Stresstest (öffentliche Rede und Kopfrechnen vor Publikum). Die niedrigsten Werte des Stresshormons Cortisol hatten Männer, die Oxytocin erhielten und zusätzlich von ihrem besten Freund unterstützt wurden</w:t>
      </w:r>
      <w:r>
        <w:rPr>
          <w:rStyle w:val="FootnoteReference"/>
        </w:rPr>
        <w:footnoteReference w:id="2209"/>
      </w:r>
      <w:r>
        <w:t xml:space="preserve">.</w:t>
      </w:r>
    </w:p>
    <w:p>
      <w:pPr>
        <w:pStyle w:val="BodyText"/>
      </w:pPr>
      <w:r>
        <w:rPr>
          <w:bCs/>
          <w:b/>
        </w:rPr>
        <w:t xml:space="preserve">Gefühle erkennen.</w:t>
      </w:r>
      <w:r>
        <w:t xml:space="preserve"> </w:t>
      </w:r>
      <w:r>
        <w:t xml:space="preserve">Eine Meta-Analyse von 33 Studien fand, dass eine Einzeldosis bei Gesunden die Erkennung von Grundemotionen, vor allem Angst, leicht verbesserte. Bei Menschen mit psychischen Erkrankungen zeigte sich dagegen kein Effekt</w:t>
      </w:r>
      <w:r>
        <w:rPr>
          <w:rStyle w:val="FootnoteReference"/>
        </w:rPr>
        <w:footnoteReference w:id="2210"/>
      </w:r>
      <w:r>
        <w:t xml:space="preserve">.</w:t>
      </w:r>
    </w:p>
    <w:p>
      <w:pPr>
        <w:pStyle w:val="BodyText"/>
      </w:pPr>
      <w:r>
        <w:t xml:space="preserve">Hunderte weitere Studien berichteten Effekte auf Blickverhalten, Empathie, Erinnerung an Gesichter, Gruppenzugehörigkeit, Lügen, Großzügigkeit, Eifersucht und vieles mehr. Viele dieser Befunde traten nur in Untergruppen auf, etwa nur bei Männern, nur bei ängstlichen Personen oder nur bei bestimmten Genvarianten des Oxytocin-Rezeptors.</w:t>
      </w:r>
    </w:p>
    <w:bookmarkEnd w:id="2211"/>
    <w:bookmarkStart w:id="2217" w:name="die-replikationskrise"/>
    <w:p>
      <w:pPr>
        <w:pStyle w:val="Heading4"/>
      </w:pPr>
      <w:r>
        <w:t xml:space="preserve">Die Replikationskrise</w:t>
      </w:r>
    </w:p>
    <w:p>
      <w:pPr>
        <w:pStyle w:val="FirstParagraph"/>
      </w:pPr>
      <w:r>
        <w:t xml:space="preserve">Ab etwa 2015 mehrten sich Zweifel. Der Begriff Replikationskrise beschreibt das Problem, dass viele veröffentlichte Befunde der Psychologie und Medizin nicht bestätigt werden, wenn andere Forschende sie wiederholen. Oxytocin wurde zu einem Paradebeispiel.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Art</w:t>
            </w:r>
          </w:p>
        </w:tc>
        <w:tc>
          <w:tcPr/>
          <w:p>
            <w:pPr>
              <w:pStyle w:val="Compact"/>
              <w:jc w:val="left"/>
            </w:pPr>
            <w:r>
              <w:t xml:space="preserve">Kernaussage</w:t>
            </w:r>
          </w:p>
        </w:tc>
      </w:tr>
      <w:tr>
        <w:tc>
          <w:tcPr/>
          <w:p>
            <w:pPr>
              <w:pStyle w:val="Compact"/>
              <w:jc w:val="left"/>
            </w:pPr>
            <w:r>
              <w:t xml:space="preserve">Kosfeld 2005, PMID 15931222</w:t>
            </w:r>
          </w:p>
        </w:tc>
        <w:tc>
          <w:tcPr/>
          <w:p>
            <w:pPr>
              <w:pStyle w:val="Compact"/>
              <w:jc w:val="left"/>
            </w:pPr>
            <w:r>
              <w:t xml:space="preserve">Originalstudie, Vertrauensspiel</w:t>
            </w:r>
          </w:p>
        </w:tc>
        <w:tc>
          <w:tcPr/>
          <w:p>
            <w:pPr>
              <w:pStyle w:val="Compact"/>
              <w:jc w:val="left"/>
            </w:pPr>
            <w:r>
              <w:t xml:space="preserve">Oxytocin erhöht Vertrauen</w:t>
            </w:r>
          </w:p>
        </w:tc>
      </w:tr>
      <w:tr>
        <w:tc>
          <w:tcPr/>
          <w:p>
            <w:pPr>
              <w:pStyle w:val="Compact"/>
              <w:jc w:val="left"/>
            </w:pPr>
            <w:r>
              <w:t xml:space="preserve">Nave 2015, PMID 26581735</w:t>
            </w:r>
          </w:p>
        </w:tc>
        <w:tc>
          <w:tcPr/>
          <w:p>
            <w:pPr>
              <w:pStyle w:val="Compact"/>
              <w:jc w:val="left"/>
            </w:pPr>
            <w:r>
              <w:t xml:space="preserve">kritische Übersicht</w:t>
            </w:r>
          </w:p>
        </w:tc>
        <w:tc>
          <w:tcPr/>
          <w:p>
            <w:pPr>
              <w:pStyle w:val="Compact"/>
              <w:jc w:val="left"/>
            </w:pPr>
            <w:r>
              <w:t xml:space="preserve">Der Vertrauenseffekt ließ sich nicht verlässlich wiederholen</w:t>
            </w:r>
          </w:p>
        </w:tc>
      </w:tr>
      <w:tr>
        <w:tc>
          <w:tcPr/>
          <w:p>
            <w:pPr>
              <w:pStyle w:val="Compact"/>
              <w:jc w:val="left"/>
            </w:pPr>
            <w:r>
              <w:t xml:space="preserve">Lane 2015, PMID 26368396</w:t>
            </w:r>
          </w:p>
        </w:tc>
        <w:tc>
          <w:tcPr/>
          <w:p>
            <w:pPr>
              <w:pStyle w:val="Compact"/>
              <w:jc w:val="left"/>
            </w:pPr>
            <w:r>
              <w:t xml:space="preserve">zwei Wiederholungsstudien (95 und 61 Personen)</w:t>
            </w:r>
          </w:p>
        </w:tc>
        <w:tc>
          <w:tcPr/>
          <w:p>
            <w:pPr>
              <w:pStyle w:val="Compact"/>
              <w:jc w:val="left"/>
            </w:pPr>
            <w:r>
              <w:t xml:space="preserve">großer Effekt in einem anderen Vertrauenstest nicht bestätigt</w:t>
            </w:r>
          </w:p>
        </w:tc>
      </w:tr>
      <w:tr>
        <w:tc>
          <w:tcPr/>
          <w:p>
            <w:pPr>
              <w:pStyle w:val="Compact"/>
              <w:jc w:val="left"/>
            </w:pPr>
            <w:r>
              <w:t xml:space="preserve">Walum 2016, PMID 26210057</w:t>
            </w:r>
          </w:p>
        </w:tc>
        <w:tc>
          <w:tcPr/>
          <w:p>
            <w:pPr>
              <w:pStyle w:val="Compact"/>
              <w:jc w:val="left"/>
            </w:pPr>
            <w:r>
              <w:t xml:space="preserve">statistische Analyse des Feldes</w:t>
            </w:r>
          </w:p>
        </w:tc>
        <w:tc>
          <w:tcPr/>
          <w:p>
            <w:pPr>
              <w:pStyle w:val="Compact"/>
              <w:jc w:val="left"/>
            </w:pPr>
            <w:r>
              <w:t xml:space="preserve">Studien meist zu klein; die meisten veröffentlichten Befunde vermutlich keine echten Effekte</w:t>
            </w:r>
          </w:p>
        </w:tc>
      </w:tr>
      <w:tr>
        <w:tc>
          <w:tcPr/>
          <w:p>
            <w:pPr>
              <w:pStyle w:val="Compact"/>
              <w:jc w:val="left"/>
            </w:pPr>
            <w:r>
              <w:t xml:space="preserve">Mierop 2020, PMID 32633663</w:t>
            </w:r>
          </w:p>
        </w:tc>
        <w:tc>
          <w:tcPr/>
          <w:p>
            <w:pPr>
              <w:pStyle w:val="Compact"/>
              <w:jc w:val="left"/>
            </w:pPr>
            <w:r>
              <w:t xml:space="preserve">systematische Übersicht</w:t>
            </w:r>
          </w:p>
        </w:tc>
        <w:tc>
          <w:tcPr/>
          <w:p>
            <w:pPr>
              <w:pStyle w:val="Compact"/>
              <w:jc w:val="left"/>
            </w:pPr>
            <w:r>
              <w:t xml:space="preserve">Wiederholungsversuche bei Wechselwirkungen meist erfolglos; statistische Aussagekraft kritisch niedrig</w:t>
            </w:r>
          </w:p>
        </w:tc>
      </w:tr>
      <w:tr>
        <w:tc>
          <w:tcPr/>
          <w:p>
            <w:pPr>
              <w:pStyle w:val="Compact"/>
              <w:jc w:val="left"/>
            </w:pPr>
            <w:r>
              <w:t xml:space="preserve">Declerck 2020, PMID 32514040</w:t>
            </w:r>
          </w:p>
        </w:tc>
        <w:tc>
          <w:tcPr/>
          <w:p>
            <w:pPr>
              <w:pStyle w:val="Compact"/>
              <w:jc w:val="left"/>
            </w:pPr>
            <w:r>
              <w:t xml:space="preserve">vorregistrierte Wiederholungsstudie</w:t>
            </w:r>
          </w:p>
        </w:tc>
        <w:tc>
          <w:tcPr/>
          <w:p>
            <w:pPr>
              <w:pStyle w:val="Compact"/>
              <w:jc w:val="left"/>
            </w:pPr>
            <w:r>
              <w:t xml:space="preserve">kein Effekt auf Vertrauen in der Originalbedingung</w:t>
            </w:r>
          </w:p>
        </w:tc>
      </w:tr>
      <w:tr>
        <w:tc>
          <w:tcPr/>
          <w:p>
            <w:pPr>
              <w:pStyle w:val="Compact"/>
              <w:jc w:val="left"/>
            </w:pPr>
            <w:r>
              <w:t xml:space="preserve">Vogt 2026, PMID 42561025</w:t>
            </w:r>
          </w:p>
        </w:tc>
        <w:tc>
          <w:tcPr/>
          <w:p>
            <w:pPr>
              <w:pStyle w:val="Compact"/>
              <w:jc w:val="left"/>
            </w:pPr>
            <w:r>
              <w:t xml:space="preserve">vorregistrierte Studie, 359 Männer mit geringem Grundvertrauen</w:t>
            </w:r>
          </w:p>
        </w:tc>
        <w:tc>
          <w:tcPr/>
          <w:p>
            <w:pPr>
              <w:pStyle w:val="Compact"/>
              <w:jc w:val="left"/>
            </w:pPr>
            <w:r>
              <w:t xml:space="preserve">Vertrauen um rund 15 % erhöht</w:t>
            </w:r>
          </w:p>
        </w:tc>
      </w:tr>
    </w:tbl>
    <w:p>
      <w:pPr>
        <w:pStyle w:val="BodyText"/>
      </w:pPr>
      <w:r>
        <w:t xml:space="preserve">Eine Übersicht von 2015 kam zu dem Schluss, dass die Gesamtheit der Daten nicht belegt, dass menschliches Vertrauen verlässlich mit Oxytocin zusammenhängt oder durch es verursacht wird</w:t>
      </w:r>
      <w:r>
        <w:rPr>
          <w:rStyle w:val="FootnoteReference"/>
        </w:rPr>
        <w:footnoteReference w:id="2212"/>
      </w:r>
      <w:r>
        <w:t xml:space="preserve">. Eine statistische Analyse aller Studien zum Nasenspray ging weiter: Die Studien seien in der Regel zu klein, um realistische Effekte zu finden, und mit hoher Wahrscheinlichkeit stellten die meisten veröffentlichten Befunde keine echten Effekte dar</w:t>
      </w:r>
      <w:r>
        <w:rPr>
          <w:rStyle w:val="FootnoteReference"/>
        </w:rPr>
        <w:footnoteReference w:id="2213"/>
      </w:r>
      <w:r>
        <w:t xml:space="preserve">.</w:t>
      </w:r>
    </w:p>
    <w:p>
      <w:pPr>
        <w:pStyle w:val="BodyText"/>
      </w:pPr>
      <w:r>
        <w:t xml:space="preserve">Die wichtigste Probe aufs Exempel war eine große, vorab registrierte Wiederholung der Vertrauensstudie mit einer statistischen Aussagekraft von über 95 %. In der Bedingung, die der Originalstudie entsprach, zeigte Oxytocin keine Wirkung. Eine nachträgliche Auswertung deutete auf einen Effekt nur bei Menschen mit geringem Grundvertrauen hin</w:t>
      </w:r>
      <w:r>
        <w:rPr>
          <w:rStyle w:val="FootnoteReference"/>
        </w:rPr>
        <w:footnoteReference w:id="2214"/>
      </w:r>
      <w:r>
        <w:t xml:space="preserve">. Genau diese Hypothese prüfte 2026 eine weitere vorregistrierte Studie mit 359 Männern mit geringem Grundvertrauen und fand eine Zunahme des Vertrauens um etwa 15 %</w:t>
      </w:r>
      <w:r>
        <w:rPr>
          <w:rStyle w:val="FootnoteReference"/>
        </w:rPr>
        <w:footnoteReference w:id="2215"/>
      </w:r>
      <w:r>
        <w:t xml:space="preserve">.</w:t>
      </w:r>
    </w:p>
    <w:p>
      <w:pPr>
        <w:pStyle w:val="BodyText"/>
      </w:pPr>
      <w:r>
        <w:rPr>
          <w:bCs/>
          <w:b/>
        </w:rPr>
        <w:t xml:space="preserve">Was das bedeutet:</w:t>
      </w:r>
      <w:r>
        <w:t xml:space="preserve"> </w:t>
      </w:r>
      <w:r>
        <w:t xml:space="preserve">Der ursprüngliche, breite Effekt „Oxytocin macht vertrauensvoller“ hat sich nicht bestätigt. Möglicherweise gibt es einen kleineren Effekt in einer bestimmten Untergruppe und unter bestimmten Bedingungen. Das ist wissenschaftlich interessant, aber weit von einem praktischen Nutzen entfernt. Die Erfahrungen haben das Feld verändert: Studien werden heute häufiger vorab registriert, sind größer und berichten auch negative Ergebnisse. Eine 2026 vorgestellte Online-Plattform soll die Studienlage laufend auswerten</w:t>
      </w:r>
      <w:r>
        <w:rPr>
          <w:rStyle w:val="FootnoteReference"/>
        </w:rPr>
        <w:footnoteReference w:id="2216"/>
      </w:r>
      <w:r>
        <w:t xml:space="preserve">.</w:t>
      </w:r>
    </w:p>
    <w:bookmarkEnd w:id="2217"/>
    <w:bookmarkStart w:id="2230" w:name="autismus"/>
    <w:p>
      <w:pPr>
        <w:pStyle w:val="Heading4"/>
      </w:pPr>
      <w:r>
        <w:t xml:space="preserve">Autismus</w:t>
      </w:r>
    </w:p>
    <w:p>
      <w:pPr>
        <w:pStyle w:val="FirstParagraph"/>
      </w:pPr>
      <w:r>
        <w:t xml:space="preserve">Autismus-Spektrum-Störungen sind durch Schwierigkeiten in der sozialen Kommunikation und durch eingeschränkte, sich wiederholende Verhaltensweisen gekennzeichnet. Es gibt keine Medikamente, die diese Kernmerkmale verändern. Oxytocin galt deshalb lange als große Hoffnung, und in einigen Ländern wurde es Kindern mit Autismus bereits außerhalb von Studien verschrieben</w:t>
      </w:r>
      <w:r>
        <w:rPr>
          <w:rStyle w:val="FootnoteReference"/>
        </w:rPr>
        <w:footnoteReference w:id="2218"/>
      </w:r>
      <w:r>
        <w:t xml:space="preserve">.</w:t>
      </w:r>
    </w:p>
    <w:p>
      <w:pPr>
        <w:pStyle w:val="BodyText"/>
      </w:pPr>
      <w:r>
        <w:rPr>
          <w:bCs/>
          <w:b/>
        </w:rPr>
        <w:t xml:space="preserve">Frühe Studien.</w:t>
      </w:r>
      <w:r>
        <w:t xml:space="preserve"> </w:t>
      </w:r>
      <w:r>
        <w:t xml:space="preserve">Eine systematische Übersicht von 2014 fand sieben randomisierte Studien mit zusammen 101 Personen mit Autismus, fast alle männlich. Die Studien waren klein (im Median 15 Teilnehmende) und hatten ein mittleres bis hohes Verzerrungsrisiko. Fast alle berichteten mindestens ein positives Ergebnis, meist bei Blickverhalten oder Gefühlserkennung</w:t>
      </w:r>
      <w:r>
        <w:rPr>
          <w:rStyle w:val="FootnoteReference"/>
        </w:rPr>
        <w:footnoteReference w:id="2219"/>
      </w:r>
      <w:r>
        <w:t xml:space="preserve">.</w:t>
      </w:r>
    </w:p>
    <w:p>
      <w:pPr>
        <w:pStyle w:val="BodyText"/>
      </w:pPr>
      <w:r>
        <w:rPr>
          <w:bCs/>
          <w:b/>
        </w:rPr>
        <w:t xml:space="preserve">Behandlungsstudien über Wochen.</w:t>
      </w:r>
      <w:r>
        <w:t xml:space="preserve"> </w:t>
      </w:r>
      <w:r>
        <w:t xml:space="preserve">Danach folgten Studien, in denen Kinder und Erwachsene Oxytocin über mehrere Wochen erhielten: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Anagnostou 2012, PMID 23216716</w:t>
            </w:r>
          </w:p>
        </w:tc>
        <w:tc>
          <w:tcPr/>
          <w:p>
            <w:pPr>
              <w:pStyle w:val="Compact"/>
              <w:jc w:val="left"/>
            </w:pPr>
            <w:r>
              <w:t xml:space="preserve">19 Erwachsene, RCT</w:t>
            </w:r>
          </w:p>
        </w:tc>
        <w:tc>
          <w:tcPr/>
          <w:p>
            <w:pPr>
              <w:pStyle w:val="Compact"/>
              <w:jc w:val="left"/>
            </w:pPr>
            <w:r>
              <w:t xml:space="preserve">6 Wochen</w:t>
            </w:r>
          </w:p>
        </w:tc>
        <w:tc>
          <w:tcPr/>
          <w:p>
            <w:pPr>
              <w:pStyle w:val="Compact"/>
              <w:jc w:val="left"/>
            </w:pPr>
            <w:r>
              <w:t xml:space="preserve">Hauptziele nicht erreicht; Verbesserung in Nebenzielen</w:t>
            </w:r>
          </w:p>
        </w:tc>
      </w:tr>
      <w:tr>
        <w:tc>
          <w:tcPr/>
          <w:p>
            <w:pPr>
              <w:pStyle w:val="Compact"/>
              <w:jc w:val="left"/>
            </w:pPr>
            <w:r>
              <w:t xml:space="preserve">Guastella 2015, PMID 25087908</w:t>
            </w:r>
          </w:p>
        </w:tc>
        <w:tc>
          <w:tcPr/>
          <w:p>
            <w:pPr>
              <w:pStyle w:val="Compact"/>
              <w:jc w:val="left"/>
            </w:pPr>
            <w:r>
              <w:t xml:space="preserve">50 männliche Jugendliche (12–18 Jahre), RCT</w:t>
            </w:r>
          </w:p>
        </w:tc>
        <w:tc>
          <w:tcPr/>
          <w:p>
            <w:pPr>
              <w:pStyle w:val="Compact"/>
              <w:jc w:val="left"/>
            </w:pPr>
            <w:r>
              <w:t xml:space="preserve">8 Wochen</w:t>
            </w:r>
          </w:p>
        </w:tc>
        <w:tc>
          <w:tcPr/>
          <w:p>
            <w:pPr>
              <w:pStyle w:val="Compact"/>
              <w:jc w:val="left"/>
            </w:pPr>
            <w:r>
              <w:t xml:space="preserve">kein Nutzen bei Haupt- oder Nebenzielen</w:t>
            </w:r>
          </w:p>
        </w:tc>
      </w:tr>
      <w:tr>
        <w:tc>
          <w:tcPr/>
          <w:p>
            <w:pPr>
              <w:pStyle w:val="Compact"/>
              <w:jc w:val="left"/>
            </w:pPr>
            <w:r>
              <w:t xml:space="preserve">Yatawara 2016, PMID 26503762</w:t>
            </w:r>
          </w:p>
        </w:tc>
        <w:tc>
          <w:tcPr/>
          <w:p>
            <w:pPr>
              <w:pStyle w:val="Compact"/>
              <w:jc w:val="left"/>
            </w:pPr>
            <w:r>
              <w:t xml:space="preserve">31 junge Kinder, Kreuzstudie gegen Placebo</w:t>
            </w:r>
          </w:p>
        </w:tc>
        <w:tc>
          <w:tcPr/>
          <w:p>
            <w:pPr>
              <w:pStyle w:val="Compact"/>
              <w:jc w:val="left"/>
            </w:pPr>
            <w:r>
              <w:t xml:space="preserve">je 5 Wochen</w:t>
            </w:r>
          </w:p>
        </w:tc>
        <w:tc>
          <w:tcPr/>
          <w:p>
            <w:pPr>
              <w:pStyle w:val="Compact"/>
              <w:jc w:val="left"/>
            </w:pPr>
            <w:r>
              <w:t xml:space="preserve">soziale Ansprechbarkeit laut Eltern verbessert</w:t>
            </w:r>
          </w:p>
        </w:tc>
      </w:tr>
      <w:tr>
        <w:tc>
          <w:tcPr/>
          <w:p>
            <w:pPr>
              <w:pStyle w:val="Compact"/>
              <w:jc w:val="left"/>
            </w:pPr>
            <w:r>
              <w:t xml:space="preserve">Parker 2017, PMID 28696286</w:t>
            </w:r>
          </w:p>
        </w:tc>
        <w:tc>
          <w:tcPr/>
          <w:p>
            <w:pPr>
              <w:pStyle w:val="Compact"/>
              <w:jc w:val="left"/>
            </w:pPr>
            <w:r>
              <w:t xml:space="preserve">32 Kinder (6–12 Jahre), RCT</w:t>
            </w:r>
          </w:p>
        </w:tc>
        <w:tc>
          <w:tcPr/>
          <w:p>
            <w:pPr>
              <w:pStyle w:val="Compact"/>
              <w:jc w:val="left"/>
            </w:pPr>
            <w:r>
              <w:t xml:space="preserve">4 Wochen</w:t>
            </w:r>
          </w:p>
        </w:tc>
        <w:tc>
          <w:tcPr/>
          <w:p>
            <w:pPr>
              <w:pStyle w:val="Compact"/>
              <w:jc w:val="left"/>
            </w:pPr>
            <w:r>
              <w:t xml:space="preserve">soziale Fähigkeiten verbessert, wenn Ausgangswerte im Blut berücksichtigt; niedriger Ausgangsspiegel sagte Ansprechen voraus</w:t>
            </w:r>
          </w:p>
        </w:tc>
      </w:tr>
      <w:tr>
        <w:tc>
          <w:tcPr/>
          <w:p>
            <w:pPr>
              <w:pStyle w:val="Compact"/>
              <w:jc w:val="left"/>
            </w:pPr>
            <w:r>
              <w:t xml:space="preserve">SOARS-B (Sikich 2021), PMID 34644471</w:t>
            </w:r>
          </w:p>
        </w:tc>
        <w:tc>
          <w:tcPr/>
          <w:p>
            <w:pPr>
              <w:pStyle w:val="Compact"/>
              <w:jc w:val="left"/>
            </w:pPr>
            <w:r>
              <w:t xml:space="preserve">290 Kinder und Jugendliche (3–17 Jahre), RCT</w:t>
            </w:r>
          </w:p>
        </w:tc>
        <w:tc>
          <w:tcPr/>
          <w:p>
            <w:pPr>
              <w:pStyle w:val="Compact"/>
              <w:jc w:val="left"/>
            </w:pPr>
            <w:r>
              <w:t xml:space="preserve">24 Wochen</w:t>
            </w:r>
          </w:p>
        </w:tc>
        <w:tc>
          <w:tcPr/>
          <w:p>
            <w:pPr>
              <w:pStyle w:val="Compact"/>
              <w:jc w:val="left"/>
            </w:pPr>
            <w:r>
              <w:t xml:space="preserve">kein Unterschied: −3,7 vs. −3,5 Punkte im sozialen Rückzug</w:t>
            </w:r>
          </w:p>
        </w:tc>
      </w:tr>
      <w:tr>
        <w:tc>
          <w:tcPr/>
          <w:p>
            <w:pPr>
              <w:pStyle w:val="Compact"/>
              <w:jc w:val="left"/>
            </w:pPr>
            <w:r>
              <w:t xml:space="preserve">Guastella 2023, PMID 36302965</w:t>
            </w:r>
          </w:p>
        </w:tc>
        <w:tc>
          <w:tcPr/>
          <w:p>
            <w:pPr>
              <w:pStyle w:val="Compact"/>
              <w:jc w:val="left"/>
            </w:pPr>
            <w:r>
              <w:t xml:space="preserve">87 Kinder (3–12 Jahre), RCT nach Placebo-Vorphase</w:t>
            </w:r>
          </w:p>
        </w:tc>
        <w:tc>
          <w:tcPr/>
          <w:p>
            <w:pPr>
              <w:pStyle w:val="Compact"/>
              <w:jc w:val="left"/>
            </w:pPr>
            <w:r>
              <w:t xml:space="preserve">12 Wochen</w:t>
            </w:r>
          </w:p>
        </w:tc>
        <w:tc>
          <w:tcPr/>
          <w:p>
            <w:pPr>
              <w:pStyle w:val="Compact"/>
              <w:jc w:val="left"/>
            </w:pPr>
            <w:r>
              <w:t xml:space="preserve">insgesamt kein Effekt; Hinweis auf Wirkung bei 3- bis 5-Jährigen</w:t>
            </w:r>
          </w:p>
        </w:tc>
      </w:tr>
    </w:tbl>
    <w:p>
      <w:pPr>
        <w:pStyle w:val="BodyText"/>
      </w:pPr>
      <w:r>
        <w:rPr>
          <w:bCs/>
          <w:b/>
        </w:rPr>
        <w:t xml:space="preserve">Die SOARS-B-Studie.</w:t>
      </w:r>
      <w:r>
        <w:t xml:space="preserve"> </w:t>
      </w:r>
      <w:r>
        <w:t xml:space="preserve">Die mit Abstand größte und aussagekräftigste Studie ist SOARS-B (Study of Oxytocin in Autism to Improve Reciprocal Social Behaviors), finanziert von den US-Gesundheitsbehörden und 2021 im New England Journal of Medicine veröffentlicht</w:t>
      </w:r>
      <w:r>
        <w:rPr>
          <w:rStyle w:val="FootnoteReference"/>
        </w:rPr>
        <w:footnoteReference w:id="2220"/>
      </w:r>
      <w:r>
        <w:t xml:space="preserve">. 290 Kinder und Jugendliche zwischen 3 und 17 Jahren erhielten über 24 Wochen täglich Oxytocin oder ein Placebo-Nasenspray. Hauptzielgröße war eine Skala für sozialen Rückzug (ABC-mSW, 0 bis 39 Punkte).</w:t>
      </w:r>
    </w:p>
    <w:p>
      <w:pPr>
        <w:pStyle w:val="BodyText"/>
      </w:pPr>
      <w:r>
        <w:t xml:space="preserve">Das Ergebnis war eindeutig negativ: Der Wert sank unter Oxytocin um 3,7 Punkte, unter Placebo um 3,5 Punkte. Der Unterschied von 0,2 Punkten war weder statistisch noch klinisch bedeutsam. Auch die Nebenziele – zwei weitere Maße für soziale Funktion und ein Intelligenztest – unterschieden sich nicht. Nebenwirkungen waren in beiden Gruppen gleich häufig.</w:t>
      </w:r>
    </w:p>
    <w:p>
      <w:pPr>
        <w:pStyle w:val="BodyText"/>
      </w:pPr>
      <w:r>
        <w:rPr>
          <w:bCs/>
          <w:b/>
        </w:rPr>
        <w:t xml:space="preserve">Die australische Studie bei jungen Kindern.</w:t>
      </w:r>
      <w:r>
        <w:t xml:space="preserve"> </w:t>
      </w:r>
      <w:r>
        <w:t xml:space="preserve">Die Gruppe um Adam Guastella hatte zuvor bei jungen Kindern ein positives Ergebnis gefunden</w:t>
      </w:r>
      <w:r>
        <w:rPr>
          <w:rStyle w:val="FootnoteReference"/>
        </w:rPr>
        <w:footnoteReference w:id="2221"/>
      </w:r>
      <w:r>
        <w:t xml:space="preserve">. Eine größere Folgestudie mit 87 Kindern schaltete eine dreiwöchige Placebo-Vorphase vor, um den starken Placeboeffekt herauszufiltern. Insgesamt zeigte Oxytocin keinen Effekt auf die soziale Ansprechbarkeit. Nur in der Untergruppe der 3- bis 5-Jährigen deutete sich eine Verbesserung laut Elternurteil an; das ärztliche Urteil und alle anderen Maße zeigten keinen Nutzen</w:t>
      </w:r>
      <w:r>
        <w:rPr>
          <w:rStyle w:val="FootnoteReference"/>
        </w:rPr>
        <w:footnoteReference w:id="2222"/>
      </w:r>
      <w:r>
        <w:t xml:space="preserve">. Auffällig: In der Jugendlichen-Studie von 2015 berichteten Eltern, die glaubten, ihr Kind erhalte Oxytocin, über größere Verbesserungen – unabhängig davon, was das Kind tatsächlich bekam</w:t>
      </w:r>
      <w:r>
        <w:rPr>
          <w:rStyle w:val="FootnoteReference"/>
        </w:rPr>
        <w:footnoteReference w:id="2223"/>
      </w:r>
      <w:r>
        <w:t xml:space="preserve">.</w:t>
      </w:r>
    </w:p>
    <w:p>
      <w:pPr>
        <w:pStyle w:val="BodyText"/>
      </w:pPr>
      <w:r>
        <w:rPr>
          <w:bCs/>
          <w:b/>
        </w:rPr>
        <w:t xml:space="preserve">Biologische Effekte ohne klinischen Nutzen.</w:t>
      </w:r>
      <w:r>
        <w:t xml:space="preserve"> </w:t>
      </w:r>
      <w:r>
        <w:t xml:space="preserve">Eine Studie mit 79 Kindern fand nach vier Wochen Oxytocin höhere Oxytocin-Spiegel im Speichel und Veränderungen an der Erbgut-Markierung des Rezeptor-Gens</w:t>
      </w:r>
      <w:r>
        <w:rPr>
          <w:rStyle w:val="FootnoteReference"/>
        </w:rPr>
        <w:footnoteReference w:id="2224"/>
      </w:r>
      <w:r>
        <w:t xml:space="preserve">. Im Hirnscanner zeigten sich in derselben Gruppe dagegen keine signifikanten Behandlungseffekte auf die Gesichtsverarbeitung</w:t>
      </w:r>
      <w:r>
        <w:rPr>
          <w:rStyle w:val="FootnoteReference"/>
        </w:rPr>
        <w:footnoteReference w:id="2225"/>
      </w:r>
      <w:r>
        <w:t xml:space="preserve">. Solche biologischen Signale sind wissenschaftlich interessant, belegen aber keine Verbesserung im Alltag.</w:t>
      </w:r>
    </w:p>
    <w:p>
      <w:pPr>
        <w:pStyle w:val="BodyText"/>
      </w:pPr>
      <w:r>
        <w:rPr>
          <w:bCs/>
          <w:b/>
        </w:rPr>
        <w:t xml:space="preserve">Meta-Analysen.</w:t>
      </w:r>
      <w:r>
        <w:t xml:space="preserve"> </w:t>
      </w:r>
      <w:r>
        <w:t xml:space="preserve">Die Zusammenfassungen kommen zu unterschiedlichen Ergebnissen, je nachdem, welche Studien sie einschließen:</w:t>
      </w:r>
    </w:p>
    <w:p>
      <w:pPr>
        <w:numPr>
          <w:ilvl w:val="0"/>
          <w:numId w:val="1278"/>
        </w:numPr>
        <w:pStyle w:val="Compact"/>
      </w:pPr>
      <w:r>
        <w:t xml:space="preserve">Eine Meta-Analyse von 17 randomisierten Studien mit 466 Personen mit Entwicklungsstörungen fand keinen Effekt auf die Gefühlserkennung und einen kleinen Effekt auf das Verständnis der Gedanken anderer</w:t>
      </w:r>
      <w:r>
        <w:rPr>
          <w:rStyle w:val="FootnoteReference"/>
        </w:rPr>
        <w:footnoteReference w:id="2226"/>
      </w:r>
      <w:r>
        <w:t xml:space="preserve">.</w:t>
      </w:r>
    </w:p>
    <w:p>
      <w:pPr>
        <w:numPr>
          <w:ilvl w:val="0"/>
          <w:numId w:val="1278"/>
        </w:numPr>
        <w:pStyle w:val="Compact"/>
      </w:pPr>
      <w:r>
        <w:t xml:space="preserve">Eine Meta-Analyse von 28 Studien mit 726 Personen mit Autismus, darunter auch nicht kontrollierte, kam zu einem positiveren Urteil über die soziale Funktion</w:t>
      </w:r>
      <w:r>
        <w:rPr>
          <w:rStyle w:val="FootnoteReference"/>
        </w:rPr>
        <w:footnoteReference w:id="2227"/>
      </w:r>
      <w:r>
        <w:t xml:space="preserve">. Der Einschluss unkontrollierter Studien macht dieses Ergebnis anfällig für Verzerrungen.</w:t>
      </w:r>
    </w:p>
    <w:p>
      <w:pPr>
        <w:numPr>
          <w:ilvl w:val="0"/>
          <w:numId w:val="1278"/>
        </w:numPr>
        <w:pStyle w:val="Compact"/>
      </w:pPr>
      <w:r>
        <w:t xml:space="preserve">Die bislang größte Meta-Analyse über alle psychischen Erkrankungen (42 doppelblinde Studien, 1.922 Personen) fand insgesamt keinen signifikanten Effekt. Nach Ausschluss zweier Ausreißer lag die Effektstärke nahe null</w:t>
      </w:r>
      <w:r>
        <w:rPr>
          <w:rStyle w:val="FootnoteReference"/>
        </w:rPr>
        <w:footnoteReference w:id="2228"/>
      </w:r>
      <w:r>
        <w:t xml:space="preserve">.</w:t>
      </w:r>
    </w:p>
    <w:p>
      <w:pPr>
        <w:pStyle w:val="FirstParagraph"/>
      </w:pPr>
      <w:r>
        <w:rPr>
          <w:bCs/>
          <w:b/>
        </w:rPr>
        <w:t xml:space="preserve">Zwischenfazit Autismus:</w:t>
      </w:r>
      <w:r>
        <w:t xml:space="preserve"> </w:t>
      </w:r>
      <w:r>
        <w:t xml:space="preserve">Nach der großen SOARS-B-Studie und der australischen Folgestudie gibt es keinen belastbaren Beleg, dass Oxytocin-Nasenspray das Sozialverhalten von Kindern und Jugendlichen mit Autismus im Alltag verbessert. Forschende diskutieren, ob bestimmte Untergruppen – sehr junge Kinder, Kinder mit niedrigem Oxytocin-Spiegel – profitieren könnten, und schlagen einen personalisierten Ansatz vor</w:t>
      </w:r>
      <w:r>
        <w:rPr>
          <w:rStyle w:val="FootnoteReference"/>
        </w:rPr>
        <w:footnoteReference w:id="2229"/>
      </w:r>
      <w:r>
        <w:t xml:space="preserve">. Bis das in eigenen Studien bestätigt ist, bleibt es eine Hypothese.</w:t>
      </w:r>
    </w:p>
    <w:bookmarkEnd w:id="2230"/>
    <w:bookmarkStart w:id="2238" w:name="weitere-psychische-erkrankungen"/>
    <w:p>
      <w:pPr>
        <w:pStyle w:val="Heading4"/>
      </w:pPr>
      <w:r>
        <w:t xml:space="preserve">Weitere psychische Erkrankungen</w:t>
      </w:r>
    </w:p>
    <w:p>
      <w:pPr>
        <w:pStyle w:val="FirstParagraph"/>
      </w:pPr>
      <w:r>
        <w:rPr>
          <w:bCs/>
          <w:b/>
        </w:rPr>
        <w:t xml:space="preserve">Schizophrenie.</w:t>
      </w:r>
      <w:r>
        <w:t xml:space="preserve"> </w:t>
      </w:r>
      <w:r>
        <w:t xml:space="preserve">In einer zwölfwöchigen Studie mit 68 Personen verbesserte Oxytocin die soziale Wahrnehmung nicht</w:t>
      </w:r>
      <w:r>
        <w:rPr>
          <w:rStyle w:val="FootnoteReference"/>
        </w:rPr>
        <w:footnoteReference w:id="2231"/>
      </w:r>
      <w:r>
        <w:t xml:space="preserve">. Eine Meta-Analyse von neun Studien fand keinen konsistenten Effekt auf sogenannte Negativsymptome wie Antriebslosigkeit und sozialen Rückzug</w:t>
      </w:r>
      <w:r>
        <w:rPr>
          <w:rStyle w:val="FootnoteReference"/>
        </w:rPr>
        <w:footnoteReference w:id="2232"/>
      </w:r>
      <w:r>
        <w:t xml:space="preserve">. Die große Meta-Analyse von 2026 sah in dieser Gruppe einen kleinen, gerade signifikanten Effekt (Effektstärke 0,12) und stellte fest, dass Studien mit mehr Frauen tendenziell größere Effekte zeigten</w:t>
      </w:r>
      <w:r>
        <w:rPr>
          <w:rStyle w:val="FootnoteReference"/>
        </w:rPr>
        <w:footnoteReference w:id="2233"/>
      </w:r>
      <w:r>
        <w:t xml:space="preserve">.</w:t>
      </w:r>
    </w:p>
    <w:p>
      <w:pPr>
        <w:pStyle w:val="BodyText"/>
      </w:pPr>
      <w:r>
        <w:rPr>
          <w:bCs/>
          <w:b/>
        </w:rPr>
        <w:t xml:space="preserve">Alkohol.</w:t>
      </w:r>
      <w:r>
        <w:t xml:space="preserve"> </w:t>
      </w:r>
      <w:r>
        <w:t xml:space="preserve">In einer norwegischen Studie mit 40 Personen im Alkoholentzug verringerte Oxytocin den Bedarf an Beruhigungsmitteln nicht signifikant</w:t>
      </w:r>
      <w:r>
        <w:rPr>
          <w:rStyle w:val="FootnoteReference"/>
        </w:rPr>
        <w:footnoteReference w:id="2234"/>
      </w:r>
      <w:r>
        <w:t xml:space="preserve">. Eine Meta-Analyse von sechs randomisierten Studien zur Alkoholabhängigkeit fand keinen Effekt; eine bayessche Auswertung sprach sogar mäßig für das Fehlen einer Wirkung</w:t>
      </w:r>
      <w:r>
        <w:rPr>
          <w:rStyle w:val="FootnoteReference"/>
        </w:rPr>
        <w:footnoteReference w:id="2235"/>
      </w:r>
      <w:r>
        <w:t xml:space="preserve">.</w:t>
      </w:r>
    </w:p>
    <w:p>
      <w:pPr>
        <w:pStyle w:val="BodyText"/>
      </w:pPr>
      <w:r>
        <w:rPr>
          <w:bCs/>
          <w:b/>
        </w:rPr>
        <w:t xml:space="preserve">Kombination mit Psychotherapie.</w:t>
      </w:r>
      <w:r>
        <w:t xml:space="preserve"> </w:t>
      </w:r>
      <w:r>
        <w:t xml:space="preserve">Eine neuere Idee ist, Oxytocin nicht allein, sondern als Verstärker einer Psychotherapie zu geben. Eine Übersicht über 13 Studien mit 518 Teilnehmenden fand Hinweise auf weniger depressive Symptome und eine bessere therapeutische Beziehung, aber keinen Effekt auf psychiatrische Symptome insgesamt oder auf die soziale Funktion; nur vier Studien konnten zusammengefasst werden</w:t>
      </w:r>
      <w:r>
        <w:rPr>
          <w:rStyle w:val="FootnoteReference"/>
        </w:rPr>
        <w:footnoteReference w:id="2236"/>
      </w:r>
      <w:r>
        <w:t xml:space="preserve">.</w:t>
      </w:r>
    </w:p>
    <w:p>
      <w:pPr>
        <w:pStyle w:val="BodyText"/>
      </w:pPr>
      <w:r>
        <w:rPr>
          <w:bCs/>
          <w:b/>
        </w:rPr>
        <w:t xml:space="preserve">Nach der Geburt.</w:t>
      </w:r>
      <w:r>
        <w:t xml:space="preserve"> </w:t>
      </w:r>
      <w:r>
        <w:t xml:space="preserve">Bei 45 Müttern mit (teils unterschwelliger) Wochenbettdepression erhöhte eine Einzeldosis die positive Stimmung und die positive Zuwendung zum Kind, nicht aber die Feinfühligkeit im Umgang</w:t>
      </w:r>
      <w:r>
        <w:rPr>
          <w:rStyle w:val="FootnoteReference"/>
        </w:rPr>
        <w:footnoteReference w:id="2237"/>
      </w:r>
      <w:r>
        <w:t xml:space="preserve">.</w:t>
      </w:r>
    </w:p>
    <w:bookmarkEnd w:id="2238"/>
    <w:bookmarkStart w:id="2245" w:name="stoffwechsel-gewicht-und-schmerz"/>
    <w:p>
      <w:pPr>
        <w:pStyle w:val="Heading4"/>
      </w:pPr>
      <w:r>
        <w:t xml:space="preserve">Stoffwechsel, Gewicht und Schmerz</w:t>
      </w:r>
    </w:p>
    <w:p>
      <w:pPr>
        <w:pStyle w:val="FirstParagraph"/>
      </w:pPr>
      <w:r>
        <w:rPr>
          <w:bCs/>
          <w:b/>
        </w:rPr>
        <w:t xml:space="preserve">Adipositas.</w:t>
      </w:r>
      <w:r>
        <w:t xml:space="preserve"> </w:t>
      </w:r>
      <w:r>
        <w:t xml:space="preserve">Weil Oxytocin bei Tieren die Nahrungsaufnahme senkt und den Energieverbrauch steigert, wurde es als Abnehmmittel geprüft. Eine Meta-Analyse fand, dass eine Einzeldosis bei Menschen ohne psychische Erkrankung die Essmenge bei einer Testmahlzeit verringerte</w:t>
      </w:r>
      <w:r>
        <w:rPr>
          <w:rStyle w:val="FootnoteReference"/>
        </w:rPr>
        <w:footnoteReference w:id="2239"/>
      </w:r>
      <w:r>
        <w:t xml:space="preserve">. Die entscheidende Prüfung war eine Studie mit 61 Erwachsenen mit Adipositas, die acht Wochen lang viermal täglich Oxytocin oder Placebo sprühten. Das Gewicht änderte sich nicht: +0,20 kg unter Oxytocin, +0,26 kg unter Placebo. Auch Körperfett, Leberfett und Energieverbrauch blieben unverändert; nur bei einer Testmahlzeit aßen die Teilnehmenden weniger</w:t>
      </w:r>
      <w:r>
        <w:rPr>
          <w:rStyle w:val="FootnoteReference"/>
        </w:rPr>
        <w:footnoteReference w:id="2240"/>
      </w:r>
      <w:r>
        <w:t xml:space="preserve">. Eine kleine Pilotstudie bei 21 älteren Menschen mit Übergewicht und Muskelschwund fand einen Zuwachs an Muskelmasse von 2,25 kg</w:t>
      </w:r>
      <w:r>
        <w:rPr>
          <w:rStyle w:val="FootnoteReference"/>
        </w:rPr>
        <w:footnoteReference w:id="2241"/>
      </w:r>
      <w:r>
        <w:t xml:space="preserve">; das muss in größeren Studien bestätigt werden.</w:t>
      </w:r>
    </w:p>
    <w:p>
      <w:pPr>
        <w:pStyle w:val="BodyText"/>
      </w:pPr>
      <w:r>
        <w:rPr>
          <w:bCs/>
          <w:b/>
        </w:rPr>
        <w:t xml:space="preserve">Prader-Willi-Syndrom.</w:t>
      </w:r>
      <w:r>
        <w:t xml:space="preserve"> </w:t>
      </w:r>
      <w:r>
        <w:t xml:space="preserve">Bei dieser seltenen genetischen Erkrankung mit unstillbarem Hunger und vermindertem Oxytocin im Hypothalamus waren die Erwartungen besonders groß. Eine Meta-Analyse fand keinen Effekt auf Heißhunger oder Gewicht</w:t>
      </w:r>
      <w:r>
        <w:rPr>
          <w:rStyle w:val="FootnoteReference"/>
        </w:rPr>
        <w:footnoteReference w:id="2242"/>
      </w:r>
      <w:r>
        <w:t xml:space="preserve">. In einer Studie mit 23 Kindern besserten sich Heißhunger und Wiederholungsverhalten sogar eher unter Placebo</w:t>
      </w:r>
      <w:r>
        <w:rPr>
          <w:rStyle w:val="FootnoteReference"/>
        </w:rPr>
        <w:footnoteReference w:id="2243"/>
      </w:r>
      <w:r>
        <w:t xml:space="preserve">.</w:t>
      </w:r>
    </w:p>
    <w:p>
      <w:pPr>
        <w:pStyle w:val="BodyText"/>
      </w:pPr>
      <w:r>
        <w:rPr>
          <w:bCs/>
          <w:b/>
        </w:rPr>
        <w:t xml:space="preserve">Schmerz.</w:t>
      </w:r>
      <w:r>
        <w:t xml:space="preserve"> </w:t>
      </w:r>
      <w:r>
        <w:t xml:space="preserve">Eine Meta-Analyse von 15 Studien fand keinen signifikanten Effekt auf Schmerzintensität oder Unannehmlichkeit des Schmerzes</w:t>
      </w:r>
      <w:r>
        <w:rPr>
          <w:rStyle w:val="FootnoteReference"/>
        </w:rPr>
        <w:footnoteReference w:id="2244"/>
      </w:r>
      <w:r>
        <w:t xml:space="preserve">.</w:t>
      </w:r>
    </w:p>
    <w:bookmarkEnd w:id="2245"/>
    <w:bookmarkStart w:id="2248" w:name="sexualität"/>
    <w:p>
      <w:pPr>
        <w:pStyle w:val="Heading4"/>
      </w:pPr>
      <w:r>
        <w:t xml:space="preserve">Sexualität</w:t>
      </w:r>
    </w:p>
    <w:p>
      <w:pPr>
        <w:pStyle w:val="FirstParagraph"/>
      </w:pPr>
      <w:r>
        <w:t xml:space="preserve">Oxytocin wird beim Orgasmus ausgeschüttet und im Internet als Mittel für ein intensiveres Liebesleben beworben. In einer Laborstudie mit zehn Männern erhöhte ein Nasenspray den Oxytocin-Spiegel im Blut deutlich, veränderte aber Verlangen, Erregung, Orgasmus und Erholungsphase nach den Fragebögen nicht</w:t>
      </w:r>
      <w:r>
        <w:rPr>
          <w:rStyle w:val="FootnoteReference"/>
        </w:rPr>
        <w:footnoteReference w:id="2246"/>
      </w:r>
      <w:r>
        <w:t xml:space="preserve">. Eine Meta-Analyse zu Medikamenten gegen sexuelle Funktionsstörungen der Frau, die auch Oxytocin-Studien einschloss, fand, dass rund zwei Drittel der Verbesserung auch unter Placebo auftraten</w:t>
      </w:r>
      <w:r>
        <w:rPr>
          <w:rStyle w:val="FootnoteReference"/>
        </w:rPr>
        <w:footnoteReference w:id="2247"/>
      </w:r>
      <w:r>
        <w:t xml:space="preserve">. Belastbare Belege für eine Wirkung auf die Sexualität gibt es nicht.</w:t>
      </w:r>
    </w:p>
    <w:bookmarkEnd w:id="2248"/>
    <w:bookmarkStart w:id="2251" w:name="oxytocin-mangel-als-krankheit"/>
    <w:p>
      <w:pPr>
        <w:pStyle w:val="Heading4"/>
      </w:pPr>
      <w:r>
        <w:t xml:space="preserve">Oxytocin-Mangel als Krankheit</w:t>
      </w:r>
    </w:p>
    <w:p>
      <w:pPr>
        <w:pStyle w:val="FirstParagraph"/>
      </w:pPr>
      <w:r>
        <w:t xml:space="preserve">Ein neues und medizinisch plausibles Feld ist der echte Oxytocin-Mangel. Menschen, deren Hypothalamus oder Hirnanhangdrüse etwa durch einen Tumor oder eine Operation geschädigt ist, haben oft einen Vasopressin-Mangel (früher zentraler Diabetes insipidus). Eine Schweizer Studie nutzte die Droge MDMA, die bei Gesunden kräftig Oxytocin freisetzt, als Provokationstest. Bei 15 Gesunden stieg Oxytocin stark an, bei 15 Betroffenen kaum; die Fläche unter der Kurve war bei Gesunden um 82 % größer, und die Betroffenen spürten kaum die typischen sozialen und angstlösenden Effekte</w:t>
      </w:r>
      <w:r>
        <w:rPr>
          <w:rStyle w:val="FootnoteReference"/>
        </w:rPr>
        <w:footnoteReference w:id="2249"/>
      </w:r>
      <w:r>
        <w:t xml:space="preserve">. Das spricht dafür, dass viele dieser Menschen auch einen Oxytocin-Mangel haben. Ob ein Ersatz per Nasenspray ihre psychischen Beschwerden lindert, prüft eine laufende Studie</w:t>
      </w:r>
      <w:r>
        <w:rPr>
          <w:rStyle w:val="FootnoteReference"/>
        </w:rPr>
        <w:footnoteReference w:id="2250"/>
      </w:r>
      <w:r>
        <w:t xml:space="preserve">. Auch Kisspeptin wird als möglicher Test für einen Oxytocin-Mangel untersucht (Galbiati 2025, PMID 39965102; Kapitel 2E04).</w:t>
      </w:r>
    </w:p>
    <w:bookmarkEnd w:id="2251"/>
    <w:bookmarkEnd w:id="2252"/>
    <w:bookmarkStart w:id="2255" w:name="tier--und-laborstudien-50"/>
    <w:p>
      <w:pPr>
        <w:pStyle w:val="Heading3"/>
      </w:pPr>
      <w:r>
        <w:t xml:space="preserve">Tier- und Laborstudien</w:t>
      </w:r>
    </w:p>
    <w:p>
      <w:pPr>
        <w:pStyle w:val="FirstParagraph"/>
      </w:pPr>
      <w:r>
        <w:t xml:space="preserve">Die Begeisterung für Oxytocin beruht auf überzeugenden Tierbefunden: Bei Präriewühlmäusen ist das Oxytocin-System für die Paarbindung nötig, bei Nagetieren und Schafen für mütterliches Verhalten. Bei Mäusen in einem Autismus-Modell verbesserte ein Mittel, das das Oxytocin-System anregt, soziale Verhaltensmaße</w:t>
      </w:r>
      <w:r>
        <w:rPr>
          <w:rStyle w:val="FootnoteReference"/>
        </w:rPr>
        <w:footnoteReference w:id="2253"/>
      </w:r>
      <w:r>
        <w:t xml:space="preserve">. Bei Rhesusaffen gelangte markiertes Oxytocin über die Nase in bestimmte Hirnregionen</w:t>
      </w:r>
      <w:r>
        <w:rPr>
          <w:rStyle w:val="FootnoteReference"/>
        </w:rPr>
        <w:footnoteReference w:id="2254"/>
      </w:r>
      <w:r>
        <w:t xml:space="preserve">.</w:t>
      </w:r>
    </w:p>
    <w:p>
      <w:pPr>
        <w:pStyle w:val="BodyText"/>
      </w:pPr>
      <w:r>
        <w:t xml:space="preserve">Diese Befunde lassen sich jedoch nur begrenzt übertragen: Die Verteilung der Oxytocin-Rezeptoren im Gehirn unterscheidet sich stark zwischen Arten, selbst zwischen eng verwandten Wühlmausarten. Viele Tierversuche gaben Oxytocin direkt ins Gehirn, was beim Menschen nicht möglich ist.</w:t>
      </w:r>
    </w:p>
    <w:bookmarkEnd w:id="2255"/>
    <w:bookmarkStart w:id="2265" w:name="risiken-und-nebenwirkungen-50"/>
    <w:p>
      <w:pPr>
        <w:pStyle w:val="Heading3"/>
      </w:pPr>
      <w:r>
        <w:t xml:space="preserve">Risiken und Nebenwirkungen</w:t>
      </w:r>
    </w:p>
    <w:bookmarkStart w:id="2260" w:name="belegt-nasenspray-in-studien"/>
    <w:p>
      <w:pPr>
        <w:pStyle w:val="Heading4"/>
      </w:pPr>
      <w:r>
        <w:t xml:space="preserve">Belegt: Nasenspray in Studien</w:t>
      </w:r>
    </w:p>
    <w:p>
      <w:pPr>
        <w:pStyle w:val="FirstParagraph"/>
      </w:pPr>
      <w:r>
        <w:t xml:space="preserve">In kontrollierten Studien gilt das Oxytocin-Nasenspray als gut verträglich. Eine systematische Übersicht von 38 randomisierten Studien mit 1.529 Teilnehmenden fand bei kurzzeitiger Anwendung keine Nebenwirkungen, die häufiger als unter Placebo auftraten. Die Teilnehmenden konnten auch nicht erkennen, ob sie Oxytocin oder Placebo erhalten hatten</w:t>
      </w:r>
      <w:r>
        <w:rPr>
          <w:rStyle w:val="FootnoteReference"/>
        </w:rPr>
        <w:footnoteReference w:id="2256"/>
      </w:r>
      <w:r>
        <w:t xml:space="preserve">. In SOARS-B waren Nebenwirkungen über 24 Wochen in beiden Gruppen gleich häufig</w:t>
      </w:r>
      <w:r>
        <w:rPr>
          <w:rStyle w:val="FootnoteReference"/>
        </w:rPr>
        <w:footnoteReference w:id="2257"/>
      </w:r>
      <w:r>
        <w:t xml:space="preserve">. Bei 95 älteren Männern traten über vier Wochen keine Veränderungen bei Blutdruck, Urin- oder Blutwerten auf</w:t>
      </w:r>
      <w:r>
        <w:rPr>
          <w:rStyle w:val="FootnoteReference"/>
        </w:rPr>
        <w:footnoteReference w:id="2258"/>
      </w:r>
      <w:r>
        <w:t xml:space="preserve">. In Kinderstudien wurden Durst, vermehrtes Wasserlassen und Verstopfung berichtet</w:t>
      </w:r>
      <w:r>
        <w:rPr>
          <w:rStyle w:val="FootnoteReference"/>
        </w:rPr>
        <w:footnoteReference w:id="2259"/>
      </w:r>
      <w:r>
        <w:t xml:space="preserve">.</w:t>
      </w:r>
    </w:p>
    <w:bookmarkEnd w:id="2260"/>
    <w:bookmarkStart w:id="2263" w:name="möglich-und-zu-beachten"/>
    <w:p>
      <w:pPr>
        <w:pStyle w:val="Heading4"/>
      </w:pPr>
      <w:r>
        <w:t xml:space="preserve">Möglich und zu beachten</w:t>
      </w:r>
    </w:p>
    <w:p>
      <w:pPr>
        <w:numPr>
          <w:ilvl w:val="0"/>
          <w:numId w:val="1279"/>
        </w:numPr>
        <w:pStyle w:val="Compact"/>
      </w:pPr>
      <w:r>
        <w:rPr>
          <w:bCs/>
          <w:b/>
        </w:rPr>
        <w:t xml:space="preserve">Wasserhaushalt:</w:t>
      </w:r>
      <w:r>
        <w:t xml:space="preserve"> </w:t>
      </w:r>
      <w:r>
        <w:t xml:space="preserve">Oxytocin ähnelt Vasopressin und kann in hohen Dosen Wasser im Körper zurückhalten. In der Geburtshilfe ist eine Wasservergiftung mit Natriummangel eine bekannte, seltene Komplikation hoch dosierter Infusionen. Beim Nasenspray ist ein Fall eines erhöhten Hirndrucks bei gleichzeitig sehr hoher Trinkmenge beschrieben</w:t>
      </w:r>
      <w:r>
        <w:rPr>
          <w:rStyle w:val="FootnoteReference"/>
        </w:rPr>
        <w:footnoteReference w:id="2261"/>
      </w:r>
      <w:r>
        <w:t xml:space="preserve">.</w:t>
      </w:r>
    </w:p>
    <w:p>
      <w:pPr>
        <w:numPr>
          <w:ilvl w:val="0"/>
          <w:numId w:val="1279"/>
        </w:numPr>
        <w:pStyle w:val="Compact"/>
      </w:pPr>
      <w:r>
        <w:rPr>
          <w:bCs/>
          <w:b/>
        </w:rPr>
        <w:t xml:space="preserve">Kreislauf:</w:t>
      </w:r>
      <w:r>
        <w:t xml:space="preserve"> </w:t>
      </w:r>
      <w:r>
        <w:t xml:space="preserve">Bei zwölf gesunden Männern steigerte ein Nasenspray die Aktivität der Nerven, die Blutgefäße verengen, und erhöhte leicht den unteren Blutdruckwert</w:t>
      </w:r>
      <w:r>
        <w:rPr>
          <w:rStyle w:val="FootnoteReference"/>
        </w:rPr>
        <w:footnoteReference w:id="2262"/>
      </w:r>
      <w:r>
        <w:t xml:space="preserve">.</w:t>
      </w:r>
    </w:p>
    <w:p>
      <w:pPr>
        <w:numPr>
          <w:ilvl w:val="0"/>
          <w:numId w:val="1279"/>
        </w:numPr>
        <w:pStyle w:val="Compact"/>
      </w:pPr>
      <w:r>
        <w:rPr>
          <w:bCs/>
          <w:b/>
        </w:rPr>
        <w:t xml:space="preserve">Schwangerschaft:</w:t>
      </w:r>
      <w:r>
        <w:t xml:space="preserve"> </w:t>
      </w:r>
      <w:r>
        <w:t xml:space="preserve">Weil Oxytocin Wehen auslöst, ist eine Anwendung außerhalb ärztlicher Kontrolle in der Schwangerschaft gefährlich.</w:t>
      </w:r>
    </w:p>
    <w:p>
      <w:pPr>
        <w:numPr>
          <w:ilvl w:val="0"/>
          <w:numId w:val="1279"/>
        </w:numPr>
        <w:pStyle w:val="Compact"/>
      </w:pPr>
      <w:r>
        <w:rPr>
          <w:bCs/>
          <w:b/>
        </w:rPr>
        <w:t xml:space="preserve">Langzeitanwendung:</w:t>
      </w:r>
      <w:r>
        <w:t xml:space="preserve"> </w:t>
      </w:r>
      <w:r>
        <w:t xml:space="preserve">Daten über mehr als sechs Monate fehlen, besonders bei Kindern.</w:t>
      </w:r>
    </w:p>
    <w:p>
      <w:pPr>
        <w:numPr>
          <w:ilvl w:val="0"/>
          <w:numId w:val="1279"/>
        </w:numPr>
        <w:pStyle w:val="Compact"/>
      </w:pPr>
      <w:r>
        <w:rPr>
          <w:bCs/>
          <w:b/>
        </w:rPr>
        <w:t xml:space="preserve">Soziale Wirkungen:</w:t>
      </w:r>
      <w:r>
        <w:t xml:space="preserve"> </w:t>
      </w:r>
      <w:r>
        <w:t xml:space="preserve">Einzelne Laborstudien berichteten, dass Oxytocin unter bestimmten Bedingungen auch Neid, Misstrauen gegenüber Fremden oder Bevorzugung der eigenen Gruppe verstärken kann. Diese Befunde sind ebenso unsicher wie die positiven.</w:t>
      </w:r>
    </w:p>
    <w:bookmarkEnd w:id="2263"/>
    <w:bookmarkStart w:id="2264" w:name="graumarkt-3"/>
    <w:p>
      <w:pPr>
        <w:pStyle w:val="Heading4"/>
      </w:pPr>
      <w:r>
        <w:t xml:space="preserve">Graumarkt</w:t>
      </w:r>
    </w:p>
    <w:p>
      <w:pPr>
        <w:pStyle w:val="FirstParagraph"/>
      </w:pPr>
      <w:r>
        <w:t xml:space="preserve">Oxytocin-Nasensprays werden im Internet als „Liebes-“ oder „Vertrauensspray“ verkauft. Inhalt und Gehalt solcher Produkte sind nicht unabhängig geprüft. Für keines dieser Produkte gibt es Belege einer Wirkung.</w:t>
      </w:r>
    </w:p>
    <w:bookmarkEnd w:id="2264"/>
    <w:bookmarkEnd w:id="2265"/>
    <w:bookmarkStart w:id="2266" w:name="rechtslage-50"/>
    <w:p>
      <w:pPr>
        <w:pStyle w:val="Heading3"/>
      </w:pPr>
      <w:r>
        <w:t xml:space="preserve">Rechtslage</w:t>
      </w:r>
    </w:p>
    <w:p>
      <w:pPr>
        <w:pStyle w:val="FirstParagraph"/>
      </w:pPr>
      <w:r>
        <w:rPr>
          <w:iCs/>
          <w:i/>
        </w:rPr>
        <w:t xml:space="preserve">Stand 2026, bitte aktuell prüfen.</w:t>
      </w:r>
    </w:p>
    <w:p>
      <w:pPr>
        <w:numPr>
          <w:ilvl w:val="0"/>
          <w:numId w:val="1280"/>
        </w:numPr>
        <w:pStyle w:val="Compact"/>
      </w:pPr>
      <w:r>
        <w:rPr>
          <w:bCs/>
          <w:b/>
        </w:rPr>
        <w:t xml:space="preserve">EU, Deutschland, Österreich:</w:t>
      </w:r>
      <w:r>
        <w:t xml:space="preserve"> </w:t>
      </w:r>
      <w:r>
        <w:t xml:space="preserve">Oxytocin zur Infusion und Injektion ist als verschreibungspflichtiges Arzneimittel für die Geburtshilfe zugelassen. Ein zugelassenes Nasenspray für psychische oder soziale Anwendungen gibt es nicht; früher zugelassene Sprays zur Förderung des Milchflusses sind vielerorts nicht mehr erhältlich. Eine Verschreibung zur Behandlung von Autismus oder anderen Erkrankungen wäre ein individueller Heilversuch außerhalb der Zulassung (Off-Label) mit entsprechender Aufklärungs- und Haftungspflicht.</w:t>
      </w:r>
    </w:p>
    <w:p>
      <w:pPr>
        <w:numPr>
          <w:ilvl w:val="0"/>
          <w:numId w:val="1280"/>
        </w:numPr>
        <w:pStyle w:val="Compact"/>
      </w:pPr>
      <w:r>
        <w:rPr>
          <w:bCs/>
          <w:b/>
        </w:rPr>
        <w:t xml:space="preserve">USA:</w:t>
      </w:r>
      <w:r>
        <w:t xml:space="preserve"> </w:t>
      </w:r>
      <w:r>
        <w:t xml:space="preserve">Oxytocin-Injektion (Pitocin und Nachahmerpräparate) zugelassen für die Geburtshilfe; kein zugelassenes Nasenspray. Rezepturapotheken stellen Nasensprays auf ärztliche Verordnung her; deren Qualität wird nicht wie bei Fertigarzneimitteln geprüft.</w:t>
      </w:r>
    </w:p>
    <w:p>
      <w:pPr>
        <w:numPr>
          <w:ilvl w:val="0"/>
          <w:numId w:val="1280"/>
        </w:numPr>
        <w:pStyle w:val="Compact"/>
      </w:pPr>
      <w:r>
        <w:rPr>
          <w:bCs/>
          <w:b/>
        </w:rPr>
        <w:t xml:space="preserve">WADA:</w:t>
      </w:r>
      <w:r>
        <w:t xml:space="preserve"> </w:t>
      </w:r>
      <w:r>
        <w:t xml:space="preserve">nicht gelistet.</w:t>
      </w:r>
    </w:p>
    <w:bookmarkEnd w:id="2266"/>
    <w:bookmarkStart w:id="2272" w:name="laufende-studien-und-ausblick-50"/>
    <w:p>
      <w:pPr>
        <w:pStyle w:val="Heading3"/>
      </w:pPr>
      <w:r>
        <w:t xml:space="preserve">Laufende Studien und Ausblick</w:t>
      </w:r>
    </w:p>
    <w:p>
      <w:pPr>
        <w:pStyle w:val="FirstParagraph"/>
      </w:pPr>
      <w:r>
        <w:rPr>
          <w:bCs/>
          <w:b/>
        </w:rPr>
        <w:t xml:space="preserve">Gesichert (registrierte Studien):</w:t>
      </w:r>
      <w:r>
        <w:t xml:space="preserve"> </w:t>
      </w:r>
      <w:r>
        <w:t xml:space="preserve">Unter den laufenden Studien sind einige größere, die einzelne offene Fragen beantworten könnten:</w:t>
      </w:r>
    </w:p>
    <w:p>
      <w:pPr>
        <w:numPr>
          <w:ilvl w:val="0"/>
          <w:numId w:val="1281"/>
        </w:numPr>
        <w:pStyle w:val="Compact"/>
      </w:pPr>
      <w:r>
        <w:rPr>
          <w:bCs/>
          <w:b/>
        </w:rPr>
        <w:t xml:space="preserve">Chronischer Schmerz:</w:t>
      </w:r>
      <w:r>
        <w:t xml:space="preserve"> </w:t>
      </w:r>
      <w:r>
        <w:t xml:space="preserve">Eine kanadische Phase-2/3-Studie mit 336 Teilnehmenden</w:t>
      </w:r>
      <w:r>
        <w:rPr>
          <w:rStyle w:val="FootnoteReference"/>
        </w:rPr>
        <w:footnoteReference w:id="2267"/>
      </w:r>
      <w:r>
        <w:t xml:space="preserve"> </w:t>
      </w:r>
      <w:r>
        <w:t xml:space="preserve">ist abgeschlossen, Ergebnisse stehen aus.</w:t>
      </w:r>
    </w:p>
    <w:p>
      <w:pPr>
        <w:numPr>
          <w:ilvl w:val="0"/>
          <w:numId w:val="1281"/>
        </w:numPr>
        <w:pStyle w:val="Compact"/>
      </w:pPr>
      <w:r>
        <w:rPr>
          <w:bCs/>
          <w:b/>
        </w:rPr>
        <w:t xml:space="preserve">Psychotherapie plus Oxytocin:</w:t>
      </w:r>
      <w:r>
        <w:t xml:space="preserve"> </w:t>
      </w:r>
      <w:r>
        <w:t xml:space="preserve">Eine Studie des US-Veteranenministeriums mit 240 Personen prüft Oxytocin als Ergänzung einer Paartherapie bei posttraumatischer Belastungsstörung (NCT06194851, bis 2028). In Deutschland prüfen Studien Oxytocin als Ergänzung psychosozialer Behandlung bei Schizophrenie (NCT06881810 mit 98 Personen; NCT07265180 an der Charité mit 120 Personen und Dosisvergleich).</w:t>
      </w:r>
    </w:p>
    <w:p>
      <w:pPr>
        <w:numPr>
          <w:ilvl w:val="0"/>
          <w:numId w:val="1281"/>
        </w:numPr>
        <w:pStyle w:val="Compact"/>
      </w:pPr>
      <w:r>
        <w:rPr>
          <w:bCs/>
          <w:b/>
        </w:rPr>
        <w:t xml:space="preserve">Oxytocin-Mangel:</w:t>
      </w:r>
      <w:r>
        <w:t xml:space="preserve"> </w:t>
      </w:r>
      <w:r>
        <w:t xml:space="preserve">Eine Schweizer Studie mit 112 Personen prüft einen Oxytocin-Ersatz bei Vasopressin-Mangel</w:t>
      </w:r>
      <w:r>
        <w:rPr>
          <w:rStyle w:val="FootnoteReference"/>
        </w:rPr>
        <w:footnoteReference w:id="2268"/>
      </w:r>
      <w:r>
        <w:t xml:space="preserve">.</w:t>
      </w:r>
    </w:p>
    <w:p>
      <w:pPr>
        <w:numPr>
          <w:ilvl w:val="0"/>
          <w:numId w:val="1281"/>
        </w:numPr>
        <w:pStyle w:val="Compact"/>
      </w:pPr>
      <w:r>
        <w:rPr>
          <w:bCs/>
          <w:b/>
        </w:rPr>
        <w:t xml:space="preserve">Autismus und Knochen:</w:t>
      </w:r>
      <w:r>
        <w:t xml:space="preserve"> </w:t>
      </w:r>
      <w:r>
        <w:t xml:space="preserve">Eine Studie mit 96 Kindern untersucht Effekte auf die Knochengesundheit</w:t>
      </w:r>
      <w:r>
        <w:rPr>
          <w:rStyle w:val="FootnoteReference"/>
        </w:rPr>
        <w:footnoteReference w:id="2269"/>
      </w:r>
      <w:r>
        <w:t xml:space="preserve">.</w:t>
      </w:r>
    </w:p>
    <w:p>
      <w:pPr>
        <w:numPr>
          <w:ilvl w:val="0"/>
          <w:numId w:val="1281"/>
        </w:numPr>
        <w:pStyle w:val="Compact"/>
      </w:pPr>
      <w:r>
        <w:rPr>
          <w:bCs/>
          <w:b/>
        </w:rPr>
        <w:t xml:space="preserve">Essstörungen:</w:t>
      </w:r>
      <w:r>
        <w:t xml:space="preserve"> </w:t>
      </w:r>
      <w:r>
        <w:t xml:space="preserve">eine Phase-2-Studie zu Binge-Eating</w:t>
      </w:r>
      <w:r>
        <w:rPr>
          <w:rStyle w:val="FootnoteReference"/>
        </w:rPr>
        <w:footnoteReference w:id="2270"/>
      </w:r>
      <w:r>
        <w:t xml:space="preserve">.</w:t>
      </w:r>
    </w:p>
    <w:p>
      <w:pPr>
        <w:numPr>
          <w:ilvl w:val="0"/>
          <w:numId w:val="1281"/>
        </w:numPr>
        <w:pStyle w:val="Compact"/>
      </w:pPr>
      <w:r>
        <w:rPr>
          <w:bCs/>
          <w:b/>
        </w:rPr>
        <w:t xml:space="preserve">Firmenentwicklung:</w:t>
      </w:r>
      <w:r>
        <w:t xml:space="preserve"> </w:t>
      </w:r>
      <w:r>
        <w:t xml:space="preserve">Ein Unternehmen hat ein hochdosiertes Oxytocin-Nasenspray (TNX-1900) bei chronischer Migräne getestet (NCT05679908, 88 Personen, abgeschlossen) und plant eine Studie zur Schmerzbehandlung nach Hypophysen-Operationen</w:t>
      </w:r>
      <w:r>
        <w:rPr>
          <w:rStyle w:val="FootnoteReference"/>
        </w:rPr>
        <w:footnoteReference w:id="2271"/>
      </w:r>
      <w:r>
        <w:t xml:space="preserve">.</w:t>
      </w:r>
    </w:p>
    <w:p>
      <w:pPr>
        <w:pStyle w:val="FirstParagraph"/>
      </w:pPr>
      <w:r>
        <w:rPr>
          <w:bCs/>
          <w:b/>
        </w:rPr>
        <w:t xml:space="preserve">Einschätzung des Autors:</w:t>
      </w:r>
      <w:r>
        <w:t xml:space="preserve"> </w:t>
      </w:r>
      <w:r>
        <w:t xml:space="preserve">Die Geschichte des Oxytocin-Nasensprays ist ein Lehrstück über die Grenzen kleiner Studien. Nach zwei Jahrzehnten Forschung gibt es keine einzige Anwendung, in der ein Nutzen in großen, gut gemachten Studien bestätigt wäre. Die aussichtsreichsten Richtungen sind heute enger gefasst: Oxytocin als Ergänzung einer Psychotherapie statt als Medikament allein, als Ersatz bei nachgewiesenem Mangel, und gezielt bei Untergruppen, die vorab festgelegt werden. Eine Zulassung für Autismus oder soziale Ängste erscheint in den nächsten Jahren unwahrscheinlich.</w:t>
      </w:r>
    </w:p>
    <w:bookmarkEnd w:id="2272"/>
    <w:bookmarkStart w:id="2273" w:name="fazit-50"/>
    <w:p>
      <w:pPr>
        <w:pStyle w:val="Heading3"/>
      </w:pPr>
      <w:r>
        <w:t xml:space="preserve">Fazit</w:t>
      </w:r>
    </w:p>
    <w:p>
      <w:pPr>
        <w:pStyle w:val="FirstParagraph"/>
      </w:pPr>
      <w:r>
        <w:t xml:space="preserve">Oxytocin ist als Infusion ein unverzichtbares Medikament der Geburtshilfe, als Nasenspray dagegen ein Forschungswerkzeug ohne bewiesenen therapeutischen Nutzen. Der berühmte Befund, dass Oxytocin Vertrauen steigert, hielt Wiederholungsstudien nicht stand; allenfalls bei Menschen mit geringem Grundvertrauen deutet sich ein kleiner Effekt an. Die größte Autismus-Studie, SOARS-B mit 290 Kindern und Jugendlichen, fand nach 24 Wochen keinen Unterschied zu Placebo, und auch bei Adipositas, Alkoholabhängigkeit, Prader-Willi-Syndrom und Schmerz blieben die Ergebnisse negativ. In Studien war das Spray gut verträglich. Wer heute ein „Liebes-“ oder „Vertrauensspray“ kauft, erwirbt ein Versprechen, das die Forschung nicht einlöst.</w:t>
      </w:r>
    </w:p>
    <w:bookmarkEnd w:id="2273"/>
    <w:bookmarkEnd w:id="2274"/>
    <w:bookmarkStart w:id="2312" w:name="gonadorelin"/>
    <w:p>
      <w:pPr>
        <w:pStyle w:val="Heading2"/>
      </w:pPr>
      <w:r>
        <w:t xml:space="preserve">Gonadorelin</w:t>
      </w:r>
    </w:p>
    <w:bookmarkStart w:id="2275" w:name="steckbrief-51"/>
    <w:p>
      <w:pPr>
        <w:pStyle w:val="Heading3"/>
      </w:pPr>
      <w:r>
        <w:t xml:space="preserve">Steckbrief</w:t>
      </w:r>
    </w:p>
    <w:p>
      <w:pPr>
        <w:numPr>
          <w:ilvl w:val="0"/>
          <w:numId w:val="1282"/>
        </w:numPr>
        <w:pStyle w:val="Compact"/>
      </w:pPr>
      <w:r>
        <w:rPr>
          <w:bCs/>
          <w:b/>
        </w:rPr>
        <w:t xml:space="preserve">Art/Struktur:</w:t>
      </w:r>
      <w:r>
        <w:t xml:space="preserve"> </w:t>
      </w:r>
      <w:r>
        <w:t xml:space="preserve">Peptid aus zehn Aminosäuren, synthetisch hergestellt und in der Abfolge identisch mit dem menschlichen Hormon GnRH (Gonadotropin-Releasing-Hormon, auch LHRH oder Gonadoliberin genannt).</w:t>
      </w:r>
    </w:p>
    <w:p>
      <w:pPr>
        <w:numPr>
          <w:ilvl w:val="0"/>
          <w:numId w:val="1282"/>
        </w:numPr>
        <w:pStyle w:val="Compact"/>
      </w:pPr>
      <w:r>
        <w:rPr>
          <w:bCs/>
          <w:b/>
        </w:rPr>
        <w:t xml:space="preserve">Herkunft:</w:t>
      </w:r>
      <w:r>
        <w:t xml:space="preserve"> </w:t>
      </w:r>
      <w:r>
        <w:t xml:space="preserve">GnRH wurde Anfang der 1970er-Jahre aus Schweine- und Schafshirnen isoliert und entschlüsselt; die beteiligten Forscher Andrew Schally und Roger Guillemin erhielten dafür 1977 den Nobelpreis. Gonadorelin ist der internationale Wirkstoffname des synthetischen Hormons.</w:t>
      </w:r>
    </w:p>
    <w:p>
      <w:pPr>
        <w:numPr>
          <w:ilvl w:val="0"/>
          <w:numId w:val="1282"/>
        </w:numPr>
        <w:pStyle w:val="Compact"/>
      </w:pPr>
      <w:r>
        <w:rPr>
          <w:bCs/>
          <w:b/>
        </w:rPr>
        <w:t xml:space="preserve">Wirkprinzip:</w:t>
      </w:r>
      <w:r>
        <w:t xml:space="preserve"> </w:t>
      </w:r>
      <w:r>
        <w:t xml:space="preserve">Agonist am GnRH-Rezeptor der Hirnanhangdrüse. In Pulsen gegeben, regt es die Ausschüttung von LH und FSH an; als Dauergabe bremst es sie.</w:t>
      </w:r>
    </w:p>
    <w:p>
      <w:pPr>
        <w:numPr>
          <w:ilvl w:val="0"/>
          <w:numId w:val="1282"/>
        </w:numPr>
        <w:pStyle w:val="Compact"/>
      </w:pPr>
      <w:r>
        <w:rPr>
          <w:bCs/>
          <w:b/>
        </w:rPr>
        <w:t xml:space="preserve">Darreichungsformen:</w:t>
      </w:r>
      <w:r>
        <w:t xml:space="preserve"> </w:t>
      </w:r>
      <w:r>
        <w:t xml:space="preserve">Injektion in die Vene für Funktionstests; tragbare Pumpe, die alle 60 bis 120 Minuten eine kleine Menge unter die Haut oder in die Vene abgibt (pulsatile Therapie); in einigen Ländern ein Nasenspray für Säuglinge mit Hodenhochstand.</w:t>
      </w:r>
    </w:p>
    <w:p>
      <w:pPr>
        <w:numPr>
          <w:ilvl w:val="0"/>
          <w:numId w:val="1282"/>
        </w:numPr>
        <w:pStyle w:val="Compact"/>
      </w:pPr>
      <w:r>
        <w:rPr>
          <w:bCs/>
          <w:b/>
        </w:rPr>
        <w:t xml:space="preserve">Zulassung EU:</w:t>
      </w:r>
      <w:r>
        <w:t xml:space="preserve"> </w:t>
      </w:r>
      <w:r>
        <w:t xml:space="preserve">in einzelnen Mitgliedstaaten national zugelassen, etwa als Diagnostikum und für die Pumpentherapie; Präparate und Verfügbarkeit unterscheiden sich von Land zu Land.</w:t>
      </w:r>
    </w:p>
    <w:p>
      <w:pPr>
        <w:numPr>
          <w:ilvl w:val="0"/>
          <w:numId w:val="1282"/>
        </w:numPr>
        <w:pStyle w:val="Compact"/>
      </w:pPr>
      <w:r>
        <w:rPr>
          <w:bCs/>
          <w:b/>
        </w:rPr>
        <w:t xml:space="preserve">Zulassung USA:</w:t>
      </w:r>
      <w:r>
        <w:t xml:space="preserve"> </w:t>
      </w:r>
      <w:r>
        <w:t xml:space="preserve">Frühere Präparate (Factrel für Diagnostik, Lutrepulse für die Pumpe) sind nicht mehr im Handel. Ein aktuell vermarktetes, zugelassenes Humanarzneimittel gibt es nach Kenntnis des Autors nicht (bitte aktuell prüfen).</w:t>
      </w:r>
    </w:p>
    <w:p>
      <w:pPr>
        <w:numPr>
          <w:ilvl w:val="0"/>
          <w:numId w:val="1282"/>
        </w:numPr>
        <w:pStyle w:val="Compact"/>
      </w:pPr>
      <w:r>
        <w:rPr>
          <w:bCs/>
          <w:b/>
        </w:rPr>
        <w:t xml:space="preserve">WADA:</w:t>
      </w:r>
      <w:r>
        <w:t xml:space="preserve"> </w:t>
      </w:r>
      <w:r>
        <w:t xml:space="preserve">für Männer verboten (Gruppe S2, Gonadorelin wird dort namentlich genannt), im Wettkampf und außerhalb.</w:t>
      </w:r>
    </w:p>
    <w:p>
      <w:pPr>
        <w:numPr>
          <w:ilvl w:val="0"/>
          <w:numId w:val="1282"/>
        </w:numPr>
        <w:pStyle w:val="Compact"/>
      </w:pPr>
      <w:r>
        <w:rPr>
          <w:bCs/>
          <w:b/>
        </w:rPr>
        <w:t xml:space="preserve">Evidenzstufe:</w:t>
      </w:r>
      <w:r>
        <w:t xml:space="preserve"> </w:t>
      </w:r>
      <w:r>
        <w:rPr>
          <w:bCs/>
          <w:b/>
        </w:rPr>
        <w:t xml:space="preserve">B</w:t>
      </w:r>
      <w:r>
        <w:t xml:space="preserve"> </w:t>
      </w:r>
      <w:r>
        <w:t xml:space="preserve">– zugelassenes Arzneimittel mit jahrzehntelanger Anwendung; die Wirksamkeitsdaten stammen aber überwiegend aus großen Fallserien, Kohorten und wenigen kleinen randomisierten Studien.</w:t>
      </w:r>
    </w:p>
    <w:bookmarkEnd w:id="2275"/>
    <w:bookmarkStart w:id="2276" w:name="wie-es-wirken-soll-51"/>
    <w:p>
      <w:pPr>
        <w:pStyle w:val="Heading3"/>
      </w:pPr>
      <w:r>
        <w:t xml:space="preserve">Wie es wirken soll</w:t>
      </w:r>
    </w:p>
    <w:p>
      <w:pPr>
        <w:pStyle w:val="FirstParagraph"/>
      </w:pPr>
      <w:r>
        <w:t xml:space="preserve">Die Hormonachse der Fortpflanzung beginnt im Hypothalamus. Dort schütten spezialisierte Nervenzellen GnRH aus – nicht gleichmäßig, sondern in Pulsen etwa alle ein bis zwei Stunden. Jeder Puls veranlasst die Hirnanhangdrüse (Hypophyse), die Hormone LH und FSH freizusetzen. Diese wirken auf Eierstöcke und Hoden: Sie steuern Eizellreifung und Eisprung, Spermienbildung sowie die Produktion von Östrogen und Testosteron. Der Botenstoff Kisspeptin (Kapitel 2E04) sitzt noch eine Stufe darüber und schaltet die GnRH-Nervenzellen an.</w:t>
      </w:r>
    </w:p>
    <w:p>
      <w:pPr>
        <w:pStyle w:val="BodyText"/>
      </w:pPr>
      <w:r>
        <w:t xml:space="preserve">Der Pulsrhythmus ist entscheidend. Das zeigt sich an einem scheinbaren Widerspruch:</w:t>
      </w:r>
    </w:p>
    <w:p>
      <w:pPr>
        <w:numPr>
          <w:ilvl w:val="0"/>
          <w:numId w:val="1283"/>
        </w:numPr>
        <w:pStyle w:val="Compact"/>
      </w:pPr>
      <w:r>
        <w:rPr>
          <w:bCs/>
          <w:b/>
        </w:rPr>
        <w:t xml:space="preserve">Pulsatile Gabe</w:t>
      </w:r>
      <w:r>
        <w:t xml:space="preserve"> </w:t>
      </w:r>
      <w:r>
        <w:t xml:space="preserve">– alle 60 bis 120 Minuten eine kleine Menge – ahmt den natürlichen Rhythmus nach und</w:t>
      </w:r>
      <w:r>
        <w:t xml:space="preserve"> </w:t>
      </w:r>
      <w:r>
        <w:rPr>
          <w:bCs/>
          <w:b/>
        </w:rPr>
        <w:t xml:space="preserve">aktiviert</w:t>
      </w:r>
      <w:r>
        <w:t xml:space="preserve"> </w:t>
      </w:r>
      <w:r>
        <w:t xml:space="preserve">die Achse. Darauf beruht die Pumpentherapie bei Menschen, deren Hypothalamus zu wenig GnRH bildet.</w:t>
      </w:r>
    </w:p>
    <w:p>
      <w:pPr>
        <w:numPr>
          <w:ilvl w:val="0"/>
          <w:numId w:val="1283"/>
        </w:numPr>
        <w:pStyle w:val="Compact"/>
      </w:pPr>
      <w:r>
        <w:rPr>
          <w:bCs/>
          <w:b/>
        </w:rPr>
        <w:t xml:space="preserve">Dauerhafte Stimulation</w:t>
      </w:r>
      <w:r>
        <w:t xml:space="preserve"> </w:t>
      </w:r>
      <w:r>
        <w:t xml:space="preserve">führt nach einem kurzen Anstieg dazu, dass die Rezeptoren der Hypophyse abschalten. Die Hormonachse wird</w:t>
      </w:r>
      <w:r>
        <w:t xml:space="preserve"> </w:t>
      </w:r>
      <w:r>
        <w:rPr>
          <w:bCs/>
          <w:b/>
        </w:rPr>
        <w:t xml:space="preserve">gebremst</w:t>
      </w:r>
      <w:r>
        <w:t xml:space="preserve">, bis hin zu Testosteronwerten wie nach einer Kastration.</w:t>
      </w:r>
    </w:p>
    <w:p>
      <w:pPr>
        <w:pStyle w:val="FirstParagraph"/>
      </w:pPr>
      <w:r>
        <w:t xml:space="preserve">Auf dem zweiten Prinzip beruhen die GnRH-Analoga wie Leuprorelin, Triptorelin oder Goserelin. Sie sind chemisch verändert, wirken viel länger als Gonadorelin und werden als Depotspritze gegen Prostatakrebs, Endometriose, Myome oder vorzeitige Pubertät eingesetzt. Sie sind nicht Gegenstand dieses Kapitels, verzerren aber die Datenlage erheblich (siehe unten).</w:t>
      </w:r>
    </w:p>
    <w:p>
      <w:pPr>
        <w:pStyle w:val="BodyText"/>
      </w:pPr>
      <w:r>
        <w:t xml:space="preserve">Gonadorelin selbst ist für eine Dauerblockade ungeeignet: Es wird im Blut innerhalb weniger Minuten abgebaut.</w:t>
      </w:r>
    </w:p>
    <w:bookmarkEnd w:id="2276"/>
    <w:bookmarkStart w:id="2296" w:name="studien-am-menschen-51"/>
    <w:p>
      <w:pPr>
        <w:pStyle w:val="Heading3"/>
      </w:pPr>
      <w:r>
        <w:t xml:space="preserve">Studien am Menschen</w:t>
      </w:r>
    </w:p>
    <w:p>
      <w:pPr>
        <w:pStyle w:val="FirstParagraph"/>
      </w:pPr>
      <w:r>
        <w:rPr>
          <w:bCs/>
          <w:b/>
        </w:rPr>
        <w:t xml:space="preserve">Größenordnung der Studienlage (Abfrage Oktober 2026) – und warum die Zahlen täuschen:</w:t>
      </w:r>
      <w:r>
        <w:t xml:space="preserve"> </w:t>
      </w:r>
      <w:r>
        <w:t xml:space="preserve">Die automatisierte Suche dieses Buches fand</w:t>
      </w:r>
      <w:r>
        <w:t xml:space="preserve"> </w:t>
      </w:r>
      <w:r>
        <w:rPr>
          <w:bCs/>
          <w:b/>
        </w:rPr>
        <w:t xml:space="preserve">9</w:t>
      </w:r>
      <w:r>
        <w:t xml:space="preserve"> </w:t>
      </w:r>
      <w:r>
        <w:t xml:space="preserve">Humanstudien in PubMed (</w:t>
      </w:r>
      <w:r>
        <w:rPr>
          <w:rStyle w:val="VerbatimChar"/>
        </w:rPr>
        <w:t xml:space="preserve">humanstudien_alle</w:t>
      </w:r>
      <w:r>
        <w:t xml:space="preserve">) und bei ClinicalTrials.gov die Höchstzahl von</w:t>
      </w:r>
      <w:r>
        <w:t xml:space="preserve"> </w:t>
      </w:r>
      <w:r>
        <w:rPr>
          <w:bCs/>
          <w:b/>
        </w:rPr>
        <w:t xml:space="preserve">1.000</w:t>
      </w:r>
      <w:r>
        <w:t xml:space="preserve"> </w:t>
      </w:r>
      <w:r>
        <w:t xml:space="preserve">Registereinträgen, an der die Abfrage abbricht. Beide Zahlen sind für die Bewertung von Gonadorelin unbrauchbar, und zwar in entgegengesetzter Richtung:</w:t>
      </w:r>
    </w:p>
    <w:p>
      <w:pPr>
        <w:numPr>
          <w:ilvl w:val="0"/>
          <w:numId w:val="1284"/>
        </w:numPr>
        <w:pStyle w:val="Compact"/>
      </w:pPr>
      <w:r>
        <w:rPr>
          <w:bCs/>
          <w:b/>
        </w:rPr>
        <w:t xml:space="preserve">Die Registerzahl ist stark überschätzt.</w:t>
      </w:r>
      <w:r>
        <w:t xml:space="preserve"> </w:t>
      </w:r>
      <w:r>
        <w:t xml:space="preserve">ClinicalTrials.gov ordnet den Suchbegriff „gonadorelin“ dem Oberbegriff „Gonadotropin-Releasing Hormone“ zu. Dadurch erscheinen alle Studien mit GnRH-Analoga und -Antagonisten. In den Titeln der 1.000 Treffer kommt das Wort „prostate“ 340-mal vor, „androgen deprivation“ 57-mal, Leuprorelin, Goserelin und Triptorelin zusammen weit über hundertmal. Eine Durchsicht der Titel ergab nur rund zehn Einträge, die tatsächlich natives GnRH beziehungsweise Gonadorelin untersuchen – etwa als Pumpe, Pflaster oder Funktionstest.</w:t>
      </w:r>
    </w:p>
    <w:p>
      <w:pPr>
        <w:numPr>
          <w:ilvl w:val="0"/>
          <w:numId w:val="1284"/>
        </w:numPr>
        <w:pStyle w:val="Compact"/>
      </w:pPr>
      <w:r>
        <w:rPr>
          <w:bCs/>
          <w:b/>
        </w:rPr>
        <w:t xml:space="preserve">Die PubMed-Zahl ist unterschätzt.</w:t>
      </w:r>
      <w:r>
        <w:t xml:space="preserve"> </w:t>
      </w:r>
      <w:r>
        <w:t xml:space="preserve">Die meisten Studien zum körpergleichen Hormon verwenden die Begriffe „GnRH“ oder „LHRH“ und nicht den Wirkstoffnamen. Umgekehrt betreffen mehrere der neun Treffer gar nicht Gonadorelin als Behandlung: Eine Arbeit untersuchte ein GnRH-Analogon bei Prostatakrebs</w:t>
      </w:r>
      <w:r>
        <w:rPr>
          <w:rStyle w:val="FootnoteReference"/>
        </w:rPr>
        <w:footnoteReference w:id="2277"/>
      </w:r>
      <w:r>
        <w:t xml:space="preserve">, andere nutzten Gonadorelin nur als Testsubstanz, etwa um die Wirkung eines Cholesterinsenkers oder von UV-Licht auf die Hormonachse zu prüfen</w:t>
      </w:r>
      <w:r>
        <w:rPr>
          <w:rStyle w:val="FootnoteReference"/>
        </w:rPr>
        <w:footnoteReference w:id="2278"/>
      </w:r>
      <w:r>
        <w:t xml:space="preserve">.</w:t>
      </w:r>
    </w:p>
    <w:p>
      <w:pPr>
        <w:pStyle w:val="FirstParagraph"/>
      </w:pPr>
      <w:r>
        <w:t xml:space="preserve">Dieses Kapitel stützt sich deshalb auf eine ergänzende, gezielte Suche nach Studien zur pulsatilen GnRH-Therapie und zum GnRH-Test.</w:t>
      </w:r>
    </w:p>
    <w:bookmarkStart w:id="2282" w:name="diagnostik-der-gnrh-test"/>
    <w:p>
      <w:pPr>
        <w:pStyle w:val="Heading4"/>
      </w:pPr>
      <w:r>
        <w:t xml:space="preserve">Diagnostik: der GnRH-Test</w:t>
      </w:r>
    </w:p>
    <w:p>
      <w:pPr>
        <w:pStyle w:val="FirstParagraph"/>
      </w:pPr>
      <w:r>
        <w:t xml:space="preserve">Beim GnRH-Test (auch LHRH-Test) wird Gonadorelin in die Vene gespritzt; anschließend misst man über ein bis zwei Stunden, wie stark LH und FSH ansteigen. Der Test hilft vor allem bei Kindern mit zu früher Pubertät: Ein deutlicher LH-Anstieg spricht dafür, dass die Hormonachse im Gehirn bereits aktiv ist (zentrale Pubertas praecox).</w:t>
      </w:r>
    </w:p>
    <w:p>
      <w:pPr>
        <w:pStyle w:val="BodyText"/>
      </w:pPr>
      <w:r>
        <w:t xml:space="preserve">In einer Auswertung von 584 Tests (davon 314 zur Diagnose) reichte eine einzige Blutprobe 40 Minuten nach der Injektion für die Diagnose: Bei einer LH-Schwelle von 5 IU/L lagen die Sensitivität bei 98 % und die Spezifität bei 100 %</w:t>
      </w:r>
      <w:r>
        <w:rPr>
          <w:rStyle w:val="FootnoteReference"/>
        </w:rPr>
        <w:footnoteReference w:id="2279"/>
      </w:r>
      <w:r>
        <w:t xml:space="preserve">. Eine Übersicht weist auf Grenzen hin, etwa bei sehr frühen Pubertätsstadien und bei übergewichtigen Kindern, und auf uneinheitliche Grenzwerte zwischen Studien</w:t>
      </w:r>
      <w:r>
        <w:rPr>
          <w:rStyle w:val="FootnoteReference"/>
        </w:rPr>
        <w:footnoteReference w:id="2280"/>
      </w:r>
      <w:r>
        <w:t xml:space="preserve">.</w:t>
      </w:r>
    </w:p>
    <w:p>
      <w:pPr>
        <w:pStyle w:val="BodyText"/>
      </w:pPr>
      <w:r>
        <w:t xml:space="preserve">Weil natives GnRH teuer und vielerorts nicht verfügbar ist, wird zunehmend ein kurz wirksames Analogon als Ersatz verwendet. In einer Studie mit 341 Mädchen war ein Test mit Triptorelin ähnlich genau wie der Gonadorelin-Test</w:t>
      </w:r>
      <w:r>
        <w:rPr>
          <w:rStyle w:val="FootnoteReference"/>
        </w:rPr>
        <w:footnoteReference w:id="2281"/>
      </w:r>
      <w:r>
        <w:t xml:space="preserve">.</w:t>
      </w:r>
    </w:p>
    <w:bookmarkEnd w:id="2282"/>
    <w:bookmarkStart w:id="2288" w:name="kinderwunsch-die-gnrh-pumpe-bei-frauen"/>
    <w:p>
      <w:pPr>
        <w:pStyle w:val="Heading4"/>
      </w:pPr>
      <w:r>
        <w:t xml:space="preserve">Kinderwunsch: die GnRH-Pumpe bei Frauen</w:t>
      </w:r>
    </w:p>
    <w:p>
      <w:pPr>
        <w:pStyle w:val="FirstParagraph"/>
      </w:pPr>
      <w:r>
        <w:t xml:space="preserve">Bei der hypothalamischen Amenorrhö bleibt die Regel aus, weil das Gehirn zu wenig GnRH bildet – häufig nach starkem Gewichtsverlust, intensivem Sport oder Stress, seltener aus angeborenen Gründen. Eine kleine, tragbare Pumpe kann den fehlenden Rhythmus ersetzen.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Santoro 1990, PMID 2122733</w:t>
            </w:r>
          </w:p>
        </w:tc>
        <w:tc>
          <w:tcPr/>
          <w:p>
            <w:pPr>
              <w:pStyle w:val="Compact"/>
              <w:jc w:val="left"/>
            </w:pPr>
            <w:r>
              <w:t xml:space="preserve">109 Frauen mit hypothalamischer Amenorrhö, multizentrische Studie mit Pumpe in die Vene</w:t>
            </w:r>
          </w:p>
        </w:tc>
        <w:tc>
          <w:tcPr/>
          <w:p>
            <w:pPr>
              <w:pStyle w:val="Compact"/>
              <w:jc w:val="left"/>
            </w:pPr>
            <w:r>
              <w:t xml:space="preserve">mehrere Zyklen</w:t>
            </w:r>
          </w:p>
        </w:tc>
        <w:tc>
          <w:tcPr/>
          <w:p>
            <w:pPr>
              <w:pStyle w:val="Compact"/>
              <w:jc w:val="left"/>
            </w:pPr>
            <w:r>
              <w:t xml:space="preserve">Eisprung bei 91 % bzw. 96 %; Mehrlinge 12 %</w:t>
            </w:r>
          </w:p>
        </w:tc>
      </w:tr>
      <w:tr>
        <w:tc>
          <w:tcPr/>
          <w:p>
            <w:pPr>
              <w:pStyle w:val="Compact"/>
              <w:jc w:val="left"/>
            </w:pPr>
            <w:r>
              <w:t xml:space="preserve">Filicori 1994, PMID 7962297</w:t>
            </w:r>
          </w:p>
        </w:tc>
        <w:tc>
          <w:tcPr/>
          <w:p>
            <w:pPr>
              <w:pStyle w:val="Compact"/>
              <w:jc w:val="left"/>
            </w:pPr>
            <w:r>
              <w:t xml:space="preserve">292 Frauen, 600 Zyklen, verschiedene Ursachen</w:t>
            </w:r>
          </w:p>
        </w:tc>
        <w:tc>
          <w:tcPr/>
          <w:p>
            <w:pPr>
              <w:pStyle w:val="Compact"/>
              <w:jc w:val="left"/>
            </w:pPr>
            <w:r>
              <w:t xml:space="preserve">1984–1993</w:t>
            </w:r>
          </w:p>
        </w:tc>
        <w:tc>
          <w:tcPr/>
          <w:p>
            <w:pPr>
              <w:pStyle w:val="Compact"/>
              <w:jc w:val="left"/>
            </w:pPr>
            <w:r>
              <w:t xml:space="preserve">Eisprung in 75 % der Zyklen; Schwangerschaft 18 % pro Zyklus; Mehrlinge 3,8 %; Fehlgeburten 30 %</w:t>
            </w:r>
          </w:p>
        </w:tc>
      </w:tr>
      <w:tr>
        <w:tc>
          <w:tcPr/>
          <w:p>
            <w:pPr>
              <w:pStyle w:val="Compact"/>
              <w:jc w:val="left"/>
            </w:pPr>
            <w:r>
              <w:t xml:space="preserve">Christin-Maitre 2007, PMID 17293247</w:t>
            </w:r>
          </w:p>
        </w:tc>
        <w:tc>
          <w:tcPr/>
          <w:p>
            <w:pPr>
              <w:pStyle w:val="Compact"/>
              <w:jc w:val="left"/>
            </w:pPr>
            <w:r>
              <w:t xml:space="preserve">248 Frauen, 829 Zyklen, 24 französische Zentren, rückblickend</w:t>
            </w:r>
          </w:p>
        </w:tc>
        <w:tc>
          <w:tcPr/>
          <w:p>
            <w:pPr>
              <w:pStyle w:val="Compact"/>
              <w:jc w:val="left"/>
            </w:pPr>
            <w:r>
              <w:t xml:space="preserve">3 Jahre</w:t>
            </w:r>
          </w:p>
        </w:tc>
        <w:tc>
          <w:tcPr/>
          <w:p>
            <w:pPr>
              <w:pStyle w:val="Compact"/>
              <w:jc w:val="left"/>
            </w:pPr>
            <w:r>
              <w:t xml:space="preserve">Schwangerschaft 25 % pro Zyklus; Mehrlinge 8,8 %; keine schwere Überstimulation</w:t>
            </w:r>
          </w:p>
        </w:tc>
      </w:tr>
      <w:tr>
        <w:tc>
          <w:tcPr/>
          <w:p>
            <w:pPr>
              <w:pStyle w:val="Compact"/>
              <w:jc w:val="left"/>
            </w:pPr>
            <w:r>
              <w:t xml:space="preserve">Dubourdieu 2013, PMID 23298894</w:t>
            </w:r>
          </w:p>
        </w:tc>
        <w:tc>
          <w:tcPr/>
          <w:p>
            <w:pPr>
              <w:pStyle w:val="Compact"/>
              <w:jc w:val="left"/>
            </w:pPr>
            <w:r>
              <w:t xml:space="preserve">30 Frauen mit Amenorrhö und PCOS, RCT: Pumpe vs. Gonadotropine</w:t>
            </w:r>
          </w:p>
        </w:tc>
        <w:tc>
          <w:tcPr/>
          <w:p>
            <w:pPr>
              <w:pStyle w:val="Compact"/>
              <w:jc w:val="left"/>
            </w:pPr>
            <w:r>
              <w:t xml:space="preserve">ein Zyklus</w:t>
            </w:r>
          </w:p>
        </w:tc>
        <w:tc>
          <w:tcPr/>
          <w:p>
            <w:pPr>
              <w:pStyle w:val="Compact"/>
              <w:jc w:val="left"/>
            </w:pPr>
            <w:r>
              <w:t xml:space="preserve">klinische Schwangerschaft 46 % vs. 0 %</w:t>
            </w:r>
          </w:p>
        </w:tc>
      </w:tr>
      <w:tr>
        <w:tc>
          <w:tcPr/>
          <w:p>
            <w:pPr>
              <w:pStyle w:val="Compact"/>
              <w:jc w:val="left"/>
            </w:pPr>
            <w:r>
              <w:t xml:space="preserve">Quaas 2022, PMID 36378460</w:t>
            </w:r>
          </w:p>
        </w:tc>
        <w:tc>
          <w:tcPr/>
          <w:p>
            <w:pPr>
              <w:pStyle w:val="Compact"/>
              <w:jc w:val="left"/>
            </w:pPr>
            <w:r>
              <w:t xml:space="preserve">66 Frauen, 212 Zyklen, Schweizer Zentrum, rückblickend</w:t>
            </w:r>
          </w:p>
        </w:tc>
        <w:tc>
          <w:tcPr/>
          <w:p>
            <w:pPr>
              <w:pStyle w:val="Compact"/>
              <w:jc w:val="left"/>
            </w:pPr>
            <w:r>
              <w:t xml:space="preserve">1996–2020</w:t>
            </w:r>
          </w:p>
        </w:tc>
        <w:tc>
          <w:tcPr/>
          <w:p>
            <w:pPr>
              <w:pStyle w:val="Compact"/>
              <w:jc w:val="left"/>
            </w:pPr>
            <w:r>
              <w:t xml:space="preserve">Lebendgeburt pro Behandlung 65,9 %; ein Follikel in 75 % der Zyklen; eine Zwillingsschwangerschaft</w:t>
            </w:r>
          </w:p>
        </w:tc>
      </w:tr>
    </w:tbl>
    <w:p>
      <w:pPr>
        <w:pStyle w:val="BodyText"/>
      </w:pPr>
      <w:r>
        <w:t xml:space="preserve">Die Zahlen zeigen ein stimmiges Bild: Bei Frauen, deren Problem tatsächlich im Hypothalamus liegt, führt die Pumpe in den allermeisten Zyklen zu einem Eisprung, oft mit nur einer reifenden Eizelle. Weil die Hypophyse ihre eigene Rückkopplung behält, sind Überstimulation und Mehrlingsschwangerschaften seltener als bei direkt gespritzten Gonadotropinen</w:t>
      </w:r>
      <w:r>
        <w:rPr>
          <w:rStyle w:val="FootnoteReference"/>
        </w:rPr>
        <w:footnoteReference w:id="2283"/>
      </w:r>
      <w:r>
        <w:t xml:space="preserve">. Bei Frauen mit polyzystischem Ovarsyndrom oder Übergewicht wirkt die Pumpe schlechter, und Fehlgeburten waren in der größten Einzelserie häufig</w:t>
      </w:r>
      <w:r>
        <w:rPr>
          <w:rStyle w:val="FootnoteReference"/>
        </w:rPr>
        <w:footnoteReference w:id="2284"/>
      </w:r>
      <w:r>
        <w:t xml:space="preserve">.</w:t>
      </w:r>
    </w:p>
    <w:p>
      <w:pPr>
        <w:pStyle w:val="BodyText"/>
      </w:pPr>
      <w:r>
        <w:t xml:space="preserve">Die Nachteile sind praktischer Natur: Die Pumpe muss über Wochen getragen werden. Bei Gabe in die Vene kam es zu Komplikationen am Zugang, im Mittel bei 7 %</w:t>
      </w:r>
      <w:r>
        <w:rPr>
          <w:rStyle w:val="FootnoteReference"/>
        </w:rPr>
        <w:footnoteReference w:id="2285"/>
      </w:r>
      <w:r>
        <w:t xml:space="preserve">. Heute wird meist unter die Haut gepumpt; lokale allergische Reaktionen traten in der französischen Studie in 1,7 % der Zyklen auf</w:t>
      </w:r>
      <w:r>
        <w:rPr>
          <w:rStyle w:val="FootnoteReference"/>
        </w:rPr>
        <w:footnoteReference w:id="2286"/>
      </w:r>
      <w:r>
        <w:t xml:space="preserve">.</w:t>
      </w:r>
    </w:p>
    <w:p>
      <w:pPr>
        <w:pStyle w:val="BodyText"/>
      </w:pPr>
      <w:r>
        <w:t xml:space="preserve">Die Datenlage ist alt und überwiegend nicht randomisiert. Große Vergleichsstudien mit modernen Gonadotropin-Protokollen fehlen. Fachleute betrachten die Pumpe dennoch als besonders physiologische und sichere Methode bei hypothalamischer Amenorrhö mit Kinderwunsch</w:t>
      </w:r>
      <w:r>
        <w:rPr>
          <w:rStyle w:val="FootnoteReference"/>
        </w:rPr>
        <w:footnoteReference w:id="2287"/>
      </w:r>
      <w:r>
        <w:t xml:space="preserve"> </w:t>
      </w:r>
      <w:r>
        <w:t xml:space="preserve">– sofern sie verfügbar ist.</w:t>
      </w:r>
    </w:p>
    <w:bookmarkEnd w:id="2288"/>
    <w:bookmarkStart w:id="2292" w:name="männer-mit-hormonmangel"/>
    <w:p>
      <w:pPr>
        <w:pStyle w:val="Heading4"/>
      </w:pPr>
      <w:r>
        <w:t xml:space="preserve">Männer mit Hormonmangel</w:t>
      </w:r>
    </w:p>
    <w:p>
      <w:pPr>
        <w:pStyle w:val="FirstParagraph"/>
      </w:pPr>
      <w:r>
        <w:t xml:space="preserve">Auch Männer mit angeborenem GnRH-Mangel – etwa beim Kallmann-Syndrom, bei dem zusätzlich der Geruchssinn fehlt – können mit der Pumpe behandelt werden, um Hodenwachstum und Spermienbildung anzuregen.</w:t>
      </w:r>
    </w:p>
    <w:p>
      <w:pPr>
        <w:pStyle w:val="BodyText"/>
      </w:pPr>
      <w:r>
        <w:t xml:space="preserve">In einer Auswertung von 26 Männern an einem deutschen Universitätszentrum erschienen in 30 von 33 Behandlungszyklen Spermien im Ejakulat; in 15 von 18 Fällen mit Kinderwunsch wurde die Partnerin schwanger. Pumpe und gespritzte Gonadotropine waren gleich wirksam</w:t>
      </w:r>
      <w:r>
        <w:rPr>
          <w:rStyle w:val="FootnoteReference"/>
        </w:rPr>
        <w:footnoteReference w:id="2289"/>
      </w:r>
      <w:r>
        <w:t xml:space="preserve">. Bei chinesischen Jungen im Pubertätsalter wuchsen die Hoden unter der Pumpe stärker als unter hCG-Spritzen</w:t>
      </w:r>
      <w:r>
        <w:rPr>
          <w:rStyle w:val="FootnoteReference"/>
        </w:rPr>
        <w:footnoteReference w:id="2290"/>
      </w:r>
      <w:r>
        <w:t xml:space="preserve">. Eine kleine randomisierte Studie fand Hinweise, dass eine Vorbehandlung mit FSH vor der Pumpe die Spermienbildung verbessern könnte: Alle sieben vorbehandelten Männer hatten später Spermien, gegenüber vier von sechs ohne Vorbehandlung</w:t>
      </w:r>
      <w:r>
        <w:rPr>
          <w:rStyle w:val="FootnoteReference"/>
        </w:rPr>
        <w:footnoteReference w:id="2291"/>
      </w:r>
      <w:r>
        <w:t xml:space="preserve">.</w:t>
      </w:r>
    </w:p>
    <w:bookmarkEnd w:id="2292"/>
    <w:bookmarkStart w:id="2295" w:name="säuglinge-mit-hodenhochstand"/>
    <w:p>
      <w:pPr>
        <w:pStyle w:val="Heading4"/>
      </w:pPr>
      <w:r>
        <w:t xml:space="preserve">Säuglinge mit Hodenhochstand</w:t>
      </w:r>
    </w:p>
    <w:p>
      <w:pPr>
        <w:pStyle w:val="FirstParagraph"/>
      </w:pPr>
      <w:r>
        <w:t xml:space="preserve">In einigen europäischen Ländern wird ein Gonadorelin-Nasenspray vor oder nach der Operation eines Hodenhochstands gegeben, um die Reifung der Keimzellen zu fördern. Eine randomisierte Studie mit 62 Säuglingen berichtete günstigere Ultraschallbefunde nach kombinierter Behandlung</w:t>
      </w:r>
      <w:r>
        <w:rPr>
          <w:rStyle w:val="FootnoteReference"/>
        </w:rPr>
        <w:footnoteReference w:id="2293"/>
      </w:r>
      <w:r>
        <w:t xml:space="preserve">. Eine weitere randomisierte Studie mit 36 Jungen fand dagegen keinen Unterschied bei Penisgröße, Hodenvolumen oder Hormonwerten zum Zeitpunkt der Operation; die Behandlung erwies sich aber als sicher</w:t>
      </w:r>
      <w:r>
        <w:rPr>
          <w:rStyle w:val="FootnoteReference"/>
        </w:rPr>
        <w:footnoteReference w:id="2294"/>
      </w:r>
      <w:r>
        <w:t xml:space="preserve">. Der Nutzen ist umstritten; im Vordergrund steht die frühe Operation.</w:t>
      </w:r>
    </w:p>
    <w:bookmarkEnd w:id="2295"/>
    <w:bookmarkEnd w:id="2296"/>
    <w:bookmarkStart w:id="2297" w:name="tier--und-laborstudien-51"/>
    <w:p>
      <w:pPr>
        <w:pStyle w:val="Heading3"/>
      </w:pPr>
      <w:r>
        <w:t xml:space="preserve">Tier- und Laborstudien</w:t>
      </w:r>
    </w:p>
    <w:p>
      <w:pPr>
        <w:pStyle w:val="FirstParagraph"/>
      </w:pPr>
      <w:r>
        <w:t xml:space="preserve">Gonadorelin ist eines der am besten verstandenen Hormone überhaupt; seine Grundlagen stammen aus Tierversuchen der 1970er-Jahre. Heute spielt die Tierforschung für die Bewertung beim Menschen kaum noch eine Rolle. In der Tiermedizin wird Gonadorelin breit eingesetzt, vor allem bei Rindern zur Steuerung des Eisprungs. Diese Präparate sind für Tiere zugelassen und nicht für Menschen.</w:t>
      </w:r>
    </w:p>
    <w:bookmarkEnd w:id="2297"/>
    <w:bookmarkStart w:id="2301" w:name="risiken-und-nebenwirkungen-51"/>
    <w:p>
      <w:pPr>
        <w:pStyle w:val="Heading3"/>
      </w:pPr>
      <w:r>
        <w:t xml:space="preserve">Risiken und Nebenwirkungen</w:t>
      </w:r>
    </w:p>
    <w:bookmarkStart w:id="2299" w:name="belegt-10"/>
    <w:p>
      <w:pPr>
        <w:pStyle w:val="Heading4"/>
      </w:pPr>
      <w:r>
        <w:t xml:space="preserve">Belegt</w:t>
      </w:r>
    </w:p>
    <w:p>
      <w:pPr>
        <w:pStyle w:val="FirstParagraph"/>
      </w:pPr>
      <w:r>
        <w:t xml:space="preserve">Gonadorelin gilt als gut verträglich. In den Studien zur Pumpentherapie standen Probleme mit dem Zugang (Entzündung, Venenreizung bei Gabe in die Vene) und lokale Hautreaktionen im Vordergrund</w:t>
      </w:r>
      <w:r>
        <w:rPr>
          <w:rStyle w:val="FootnoteReference"/>
        </w:rPr>
        <w:footnoteReference w:id="2298"/>
      </w:r>
      <w:r>
        <w:t xml:space="preserve">. Mehrlingsschwangerschaften kommen vor, wenn auch seltener als bei Gonadotropinen; schwere Überstimulationen sind die Ausnahme. Beim Test können vorübergehend Kopfschmerzen, Übelkeit oder Hitzegefühl auftreten. Allergische Reaktionen sind selten beschrieben. Einzelheiten nennt die Fachinformation; die Anwendung gehört in ärztliche Hand.</w:t>
      </w:r>
    </w:p>
    <w:bookmarkEnd w:id="2299"/>
    <w:bookmarkStart w:id="2300" w:name="bei-falscher-anwendung"/>
    <w:p>
      <w:pPr>
        <w:pStyle w:val="Heading4"/>
      </w:pPr>
      <w:r>
        <w:t xml:space="preserve">Bei falscher Anwendung</w:t>
      </w:r>
    </w:p>
    <w:p>
      <w:pPr>
        <w:pStyle w:val="FirstParagraph"/>
      </w:pPr>
      <w:r>
        <w:t xml:space="preserve">Wird Gonadorelin nicht im richtigen Rhythmus, sondern zu häufig oder dauerhaft gegeben, kann es die eigene Hormonachse unterdrücken statt anregen. Das ist kein theoretisches Risiko, sondern das Wirkprinzip der GnRH-Analoga.</w:t>
      </w:r>
    </w:p>
    <w:bookmarkEnd w:id="2300"/>
    <w:bookmarkEnd w:id="2301"/>
    <w:bookmarkStart w:id="2305" w:name="einordnung-gonadorelin-im-bodybuilding"/>
    <w:p>
      <w:pPr>
        <w:pStyle w:val="Heading3"/>
      </w:pPr>
      <w:r>
        <w:t xml:space="preserve">Einordnung: Gonadorelin im Bodybuilding</w:t>
      </w:r>
    </w:p>
    <w:p>
      <w:pPr>
        <w:pStyle w:val="FirstParagraph"/>
      </w:pPr>
      <w:r>
        <w:t xml:space="preserve">In Internetforen und bei manchen Anbietern von „Hormonoptimierung“ wird Gonadorelin als Teil einer sogenannten Post-Cycle-Therapy (PCT) beworben. Gemeint ist die Phase nach einer Kur mit anabolen Steroiden: Die künstlich zugeführten Hormone haben die eigene Testosteronbildung unterdrückt, und Gonadorelin soll die Hormonachse „wieder anwerfen“. In den USA wird es Berichten zufolge auch als Ersatz für hCG angeboten.</w:t>
      </w:r>
    </w:p>
    <w:p>
      <w:pPr>
        <w:pStyle w:val="BodyText"/>
      </w:pPr>
      <w:r>
        <w:t xml:space="preserve">Was dazu bekannt ist:</w:t>
      </w:r>
    </w:p>
    <w:p>
      <w:pPr>
        <w:numPr>
          <w:ilvl w:val="0"/>
          <w:numId w:val="1285"/>
        </w:numPr>
        <w:pStyle w:val="Compact"/>
      </w:pPr>
      <w:r>
        <w:rPr>
          <w:bCs/>
          <w:b/>
        </w:rPr>
        <w:t xml:space="preserve">Es gibt keine Studien</w:t>
      </w:r>
      <w:r>
        <w:t xml:space="preserve"> </w:t>
      </w:r>
      <w:r>
        <w:t xml:space="preserve">zu Gonadorelin in dieser Situation. Die Datenlage zur PCT insgesamt ist dünn; untersucht wurden fast nur Antiöstrogene, hCG und Aromatasehemmer, und auch dafür gibt es überwiegend Beobachtungsdaten. Aus wissenschaftlicher Sicht wird eine PCT überwiegend nicht empfohlen</w:t>
      </w:r>
      <w:r>
        <w:rPr>
          <w:rStyle w:val="FootnoteReference"/>
        </w:rPr>
        <w:footnoteReference w:id="2302"/>
      </w:r>
      <w:r>
        <w:t xml:space="preserve">.</w:t>
      </w:r>
    </w:p>
    <w:p>
      <w:pPr>
        <w:numPr>
          <w:ilvl w:val="0"/>
          <w:numId w:val="1285"/>
        </w:numPr>
        <w:pStyle w:val="Compact"/>
      </w:pPr>
      <w:r>
        <w:rPr>
          <w:bCs/>
          <w:b/>
        </w:rPr>
        <w:t xml:space="preserve">Die Erholung erfolgt meist von selbst.</w:t>
      </w:r>
      <w:r>
        <w:t xml:space="preserve"> </w:t>
      </w:r>
      <w:r>
        <w:t xml:space="preserve">In der niederländischen HAARLEM-Studie mit 100 Kraftsportlern hatte sich das Testosteron drei Monate nach Ende der Steroidkur bei den meisten normalisiert; nach einem Jahr lag es bei 11 % noch unter dem Normbereich, und bei 34 % war die Spermienzahl noch erniedrigt</w:t>
      </w:r>
      <w:r>
        <w:rPr>
          <w:rStyle w:val="FootnoteReference"/>
        </w:rPr>
        <w:footnoteReference w:id="2303"/>
      </w:r>
      <w:r>
        <w:t xml:space="preserve">.</w:t>
      </w:r>
    </w:p>
    <w:p>
      <w:pPr>
        <w:numPr>
          <w:ilvl w:val="0"/>
          <w:numId w:val="1285"/>
        </w:numPr>
        <w:pStyle w:val="Compact"/>
      </w:pPr>
      <w:r>
        <w:rPr>
          <w:bCs/>
          <w:b/>
        </w:rPr>
        <w:t xml:space="preserve">Das Wirkprinzip spricht gegen naive Anwendung.</w:t>
      </w:r>
      <w:r>
        <w:t xml:space="preserve"> </w:t>
      </w:r>
      <w:r>
        <w:t xml:space="preserve">Einzelne Spritzen erzeugen nur kurze LH-Spitzen; häufige Gaben können die Hypophyse eher abstumpfen lassen. Ohne Pumpe und Laborkontrolle ist ein Nutzen nicht zu erwarten, eine Verzögerung der Erholung nicht auszuschließen.</w:t>
      </w:r>
    </w:p>
    <w:p>
      <w:pPr>
        <w:numPr>
          <w:ilvl w:val="0"/>
          <w:numId w:val="1285"/>
        </w:numPr>
        <w:pStyle w:val="Compact"/>
      </w:pPr>
      <w:r>
        <w:rPr>
          <w:bCs/>
          <w:b/>
        </w:rPr>
        <w:t xml:space="preserve">Wer nach Steroidgebrauch Beschwerden hat</w:t>
      </w:r>
      <w:r>
        <w:t xml:space="preserve">, etwa Antriebslosigkeit, Libidoverlust oder unerfüllten Kinderwunsch, sollte das ärztlich abklären lassen, idealerweise in einer andrologischen oder endokrinologischen Sprechstunde.</w:t>
      </w:r>
    </w:p>
    <w:p>
      <w:pPr>
        <w:pStyle w:val="FirstParagraph"/>
      </w:pPr>
      <w:r>
        <w:t xml:space="preserve">Im Sport ist Gonadorelin für Männer verboten. Anti-Doping-Labore haben eigene Nachweisverfahren entwickelt; eine Übersicht beschreibt Gonadorelin als Beispiel für ein Peptid, das in den letzten Jahren im Wettkampfsport missbraucht wurde</w:t>
      </w:r>
      <w:r>
        <w:rPr>
          <w:rStyle w:val="FootnoteReference"/>
        </w:rPr>
        <w:footnoteReference w:id="2304"/>
      </w:r>
      <w:r>
        <w:t xml:space="preserve">.</w:t>
      </w:r>
    </w:p>
    <w:bookmarkEnd w:id="2305"/>
    <w:bookmarkStart w:id="2306" w:name="rechtslage-51"/>
    <w:p>
      <w:pPr>
        <w:pStyle w:val="Heading3"/>
      </w:pPr>
      <w:r>
        <w:t xml:space="preserve">Rechtslage</w:t>
      </w:r>
    </w:p>
    <w:p>
      <w:pPr>
        <w:pStyle w:val="FirstParagraph"/>
      </w:pPr>
      <w:r>
        <w:rPr>
          <w:iCs/>
          <w:i/>
        </w:rPr>
        <w:t xml:space="preserve">Stand 2026, bitte aktuell prüfen.</w:t>
      </w:r>
    </w:p>
    <w:p>
      <w:pPr>
        <w:numPr>
          <w:ilvl w:val="0"/>
          <w:numId w:val="1286"/>
        </w:numPr>
        <w:pStyle w:val="Compact"/>
      </w:pPr>
      <w:r>
        <w:rPr>
          <w:bCs/>
          <w:b/>
        </w:rPr>
        <w:t xml:space="preserve">EU:</w:t>
      </w:r>
      <w:r>
        <w:t xml:space="preserve"> </w:t>
      </w:r>
      <w:r>
        <w:t xml:space="preserve">keine zentrale EU-Zulassung; nationale Zulassungen in mehreren Mitgliedstaaten, unter anderem als Diagnostikum, für die pulsatile Pumpentherapie und als Nasenspray bei Hodenhochstand. Die Präparate sind verschreibungspflichtig.</w:t>
      </w:r>
    </w:p>
    <w:p>
      <w:pPr>
        <w:numPr>
          <w:ilvl w:val="0"/>
          <w:numId w:val="1286"/>
        </w:numPr>
        <w:pStyle w:val="Compact"/>
      </w:pPr>
      <w:r>
        <w:rPr>
          <w:bCs/>
          <w:b/>
        </w:rPr>
        <w:t xml:space="preserve">Deutschland:</w:t>
      </w:r>
      <w:r>
        <w:t xml:space="preserve"> </w:t>
      </w:r>
      <w:r>
        <w:t xml:space="preserve">Präparate für den GnRH-Test und für die Pumpentherapie waren beziehungsweise sind im Handel; die aktuelle Verfügbarkeit schwankt. Die Behandlung erfolgt in spezialisierten Zentren.</w:t>
      </w:r>
    </w:p>
    <w:p>
      <w:pPr>
        <w:numPr>
          <w:ilvl w:val="0"/>
          <w:numId w:val="1286"/>
        </w:numPr>
        <w:pStyle w:val="Compact"/>
      </w:pPr>
      <w:r>
        <w:rPr>
          <w:bCs/>
          <w:b/>
        </w:rPr>
        <w:t xml:space="preserve">Österreich:</w:t>
      </w:r>
      <w:r>
        <w:t xml:space="preserve"> </w:t>
      </w:r>
      <w:r>
        <w:t xml:space="preserve">verschreibungspflichtig; Verfügbarkeit einzelner Präparate bitte aktuell in der Arzneispezialitätenliste prüfen.</w:t>
      </w:r>
    </w:p>
    <w:p>
      <w:pPr>
        <w:numPr>
          <w:ilvl w:val="0"/>
          <w:numId w:val="1286"/>
        </w:numPr>
        <w:pStyle w:val="Compact"/>
      </w:pPr>
      <w:r>
        <w:rPr>
          <w:bCs/>
          <w:b/>
        </w:rPr>
        <w:t xml:space="preserve">USA:</w:t>
      </w:r>
      <w:r>
        <w:t xml:space="preserve"> </w:t>
      </w:r>
      <w:r>
        <w:t xml:space="preserve">Die früher zugelassenen Humanpräparate sind vom Markt. Gonadorelin wird Berichten zufolge von Rezepturapotheken angeboten; die regulatorische Bewertung solcher Zubereitungen ist im Fluss. Tierarzneimittel mit Gonadorelin sind für Menschen nicht bestimmt.</w:t>
      </w:r>
    </w:p>
    <w:p>
      <w:pPr>
        <w:numPr>
          <w:ilvl w:val="0"/>
          <w:numId w:val="1286"/>
        </w:numPr>
        <w:pStyle w:val="Compact"/>
      </w:pPr>
      <w:r>
        <w:rPr>
          <w:bCs/>
          <w:b/>
        </w:rPr>
        <w:t xml:space="preserve">WADA:</w:t>
      </w:r>
      <w:r>
        <w:t xml:space="preserve"> </w:t>
      </w:r>
      <w:r>
        <w:t xml:space="preserve">S2 – für Männer im Wettkampf und außerhalb verboten.</w:t>
      </w:r>
    </w:p>
    <w:bookmarkEnd w:id="2306"/>
    <w:bookmarkStart w:id="2310" w:name="laufende-studien-und-ausblick-51"/>
    <w:p>
      <w:pPr>
        <w:pStyle w:val="Heading3"/>
      </w:pPr>
      <w:r>
        <w:t xml:space="preserve">Laufende Studien und Ausblick</w:t>
      </w:r>
    </w:p>
    <w:p>
      <w:pPr>
        <w:pStyle w:val="FirstParagraph"/>
      </w:pPr>
      <w:r>
        <w:rPr>
          <w:bCs/>
          <w:b/>
        </w:rPr>
        <w:t xml:space="preserve">Gesichert (registrierte Studien):</w:t>
      </w:r>
      <w:r>
        <w:t xml:space="preserve"> </w:t>
      </w:r>
      <w:r>
        <w:t xml:space="preserve">Unter den wenigen Registereinträgen, die tatsächlich natives GnRH betreffen, finden sich:</w:t>
      </w:r>
    </w:p>
    <w:p>
      <w:pPr>
        <w:numPr>
          <w:ilvl w:val="0"/>
          <w:numId w:val="1287"/>
        </w:numPr>
        <w:pStyle w:val="Compact"/>
      </w:pPr>
      <w:r>
        <w:t xml:space="preserve">abgeschlossene Studien des Herstellers Ferring zu einem Hautpflaster, das GnRH pulsatil über einen schwachen Strom durch die Haut abgibt (NCT00296465 mit 132 und NCT00796289 mit 350 Teilnehmerinnen). Ergebnisse dieser Studien sind nach Kenntnis des Autors nicht in PubMed veröffentlicht, das Pflaster kam nicht auf den Markt;</w:t>
      </w:r>
    </w:p>
    <w:p>
      <w:pPr>
        <w:numPr>
          <w:ilvl w:val="0"/>
          <w:numId w:val="1287"/>
        </w:numPr>
        <w:pStyle w:val="Compact"/>
      </w:pPr>
      <w:r>
        <w:t xml:space="preserve">eine 2025 zurückgezogene Studie zur GnRH-Gabe mit einer modernen Insulinpumpe ohne Schlauch</w:t>
      </w:r>
      <w:r>
        <w:rPr>
          <w:rStyle w:val="FootnoteReference"/>
        </w:rPr>
        <w:footnoteReference w:id="2307"/>
      </w:r>
      <w:r>
        <w:t xml:space="preserve">;</w:t>
      </w:r>
    </w:p>
    <w:p>
      <w:pPr>
        <w:numPr>
          <w:ilvl w:val="0"/>
          <w:numId w:val="1287"/>
        </w:numPr>
        <w:pStyle w:val="Compact"/>
      </w:pPr>
      <w:r>
        <w:t xml:space="preserve">chinesische Studien zur Pumpe bei angeborenem Hormonmangel</w:t>
      </w:r>
      <w:r>
        <w:rPr>
          <w:rStyle w:val="FootnoteReference"/>
        </w:rPr>
        <w:footnoteReference w:id="2308"/>
      </w:r>
      <w:r>
        <w:t xml:space="preserve"> </w:t>
      </w:r>
      <w:r>
        <w:t xml:space="preserve">und bei PCOS</w:t>
      </w:r>
      <w:r>
        <w:rPr>
          <w:rStyle w:val="FootnoteReference"/>
        </w:rPr>
        <w:footnoteReference w:id="2309"/>
      </w:r>
      <w:r>
        <w:t xml:space="preserve">, beide mit unbekanntem Status.</w:t>
      </w:r>
    </w:p>
    <w:p>
      <w:pPr>
        <w:pStyle w:val="FirstParagraph"/>
      </w:pPr>
      <w:r>
        <w:rPr>
          <w:bCs/>
          <w:b/>
        </w:rPr>
        <w:t xml:space="preserve">Einschätzung des Autors:</w:t>
      </w:r>
      <w:r>
        <w:t xml:space="preserve"> </w:t>
      </w:r>
      <w:r>
        <w:t xml:space="preserve">Gonadorelin ist ein alter, gut verstandener Wirkstoff, dessen Bedeutung in der Diagnostik abnimmt, weil kurz wirksame Analoga billiger und verfügbarer sind. Für die Pumpentherapie bei hypothalamischer Amenorrhö und angeborenem Hormonmangel bleibt es eine physiologische Option, deren Zukunft weniger von neuer Forschung abhängt als von der Frage, ob Hersteller die kleinen Märkte weiter beliefern. Moderne, schlauchlose Pumpen könnten die Behandlung bequemer machen. Für einen Nutzen im Bodybuilding-Kontext gibt es keine Belege.</w:t>
      </w:r>
    </w:p>
    <w:bookmarkEnd w:id="2310"/>
    <w:bookmarkStart w:id="2311" w:name="fazit-51"/>
    <w:p>
      <w:pPr>
        <w:pStyle w:val="Heading3"/>
      </w:pPr>
      <w:r>
        <w:t xml:space="preserve">Fazit</w:t>
      </w:r>
    </w:p>
    <w:p>
      <w:pPr>
        <w:pStyle w:val="FirstParagraph"/>
      </w:pPr>
      <w:r>
        <w:t xml:space="preserve">Gonadorelin ist das synthetische Ebenbild des körpereigenen GnRH und seit Jahrzehnten für Funktionstests und die Pumpentherapie im Einsatz. Im richtigen Pulsrhythmus gegeben, führte es in großen Fallserien bei Frauen mit hypothalamischer Amenorrhö in den meisten Zyklen zum Eisprung, mit weniger Mehrlingen als unter Gonadotropinen, und bei Männern mit angeborenem Hormonmangel zur Spermienbildung. Die Studienlage ist alt und überwiegend nicht randomisiert; Registerzahlen sind durch GnRH-Analoga massiv verzerrt. Der Einsatz in der Bodybuilding-Szene nach Steroidkuren ist nicht untersucht, widerspricht dem Wirkprinzip und ist im Sport verboten.</w:t>
      </w:r>
    </w:p>
    <w:bookmarkEnd w:id="2311"/>
    <w:bookmarkEnd w:id="2312"/>
    <w:bookmarkEnd w:id="2313"/>
    <w:bookmarkStart w:id="2524" w:name="X74ad97df1f1b5cb3cf757b89f340ed7164bcf5b"/>
    <w:p>
      <w:pPr>
        <w:pStyle w:val="Heading1"/>
      </w:pPr>
      <w:r>
        <w:t xml:space="preserve">Teil II · F – Kollagen, Ernährung und Kosmetik</w:t>
      </w:r>
    </w:p>
    <w:p>
      <w:pPr>
        <w:pStyle w:val="FirstParagraph"/>
      </w:pPr>
      <w:r>
        <w:t xml:space="preserve">Die Peptide dieser Gruppe begegnen den meisten Menschen nicht in der Arztpraxis, sondern im Supermarkt, in der Drogerie und in der Werbung: als Kollagen-Drink, als Blutdruck-Joghurt, als Sportkapsel oder als „Anti-Aging-Peptid“ in einer Gesichtscreme. Sie sind frei verkäuflich, gelten als harmlos und werden mit Studien beworben. Genau deshalb lohnt ein genauer Blick darauf, was diese Studien zeigen.</w:t>
      </w:r>
    </w:p>
    <w:bookmarkStart w:id="2315" w:name="was-die-gruppe-verbindet"/>
    <w:p>
      <w:pPr>
        <w:pStyle w:val="Heading3"/>
      </w:pPr>
      <w:r>
        <w:t xml:space="preserve">Was die Gruppe verbindet</w:t>
      </w:r>
    </w:p>
    <w:p>
      <w:pPr>
        <w:pStyle w:val="FirstParagraph"/>
      </w:pPr>
      <w:r>
        <w:t xml:space="preserve">Alle sechs Stoffe sind entweder Bruchstücke körpereigener oder in der Nahrung vorkommender Eiweiße (Kollagenpeptide, Lactotripeptide aus Milch, Carnosin, GHK-Cu) oder ihnen gezielt nachgebaut (Matrixyl, Argireline). Keiner von ihnen ist als Arzneimittel zugelassen. Sie werden deshalb nicht nach den strengen Maßstäben geprüft, die für Medikamente gelten, sondern nach den Regeln für Lebensmittel oder Kosmetika.</w:t>
      </w:r>
    </w:p>
    <w:p>
      <w:pPr>
        <w:pStyle w:val="BodyText"/>
      </w:pPr>
      <w:r>
        <w:t xml:space="preserve">Daraus ergeben sich gemeinsame Muster, die in allen Kapiteln wiederkehren:</w:t>
      </w:r>
    </w:p>
    <w:p>
      <w:pPr>
        <w:numPr>
          <w:ilvl w:val="0"/>
          <w:numId w:val="1288"/>
        </w:numPr>
        <w:pStyle w:val="Compact"/>
      </w:pPr>
      <w:r>
        <w:rPr>
          <w:bCs/>
          <w:b/>
        </w:rPr>
        <w:t xml:space="preserve">Viele kleine Studien, wenige große.</w:t>
      </w:r>
      <w:r>
        <w:t xml:space="preserve"> </w:t>
      </w:r>
      <w:r>
        <w:t xml:space="preserve">Typisch sind 20 bis 150 Teilnehmende über 4 bis 24 Wochen. Harte Endpunkte wie Knochenbrüche, Herzinfarkte oder Gelenkersatz wurden nie untersucht.</w:t>
      </w:r>
    </w:p>
    <w:p>
      <w:pPr>
        <w:numPr>
          <w:ilvl w:val="0"/>
          <w:numId w:val="1288"/>
        </w:numPr>
        <w:pStyle w:val="Compact"/>
      </w:pPr>
      <w:r>
        <w:rPr>
          <w:bCs/>
          <w:b/>
        </w:rPr>
        <w:t xml:space="preserve">Herstellerfinanzierung.</w:t>
      </w:r>
      <w:r>
        <w:t xml:space="preserve"> </w:t>
      </w:r>
      <w:r>
        <w:t xml:space="preserve">Ein großer Teil der Studien wurde von Rohstoff- oder Produktherstellern bezahlt. Beim Kollagen zeigt eine Meta-Analyse, dass der Nutzen für die Haut verschwindet, wenn man nur unabhängig finanzierte Studien betrachtet</w:t>
      </w:r>
      <w:r>
        <w:rPr>
          <w:rStyle w:val="FootnoteReference"/>
        </w:rPr>
        <w:footnoteReference w:id="2314"/>
      </w:r>
      <w:r>
        <w:t xml:space="preserve">.</w:t>
      </w:r>
    </w:p>
    <w:p>
      <w:pPr>
        <w:numPr>
          <w:ilvl w:val="0"/>
          <w:numId w:val="1288"/>
        </w:numPr>
        <w:pStyle w:val="Compact"/>
      </w:pPr>
      <w:r>
        <w:rPr>
          <w:bCs/>
          <w:b/>
        </w:rPr>
        <w:t xml:space="preserve">Das Problem des Wirkorts.</w:t>
      </w:r>
      <w:r>
        <w:t xml:space="preserve"> </w:t>
      </w:r>
      <w:r>
        <w:t xml:space="preserve">Ein Peptid muss dorthin gelangen, wo es wirken soll. Geschluckte Peptide werden größtenteils verdaut; Peptide in Cremes durchdringen die Hautbarriere nur in geringem Umfang. Für jedes Kapitel ist deshalb die Frage zentral, ob der im Labor gezeigte Mechanismus im Körper überhaupt zum Tragen kommt.</w:t>
      </w:r>
    </w:p>
    <w:p>
      <w:pPr>
        <w:numPr>
          <w:ilvl w:val="0"/>
          <w:numId w:val="1288"/>
        </w:numPr>
        <w:pStyle w:val="Compact"/>
      </w:pPr>
      <w:r>
        <w:rPr>
          <w:bCs/>
          <w:b/>
        </w:rPr>
        <w:t xml:space="preserve">Kombinationsprodukte.</w:t>
      </w:r>
      <w:r>
        <w:t xml:space="preserve"> </w:t>
      </w:r>
      <w:r>
        <w:t xml:space="preserve">Viele Produkte enthalten mehrere Wirkstoffe. Ein positives Studienergebnis lässt sich dann nicht dem einzelnen Peptid zuschreiben.</w:t>
      </w:r>
    </w:p>
    <w:bookmarkEnd w:id="2315"/>
    <w:bookmarkStart w:id="2316" w:name="Xc33b6a1f3d4650d5ff8448f5b12a48e1a006ebe"/>
    <w:p>
      <w:pPr>
        <w:pStyle w:val="Heading3"/>
      </w:pPr>
      <w:r>
        <w:t xml:space="preserve">Lebensmittel, Kosmetik, Arzneimittel – drei Rechtswelten</w:t>
      </w:r>
    </w:p>
    <w:p>
      <w:pPr>
        <w:pStyle w:val="FirstParagraph"/>
      </w:pPr>
      <w:r>
        <w:t xml:space="preserve">Ob ein Stoff als Lebensmittel, Kosmetikum oder Arzneimittel gilt, entscheidet nicht seine Chemie, sondern seine Zweckbestimmung und Aufmachung. Teil I erklärt den rechtlichen Rahmen ausführlich; für diese Gruppe sind drei Punkte wichtig:</w:t>
      </w:r>
    </w:p>
    <w:p>
      <w:pPr>
        <w:numPr>
          <w:ilvl w:val="0"/>
          <w:numId w:val="1289"/>
        </w:numPr>
        <w:pStyle w:val="Compact"/>
      </w:pPr>
      <w:r>
        <w:rPr>
          <w:bCs/>
          <w:b/>
        </w:rPr>
        <w:t xml:space="preserve">Lebensmittel und Nahrungsergänzungsmittel</w:t>
      </w:r>
      <w:r>
        <w:t xml:space="preserve"> </w:t>
      </w:r>
      <w:r>
        <w:t xml:space="preserve">(Kollagenpeptide, Lactotripeptide, Carnosin) brauchen in der EU keine Zulassung und keinen Wirksamkeitsnachweis. Dafür ist streng geregelt, womit sie werben dürfen. Nach der Health-Claims-Verordnung (Verordnung (EG) Nr. 1924/2006) sind gesundheitsbezogene Angaben nur erlaubt, wenn sie von der Europäischen Behörde für Lebensmittelsicherheit (EFSA) geprüft und von der EU-Kommission zugelassen wurden.</w:t>
      </w:r>
      <w:r>
        <w:t xml:space="preserve"> </w:t>
      </w:r>
      <w:r>
        <w:rPr>
          <w:bCs/>
          <w:b/>
        </w:rPr>
        <w:t xml:space="preserve">Für Kollagen, Kollagenpeptide, Lactotripeptide und Carnosin gibt es keinen einzigen zugelassenen Health Claim.</w:t>
      </w:r>
      <w:r>
        <w:t xml:space="preserve"> </w:t>
      </w:r>
      <w:r>
        <w:t xml:space="preserve">Die EFSA hat beantragte Angaben – etwa zu Gelenken beim Kollagen oder zum Blutdruck bei den Lactotripeptiden – negativ bewertet. Wenn eine Kollagenpackung dennoch mit Haut oder Knochen wirbt, bezieht sich die rechtlich zulässige Aussage in der Regel auf zugesetztes Vitamin C, für das die Angabe „trägt zu einer normalen Kollagenbildung bei“ zugelassen ist.</w:t>
      </w:r>
    </w:p>
    <w:p>
      <w:pPr>
        <w:numPr>
          <w:ilvl w:val="0"/>
          <w:numId w:val="1289"/>
        </w:numPr>
        <w:pStyle w:val="Compact"/>
      </w:pPr>
      <w:r>
        <w:rPr>
          <w:bCs/>
          <w:b/>
        </w:rPr>
        <w:t xml:space="preserve">Kosmetika</w:t>
      </w:r>
      <w:r>
        <w:t xml:space="preserve"> </w:t>
      </w:r>
      <w:r>
        <w:t xml:space="preserve">(GHK-Cu, Matrixyl, Argireline) unterliegen der EU-Kosmetikverordnung (Verordnung (EG) Nr. 1223/2009). Sie dürfen nur äußerlich angewendet werden, müssen sicher sein und dürfen keine arzneiliche Wirkung beanspruchen. Werbeaussagen müssen belegbar sein, eine behördliche Wirksamkeitsprüfung vor dem Verkauf gibt es aber nicht.</w:t>
      </w:r>
    </w:p>
    <w:p>
      <w:pPr>
        <w:numPr>
          <w:ilvl w:val="0"/>
          <w:numId w:val="1289"/>
        </w:numPr>
        <w:pStyle w:val="Compact"/>
      </w:pPr>
      <w:r>
        <w:rPr>
          <w:bCs/>
          <w:b/>
        </w:rPr>
        <w:t xml:space="preserve">Arzneimittel</w:t>
      </w:r>
      <w:r>
        <w:t xml:space="preserve"> </w:t>
      </w:r>
      <w:r>
        <w:t xml:space="preserve">müssen ihre Wirksamkeit und Sicherheit in Studien nachweisen und zugelassen werden. Wird ein Kosmetik-Peptid gespritzt – wie es bei GHK-Cu und Argireline auf dem Graumarkt vorkommt –, verlässt es die Kosmetikwelt: Es wird zum nicht zugelassenen Arzneimittel, ohne dass dafür Studien oder Qualitätskontrollen existieren.</w:t>
      </w:r>
    </w:p>
    <w:p>
      <w:pPr>
        <w:pStyle w:val="FirstParagraph"/>
      </w:pPr>
      <w:r>
        <w:t xml:space="preserve">In den USA gelten ähnliche Grundsätze; dort dürfen Nahrungsergänzungsmittel allerdings mit allgemeinen „Struktur-Funktions-Aussagen“ werben, sofern sie einen Hinweis tragen, dass die FDA diese nicht geprüft hat.</w:t>
      </w:r>
    </w:p>
    <w:bookmarkEnd w:id="2316"/>
    <w:bookmarkStart w:id="2317" w:name="überblick-4"/>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kein Health Claim</w:t>
            </w:r>
          </w:p>
        </w:tc>
        <w:tc>
          <w:tcPr/>
          <w:p>
            <w:pPr>
              <w:pStyle w:val="Compact"/>
              <w:jc w:val="left"/>
            </w:pPr>
            <w:r>
              <w:t xml:space="preserve">Kleine Effekte auf Gelenkschmerz; Hautnutzen in unabhängigen Studien nicht belegt</w:t>
            </w:r>
          </w:p>
        </w:tc>
      </w:tr>
      <w:tr>
        <w:tc>
          <w:tcPr/>
          <w:p>
            <w:pPr>
              <w:pStyle w:val="Compact"/>
              <w:jc w:val="left"/>
            </w:pPr>
            <w:r>
              <w:t xml:space="preserve">Lactotripeptide (VPP/IPP)</w:t>
            </w:r>
          </w:p>
        </w:tc>
        <w:tc>
          <w:tcPr/>
          <w:p>
            <w:pPr>
              <w:pStyle w:val="Compact"/>
              <w:jc w:val="left"/>
            </w:pPr>
            <w:r>
              <w:t xml:space="preserve">B</w:t>
            </w:r>
          </w:p>
        </w:tc>
        <w:tc>
          <w:tcPr/>
          <w:p>
            <w:pPr>
              <w:pStyle w:val="Compact"/>
              <w:jc w:val="left"/>
            </w:pPr>
            <w:r>
              <w:t xml:space="preserve">Lebensmittel, Blutdruck-Claim abgelehnt</w:t>
            </w:r>
          </w:p>
        </w:tc>
        <w:tc>
          <w:tcPr/>
          <w:p>
            <w:pPr>
              <w:pStyle w:val="Compact"/>
              <w:jc w:val="left"/>
            </w:pPr>
            <w:r>
              <w:t xml:space="preserve">Blutdrucksenkung um etwa 1–4 mmHg, in Europa kaum nachweisbar</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kein Health Claim</w:t>
            </w:r>
          </w:p>
        </w:tc>
        <w:tc>
          <w:tcPr/>
          <w:p>
            <w:pPr>
              <w:pStyle w:val="Compact"/>
              <w:jc w:val="left"/>
            </w:pPr>
            <w:r>
              <w:t xml:space="preserve">Hinweise bei Blutzucker; im Sport ist Vorstufe Beta-Alanin besser belegt</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Injektion nicht zugelassen</w:t>
            </w:r>
          </w:p>
        </w:tc>
        <w:tc>
          <w:tcPr/>
          <w:p>
            <w:pPr>
              <w:pStyle w:val="Compact"/>
              <w:jc w:val="left"/>
            </w:pPr>
            <w:r>
              <w:t xml:space="preserve">Eine alte Wundstudie; kaum Hautdaten; Injektion ungeprüft</w:t>
            </w:r>
          </w:p>
        </w:tc>
      </w:tr>
      <w:tr>
        <w:tc>
          <w:tcPr/>
          <w:p>
            <w:pPr>
              <w:pStyle w:val="Compact"/>
              <w:jc w:val="left"/>
            </w:pPr>
            <w:r>
              <w:t xml:space="preserve">Palmitoyl-Pentapeptid-4 (Matrixyl)</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Eine Halbseitenstudie von 2005; Hautdurchlässigkeit unklar</w:t>
            </w:r>
          </w:p>
        </w:tc>
      </w:tr>
      <w:tr>
        <w:tc>
          <w:tcPr/>
          <w:p>
            <w:pPr>
              <w:pStyle w:val="Compact"/>
              <w:jc w:val="left"/>
            </w:pPr>
            <w:r>
              <w:t xml:space="preserve">Acetyl-Hexapeptid-8 (Argireline)</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„Botox aus der Tube“ nicht belegt; dringt kaum in die Haut ein</w:t>
            </w:r>
          </w:p>
        </w:tc>
      </w:tr>
    </w:tbl>
    <w:p>
      <w:pPr>
        <w:pStyle w:val="BodyText"/>
      </w:pPr>
      <w:r>
        <w:t xml:space="preserve">Die Einstufung B bedeutet in dieser Gruppe ausdrücklich nicht, dass eine Wirkung gesichert ist, sondern nur, dass randomisierte Studien vorliegen.</w:t>
      </w:r>
    </w:p>
    <w:bookmarkEnd w:id="2317"/>
    <w:bookmarkStart w:id="2318" w:name="lesehinweis-5"/>
    <w:p>
      <w:pPr>
        <w:pStyle w:val="Heading3"/>
      </w:pPr>
      <w:r>
        <w:t xml:space="preserve">Lesehinweis</w:t>
      </w:r>
    </w:p>
    <w:p>
      <w:pPr>
        <w:pStyle w:val="FirstParagraph"/>
      </w:pPr>
      <w:r>
        <w:t xml:space="preserve">Das Kapitel zu den</w:t>
      </w:r>
      <w:r>
        <w:t xml:space="preserve"> </w:t>
      </w:r>
      <w:r>
        <w:rPr>
          <w:bCs/>
          <w:b/>
        </w:rPr>
        <w:t xml:space="preserve">Kollagenpeptiden</w:t>
      </w:r>
      <w:r>
        <w:t xml:space="preserve"> </w:t>
      </w:r>
      <w:r>
        <w:t xml:space="preserve">ist das ausführlichste, weil es zu ihnen die meisten Studien gibt und weil sich an ihnen gut zeigen lässt, wie Meta-Analysen, Herstellerfinanzierung und Placeboeffekt zusammenspielen. Wer nur ein Kapitel dieser Gruppe liest, sollte dieses wählen. Das Kapitel zu den</w:t>
      </w:r>
      <w:r>
        <w:t xml:space="preserve"> </w:t>
      </w:r>
      <w:r>
        <w:rPr>
          <w:bCs/>
          <w:b/>
        </w:rPr>
        <w:t xml:space="preserve">Lactotripeptiden</w:t>
      </w:r>
      <w:r>
        <w:t xml:space="preserve"> </w:t>
      </w:r>
      <w:r>
        <w:t xml:space="preserve">ist ein Lehrstück dafür, wie ein überzeugender Labormechanismus in größeren Studien schrumpfen kann. Die drei</w:t>
      </w:r>
      <w:r>
        <w:t xml:space="preserve"> </w:t>
      </w:r>
      <w:r>
        <w:rPr>
          <w:bCs/>
          <w:b/>
        </w:rPr>
        <w:t xml:space="preserve">Kosmetik-Peptide</w:t>
      </w:r>
      <w:r>
        <w:t xml:space="preserve"> </w:t>
      </w:r>
      <w:r>
        <w:t xml:space="preserve">sind kürzer; sie teilen dieselbe Kernfrage – ob ein Wirkstoff aus der Creme überhaupt dort ankommt, wo er wirken soll. Die Risiken von Graumarkt-Injektionen werden in Teil IV ausführlich behandelt.</w:t>
      </w:r>
    </w:p>
    <w:bookmarkEnd w:id="2318"/>
    <w:bookmarkStart w:id="2370" w:name="kollagenpeptide-kollagenhydrolysat"/>
    <w:p>
      <w:pPr>
        <w:pStyle w:val="Heading2"/>
      </w:pPr>
      <w:r>
        <w:t xml:space="preserve">Kollagenpeptide (Kollagenhydrolysat)</w:t>
      </w:r>
    </w:p>
    <w:bookmarkStart w:id="2319" w:name="steckbrief-52"/>
    <w:p>
      <w:pPr>
        <w:pStyle w:val="Heading3"/>
      </w:pPr>
      <w:r>
        <w:t xml:space="preserve">Steckbrief</w:t>
      </w:r>
    </w:p>
    <w:p>
      <w:pPr>
        <w:numPr>
          <w:ilvl w:val="0"/>
          <w:numId w:val="1290"/>
        </w:numPr>
        <w:pStyle w:val="Compact"/>
      </w:pPr>
      <w:r>
        <w:rPr>
          <w:bCs/>
          <w:b/>
        </w:rPr>
        <w:t xml:space="preserve">Art/Struktur:</w:t>
      </w:r>
      <w:r>
        <w:t xml:space="preserve"> </w:t>
      </w:r>
      <w:r>
        <w:t xml:space="preserve">Gemisch aus Peptiden unterschiedlicher Länge, gewonnen durch enzymatische Spaltung (Hydrolyse) von Kollagen bzw. Gelatine. Typische Produkte enthalten Bruchstücke mit einer mittleren Molekülmasse von etwa 2.000 bis 5.000 Dalton. Charakteristisch sind die Aminosäuren Glycin, Prolin und Hydroxyprolin; die essenzielle Aminosäure Tryptophan fehlt.</w:t>
      </w:r>
    </w:p>
    <w:p>
      <w:pPr>
        <w:numPr>
          <w:ilvl w:val="0"/>
          <w:numId w:val="1290"/>
        </w:numPr>
        <w:pStyle w:val="Compact"/>
      </w:pPr>
      <w:r>
        <w:rPr>
          <w:bCs/>
          <w:b/>
        </w:rPr>
        <w:t xml:space="preserve">Herkunft:</w:t>
      </w:r>
      <w:r>
        <w:t xml:space="preserve"> </w:t>
      </w:r>
      <w:r>
        <w:t xml:space="preserve">Haut, Knochen oder Schuppen von Rind, Schwein, Huhn und Fisch – Nebenprodukte der Fleisch- und Fischverarbeitung. Viele Studien verwenden geschützte Markenrohstoffe (z. B. Verisol, Fortigel, Bodybalance, Tendoforte), die von einigen wenigen Herstellern stammen.</w:t>
      </w:r>
    </w:p>
    <w:p>
      <w:pPr>
        <w:numPr>
          <w:ilvl w:val="0"/>
          <w:numId w:val="1290"/>
        </w:numPr>
        <w:pStyle w:val="Compact"/>
      </w:pPr>
      <w:r>
        <w:rPr>
          <w:bCs/>
          <w:b/>
        </w:rPr>
        <w:t xml:space="preserve">Wirkprinzip:</w:t>
      </w:r>
      <w:r>
        <w:t xml:space="preserve"> </w:t>
      </w:r>
      <w:r>
        <w:t xml:space="preserve">Lieferung von Bausteinen für das körpereigene Bindegewebe; zusätzlich wird diskutiert, dass bestimmte kleine Peptide (vor allem Prolyl-Hydroxyprolin) als Signalstoffe auf Bindegewebszellen wirken.</w:t>
      </w:r>
    </w:p>
    <w:p>
      <w:pPr>
        <w:numPr>
          <w:ilvl w:val="0"/>
          <w:numId w:val="1290"/>
        </w:numPr>
        <w:pStyle w:val="Compact"/>
      </w:pPr>
      <w:r>
        <w:rPr>
          <w:bCs/>
          <w:b/>
        </w:rPr>
        <w:t xml:space="preserve">Abgrenzung:</w:t>
      </w:r>
      <w:r>
        <w:t xml:space="preserve"> </w:t>
      </w:r>
      <w:r>
        <w:rPr>
          <w:iCs/>
          <w:i/>
        </w:rPr>
        <w:t xml:space="preserve">Undenaturiertes</w:t>
      </w:r>
      <w:r>
        <w:t xml:space="preserve"> </w:t>
      </w:r>
      <w:r>
        <w:t xml:space="preserve">Typ-II-Kollagen (z. B. UC-II) ist ein anderes Produkt mit anderem Wirkprinzip und wird unten gesondert besprochen.</w:t>
      </w:r>
    </w:p>
    <w:p>
      <w:pPr>
        <w:numPr>
          <w:ilvl w:val="0"/>
          <w:numId w:val="1290"/>
        </w:numPr>
        <w:pStyle w:val="Compact"/>
      </w:pPr>
      <w:r>
        <w:rPr>
          <w:bCs/>
          <w:b/>
        </w:rPr>
        <w:t xml:space="preserve">Zulassung EU:</w:t>
      </w:r>
      <w:r>
        <w:t xml:space="preserve"> </w:t>
      </w:r>
      <w:r>
        <w:t xml:space="preserve">keine Arzneimittelzulassung; als Lebensmittel bzw. Nahrungsergänzungsmittel verkehrsfähig. Für Kollagen selbst gibt es</w:t>
      </w:r>
      <w:r>
        <w:t xml:space="preserve"> </w:t>
      </w:r>
      <w:r>
        <w:rPr>
          <w:bCs/>
          <w:b/>
        </w:rPr>
        <w:t xml:space="preserve">keine</w:t>
      </w:r>
      <w:r>
        <w:t xml:space="preserve"> </w:t>
      </w:r>
      <w:r>
        <w:t xml:space="preserve">zugelassene gesundheitsbezogene Angabe (Health Claim).</w:t>
      </w:r>
    </w:p>
    <w:p>
      <w:pPr>
        <w:numPr>
          <w:ilvl w:val="0"/>
          <w:numId w:val="1290"/>
        </w:numPr>
        <w:pStyle w:val="Compact"/>
      </w:pPr>
      <w:r>
        <w:rPr>
          <w:bCs/>
          <w:b/>
        </w:rPr>
        <w:t xml:space="preserve">Zulassung USA:</w:t>
      </w:r>
      <w:r>
        <w:t xml:space="preserve"> </w:t>
      </w:r>
      <w:r>
        <w:t xml:space="preserve">keine Arzneimittelzulassung; als Nahrungsergänzungsmittel (Dietary Supplement) im Handel.</w:t>
      </w:r>
    </w:p>
    <w:p>
      <w:pPr>
        <w:numPr>
          <w:ilvl w:val="0"/>
          <w:numId w:val="1290"/>
        </w:numPr>
        <w:pStyle w:val="Compact"/>
      </w:pPr>
      <w:r>
        <w:rPr>
          <w:bCs/>
          <w:b/>
        </w:rPr>
        <w:t xml:space="preserve">WADA:</w:t>
      </w:r>
      <w:r>
        <w:t xml:space="preserve"> </w:t>
      </w:r>
      <w:r>
        <w:t xml:space="preserve">nicht gelistet.</w:t>
      </w:r>
    </w:p>
    <w:p>
      <w:pPr>
        <w:numPr>
          <w:ilvl w:val="0"/>
          <w:numId w:val="1290"/>
        </w:numPr>
        <w:pStyle w:val="Compact"/>
      </w:pPr>
      <w:r>
        <w:rPr>
          <w:bCs/>
          <w:b/>
        </w:rPr>
        <w:t xml:space="preserve">Evidenzstufe:</w:t>
      </w:r>
      <w:r>
        <w:t xml:space="preserve"> </w:t>
      </w:r>
      <w:r>
        <w:rPr>
          <w:bCs/>
          <w:b/>
        </w:rPr>
        <w:t xml:space="preserve">B</w:t>
      </w:r>
      <w:r>
        <w:t xml:space="preserve"> </w:t>
      </w:r>
      <w:r>
        <w:t xml:space="preserve">– zahlreiche randomisierte, placebokontrollierte Studien, die jedoch überwiegend klein, kurz und von Herstellern finanziert sind.</w:t>
      </w:r>
    </w:p>
    <w:bookmarkEnd w:id="2319"/>
    <w:bookmarkStart w:id="2324" w:name="wie-es-wirken-soll-52"/>
    <w:p>
      <w:pPr>
        <w:pStyle w:val="Heading3"/>
      </w:pPr>
      <w:r>
        <w:t xml:space="preserve">Wie es wirken soll</w:t>
      </w:r>
    </w:p>
    <w:p>
      <w:pPr>
        <w:pStyle w:val="FirstParagraph"/>
      </w:pPr>
      <w:r>
        <w:t xml:space="preserve">Kollagen ist das häufigste Eiweiß im menschlichen Körper. Es bildet das Gerüst von Haut, Sehnen, Bändern, Knorpel und Knochen. Seine Grundeinheit ist eine Dreifachspirale aus drei Eiweißketten, in denen sich ein Muster ständig wiederholt: Glycin, dann eine beliebige Aminosäure, dann häufig Prolin oder Hydroxyprolin. Mit dem Alter sinkt die Kollagenbildung in der Haut, und das Kollagennetz wird brüchiger – sichtbar als Falten und nachlassende Spannkraft.</w:t>
      </w:r>
    </w:p>
    <w:p>
      <w:pPr>
        <w:pStyle w:val="BodyText"/>
      </w:pPr>
      <w:r>
        <w:t xml:space="preserve">Die Werbung legt oft eine einfache Logik nahe: Wer Kollagen isst, baut Kollagen auf. So funktioniert die Verdauung nicht. Eiweiße werden im Magen und Dünndarm weitgehend in einzelne Aminosäuren und kleinste Peptide zerlegt; der Körper baut daraus seine Eiweiße nach eigenem Bedarf neu zusammen. Kollagen aus der Nahrung wird also nicht als Kollagen in die Haut „eingebaut“.</w:t>
      </w:r>
    </w:p>
    <w:p>
      <w:pPr>
        <w:pStyle w:val="BodyText"/>
      </w:pPr>
      <w:r>
        <w:t xml:space="preserve">Es gibt aber zwei ernst zu nehmende Hypothesen, warum Kollagenpeptide dennoch etwas bewirken könnten:</w:t>
      </w:r>
    </w:p>
    <w:p>
      <w:pPr>
        <w:numPr>
          <w:ilvl w:val="0"/>
          <w:numId w:val="1291"/>
        </w:numPr>
        <w:pStyle w:val="Compact"/>
      </w:pPr>
      <w:r>
        <w:rPr>
          <w:bCs/>
          <w:b/>
        </w:rPr>
        <w:t xml:space="preserve">Signalpeptide.</w:t>
      </w:r>
      <w:r>
        <w:t xml:space="preserve"> </w:t>
      </w:r>
      <w:r>
        <w:t xml:space="preserve">Hydroxyprolin-haltige Zweier- und Dreierpeptide sind ungewöhnlich stabil gegenüber Verdauungsenzymen. Nach dem Trinken von Gelatinehydrolysat stieg bei Freiwilligen die Konzentration von Peptid-gebundenem Hydroxyprolin im Blut deutlich an und erreichte nach ein bis zwei Stunden ein Maximum; der Hauptbestandteil war das Dipeptid Prolyl-Hydroxyprolin</w:t>
      </w:r>
      <w:r>
        <w:rPr>
          <w:rStyle w:val="FootnoteReference"/>
        </w:rPr>
        <w:footnoteReference w:id="2320"/>
      </w:r>
      <w:r>
        <w:t xml:space="preserve">. Ähnliches zeigte sich für ein Präparat mit hohem Anteil an Dreierpeptiden</w:t>
      </w:r>
      <w:r>
        <w:rPr>
          <w:rStyle w:val="FootnoteReference"/>
        </w:rPr>
        <w:footnoteReference w:id="2321"/>
      </w:r>
      <w:r>
        <w:t xml:space="preserve">. In Zellkultur- und Tierversuchen regen solche Peptide Bindegewebszellen (Fibroblasten) zum Wachstum und zur Bildung von Matrixbausteinen an. Ob die im Blut erreichten Mengen beim Menschen ausreichen, um in Haut oder Knorpel einen messbaren Effekt auszulösen, ist nicht sicher belegt.</w:t>
      </w:r>
    </w:p>
    <w:p>
      <w:pPr>
        <w:numPr>
          <w:ilvl w:val="0"/>
          <w:numId w:val="1291"/>
        </w:numPr>
        <w:pStyle w:val="Compact"/>
      </w:pPr>
      <w:r>
        <w:rPr>
          <w:bCs/>
          <w:b/>
        </w:rPr>
        <w:t xml:space="preserve">Baustofflieferung.</w:t>
      </w:r>
      <w:r>
        <w:t xml:space="preserve"> </w:t>
      </w:r>
      <w:r>
        <w:t xml:space="preserve">Kollagenpeptide liefern große Mengen Glycin, Prolin und Hydroxyprolin. In einer kleinen Studie mit acht Männern verdoppelte sich der Blutmarker für Kollagen-Neubildung, wenn sie eine Stunde vor einer kurzen Sprungbelastung 15 g Vitamin-C-angereicherte Gelatine eingenommen hatten</w:t>
      </w:r>
      <w:r>
        <w:rPr>
          <w:rStyle w:val="FootnoteReference"/>
        </w:rPr>
        <w:footnoteReference w:id="2322"/>
      </w:r>
      <w:r>
        <w:t xml:space="preserve">. Das stützt die Idee, Kollagenpeptide zeitlich mit Belastung zu kombinieren, ist aber ein Messwert im Blut, kein Nachweis stärkerer Sehnen.</w:t>
      </w:r>
    </w:p>
    <w:p>
      <w:pPr>
        <w:pStyle w:val="FirstParagraph"/>
      </w:pPr>
      <w:r>
        <w:t xml:space="preserve">Wichtig für die Einordnung: Kollagen ist als Eiweißquelle unvollständig. Weil ihm Tryptophan fehlt, wird ein Gelatine-basiertes Peptidgemisch in der Forschung sogar gezielt eingesetzt, um den Tryptophanspiegel im Blut kurzfristig abzusenken</w:t>
      </w:r>
      <w:r>
        <w:rPr>
          <w:rStyle w:val="FootnoteReference"/>
        </w:rPr>
        <w:footnoteReference w:id="2323"/>
      </w:r>
      <w:r>
        <w:t xml:space="preserve">. Für den Muskelaufbau ist Kollagen anderen Eiweißen daher unterlegen – dazu unten mehr.</w:t>
      </w:r>
    </w:p>
    <w:bookmarkEnd w:id="2324"/>
    <w:bookmarkStart w:id="2352" w:name="studien-am-menschen-52"/>
    <w:p>
      <w:pPr>
        <w:pStyle w:val="Heading3"/>
      </w:pPr>
      <w:r>
        <w:t xml:space="preserve">Studien am Menschen</w:t>
      </w:r>
    </w:p>
    <w:p>
      <w:pPr>
        <w:pStyle w:val="FirstParagraph"/>
      </w:pPr>
      <w:r>
        <w:t xml:space="preserve">Die Studienlage ist umfangreich, aber uneinheitlich. Die für dieses Buch ausgewertete PubMed-Abfrage (Kollagenhydrolysat oder Kollagenpeptide in Kombination mit Einnahme bzw. Supplementierung, Abfragedatum Oktober 2026) ergab 101 Humanstudien. Auf ClinicalTrials.gov fand die Suche „collagen peptides“ 237 Registereinträge; ein erheblicher Teil davon betrifft allerdings andere Themen (etwa Kollagen-Implantate in der Zahnmedizin oder das Krebsmedikament Endostatin, ein Kollagenfragment). Hinzu kommen mindestens ein Dutzend Meta-Analysen.</w:t>
      </w:r>
    </w:p>
    <w:p>
      <w:pPr>
        <w:pStyle w:val="BodyText"/>
      </w:pPr>
      <w:r>
        <w:t xml:space="preserve">Drei Merkmale prägen fast alle Studien und sollten beim Lesen mitgedacht werden:</w:t>
      </w:r>
    </w:p>
    <w:p>
      <w:pPr>
        <w:numPr>
          <w:ilvl w:val="0"/>
          <w:numId w:val="1292"/>
        </w:numPr>
        <w:pStyle w:val="Compact"/>
      </w:pPr>
      <w:r>
        <w:rPr>
          <w:bCs/>
          <w:b/>
        </w:rPr>
        <w:t xml:space="preserve">Kleine Fallzahlen und kurze Dauer:</w:t>
      </w:r>
      <w:r>
        <w:t xml:space="preserve"> </w:t>
      </w:r>
      <w:r>
        <w:t xml:space="preserve">meist 40 bis 150 Teilnehmende über 8 bis 24 Wochen.</w:t>
      </w:r>
    </w:p>
    <w:p>
      <w:pPr>
        <w:numPr>
          <w:ilvl w:val="0"/>
          <w:numId w:val="1292"/>
        </w:numPr>
        <w:pStyle w:val="Compact"/>
      </w:pPr>
      <w:r>
        <w:rPr>
          <w:bCs/>
          <w:b/>
        </w:rPr>
        <w:t xml:space="preserve">Herstellerfinanzierung:</w:t>
      </w:r>
      <w:r>
        <w:t xml:space="preserve"> </w:t>
      </w:r>
      <w:r>
        <w:t xml:space="preserve">Ein großer Teil der Studien wurde von den Rohstoff- oder Produktherstellern bezahlt oder von deren Mitarbeitenden mitverfasst. Häufig werden markengeschützte Peptidmischungen getestet.</w:t>
      </w:r>
    </w:p>
    <w:p>
      <w:pPr>
        <w:numPr>
          <w:ilvl w:val="0"/>
          <w:numId w:val="1292"/>
        </w:numPr>
        <w:pStyle w:val="Compact"/>
      </w:pPr>
      <w:r>
        <w:rPr>
          <w:bCs/>
          <w:b/>
        </w:rPr>
        <w:t xml:space="preserve">Kombinationsprodukte:</w:t>
      </w:r>
      <w:r>
        <w:t xml:space="preserve"> </w:t>
      </w:r>
      <w:r>
        <w:t xml:space="preserve">Viele „Kollagen-Drinks“ enthalten zusätzlich Vitamin C, Zink, Biotin, Hyaluronsäure oder Pflanzenextrakte. Ein positives Ergebnis lässt sich dann nicht allein dem Kollagen zuschreiben.</w:t>
      </w:r>
    </w:p>
    <w:bookmarkStart w:id="2327" w:name="haut-feuchtigkeit-elastizität-falten"/>
    <w:p>
      <w:pPr>
        <w:pStyle w:val="Heading4"/>
      </w:pPr>
      <w:r>
        <w:t xml:space="preserve">Haut: Feuchtigkeit, Elastizität, Falten</w:t>
      </w:r>
    </w:p>
    <w:p>
      <w:pPr>
        <w:pStyle w:val="FirstParagraph"/>
      </w:pPr>
      <w:r>
        <w:t xml:space="preserve">Die Hautstudien sind die zahlreichsten. Gemessen wird meist mit Geräten: Corneometer (Feuchtigkeit der Hornschicht), Cutometer (Elastizität), Hautabdrücke oder 3D-Kameras (Faltentiefe), Ultraschall (Dichte der Lederhaut).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Proksch 2014a, PMID 23949208</w:t>
            </w:r>
          </w:p>
        </w:tc>
        <w:tc>
          <w:tcPr/>
          <w:p>
            <w:pPr>
              <w:pStyle w:val="Compact"/>
              <w:jc w:val="left"/>
            </w:pPr>
            <w:r>
              <w:t xml:space="preserve">69 Frauen (35–55 J.), 2,5 g oder 5 g vs. Placebo</w:t>
            </w:r>
          </w:p>
        </w:tc>
        <w:tc>
          <w:tcPr/>
          <w:p>
            <w:pPr>
              <w:pStyle w:val="Compact"/>
              <w:jc w:val="left"/>
            </w:pPr>
            <w:r>
              <w:t xml:space="preserve">8 Wochen</w:t>
            </w:r>
          </w:p>
        </w:tc>
        <w:tc>
          <w:tcPr/>
          <w:p>
            <w:pPr>
              <w:pStyle w:val="Compact"/>
              <w:jc w:val="left"/>
            </w:pPr>
            <w:r>
              <w:t xml:space="preserve">Elastizität in beiden Dosisgruppen signifikant besser als Placebo; Feuchtigkeit nicht signifikant</w:t>
            </w:r>
          </w:p>
        </w:tc>
      </w:tr>
      <w:tr>
        <w:tc>
          <w:tcPr/>
          <w:p>
            <w:pPr>
              <w:pStyle w:val="Compact"/>
              <w:jc w:val="left"/>
            </w:pPr>
            <w:r>
              <w:t xml:space="preserve">Proksch 2014b, PMID 24401291</w:t>
            </w:r>
          </w:p>
        </w:tc>
        <w:tc>
          <w:tcPr/>
          <w:p>
            <w:pPr>
              <w:pStyle w:val="Compact"/>
              <w:jc w:val="left"/>
            </w:pPr>
            <w:r>
              <w:t xml:space="preserve">114 Frauen (45–65 J.), 2,5 g Verisol vs. Placebo</w:t>
            </w:r>
          </w:p>
        </w:tc>
        <w:tc>
          <w:tcPr/>
          <w:p>
            <w:pPr>
              <w:pStyle w:val="Compact"/>
              <w:jc w:val="left"/>
            </w:pPr>
            <w:r>
              <w:t xml:space="preserve">8 Wochen</w:t>
            </w:r>
          </w:p>
        </w:tc>
        <w:tc>
          <w:tcPr/>
          <w:p>
            <w:pPr>
              <w:pStyle w:val="Compact"/>
              <w:jc w:val="left"/>
            </w:pPr>
            <w:r>
              <w:t xml:space="preserve">Augenfaltenvolumen −20 % vs. Placebo; Prokollagen I in Hautproben +65 %</w:t>
            </w:r>
          </w:p>
        </w:tc>
      </w:tr>
      <w:tr>
        <w:tc>
          <w:tcPr/>
          <w:p>
            <w:pPr>
              <w:pStyle w:val="Compact"/>
              <w:jc w:val="left"/>
            </w:pPr>
            <w:r>
              <w:t xml:space="preserve">Kim 2018, PMID 29949889</w:t>
            </w:r>
          </w:p>
        </w:tc>
        <w:tc>
          <w:tcPr/>
          <w:p>
            <w:pPr>
              <w:pStyle w:val="Compact"/>
              <w:jc w:val="left"/>
            </w:pPr>
            <w:r>
              <w:t xml:space="preserve">64 Personen, 1 g niedermolekulares Peptid vs. Placebo</w:t>
            </w:r>
          </w:p>
        </w:tc>
        <w:tc>
          <w:tcPr/>
          <w:p>
            <w:pPr>
              <w:pStyle w:val="Compact"/>
              <w:jc w:val="left"/>
            </w:pPr>
            <w:r>
              <w:t xml:space="preserve">12 Wochen</w:t>
            </w:r>
          </w:p>
        </w:tc>
        <w:tc>
          <w:tcPr/>
          <w:p>
            <w:pPr>
              <w:pStyle w:val="Compact"/>
              <w:jc w:val="left"/>
            </w:pPr>
            <w:r>
              <w:t xml:space="preserve">Feuchtigkeit und drei Faltenparameter besser als Placebo; Elastizität teilweise</w:t>
            </w:r>
          </w:p>
        </w:tc>
      </w:tr>
      <w:tr>
        <w:tc>
          <w:tcPr/>
          <w:p>
            <w:pPr>
              <w:pStyle w:val="Compact"/>
              <w:jc w:val="left"/>
            </w:pPr>
            <w:r>
              <w:t xml:space="preserve">Bolke 2019, PMID 31627309</w:t>
            </w:r>
          </w:p>
        </w:tc>
        <w:tc>
          <w:tcPr/>
          <w:p>
            <w:pPr>
              <w:pStyle w:val="Compact"/>
              <w:jc w:val="left"/>
            </w:pPr>
            <w:r>
              <w:t xml:space="preserve">72 Frauen ab 35, Trinkampulle mit 2,5 g Peptiden plus Vitaminen, Zink, Acerola vs. Placebo</w:t>
            </w:r>
          </w:p>
        </w:tc>
        <w:tc>
          <w:tcPr/>
          <w:p>
            <w:pPr>
              <w:pStyle w:val="Compact"/>
              <w:jc w:val="left"/>
            </w:pPr>
            <w:r>
              <w:t xml:space="preserve">12 Wochen</w:t>
            </w:r>
          </w:p>
        </w:tc>
        <w:tc>
          <w:tcPr/>
          <w:p>
            <w:pPr>
              <w:pStyle w:val="Compact"/>
              <w:jc w:val="left"/>
            </w:pPr>
            <w:r>
              <w:t xml:space="preserve">Feuchtigkeit, Elastizität, Rauigkeit und Dichte besser als Placebo (Kombinationsprodukt)</w:t>
            </w:r>
          </w:p>
        </w:tc>
      </w:tr>
      <w:tr>
        <w:tc>
          <w:tcPr/>
          <w:p>
            <w:pPr>
              <w:pStyle w:val="Compact"/>
              <w:jc w:val="left"/>
            </w:pPr>
            <w:r>
              <w:t xml:space="preserve">Kim 2022, PMID 36516059</w:t>
            </w:r>
          </w:p>
        </w:tc>
        <w:tc>
          <w:tcPr/>
          <w:p>
            <w:pPr>
              <w:pStyle w:val="Compact"/>
              <w:jc w:val="left"/>
            </w:pPr>
            <w:r>
              <w:t xml:space="preserve">100 Personen, niedermolekulare Peptide vs. Placebo</w:t>
            </w:r>
          </w:p>
        </w:tc>
        <w:tc>
          <w:tcPr/>
          <w:p>
            <w:pPr>
              <w:pStyle w:val="Compact"/>
              <w:jc w:val="left"/>
            </w:pPr>
            <w:r>
              <w:t xml:space="preserve">12 Wochen</w:t>
            </w:r>
          </w:p>
        </w:tc>
        <w:tc>
          <w:tcPr/>
          <w:p>
            <w:pPr>
              <w:pStyle w:val="Compact"/>
              <w:jc w:val="left"/>
            </w:pPr>
            <w:r>
              <w:t xml:space="preserve">Krähenfüße, Rauigkeit, Elastizität, Feuchtigkeit besser als Placebo (Auswertung von 84 Personen)</w:t>
            </w:r>
          </w:p>
        </w:tc>
      </w:tr>
      <w:tr>
        <w:tc>
          <w:tcPr/>
          <w:p>
            <w:pPr>
              <w:pStyle w:val="Compact"/>
              <w:jc w:val="left"/>
            </w:pPr>
            <w:r>
              <w:t xml:space="preserve">Vleminckx 2024, PMID 39143887</w:t>
            </w:r>
          </w:p>
        </w:tc>
        <w:tc>
          <w:tcPr/>
          <w:p>
            <w:pPr>
              <w:pStyle w:val="Compact"/>
              <w:jc w:val="left"/>
            </w:pPr>
            <w:r>
              <w:t xml:space="preserve">85 ostasiatische Frauen (43–65 J.), 5 g vs. Maltodextrin</w:t>
            </w:r>
          </w:p>
        </w:tc>
        <w:tc>
          <w:tcPr/>
          <w:p>
            <w:pPr>
              <w:pStyle w:val="Compact"/>
              <w:jc w:val="left"/>
            </w:pPr>
            <w:r>
              <w:t xml:space="preserve">12 Wochen</w:t>
            </w:r>
          </w:p>
        </w:tc>
        <w:tc>
          <w:tcPr/>
          <w:p>
            <w:pPr>
              <w:pStyle w:val="Compact"/>
              <w:jc w:val="left"/>
            </w:pPr>
            <w:r>
              <w:t xml:space="preserve">Hautdichte und Feuchtigkeit nach 84 Tagen besser als Placebo</w:t>
            </w:r>
          </w:p>
        </w:tc>
      </w:tr>
    </w:tbl>
    <w:p>
      <w:pPr>
        <w:pStyle w:val="BodyText"/>
      </w:pPr>
      <w:r>
        <w:t xml:space="preserve">Einzelne Studien untersuchten auch Cellulite (105 Frauen, sechs Monate; Verbesserung vor allem bei normalgewichtigen Frauen, Schunck 2015, PMID 26561784) und brüchige Nägel. Die Nagelstudie war allerdings offen und ohne Kontrollgruppe: 25 Teilnehmende, Nagelwachstum +12 %, abgebrochene Nägel −42 %</w:t>
      </w:r>
      <w:r>
        <w:rPr>
          <w:rStyle w:val="FootnoteReference"/>
        </w:rPr>
        <w:footnoteReference w:id="2325"/>
      </w:r>
      <w:r>
        <w:t xml:space="preserve">. Ohne Vergleichsgruppe lässt sich ein Placeboeffekt hier nicht ausschließen.</w:t>
      </w:r>
    </w:p>
    <w:p>
      <w:pPr>
        <w:pStyle w:val="BodyText"/>
      </w:pPr>
      <w:r>
        <w:t xml:space="preserve">Bei Patientinnen und Patienten mit Druckgeschwüren (Dekubitus) wurde zusätzlich zur Standardbehandlung ein Kollagenhydrolysat mit hohem Anteil an Prolyl-Hydroxyprolin getestet. Bei 120 Teilnehmenden war die Wundheilung nach 16 Wochen in dieser Gruppe besser als unter Placebo</w:t>
      </w:r>
      <w:r>
        <w:rPr>
          <w:rStyle w:val="FootnoteReference"/>
        </w:rPr>
        <w:footnoteReference w:id="2326"/>
      </w:r>
      <w:r>
        <w:t xml:space="preserve">. Eine kleine Studie aus 2026 bei mittelschwerer Neurodermitis berichtete einen geringeren Verbrauch von Kortisoncreme unter 5 g Kollagenpeptiden (0,94 g gegenüber 5,60 g; Proksch 2026, PMID 41758763); die Autoren selbst fordern größere Bestätigungsstudien.</w:t>
      </w:r>
    </w:p>
    <w:bookmarkEnd w:id="2327"/>
    <w:bookmarkStart w:id="2332" w:name="X5471b8a540f161b9bb72779b8a70973cfd87ec1"/>
    <w:p>
      <w:pPr>
        <w:pStyle w:val="Heading4"/>
      </w:pPr>
      <w:r>
        <w:t xml:space="preserve">Die Meta-Analysen zur Haut – und die Frage der Finanzierung</w:t>
      </w:r>
    </w:p>
    <w:p>
      <w:pPr>
        <w:pStyle w:val="FirstParagraph"/>
      </w:pPr>
      <w:r>
        <w:t xml:space="preserve">Fasst man die Hautstudien zusammen, ergibt sich auf den ersten Blick ein klares Bild:</w:t>
      </w:r>
    </w:p>
    <w:p>
      <w:pPr>
        <w:numPr>
          <w:ilvl w:val="0"/>
          <w:numId w:val="1293"/>
        </w:numPr>
        <w:pStyle w:val="Compact"/>
      </w:pPr>
      <w:r>
        <w:t xml:space="preserve">19 Studien mit 1.125 Teilnehmenden: günstige Wirkung auf Feuchtigkeit, Elastizität und Falten</w:t>
      </w:r>
      <w:r>
        <w:rPr>
          <w:rStyle w:val="FootnoteReference"/>
        </w:rPr>
        <w:footnoteReference w:id="2328"/>
      </w:r>
      <w:r>
        <w:t xml:space="preserve">.</w:t>
      </w:r>
    </w:p>
    <w:p>
      <w:pPr>
        <w:numPr>
          <w:ilvl w:val="0"/>
          <w:numId w:val="1293"/>
        </w:numPr>
        <w:pStyle w:val="Compact"/>
      </w:pPr>
      <w:r>
        <w:t xml:space="preserve">26 Studien mit 1.721 Teilnehmenden: signifikante Verbesserung von Feuchtigkeit und Elastizität; die Autoren benennen aber mehrere Verzerrungsquellen und fordern große Studien</w:t>
      </w:r>
      <w:r>
        <w:rPr>
          <w:rStyle w:val="FootnoteReference"/>
        </w:rPr>
        <w:footnoteReference w:id="2329"/>
      </w:r>
      <w:r>
        <w:t xml:space="preserve">.</w:t>
      </w:r>
    </w:p>
    <w:p>
      <w:pPr>
        <w:numPr>
          <w:ilvl w:val="0"/>
          <w:numId w:val="1293"/>
        </w:numPr>
        <w:pStyle w:val="Compact"/>
      </w:pPr>
      <w:r>
        <w:t xml:space="preserve">10 Studien mit 646 Teilnehmenden: Feuchtigkeit und Elastizität verbessert, bei mittlerer Heterogenität und überwiegend unklarem Verzerrungsrisiko</w:t>
      </w:r>
      <w:r>
        <w:rPr>
          <w:rStyle w:val="FootnoteReference"/>
        </w:rPr>
        <w:footnoteReference w:id="2330"/>
      </w:r>
      <w:r>
        <w:t xml:space="preserve">.</w:t>
      </w:r>
    </w:p>
    <w:p>
      <w:pPr>
        <w:pStyle w:val="FirstParagraph"/>
      </w:pPr>
      <w:r>
        <w:t xml:space="preserve">Eine Meta-Analyse aus dem Jahr 2025 ging einen Schritt weiter und trennte die Studien nach Geldgeber und Qualität. Über alle 23 Studien mit 1.474 Teilnehmenden hinweg zeigte sich wieder ein Vorteil. Betrachtete man jedoch nur die Studien</w:t>
      </w:r>
      <w:r>
        <w:t xml:space="preserve"> </w:t>
      </w:r>
      <w:r>
        <w:rPr>
          <w:iCs/>
          <w:i/>
        </w:rPr>
        <w:t xml:space="preserve">ohne</w:t>
      </w:r>
      <w:r>
        <w:t xml:space="preserve"> </w:t>
      </w:r>
      <w:r>
        <w:t xml:space="preserve">Finanzierung durch die Industrie, verschwand der Effekt auf Feuchtigkeit, Elastizität und Falten. Auch die methodisch hochwertigen Studien zeigten in keiner Kategorie einen signifikanten Effekt; nur in den Studien geringer Qualität fand sich eine Verbesserung der Elastizität. Die Autorinnen und Autoren schlussfolgern, dass es derzeit keine klinischen Belege gebe, die den Einsatz von Kollagenpräparaten zur Vorbeugung oder Behandlung der Hautalterung stützen</w:t>
      </w:r>
      <w:r>
        <w:rPr>
          <w:rStyle w:val="FootnoteReference"/>
        </w:rPr>
        <w:footnoteReference w:id="2331"/>
      </w:r>
      <w:r>
        <w:t xml:space="preserve">.</w:t>
      </w:r>
    </w:p>
    <w:p>
      <w:pPr>
        <w:pStyle w:val="BodyText"/>
      </w:pPr>
      <w:r>
        <w:t xml:space="preserve">Dieses Ergebnis ist kein endgültiges Urteil – die Zahl der unabhängigen Studien ist klein, und eine fehlende statistische Signifikanz bedeutet nicht automatisch, dass es keinen Effekt gibt. Es zeigt aber, wie stark die positive Gesamtbilanz von Studien abhängt, die die Anbieter selbst finanziert haben. Für Leserinnen und Leser heißt das: Die Aussage „klinisch bewiesen“ auf einer Kollagenpackung stützt sich in der Regel auf Studien des eigenen Rohstofflieferanten.</w:t>
      </w:r>
    </w:p>
    <w:bookmarkEnd w:id="2332"/>
    <w:bookmarkStart w:id="2338" w:name="gelenke-und-arthrose"/>
    <w:p>
      <w:pPr>
        <w:pStyle w:val="Heading4"/>
      </w:pPr>
      <w:r>
        <w:t xml:space="preserve">Gelenke und Arthrose</w:t>
      </w:r>
    </w:p>
    <w:p>
      <w:pPr>
        <w:pStyle w:val="FirstParagraph"/>
      </w:pPr>
      <w:r>
        <w:t xml:space="preserve">Die zweite große Studiengruppe betrifft Gelenkschmerzen – sowohl bei Arthrose als auch bei sportlich aktiven Menschen ohne Diagnose.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Clark 2008, PMID 18416885</w:t>
            </w:r>
          </w:p>
        </w:tc>
        <w:tc>
          <w:tcPr/>
          <w:p>
            <w:pPr>
              <w:pStyle w:val="Compact"/>
              <w:jc w:val="left"/>
            </w:pPr>
            <w:r>
              <w:t xml:space="preserve">147 Sportlerinnen und Sportler mit belastungsabhängigen Gelenkschmerzen, 10 g vs. Placebo</w:t>
            </w:r>
          </w:p>
        </w:tc>
        <w:tc>
          <w:tcPr/>
          <w:p>
            <w:pPr>
              <w:pStyle w:val="Compact"/>
              <w:jc w:val="left"/>
            </w:pPr>
            <w:r>
              <w:t xml:space="preserve">24 Wochen</w:t>
            </w:r>
          </w:p>
        </w:tc>
        <w:tc>
          <w:tcPr/>
          <w:p>
            <w:pPr>
              <w:pStyle w:val="Compact"/>
              <w:jc w:val="left"/>
            </w:pPr>
            <w:r>
              <w:t xml:space="preserve">Mehrere Schmerzwerte besser als Placebo; nur 97 von 147 auswertbar</w:t>
            </w:r>
          </w:p>
        </w:tc>
      </w:tr>
      <w:tr>
        <w:tc>
          <w:tcPr/>
          <w:p>
            <w:pPr>
              <w:pStyle w:val="Compact"/>
              <w:jc w:val="left"/>
            </w:pPr>
            <w:r>
              <w:t xml:space="preserve">Bruyère 2012, PMID 22500661</w:t>
            </w:r>
          </w:p>
        </w:tc>
        <w:tc>
          <w:tcPr/>
          <w:p>
            <w:pPr>
              <w:pStyle w:val="Compact"/>
              <w:jc w:val="left"/>
            </w:pPr>
            <w:r>
              <w:t xml:space="preserve">200 Personen ab 50 mit Gelenkschmerzen, 1,2 g vs. Placebo</w:t>
            </w:r>
          </w:p>
        </w:tc>
        <w:tc>
          <w:tcPr/>
          <w:p>
            <w:pPr>
              <w:pStyle w:val="Compact"/>
              <w:jc w:val="left"/>
            </w:pPr>
            <w:r>
              <w:t xml:space="preserve">6 Monate</w:t>
            </w:r>
          </w:p>
        </w:tc>
        <w:tc>
          <w:tcPr/>
          <w:p>
            <w:pPr>
              <w:pStyle w:val="Compact"/>
              <w:jc w:val="left"/>
            </w:pPr>
            <w:r>
              <w:t xml:space="preserve">Ansprechrate 51,6 % vs. 36,5 % nach 6 Monaten; nach 3 Monaten kein Unterschied</w:t>
            </w:r>
          </w:p>
        </w:tc>
      </w:tr>
      <w:tr>
        <w:tc>
          <w:tcPr/>
          <w:p>
            <w:pPr>
              <w:pStyle w:val="Compact"/>
              <w:jc w:val="left"/>
            </w:pPr>
            <w:r>
              <w:t xml:space="preserve">Kumar 2015, PMID 24852756</w:t>
            </w:r>
          </w:p>
        </w:tc>
        <w:tc>
          <w:tcPr/>
          <w:p>
            <w:pPr>
              <w:pStyle w:val="Compact"/>
              <w:jc w:val="left"/>
            </w:pPr>
            <w:r>
              <w:t xml:space="preserve">Kniearthrose, Peptide aus Schweinehaut oder Rinderknochen vs. Placebo</w:t>
            </w:r>
          </w:p>
        </w:tc>
        <w:tc>
          <w:tcPr/>
          <w:p>
            <w:pPr>
              <w:pStyle w:val="Compact"/>
              <w:jc w:val="left"/>
            </w:pPr>
            <w:r>
              <w:t xml:space="preserve">13 Wochen</w:t>
            </w:r>
          </w:p>
        </w:tc>
        <w:tc>
          <w:tcPr/>
          <w:p>
            <w:pPr>
              <w:pStyle w:val="Compact"/>
              <w:jc w:val="left"/>
            </w:pPr>
            <w:r>
              <w:t xml:space="preserve">WOMAC-, Schmerz- und Lebensqualitätswerte besser als Placebo</w:t>
            </w:r>
          </w:p>
        </w:tc>
      </w:tr>
      <w:tr>
        <w:tc>
          <w:tcPr/>
          <w:p>
            <w:pPr>
              <w:pStyle w:val="Compact"/>
              <w:jc w:val="left"/>
            </w:pPr>
            <w:r>
              <w:t xml:space="preserve">Zdzieblik 2017, PMID 28177710</w:t>
            </w:r>
          </w:p>
        </w:tc>
        <w:tc>
          <w:tcPr/>
          <w:p>
            <w:pPr>
              <w:pStyle w:val="Compact"/>
              <w:jc w:val="left"/>
            </w:pPr>
            <w:r>
              <w:t xml:space="preserve">139 Sportler mit Kniebeschwerden, 5 g vs. Placebo</w:t>
            </w:r>
          </w:p>
        </w:tc>
        <w:tc>
          <w:tcPr/>
          <w:p>
            <w:pPr>
              <w:pStyle w:val="Compact"/>
              <w:jc w:val="left"/>
            </w:pPr>
            <w:r>
              <w:t xml:space="preserve">12 Wochen</w:t>
            </w:r>
          </w:p>
        </w:tc>
        <w:tc>
          <w:tcPr/>
          <w:p>
            <w:pPr>
              <w:pStyle w:val="Compact"/>
              <w:jc w:val="left"/>
            </w:pPr>
            <w:r>
              <w:t xml:space="preserve">Belastungsschmerz besser als Placebo (p = 0,046); Ruheschmerz nicht</w:t>
            </w:r>
          </w:p>
        </w:tc>
      </w:tr>
      <w:tr>
        <w:tc>
          <w:tcPr/>
          <w:p>
            <w:pPr>
              <w:pStyle w:val="Compact"/>
              <w:jc w:val="left"/>
            </w:pPr>
            <w:r>
              <w:t xml:space="preserve">Bongers 2020, PMID 31990581</w:t>
            </w:r>
          </w:p>
        </w:tc>
        <w:tc>
          <w:tcPr/>
          <w:p>
            <w:pPr>
              <w:pStyle w:val="Compact"/>
              <w:jc w:val="left"/>
            </w:pPr>
            <w:r>
              <w:t xml:space="preserve">167 aktive Personen (Median 63 J.) mit Knieschmerzen, 10 g vs. Placebo</w:t>
            </w:r>
          </w:p>
        </w:tc>
        <w:tc>
          <w:tcPr/>
          <w:p>
            <w:pPr>
              <w:pStyle w:val="Compact"/>
              <w:jc w:val="left"/>
            </w:pPr>
            <w:r>
              <w:t xml:space="preserve">12 Wochen</w:t>
            </w:r>
          </w:p>
        </w:tc>
        <w:tc>
          <w:tcPr/>
          <w:p>
            <w:pPr>
              <w:pStyle w:val="Compact"/>
              <w:jc w:val="left"/>
            </w:pPr>
            <w:r>
              <w:t xml:space="preserve">Kein Unterschied: Schmerz sank in beiden Gruppen gleich stark</w:t>
            </w:r>
          </w:p>
        </w:tc>
      </w:tr>
    </w:tbl>
    <w:p>
      <w:pPr>
        <w:pStyle w:val="BodyText"/>
      </w:pPr>
      <w:r>
        <w:t xml:space="preserve">Die Studie von Bongers ist bemerkenswert, weil sie zu den größeren gehört und ein klar negatives Ergebnis berichtet: Knieschmerz und Kniefunktion besserten sich – aber unter Placebo genauso wie unter Kollagen. Das illustriert, wie groß der Placeboeffekt bei Gelenkschmerzen ist.</w:t>
      </w:r>
    </w:p>
    <w:p>
      <w:pPr>
        <w:pStyle w:val="BodyText"/>
      </w:pPr>
      <w:r>
        <w:t xml:space="preserve">Die Meta-Analysen kommen trotzdem überwiegend zu einem günstigen Ergebnis:</w:t>
      </w:r>
    </w:p>
    <w:p>
      <w:pPr>
        <w:numPr>
          <w:ilvl w:val="0"/>
          <w:numId w:val="1294"/>
        </w:numPr>
        <w:pStyle w:val="Compact"/>
      </w:pPr>
      <w:r>
        <w:t xml:space="preserve">Eine Meta-Analyse randomisierter, placebokontrollierter Studien fand eine signifikante Verringerung des WOMAC-Gesamtwerts (eines Arthrose-Fragebogens) und des Schmerzwerts auf der visuellen Analogskala; die Unterpunkte Schmerz und Funktionseinschränkung im WOMAC unterschieden sich jedoch nicht signifikant</w:t>
      </w:r>
      <w:r>
        <w:rPr>
          <w:rStyle w:val="FootnoteReference"/>
        </w:rPr>
        <w:footnoteReference w:id="2333"/>
      </w:r>
      <w:r>
        <w:t xml:space="preserve">.</w:t>
      </w:r>
    </w:p>
    <w:p>
      <w:pPr>
        <w:numPr>
          <w:ilvl w:val="0"/>
          <w:numId w:val="1294"/>
        </w:numPr>
        <w:pStyle w:val="Compact"/>
      </w:pPr>
      <w:r>
        <w:t xml:space="preserve">Die bislang umfangreichste Auswertung umfasste 35 Studien mit 3.165 Patientinnen und Patienten mit Arthrose. Kollagenderivate – hier sind hydrolysiertes und undenaturiertes Kollagen zusammengefasst – hatten kleine bis mäßige Effekte auf Schmerz (standardisierte Mittelwertdifferenz −0,35) und Funktion (−0,31). Nebenwirkungen und Studienabbrüche waren nicht häufiger als unter Kontrolle</w:t>
      </w:r>
      <w:r>
        <w:rPr>
          <w:rStyle w:val="FootnoteReference"/>
        </w:rPr>
        <w:footnoteReference w:id="2334"/>
      </w:r>
      <w:r>
        <w:t xml:space="preserve">.</w:t>
      </w:r>
    </w:p>
    <w:p>
      <w:pPr>
        <w:numPr>
          <w:ilvl w:val="0"/>
          <w:numId w:val="1294"/>
        </w:numPr>
        <w:pStyle w:val="Compact"/>
      </w:pPr>
      <w:r>
        <w:t xml:space="preserve">Eine Auswertung von nur vier Studien mit 507 Patientinnen und Patienten mit Kniearthrose fand ebenfalls eine Schmerzlinderung, stufte aber alle vier Studien als mit hohem Verzerrungsrisiko behaftet ein</w:t>
      </w:r>
      <w:r>
        <w:rPr>
          <w:rStyle w:val="FootnoteReference"/>
        </w:rPr>
        <w:footnoteReference w:id="2335"/>
      </w:r>
      <w:r>
        <w:t xml:space="preserve">.</w:t>
      </w:r>
    </w:p>
    <w:p>
      <w:pPr>
        <w:numPr>
          <w:ilvl w:val="0"/>
          <w:numId w:val="1294"/>
        </w:numPr>
        <w:pStyle w:val="Compact"/>
      </w:pPr>
      <w:r>
        <w:t xml:space="preserve">Eine aktualisierte Meta-Analyse mit 11 Studien und 870 Teilnehmenden berichtete Verbesserungen von Funktion und Schmerz, allerdings bei sehr hoher Heterogenität (I² 75 bzw. 88 %)</w:t>
      </w:r>
      <w:r>
        <w:rPr>
          <w:rStyle w:val="FootnoteReference"/>
        </w:rPr>
        <w:footnoteReference w:id="2336"/>
      </w:r>
      <w:r>
        <w:t xml:space="preserve">.</w:t>
      </w:r>
    </w:p>
    <w:p>
      <w:pPr>
        <w:pStyle w:val="FirstParagraph"/>
      </w:pPr>
      <w:r>
        <w:t xml:space="preserve">Zur Einordnung: Eine standardisierte Mittelwertdifferenz von etwa 0,3 gilt als kleiner Effekt. Er liegt in einer ähnlichen Größenordnung wie bei manchen anderen Nahrungsergänzungsmitteln für Arthrose und ist deutlich kleiner als die Wirkung, die man sich von einem Schmerzmittel erhofft. Eine große Übersicht über Nahrungsergänzungsmittel bei Arthrose fand für Kollagenhydrolysat kurzfristig große Effekte auf den Schmerz, kam aber insgesamt zu dem Schluss, dass die Qualität der Evidenz sehr niedrig ist und kein Präparat langfristig klinisch bedeutsame Effekte zeigte</w:t>
      </w:r>
      <w:r>
        <w:rPr>
          <w:rStyle w:val="FootnoteReference"/>
        </w:rPr>
        <w:footnoteReference w:id="2337"/>
      </w:r>
      <w:r>
        <w:t xml:space="preserve">.</w:t>
      </w:r>
    </w:p>
    <w:bookmarkEnd w:id="2338"/>
    <w:bookmarkStart w:id="2341" w:name="X55241c3876440cc6cc2c47fbc51534fe032c1cd"/>
    <w:p>
      <w:pPr>
        <w:pStyle w:val="Heading4"/>
      </w:pPr>
      <w:r>
        <w:t xml:space="preserve">Abgrenzung: undenaturiertes Typ-II-Kollagen (UC-II)</w:t>
      </w:r>
    </w:p>
    <w:p>
      <w:pPr>
        <w:pStyle w:val="FirstParagraph"/>
      </w:pPr>
      <w:r>
        <w:t xml:space="preserve">Undenaturiertes Typ-II-Kollagen wird aus Hühnerbrustknorpel schonend gewonnen, sodass die ursprüngliche Struktur des Kollagens teilweise erhalten bleibt. Es wird in sehr kleinen Mengen eingenommen – in den Studien 40 Milligramm pro Tag, also etwa ein Hundertstel bis ein Zweihundertfünfzigstel der Grammmengen bei Kollagenhydrolysat. Es soll nicht als Baustoff wirken, sondern über die sogenannte orale Toleranz: Das Immunsystem im Darm soll lernen, Knorpelkollagen nicht als Angriffsziel zu behandeln. Diese Idee stammt aus Tiermodellen der Gelenkentzündung.</w:t>
      </w:r>
    </w:p>
    <w:p>
      <w:pPr>
        <w:pStyle w:val="BodyText"/>
      </w:pPr>
      <w:r>
        <w:t xml:space="preserve">Historisch wurde das Prinzip zuerst bei rheumatoider Arthritis getestet. Eine kleine Studie mit 60 Patientinnen und Patienten berichtete 1993 eine Abnahme geschwollener und druckschmerzhafter Gelenke</w:t>
      </w:r>
      <w:r>
        <w:rPr>
          <w:rStyle w:val="FootnoteReference"/>
        </w:rPr>
        <w:footnoteReference w:id="2339"/>
      </w:r>
      <w:r>
        <w:t xml:space="preserve">. Eine größere Studie mit 274 Teilnehmenden und vier Dosierungen fand danach nur in der niedrigsten Dosis und nur nach einem von drei Bewertungskriterien einen signifikanten Vorteil</w:t>
      </w:r>
      <w:r>
        <w:rPr>
          <w:rStyle w:val="FootnoteReference"/>
        </w:rPr>
        <w:footnoteReference w:id="2340"/>
      </w:r>
      <w:r>
        <w:t xml:space="preserve">. Als Rheumatherapie hat sich der Ansatz nicht durchgesetzt.</w:t>
      </w:r>
    </w:p>
    <w:p>
      <w:pPr>
        <w:pStyle w:val="BodyText"/>
      </w:pPr>
      <w:r>
        <w:t xml:space="preserve">Für Arthrose und Gelenkbeschwerden liegen vor allem herstellernahe Studien vor: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Lugo 2016, PMID 26822714</w:t>
            </w:r>
          </w:p>
        </w:tc>
        <w:tc>
          <w:tcPr/>
          <w:p>
            <w:pPr>
              <w:pStyle w:val="Compact"/>
              <w:jc w:val="left"/>
            </w:pPr>
            <w:r>
              <w:t xml:space="preserve">191 Personen mit Kniearthrose, UC-II vs. Glucosamin/Chondroitin vs. Placebo</w:t>
            </w:r>
          </w:p>
        </w:tc>
        <w:tc>
          <w:tcPr/>
          <w:p>
            <w:pPr>
              <w:pStyle w:val="Compact"/>
              <w:jc w:val="left"/>
            </w:pPr>
            <w:r>
              <w:t xml:space="preserve">180 Tage</w:t>
            </w:r>
          </w:p>
        </w:tc>
        <w:tc>
          <w:tcPr/>
          <w:p>
            <w:pPr>
              <w:pStyle w:val="Compact"/>
              <w:jc w:val="left"/>
            </w:pPr>
            <w:r>
              <w:t xml:space="preserve">WOMAC-Gesamtwert besser als Placebo (p = 0,002) und als Glucosamin/Chondroitin (p = 0,04)</w:t>
            </w:r>
          </w:p>
        </w:tc>
      </w:tr>
      <w:tr>
        <w:tc>
          <w:tcPr/>
          <w:p>
            <w:pPr>
              <w:pStyle w:val="Compact"/>
              <w:jc w:val="left"/>
            </w:pPr>
            <w:r>
              <w:t xml:space="preserve">Lugo 2013, PMID 24153020</w:t>
            </w:r>
          </w:p>
        </w:tc>
        <w:tc>
          <w:tcPr/>
          <w:p>
            <w:pPr>
              <w:pStyle w:val="Compact"/>
              <w:jc w:val="left"/>
            </w:pPr>
            <w:r>
              <w:t xml:space="preserve">55 Gesunde mit belastungsabhängigen Knieschmerzen, UC-II vs. Placebo</w:t>
            </w:r>
          </w:p>
        </w:tc>
        <w:tc>
          <w:tcPr/>
          <w:p>
            <w:pPr>
              <w:pStyle w:val="Compact"/>
              <w:jc w:val="left"/>
            </w:pPr>
            <w:r>
              <w:t xml:space="preserve">120 Tage</w:t>
            </w:r>
          </w:p>
        </w:tc>
        <w:tc>
          <w:tcPr/>
          <w:p>
            <w:pPr>
              <w:pStyle w:val="Compact"/>
              <w:jc w:val="left"/>
            </w:pPr>
            <w:r>
              <w:t xml:space="preserve">Kniestreckung 81,0° vs. 74,0°; längere schmerzfreie Belastung</w:t>
            </w:r>
          </w:p>
        </w:tc>
      </w:tr>
      <w:tr>
        <w:tc>
          <w:tcPr/>
          <w:p>
            <w:pPr>
              <w:pStyle w:val="Compact"/>
              <w:jc w:val="left"/>
            </w:pPr>
            <w:r>
              <w:t xml:space="preserve">Yuenyongviwat 2025, PMID 40897777</w:t>
            </w:r>
          </w:p>
        </w:tc>
        <w:tc>
          <w:tcPr/>
          <w:p>
            <w:pPr>
              <w:pStyle w:val="Compact"/>
              <w:jc w:val="left"/>
            </w:pPr>
            <w:r>
              <w:t xml:space="preserve">68 Personen mit Kniearthrose, UC-II plus Kollagenhydrolysat vs. Placebo</w:t>
            </w:r>
          </w:p>
        </w:tc>
        <w:tc>
          <w:tcPr/>
          <w:p>
            <w:pPr>
              <w:pStyle w:val="Compact"/>
              <w:jc w:val="left"/>
            </w:pPr>
            <w:r>
              <w:t xml:space="preserve">12 Wochen</w:t>
            </w:r>
          </w:p>
        </w:tc>
        <w:tc>
          <w:tcPr/>
          <w:p>
            <w:pPr>
              <w:pStyle w:val="Compact"/>
              <w:jc w:val="left"/>
            </w:pPr>
            <w:r>
              <w:t xml:space="preserve">Kein Unterschied bei Schmerz, Funktion, Bedarfsmedikation</w:t>
            </w:r>
          </w:p>
        </w:tc>
      </w:tr>
    </w:tbl>
    <w:p>
      <w:pPr>
        <w:pStyle w:val="BodyText"/>
      </w:pPr>
      <w:r>
        <w:t xml:space="preserve">Die neueste Studie stammt von einer unabhängigen Arbeitsgruppe, die ausdrücklich darauf hinweist, dass die meisten bisherigen Kollagenstudien von der Industrie finanziert wurden. Sie fand – wie Bongers 2020 – Verbesserungen in beiden Gruppen, aber keinen Vorteil gegenüber Placebo (Yuenyongviwat 2025, PMID 40897777, registriert als NCT06229951).</w:t>
      </w:r>
    </w:p>
    <w:p>
      <w:pPr>
        <w:pStyle w:val="BodyText"/>
      </w:pPr>
      <w:r>
        <w:t xml:space="preserve">Wichtig für Verbraucherinnen und Verbraucher: UC-II und Kollagenhydrolysat sind nicht austauschbar. Wer Studien zum einen Produkt liest, kann daraus nichts über das andere ableiten.</w:t>
      </w:r>
    </w:p>
    <w:bookmarkEnd w:id="2341"/>
    <w:bookmarkStart w:id="2342" w:name="knochen"/>
    <w:p>
      <w:pPr>
        <w:pStyle w:val="Heading4"/>
      </w:pPr>
      <w:r>
        <w:t xml:space="preserve">Knochen</w:t>
      </w:r>
    </w:p>
    <w:p>
      <w:pPr>
        <w:pStyle w:val="FirstParagraph"/>
      </w:pPr>
      <w:r>
        <w:t xml:space="preserve">Bei Knochen ist die Datenlage dünn, aber interessant: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König 2018, PMID 29337906</w:t>
            </w:r>
          </w:p>
        </w:tc>
        <w:tc>
          <w:tcPr/>
          <w:p>
            <w:pPr>
              <w:pStyle w:val="Compact"/>
              <w:jc w:val="left"/>
            </w:pPr>
            <w:r>
              <w:t xml:space="preserve">131 Frauen nach der Menopause mit verminderter Knochendichte, 5 g vs. Placebo</w:t>
            </w:r>
          </w:p>
        </w:tc>
        <w:tc>
          <w:tcPr/>
          <w:p>
            <w:pPr>
              <w:pStyle w:val="Compact"/>
              <w:jc w:val="left"/>
            </w:pPr>
            <w:r>
              <w:t xml:space="preserve">12 Monate</w:t>
            </w:r>
          </w:p>
        </w:tc>
        <w:tc>
          <w:tcPr/>
          <w:p>
            <w:pPr>
              <w:pStyle w:val="Compact"/>
              <w:jc w:val="left"/>
            </w:pPr>
            <w:r>
              <w:t xml:space="preserve">T-Score Wirbelsäule +0,1 vs. −0,03; Schenkelhals +0,09 vs. −0,01</w:t>
            </w:r>
          </w:p>
        </w:tc>
      </w:tr>
      <w:tr>
        <w:tc>
          <w:tcPr/>
          <w:p>
            <w:pPr>
              <w:pStyle w:val="Compact"/>
              <w:jc w:val="left"/>
            </w:pPr>
            <w:r>
              <w:t xml:space="preserve">Elam 2015, PMID 25314004</w:t>
            </w:r>
          </w:p>
        </w:tc>
        <w:tc>
          <w:tcPr/>
          <w:p>
            <w:pPr>
              <w:pStyle w:val="Compact"/>
              <w:jc w:val="left"/>
            </w:pPr>
            <w:r>
              <w:t xml:space="preserve">39 Frauen mit Osteopenie, Calcium-Kollagen-Chelat plus Vitamin D vs. Calcium plus Vitamin D</w:t>
            </w:r>
          </w:p>
        </w:tc>
        <w:tc>
          <w:tcPr/>
          <w:p>
            <w:pPr>
              <w:pStyle w:val="Compact"/>
              <w:jc w:val="left"/>
            </w:pPr>
            <w:r>
              <w:t xml:space="preserve">12 Monate</w:t>
            </w:r>
          </w:p>
        </w:tc>
        <w:tc>
          <w:tcPr/>
          <w:p>
            <w:pPr>
              <w:pStyle w:val="Compact"/>
              <w:jc w:val="left"/>
            </w:pPr>
            <w:r>
              <w:t xml:space="preserve">Verlust der Ganzkörper-Knochendichte −1,33 % vs. −3,75 % (Studienabschließende)</w:t>
            </w:r>
          </w:p>
        </w:tc>
      </w:tr>
      <w:tr>
        <w:tc>
          <w:tcPr/>
          <w:p>
            <w:pPr>
              <w:pStyle w:val="Compact"/>
              <w:jc w:val="left"/>
            </w:pPr>
            <w:r>
              <w:t xml:space="preserve">Lampropoulou-Adamidou 2022, PMID 34980546</w:t>
            </w:r>
          </w:p>
        </w:tc>
        <w:tc>
          <w:tcPr/>
          <w:p>
            <w:pPr>
              <w:pStyle w:val="Compact"/>
              <w:jc w:val="left"/>
            </w:pPr>
            <w:r>
              <w:t xml:space="preserve">51 Frauen mit Osteopenie, 5 g Peptide plus Calcium/Vitamin D vs. Calcium/Vitamin D</w:t>
            </w:r>
          </w:p>
        </w:tc>
        <w:tc>
          <w:tcPr/>
          <w:p>
            <w:pPr>
              <w:pStyle w:val="Compact"/>
              <w:jc w:val="left"/>
            </w:pPr>
            <w:r>
              <w:t xml:space="preserve">12 Monate</w:t>
            </w:r>
          </w:p>
        </w:tc>
        <w:tc>
          <w:tcPr/>
          <w:p>
            <w:pPr>
              <w:pStyle w:val="Compact"/>
              <w:jc w:val="left"/>
            </w:pPr>
            <w:r>
              <w:t xml:space="preserve">Höhere Knochendichte an Schienbein und Lendenwirbelsäule mit Kollagen</w:t>
            </w:r>
          </w:p>
        </w:tc>
      </w:tr>
    </w:tbl>
    <w:p>
      <w:pPr>
        <w:pStyle w:val="BodyText"/>
      </w:pPr>
      <w:r>
        <w:t xml:space="preserve">Die Unterschiede sind klein, die Studien kurz, und keine Studie hat Knochenbrüche – den eigentlich entscheidenden Endpunkt – untersucht. Kollagenpeptide sind kein Ersatz für eine Osteoporosetherapie mit nachgewiesener Bruchsenkung.</w:t>
      </w:r>
    </w:p>
    <w:bookmarkEnd w:id="2342"/>
    <w:bookmarkStart w:id="2349" w:name="muskeln-und-sehnen"/>
    <w:p>
      <w:pPr>
        <w:pStyle w:val="Heading4"/>
      </w:pPr>
      <w:r>
        <w:t xml:space="preserve">Muskeln und Sehnen</w:t>
      </w:r>
    </w:p>
    <w:p>
      <w:pPr>
        <w:pStyle w:val="FirstParagraph"/>
      </w:pPr>
      <w:r>
        <w:t xml:space="preserve">Im Sport werden Kollagenpeptide für zwei unterschiedliche Ziele beworben: Muskelaufbau und Sehnen- bzw. Bänderstärkung.</w:t>
      </w:r>
    </w:p>
    <w:p>
      <w:pPr>
        <w:pStyle w:val="BodyText"/>
      </w:pPr>
      <w:r>
        <w:rPr>
          <w:bCs/>
          <w:b/>
        </w:rPr>
        <w:t xml:space="preserve">Muskelaufbau.</w:t>
      </w:r>
      <w:r>
        <w:t xml:space="preserve"> </w:t>
      </w:r>
      <w:r>
        <w:t xml:space="preserve">Die meistzitierte Studie untersuchte 53 ältere Männer mit Sarkopenie (altersbedingtem Muskelschwund), die zwölf Wochen Krafttraining machten und dazu 15 g Kollagenpeptide oder Placebo (Siliziumdioxid) erhielten. Die fettfreie Masse stieg unter Kollagen um 4,2 kg, unter Placebo um 2,9 kg</w:t>
      </w:r>
      <w:r>
        <w:rPr>
          <w:rStyle w:val="FootnoteReference"/>
        </w:rPr>
        <w:footnoteReference w:id="2343"/>
      </w:r>
      <w:r>
        <w:t xml:space="preserve">. Das Problem: Die Placebogruppe erhielt überhaupt kein Eiweiß. Der Vorteil könnte also einfach an der zusätzlichen Eiweißzufuhr liegen.</w:t>
      </w:r>
    </w:p>
    <w:p>
      <w:pPr>
        <w:pStyle w:val="BodyText"/>
      </w:pPr>
      <w:r>
        <w:t xml:space="preserve">Genau diese Frage beantworten Vergleiche mit hochwertigem Eiweiß. Bei 22 älteren Frauen steigerte Molkenprotein die Muskeleiweißsynthese sowohl kurzfristig als auch über sechs Tage, Kollagenpeptide nicht</w:t>
      </w:r>
      <w:r>
        <w:rPr>
          <w:rStyle w:val="FootnoteReference"/>
        </w:rPr>
        <w:footnoteReference w:id="2344"/>
      </w:r>
      <w:r>
        <w:t xml:space="preserve">. Bei jungen Erwachsenen nahm die Muskeldicke nach zehn Wochen Krafttraining mit Molkenprotein stärker zu als mit Kollagen, selbst wenn das Kollagen mit Leucin auf den gleichen Gehalt angereichert war</w:t>
      </w:r>
      <w:r>
        <w:rPr>
          <w:rStyle w:val="FootnoteReference"/>
        </w:rPr>
        <w:footnoteReference w:id="2345"/>
      </w:r>
      <w:r>
        <w:t xml:space="preserve">. Eine Studie mit 25 jungen Männern fand unter 2 × 15 g Kollagen pro Tag keine höhere Synthese von Muskel- oder Bindegewebseiweiß als unter Placebo</w:t>
      </w:r>
      <w:r>
        <w:rPr>
          <w:rStyle w:val="FootnoteReference"/>
        </w:rPr>
        <w:footnoteReference w:id="2346"/>
      </w:r>
      <w:r>
        <w:t xml:space="preserve">.</w:t>
      </w:r>
    </w:p>
    <w:p>
      <w:pPr>
        <w:pStyle w:val="BodyText"/>
      </w:pPr>
      <w:r>
        <w:rPr>
          <w:bCs/>
          <w:b/>
        </w:rPr>
        <w:t xml:space="preserve">Sehnen.</w:t>
      </w:r>
      <w:r>
        <w:t xml:space="preserve"> </w:t>
      </w:r>
      <w:r>
        <w:t xml:space="preserve">Hier sind die Ergebnisse widersprüchlich: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Jerger 2023, PMID 37424319</w:t>
            </w:r>
          </w:p>
        </w:tc>
        <w:tc>
          <w:tcPr/>
          <w:p>
            <w:pPr>
              <w:pStyle w:val="Compact"/>
              <w:jc w:val="left"/>
            </w:pPr>
            <w:r>
              <w:t xml:space="preserve">50 Männer, Krafttraining plus 5 g vs. Placebo</w:t>
            </w:r>
          </w:p>
        </w:tc>
        <w:tc>
          <w:tcPr/>
          <w:p>
            <w:pPr>
              <w:pStyle w:val="Compact"/>
              <w:jc w:val="left"/>
            </w:pPr>
            <w:r>
              <w:t xml:space="preserve">14 Wochen</w:t>
            </w:r>
          </w:p>
        </w:tc>
        <w:tc>
          <w:tcPr/>
          <w:p>
            <w:pPr>
              <w:pStyle w:val="Compact"/>
              <w:jc w:val="left"/>
            </w:pPr>
            <w:r>
              <w:t xml:space="preserve">Querschnitt der Patellasehne stärker vergrößert; Steifigkeit und Kraft ohne Gruppenunterschied</w:t>
            </w:r>
          </w:p>
        </w:tc>
      </w:tr>
      <w:tr>
        <w:tc>
          <w:tcPr/>
          <w:p>
            <w:pPr>
              <w:pStyle w:val="Compact"/>
              <w:jc w:val="left"/>
            </w:pPr>
            <w:r>
              <w:t xml:space="preserve">Balshaw 2023, PMID 37436929</w:t>
            </w:r>
          </w:p>
        </w:tc>
        <w:tc>
          <w:tcPr/>
          <w:p>
            <w:pPr>
              <w:pStyle w:val="Compact"/>
              <w:jc w:val="left"/>
            </w:pPr>
            <w:r>
              <w:t xml:space="preserve">39 junge Männer, Krafttraining plus 15 g vs. Placebo</w:t>
            </w:r>
          </w:p>
        </w:tc>
        <w:tc>
          <w:tcPr/>
          <w:p>
            <w:pPr>
              <w:pStyle w:val="Compact"/>
              <w:jc w:val="left"/>
            </w:pPr>
            <w:r>
              <w:t xml:space="preserve">15 Wochen</w:t>
            </w:r>
          </w:p>
        </w:tc>
        <w:tc>
          <w:tcPr/>
          <w:p>
            <w:pPr>
              <w:pStyle w:val="Compact"/>
              <w:jc w:val="left"/>
            </w:pPr>
            <w:r>
              <w:t xml:space="preserve">Keine Unterschiede bei Sehnengröße oder -mechanik</w:t>
            </w:r>
          </w:p>
        </w:tc>
      </w:tr>
      <w:tr>
        <w:tc>
          <w:tcPr/>
          <w:p>
            <w:pPr>
              <w:pStyle w:val="Compact"/>
              <w:jc w:val="left"/>
            </w:pPr>
            <w:r>
              <w:t xml:space="preserve">Miyamoto 2025, PMID 40623147</w:t>
            </w:r>
          </w:p>
        </w:tc>
        <w:tc>
          <w:tcPr/>
          <w:p>
            <w:pPr>
              <w:pStyle w:val="Compact"/>
              <w:jc w:val="left"/>
            </w:pPr>
            <w:r>
              <w:t xml:space="preserve">50 untrainierte Männer, 10 g vs. Placebo</w:t>
            </w:r>
          </w:p>
        </w:tc>
        <w:tc>
          <w:tcPr/>
          <w:p>
            <w:pPr>
              <w:pStyle w:val="Compact"/>
              <w:jc w:val="left"/>
            </w:pPr>
            <w:r>
              <w:t xml:space="preserve">16 Wochen</w:t>
            </w:r>
          </w:p>
        </w:tc>
        <w:tc>
          <w:tcPr/>
          <w:p>
            <w:pPr>
              <w:pStyle w:val="Compact"/>
              <w:jc w:val="left"/>
            </w:pPr>
            <w:r>
              <w:t xml:space="preserve">Steifigkeit von Wadenmuskel und Achillessehne erhöht; Querschnitt unverändert</w:t>
            </w:r>
          </w:p>
        </w:tc>
      </w:tr>
      <w:tr>
        <w:tc>
          <w:tcPr/>
          <w:p>
            <w:pPr>
              <w:pStyle w:val="Compact"/>
              <w:jc w:val="left"/>
            </w:pPr>
            <w:r>
              <w:t xml:space="preserve">Praet 2019, PMID 30609761</w:t>
            </w:r>
          </w:p>
        </w:tc>
        <w:tc>
          <w:tcPr/>
          <w:p>
            <w:pPr>
              <w:pStyle w:val="Compact"/>
              <w:jc w:val="left"/>
            </w:pPr>
            <w:r>
              <w:t xml:space="preserve">20 Personen mit Achillessehnenbeschwerden, Crossover mit Training</w:t>
            </w:r>
          </w:p>
        </w:tc>
        <w:tc>
          <w:tcPr/>
          <w:p>
            <w:pPr>
              <w:pStyle w:val="Compact"/>
              <w:jc w:val="left"/>
            </w:pPr>
            <w:r>
              <w:t xml:space="preserve">6 Monate</w:t>
            </w:r>
          </w:p>
        </w:tc>
        <w:tc>
          <w:tcPr/>
          <w:p>
            <w:pPr>
              <w:pStyle w:val="Compact"/>
              <w:jc w:val="left"/>
            </w:pPr>
            <w:r>
              <w:t xml:space="preserve">Schnellere Verbesserung im Beschwerde-Fragebogen in der Kollagenphase (Pilotstudie)</w:t>
            </w:r>
          </w:p>
        </w:tc>
      </w:tr>
      <w:tr>
        <w:tc>
          <w:tcPr/>
          <w:p>
            <w:pPr>
              <w:pStyle w:val="Compact"/>
              <w:jc w:val="left"/>
            </w:pPr>
            <w:r>
              <w:t xml:space="preserve">Dressler 2018, PMID 29769831</w:t>
            </w:r>
          </w:p>
        </w:tc>
        <w:tc>
          <w:tcPr/>
          <w:p>
            <w:pPr>
              <w:pStyle w:val="Compact"/>
              <w:jc w:val="left"/>
            </w:pPr>
            <w:r>
              <w:t xml:space="preserve">50 Sportler mit chronischer Sprunggelenksinstabilität, 5 g vs. Placebo</w:t>
            </w:r>
          </w:p>
        </w:tc>
        <w:tc>
          <w:tcPr/>
          <w:p>
            <w:pPr>
              <w:pStyle w:val="Compact"/>
              <w:jc w:val="left"/>
            </w:pPr>
            <w:r>
              <w:t xml:space="preserve">6 Monate</w:t>
            </w:r>
          </w:p>
        </w:tc>
        <w:tc>
          <w:tcPr/>
          <w:p>
            <w:pPr>
              <w:pStyle w:val="Compact"/>
              <w:jc w:val="left"/>
            </w:pPr>
            <w:r>
              <w:t xml:space="preserve">Subjektive Stabilität besser; mechanische Stabilität unverändert</w:t>
            </w:r>
          </w:p>
        </w:tc>
      </w:tr>
    </w:tbl>
    <w:p>
      <w:pPr>
        <w:pStyle w:val="BodyText"/>
      </w:pPr>
      <w:r>
        <w:t xml:space="preserve">Eine Meta-Analyse von 19 Studien mit 768 gesunden Erwachsenen fand bei langfristiger Kollagen-Einnahme in Kombination mit Training kleine Vorteile bei fettfreier Masse, Sehnenmorphologie, Muskelarchitektur und Maximalkraft. Die Vertrauenswürdigkeit der Evidenz wurde für die Körperzusammensetzung als mäßig, für die Sehnenmorphologie als sehr niedrig und für die übrigen Ergebnisse als niedrig bewertet</w:t>
      </w:r>
      <w:r>
        <w:rPr>
          <w:rStyle w:val="FootnoteReference"/>
        </w:rPr>
        <w:footnoteReference w:id="2347"/>
      </w:r>
      <w:r>
        <w:t xml:space="preserve">. Eine frühere systematische Übersicht kam zu dem Schluss, dass Kollagen bei der Muskeleiweißsynthese hochwertigeren Eiweißquellen nicht ebenbürtig ist</w:t>
      </w:r>
      <w:r>
        <w:rPr>
          <w:rStyle w:val="FootnoteReference"/>
        </w:rPr>
        <w:footnoteReference w:id="2348"/>
      </w:r>
      <w:r>
        <w:t xml:space="preserve">.</w:t>
      </w:r>
    </w:p>
    <w:p>
      <w:pPr>
        <w:pStyle w:val="BodyText"/>
      </w:pPr>
      <w:r>
        <w:rPr>
          <w:bCs/>
          <w:b/>
        </w:rPr>
        <w:t xml:space="preserve">Zwischenfazit Sport:</w:t>
      </w:r>
      <w:r>
        <w:t xml:space="preserve"> </w:t>
      </w:r>
      <w:r>
        <w:t xml:space="preserve">Für den Muskelaufbau gibt es bessere und günstigere Eiweißquellen. Für Sehnen und Bänder ist ein Nutzen biologisch plausibel und wird in einigen Studien angedeutet, ist aber nicht belastbar nachgewiesen.</w:t>
      </w:r>
    </w:p>
    <w:bookmarkEnd w:id="2349"/>
    <w:bookmarkStart w:id="2351" w:name="weitere-anwendungsgebiete"/>
    <w:p>
      <w:pPr>
        <w:pStyle w:val="Heading4"/>
      </w:pPr>
      <w:r>
        <w:t xml:space="preserve">Weitere Anwendungsgebiete</w:t>
      </w:r>
    </w:p>
    <w:p>
      <w:pPr>
        <w:pStyle w:val="FirstParagraph"/>
      </w:pPr>
      <w:r>
        <w:t xml:space="preserve">In kleineren Studien wurden Kollagenpeptide unter anderem bei Blutdruck und Gefäßfunktion, Schlaf, Appetit, Zahnfleischentzündung und Darmbeschwerden untersucht. Eine Meta-Analyse von 12 placebokontrollierten Studien berichtete eine Senkung des systolischen Blutdrucks um 5,04 mmHg und des LDL-Cholesterins um 4,09 mg/dl, allerdings bei extrem hoher Heterogenität der Einzelstudien (I² 98,9 bzw. 93,4 %)</w:t>
      </w:r>
      <w:r>
        <w:rPr>
          <w:rStyle w:val="FootnoteReference"/>
        </w:rPr>
        <w:footnoteReference w:id="2350"/>
      </w:r>
      <w:r>
        <w:t xml:space="preserve">. Diese Felder sind zu wenig untersucht, um belastbare Aussagen zu treffen.</w:t>
      </w:r>
    </w:p>
    <w:bookmarkEnd w:id="2351"/>
    <w:bookmarkEnd w:id="2352"/>
    <w:bookmarkStart w:id="2356" w:name="tier--und-laborstudien-52"/>
    <w:p>
      <w:pPr>
        <w:pStyle w:val="Heading3"/>
      </w:pPr>
      <w:r>
        <w:t xml:space="preserve">Tier- und Laborstudien</w:t>
      </w:r>
    </w:p>
    <w:p>
      <w:pPr>
        <w:pStyle w:val="FirstParagraph"/>
      </w:pPr>
      <w:r>
        <w:t xml:space="preserve">In Zellkulturen regen Kollagenpeptide und insbesondere Prolyl-Hydroxyprolin Fibroblasten der Haut zum Wachstum an; bei Mäusen und Ratten verbesserten sie in Versuchen Hautbarriere, Knochendichte und Knorpelstoffwechsel. An menschlichen Hautproben im Labor (ex vivo) förderten Kollagenpeptide die Bildung von Kollagen und Glykosaminoglykanen</w:t>
      </w:r>
      <w:r>
        <w:rPr>
          <w:rStyle w:val="FootnoteReference"/>
        </w:rPr>
        <w:footnoteReference w:id="2353"/>
      </w:r>
      <w:r>
        <w:t xml:space="preserve">. Eine systematische Übersicht über elf überwiegend experimentelle Studien kam zu dem Ergebnis, dass Kollagenhydrolysate in Konzentrationen von 50 bis 500 Mikrogramm pro Milliliter Fibroblasten stimulieren, ohne giftig zu wirken</w:t>
      </w:r>
      <w:r>
        <w:rPr>
          <w:rStyle w:val="FootnoteReference"/>
        </w:rPr>
        <w:footnoteReference w:id="2354"/>
      </w:r>
      <w:r>
        <w:t xml:space="preserve">. In Nagerversuchen mit kalorienreicher Ernährung wurden in einer Meta-Analyse Effekte auf Gewicht und Fettmasse beschrieben</w:t>
      </w:r>
      <w:r>
        <w:rPr>
          <w:rStyle w:val="FootnoteReference"/>
        </w:rPr>
        <w:footnoteReference w:id="2355"/>
      </w:r>
      <w:r>
        <w:t xml:space="preserve"> </w:t>
      </w:r>
      <w:r>
        <w:t xml:space="preserve">– ein Befund, der bei Menschen nicht belegt ist.</w:t>
      </w:r>
    </w:p>
    <w:p>
      <w:pPr>
        <w:pStyle w:val="BodyText"/>
      </w:pPr>
      <w:r>
        <w:t xml:space="preserve">Diese Ergebnisse machen die Hypothesen plausibel. Sie beweisen aber nicht, dass die beim Menschen nach dem Trinken erreichten Peptidkonzentrationen am Zielgewebe ausreichen.</w:t>
      </w:r>
    </w:p>
    <w:bookmarkEnd w:id="2356"/>
    <w:bookmarkStart w:id="2359" w:name="risiken-und-nebenwirkungen-52"/>
    <w:p>
      <w:pPr>
        <w:pStyle w:val="Heading3"/>
      </w:pPr>
      <w:r>
        <w:t xml:space="preserve">Risiken und Nebenwirkungen</w:t>
      </w:r>
    </w:p>
    <w:p>
      <w:pPr>
        <w:pStyle w:val="FirstParagraph"/>
      </w:pPr>
      <w:r>
        <w:rPr>
          <w:bCs/>
          <w:b/>
        </w:rPr>
        <w:t xml:space="preserve">Belegt:</w:t>
      </w:r>
      <w:r>
        <w:t xml:space="preserve"> </w:t>
      </w:r>
      <w:r>
        <w:t xml:space="preserve">In den randomisierten Studien traten Nebenwirkungen nicht häufiger auf als unter Placebo. Die große Arthrose-Meta-Analyse fand kein erhöhtes Risiko für unerwünschte Ereignisse oder Studienabbrüche</w:t>
      </w:r>
      <w:r>
        <w:rPr>
          <w:rStyle w:val="FootnoteReference"/>
        </w:rPr>
        <w:footnoteReference w:id="2357"/>
      </w:r>
      <w:r>
        <w:t xml:space="preserve">. Gelegentlich werden Völlegefühl, Blähungen oder ein unangenehmer Geschmack berichtet.</w:t>
      </w:r>
    </w:p>
    <w:p>
      <w:pPr>
        <w:pStyle w:val="BodyText"/>
      </w:pPr>
      <w:r>
        <w:rPr>
          <w:bCs/>
          <w:b/>
        </w:rPr>
        <w:t xml:space="preserve">Zu beachten:</w:t>
      </w:r>
    </w:p>
    <w:p>
      <w:pPr>
        <w:numPr>
          <w:ilvl w:val="0"/>
          <w:numId w:val="1295"/>
        </w:numPr>
        <w:pStyle w:val="Compact"/>
      </w:pPr>
      <w:r>
        <w:rPr>
          <w:bCs/>
          <w:b/>
        </w:rPr>
        <w:t xml:space="preserve">Allergien und Unverträglichkeiten:</w:t>
      </w:r>
      <w:r>
        <w:t xml:space="preserve"> </w:t>
      </w:r>
      <w:r>
        <w:t xml:space="preserve">Kollagen aus Fisch kann bei Fischallergie problematisch sein; Produkte aus Rind oder Schwein sind für Menschen relevant, die diese Tiere aus religiösen oder ethischen Gründen meiden. Die Herkunft steht auf der Zutatenliste.</w:t>
      </w:r>
    </w:p>
    <w:p>
      <w:pPr>
        <w:numPr>
          <w:ilvl w:val="0"/>
          <w:numId w:val="1295"/>
        </w:numPr>
        <w:pStyle w:val="Compact"/>
      </w:pPr>
      <w:r>
        <w:rPr>
          <w:bCs/>
          <w:b/>
        </w:rPr>
        <w:t xml:space="preserve">Oxalat und Nierensteine:</w:t>
      </w:r>
      <w:r>
        <w:t xml:space="preserve"> </w:t>
      </w:r>
      <w:r>
        <w:t xml:space="preserve">Hydroxyprolin wird im Körper teilweise zu Oxalat abgebaut. In einer Studie stieg die Oxalatausscheidung im Urin nach 30 g Gelatine pro Tag um 43 % gegenüber Molkenprotein; schon 5 bis 10 g Gelatine führten zu messbaren Veränderungen</w:t>
      </w:r>
      <w:r>
        <w:rPr>
          <w:rStyle w:val="FootnoteReference"/>
        </w:rPr>
        <w:footnoteReference w:id="2358"/>
      </w:r>
      <w:r>
        <w:t xml:space="preserve">. Für gesunde Menschen ist die Bedeutung unklar. Menschen mit Calciumoxalat-Nierensteinen oder einer angeborenen Hyperoxalurie sollten die Einnahme ärztlich besprechen (theoretisches, aber biologisch begründetes Risiko).</w:t>
      </w:r>
    </w:p>
    <w:p>
      <w:pPr>
        <w:numPr>
          <w:ilvl w:val="0"/>
          <w:numId w:val="1295"/>
        </w:numPr>
        <w:pStyle w:val="Compact"/>
      </w:pPr>
      <w:r>
        <w:rPr>
          <w:bCs/>
          <w:b/>
        </w:rPr>
        <w:t xml:space="preserve">Eiweißmenge:</w:t>
      </w:r>
      <w:r>
        <w:t xml:space="preserve"> </w:t>
      </w:r>
      <w:r>
        <w:t xml:space="preserve">Bei Nierenerkrankungen mit Eiweißbeschränkung zählt auch Kollagen zur täglichen Eiweißzufuhr.</w:t>
      </w:r>
    </w:p>
    <w:p>
      <w:pPr>
        <w:numPr>
          <w:ilvl w:val="0"/>
          <w:numId w:val="1295"/>
        </w:numPr>
        <w:pStyle w:val="Compact"/>
      </w:pPr>
      <w:r>
        <w:rPr>
          <w:bCs/>
          <w:b/>
        </w:rPr>
        <w:t xml:space="preserve">Produktqualität:</w:t>
      </w:r>
      <w:r>
        <w:t xml:space="preserve"> </w:t>
      </w:r>
      <w:r>
        <w:t xml:space="preserve">Nahrungsergänzungsmittel werden vor dem Verkauf nicht auf Wirksamkeit geprüft. Für Reinheit und Schadstofffreiheit ist der Hersteller verantwortlich; die Lebensmittelüberwachung kontrolliert nur stichprobenartig.</w:t>
      </w:r>
    </w:p>
    <w:p>
      <w:pPr>
        <w:numPr>
          <w:ilvl w:val="0"/>
          <w:numId w:val="1295"/>
        </w:numPr>
        <w:pStyle w:val="Compact"/>
      </w:pPr>
      <w:r>
        <w:rPr>
          <w:bCs/>
          <w:b/>
        </w:rPr>
        <w:t xml:space="preserve">Falsche Sicherheit:</w:t>
      </w:r>
      <w:r>
        <w:t xml:space="preserve"> </w:t>
      </w:r>
      <w:r>
        <w:t xml:space="preserve">Das größte praktische Risiko besteht darin, dass Kollagen anstelle wirksamer Maßnahmen eingesetzt wird – etwa statt UV-Schutz bei Hautalterung oder statt einer Osteoporosebehandlung.</w:t>
      </w:r>
    </w:p>
    <w:bookmarkEnd w:id="2359"/>
    <w:bookmarkStart w:id="2360" w:name="rechtslage-52"/>
    <w:p>
      <w:pPr>
        <w:pStyle w:val="Heading3"/>
      </w:pPr>
      <w:r>
        <w:t xml:space="preserve">Rechtslage</w:t>
      </w:r>
    </w:p>
    <w:p>
      <w:pPr>
        <w:numPr>
          <w:ilvl w:val="0"/>
          <w:numId w:val="1296"/>
        </w:numPr>
        <w:pStyle w:val="Compact"/>
      </w:pPr>
      <w:r>
        <w:rPr>
          <w:bCs/>
          <w:b/>
        </w:rPr>
        <w:t xml:space="preserve">EU / Österreich / Deutschland:</w:t>
      </w:r>
      <w:r>
        <w:t xml:space="preserve"> </w:t>
      </w:r>
      <w:r>
        <w:t xml:space="preserve">Kollagenpeptide sind Lebensmittel. In Deutschland müssen Nahrungsergänzungsmittel vor dem ersten Verkauf beim Bundesamt für Verbraucherschutz und Lebensmittelsicherheit (BVL) angezeigt werden; in Österreich gelten eigene Regeln. Eine Prüfung der Wirksamkeit findet in keinem der beiden Länder statt. Gesundheitsbezogene Aussagen sind nach der EU-Health-Claims-Verordnung (Verordnung (EG) Nr. 1924/2006) nur erlaubt, wenn sie in der EU-Liste zugelassen sind.</w:t>
      </w:r>
      <w:r>
        <w:t xml:space="preserve"> </w:t>
      </w:r>
      <w:r>
        <w:rPr>
          <w:bCs/>
          <w:b/>
        </w:rPr>
        <w:t xml:space="preserve">Für Kollagen oder Kollagenpeptide gibt es keinen zugelassenen Health Claim.</w:t>
      </w:r>
      <w:r>
        <w:t xml:space="preserve"> </w:t>
      </w:r>
      <w:r>
        <w:t xml:space="preserve">Die Europäische Behörde für Lebensmittelsicherheit (EFSA) hat beantragte Angaben, etwa zur Gelenkgesundheit, negativ bewertet, weil ein Ursache-Wirkungs-Zusammenhang nicht nachgewiesen war. Deshalb enthalten viele Produkte Vitamin C: Für Vitamin C ist die Angabe zugelassen, dass es zu einer normalen Kollagenbildung für eine normale Funktion von Haut, Knorpel, Knochen, Zahnfleisch, Zähnen und Blutgefäßen beiträgt. Der Werbesatz bezieht sich dann rechtlich auf das Vitamin, nicht auf das Kollagen. Aussagen zur Schönheit („für straffere Haut“) bewegen sich in einer Grauzone und werden von Gerichten unterschiedlich beurteilt.</w:t>
      </w:r>
    </w:p>
    <w:p>
      <w:pPr>
        <w:numPr>
          <w:ilvl w:val="0"/>
          <w:numId w:val="1296"/>
        </w:numPr>
        <w:pStyle w:val="Compact"/>
      </w:pPr>
      <w:r>
        <w:rPr>
          <w:bCs/>
          <w:b/>
        </w:rPr>
        <w:t xml:space="preserve">USA:</w:t>
      </w:r>
      <w:r>
        <w:t xml:space="preserve"> </w:t>
      </w:r>
      <w:r>
        <w:t xml:space="preserve">Kollagenpeptide werden als Dietary Supplement verkauft. Hersteller dürfen sogenannte Struktur-Funktions-Aussagen machen („unterstützt gesunde Haut“), müssen dazu aber den Hinweis tragen, dass die Aussage nicht von der FDA geprüft wurde. Krankheitsbezogene Versprechen sind nicht erlaubt.</w:t>
      </w:r>
    </w:p>
    <w:p>
      <w:pPr>
        <w:numPr>
          <w:ilvl w:val="0"/>
          <w:numId w:val="1296"/>
        </w:numPr>
        <w:pStyle w:val="Compact"/>
      </w:pPr>
      <w:r>
        <w:rPr>
          <w:bCs/>
          <w:b/>
        </w:rPr>
        <w:t xml:space="preserve">Sport:</w:t>
      </w:r>
      <w:r>
        <w:t xml:space="preserve"> </w:t>
      </w:r>
      <w:r>
        <w:t xml:space="preserve">Kollagenpeptide stehen nicht auf der WADA-Verbotsliste. Wie bei allen Nahrungsergänzungsmitteln besteht ein Restrisiko von Verunreinigungen; Leistungssportlerinnen und -sportler sollten auf geprüfte Listen (z. B. Kölner Liste) achten (Stand 2026, bitte aktuell prüfen).</w:t>
      </w:r>
    </w:p>
    <w:bookmarkEnd w:id="2360"/>
    <w:bookmarkStart w:id="2368" w:name="laufende-studien-und-ausblick-52"/>
    <w:p>
      <w:pPr>
        <w:pStyle w:val="Heading3"/>
      </w:pPr>
      <w:r>
        <w:t xml:space="preserve">Laufende Studien und Ausblick</w:t>
      </w:r>
    </w:p>
    <w:p>
      <w:pPr>
        <w:pStyle w:val="FirstParagraph"/>
      </w:pPr>
      <w:r>
        <w:rPr>
          <w:bCs/>
          <w:b/>
        </w:rPr>
        <w:t xml:space="preserve">Gesichert (registrierte Studien, Stand Oktober 2026):</w:t>
      </w:r>
    </w:p>
    <w:p>
      <w:pPr>
        <w:numPr>
          <w:ilvl w:val="0"/>
          <w:numId w:val="1297"/>
        </w:numPr>
        <w:pStyle w:val="Compact"/>
      </w:pPr>
      <w:r>
        <w:rPr>
          <w:bCs/>
          <w:b/>
        </w:rPr>
        <w:t xml:space="preserve">Kniearthrose:</w:t>
      </w:r>
      <w:r>
        <w:t xml:space="preserve"> </w:t>
      </w:r>
      <w:r>
        <w:t xml:space="preserve">Eine Studie des Istituto Ortopedico Rizzoli vergleicht eine Kollagenhydrolysat-Formulierung mit Placebo bei 204 Teilnehmenden</w:t>
      </w:r>
      <w:r>
        <w:rPr>
          <w:rStyle w:val="FootnoteReference"/>
        </w:rPr>
        <w:footnoteReference w:id="2361"/>
      </w:r>
      <w:r>
        <w:t xml:space="preserve">. Eine kleinere Studie vergleicht verschiedene Kollagenformen</w:t>
      </w:r>
      <w:r>
        <w:rPr>
          <w:rStyle w:val="FootnoteReference"/>
        </w:rPr>
        <w:footnoteReference w:id="2362"/>
      </w:r>
      <w:r>
        <w:t xml:space="preserve">.</w:t>
      </w:r>
    </w:p>
    <w:p>
      <w:pPr>
        <w:numPr>
          <w:ilvl w:val="0"/>
          <w:numId w:val="1297"/>
        </w:numPr>
        <w:pStyle w:val="Compact"/>
      </w:pPr>
      <w:r>
        <w:rPr>
          <w:bCs/>
          <w:b/>
        </w:rPr>
        <w:t xml:space="preserve">Knieprothese:</w:t>
      </w:r>
      <w:r>
        <w:t xml:space="preserve"> </w:t>
      </w:r>
      <w:r>
        <w:t xml:space="preserve">Kollagenpeptide nach Knie-Totalendoprothese, Endpunkte Bindegewebsumbau und Wundheilung</w:t>
      </w:r>
      <w:r>
        <w:rPr>
          <w:rStyle w:val="FootnoteReference"/>
        </w:rPr>
        <w:footnoteReference w:id="2363"/>
      </w:r>
      <w:r>
        <w:t xml:space="preserve">.</w:t>
      </w:r>
    </w:p>
    <w:p>
      <w:pPr>
        <w:numPr>
          <w:ilvl w:val="0"/>
          <w:numId w:val="1297"/>
        </w:numPr>
        <w:pStyle w:val="Compact"/>
      </w:pPr>
      <w:r>
        <w:rPr>
          <w:bCs/>
          <w:b/>
        </w:rPr>
        <w:t xml:space="preserve">Haut:</w:t>
      </w:r>
      <w:r>
        <w:t xml:space="preserve"> </w:t>
      </w:r>
      <w:r>
        <w:t xml:space="preserve">Ein Vergleich von oraler und äußerlicher Kollagenanwendung allein und kombiniert mit geplant 165 Frauen</w:t>
      </w:r>
      <w:r>
        <w:rPr>
          <w:rStyle w:val="FootnoteReference"/>
        </w:rPr>
        <w:footnoteReference w:id="2364"/>
      </w:r>
      <w:r>
        <w:t xml:space="preserve">.</w:t>
      </w:r>
    </w:p>
    <w:p>
      <w:pPr>
        <w:numPr>
          <w:ilvl w:val="0"/>
          <w:numId w:val="1297"/>
        </w:numPr>
        <w:pStyle w:val="Compact"/>
      </w:pPr>
      <w:r>
        <w:rPr>
          <w:bCs/>
          <w:b/>
        </w:rPr>
        <w:t xml:space="preserve">Altern:</w:t>
      </w:r>
      <w:r>
        <w:t xml:space="preserve"> </w:t>
      </w:r>
      <w:r>
        <w:t xml:space="preserve">Eine Studie der Universität Wien untersucht Kollagenpeptide und Marker der Zellalterung bei geplant 125 Teilnehmenden</w:t>
      </w:r>
      <w:r>
        <w:rPr>
          <w:rStyle w:val="FootnoteReference"/>
        </w:rPr>
        <w:footnoteReference w:id="2365"/>
      </w:r>
      <w:r>
        <w:t xml:space="preserve">.</w:t>
      </w:r>
    </w:p>
    <w:p>
      <w:pPr>
        <w:numPr>
          <w:ilvl w:val="0"/>
          <w:numId w:val="1297"/>
        </w:numPr>
        <w:pStyle w:val="Compact"/>
      </w:pPr>
      <w:r>
        <w:rPr>
          <w:bCs/>
          <w:b/>
        </w:rPr>
        <w:t xml:space="preserve">Stoffwechsel:</w:t>
      </w:r>
      <w:r>
        <w:t xml:space="preserve"> </w:t>
      </w:r>
      <w:r>
        <w:t xml:space="preserve">Eine Studie am King’s College London untersucht Lebensqualität, Appetit und Blutzuckerkontrolle</w:t>
      </w:r>
      <w:r>
        <w:rPr>
          <w:rStyle w:val="FootnoteReference"/>
        </w:rPr>
        <w:footnoteReference w:id="2366"/>
      </w:r>
      <w:r>
        <w:t xml:space="preserve">.</w:t>
      </w:r>
    </w:p>
    <w:p>
      <w:pPr>
        <w:pStyle w:val="FirstParagraph"/>
      </w:pPr>
      <w:r>
        <w:rPr>
          <w:bCs/>
          <w:b/>
        </w:rPr>
        <w:t xml:space="preserve">Einschätzung:</w:t>
      </w:r>
      <w:r>
        <w:t xml:space="preserve"> </w:t>
      </w:r>
      <w:r>
        <w:t xml:space="preserve">Die entscheidende Frage für die kommenden Jahre ist nicht, ob es weitere kleine positive Studien geben wird – davon ist auszugehen –, sondern ob große, unabhängig finanzierte Studien mit vorab registrierten Endpunkten die Effekte bestätigen. Die Meta-Analyse nach Finanzierungsquelle</w:t>
      </w:r>
      <w:r>
        <w:rPr>
          <w:rStyle w:val="FootnoteReference"/>
        </w:rPr>
        <w:footnoteReference w:id="2367"/>
      </w:r>
      <w:r>
        <w:t xml:space="preserve"> </w:t>
      </w:r>
      <w:r>
        <w:t xml:space="preserve">hat die Messlatte dafür sichtbar gemacht. Für Gelenkschmerzen ist ein kleiner Effekt am ehesten belegt; für Haut und Sehnen bleibt die Lage offen. Eine Zulassung als Arzneimittel ist nicht zu erwarten, da die Produkte als Lebensmittel bereits frei verkäuflich sind und kein Hersteller den Aufwand eines Zulassungsprogramms tragen müsste.</w:t>
      </w:r>
    </w:p>
    <w:bookmarkEnd w:id="2368"/>
    <w:bookmarkStart w:id="2369" w:name="fazit-52"/>
    <w:p>
      <w:pPr>
        <w:pStyle w:val="Heading3"/>
      </w:pPr>
      <w:r>
        <w:t xml:space="preserve">Fazit</w:t>
      </w:r>
    </w:p>
    <w:p>
      <w:pPr>
        <w:pStyle w:val="FirstParagraph"/>
      </w:pPr>
      <w:r>
        <w:t xml:space="preserve">Kollagenpeptide sind ein gut verträgliches Lebensmittelprodukt mit einer großen, aber methodisch schwachen Studienbasis. Für Gelenkschmerzen bei Arthrose zeigen Meta-Analysen kleine Effekte, einzelne größere Studien fanden jedoch keinen Unterschied zu Placebo. Bei der Haut verschwindet der in Herstellerstudien gemessene Nutzen, wenn man nur unabhängig finanzierte oder methodisch hochwertige Studien betrachtet. Für den Muskelaufbau ist Kollagen anderen Eiweißquellen unterlegen; undenaturiertes Typ-II-Kollagen ist ein eigenes Produkt mit eigener, ebenfalls begrenzter Datenlage. In der EU darf Kollagen nicht mit gesundheitsbezogenen Aussagen beworben werden – Werbebotschaften beziehen sich meist auf zugesetztes Vitamin C.</w:t>
      </w:r>
    </w:p>
    <w:bookmarkEnd w:id="2369"/>
    <w:bookmarkEnd w:id="2370"/>
    <w:bookmarkStart w:id="2401" w:name="lactotripeptide-vpp-und-ipp"/>
    <w:p>
      <w:pPr>
        <w:pStyle w:val="Heading2"/>
      </w:pPr>
      <w:r>
        <w:t xml:space="preserve">Lactotripeptide (VPP und IPP)</w:t>
      </w:r>
    </w:p>
    <w:bookmarkStart w:id="2371" w:name="steckbrief-53"/>
    <w:p>
      <w:pPr>
        <w:pStyle w:val="Heading3"/>
      </w:pPr>
      <w:r>
        <w:t xml:space="preserve">Steckbrief</w:t>
      </w:r>
    </w:p>
    <w:p>
      <w:pPr>
        <w:numPr>
          <w:ilvl w:val="0"/>
          <w:numId w:val="1298"/>
        </w:numPr>
        <w:pStyle w:val="Compact"/>
      </w:pPr>
      <w:r>
        <w:rPr>
          <w:bCs/>
          <w:b/>
        </w:rPr>
        <w:t xml:space="preserve">Art/Struktur:</w:t>
      </w:r>
      <w:r>
        <w:t xml:space="preserve"> </w:t>
      </w:r>
      <w:r>
        <w:t xml:space="preserve">zwei Tripeptide aus je drei Aminosäuren: Valin-Prolin-Prolin (VPP) und Isoleucin-Prolin-Prolin (IPP). Das doppelte Prolin am Ende macht sie vergleichsweise widerstandsfähig gegen Verdauungsenzyme.</w:t>
      </w:r>
    </w:p>
    <w:p>
      <w:pPr>
        <w:numPr>
          <w:ilvl w:val="0"/>
          <w:numId w:val="1298"/>
        </w:numPr>
        <w:pStyle w:val="Compact"/>
      </w:pPr>
      <w:r>
        <w:rPr>
          <w:bCs/>
          <w:b/>
        </w:rPr>
        <w:t xml:space="preserve">Herkunft:</w:t>
      </w:r>
      <w:r>
        <w:t xml:space="preserve"> </w:t>
      </w:r>
      <w:r>
        <w:t xml:space="preserve">Bruchstücke des Milcheiweißes Casein. Sie entstehen, wenn Milch mit bestimmten Bakterien (vor allem</w:t>
      </w:r>
      <w:r>
        <w:t xml:space="preserve"> </w:t>
      </w:r>
      <w:r>
        <w:rPr>
          <w:iCs/>
          <w:i/>
        </w:rPr>
        <w:t xml:space="preserve">Lactobacillus helveticus</w:t>
      </w:r>
      <w:r>
        <w:t xml:space="preserve">) fermentiert wird, oder durch enzymatische Spaltung von Casein mit Enzymen aus dem Schimmelpilz</w:t>
      </w:r>
      <w:r>
        <w:t xml:space="preserve"> </w:t>
      </w:r>
      <w:r>
        <w:rPr>
          <w:iCs/>
          <w:i/>
        </w:rPr>
        <w:t xml:space="preserve">Aspergillus oryzae</w:t>
      </w:r>
      <w:r>
        <w:t xml:space="preserve">. Bekannte Produkte waren ein japanisches Sauermilchgetränk (Calpis) und ein finnisches Milchprodukt (Evolus von Valio).</w:t>
      </w:r>
    </w:p>
    <w:p>
      <w:pPr>
        <w:numPr>
          <w:ilvl w:val="0"/>
          <w:numId w:val="1298"/>
        </w:numPr>
        <w:pStyle w:val="Compact"/>
      </w:pPr>
      <w:r>
        <w:rPr>
          <w:bCs/>
          <w:b/>
        </w:rPr>
        <w:t xml:space="preserve">Wirkprinzip:</w:t>
      </w:r>
      <w:r>
        <w:t xml:space="preserve"> </w:t>
      </w:r>
      <w:r>
        <w:t xml:space="preserve">sollen das Angiotensin-konvertierende Enzym (ACE) hemmen – dasselbe Enzym, das blutdrucksenkende ACE-Hemmer wie Ramipril oder Enalapril blockieren, nur um ein Vielfaches schwächer.</w:t>
      </w:r>
    </w:p>
    <w:p>
      <w:pPr>
        <w:numPr>
          <w:ilvl w:val="0"/>
          <w:numId w:val="1298"/>
        </w:numPr>
        <w:pStyle w:val="Compact"/>
      </w:pPr>
      <w:r>
        <w:rPr>
          <w:bCs/>
          <w:b/>
        </w:rPr>
        <w:t xml:space="preserve">Zulassung EU:</w:t>
      </w:r>
      <w:r>
        <w:t xml:space="preserve"> </w:t>
      </w:r>
      <w:r>
        <w:t xml:space="preserve">keine Arzneimittelzulassung; als Lebensmittelzutat bzw. in Nahrungsergänzungsmitteln. Keine zugelassene gesundheitsbezogene Angabe zum Blutdruck.</w:t>
      </w:r>
    </w:p>
    <w:p>
      <w:pPr>
        <w:numPr>
          <w:ilvl w:val="0"/>
          <w:numId w:val="1298"/>
        </w:numPr>
        <w:pStyle w:val="Compact"/>
      </w:pPr>
      <w:r>
        <w:rPr>
          <w:bCs/>
          <w:b/>
        </w:rPr>
        <w:t xml:space="preserve">Zulassung USA:</w:t>
      </w:r>
      <w:r>
        <w:t xml:space="preserve"> </w:t>
      </w:r>
      <w:r>
        <w:t xml:space="preserve">keine Arzneimittelzulassung; als Nahrungsergänzungsmittel erhältlich.</w:t>
      </w:r>
    </w:p>
    <w:p>
      <w:pPr>
        <w:numPr>
          <w:ilvl w:val="0"/>
          <w:numId w:val="1298"/>
        </w:numPr>
        <w:pStyle w:val="Compact"/>
      </w:pPr>
      <w:r>
        <w:rPr>
          <w:bCs/>
          <w:b/>
        </w:rPr>
        <w:t xml:space="preserve">WADA:</w:t>
      </w:r>
      <w:r>
        <w:t xml:space="preserve"> </w:t>
      </w:r>
      <w:r>
        <w:t xml:space="preserve">nicht gelistet.</w:t>
      </w:r>
    </w:p>
    <w:p>
      <w:pPr>
        <w:numPr>
          <w:ilvl w:val="0"/>
          <w:numId w:val="1298"/>
        </w:numPr>
        <w:pStyle w:val="Compact"/>
      </w:pPr>
      <w:r>
        <w:rPr>
          <w:bCs/>
          <w:b/>
        </w:rPr>
        <w:t xml:space="preserve">Evidenzstufe:</w:t>
      </w:r>
      <w:r>
        <w:t xml:space="preserve"> </w:t>
      </w:r>
      <w:r>
        <w:rPr>
          <w:bCs/>
          <w:b/>
        </w:rPr>
        <w:t xml:space="preserve">B</w:t>
      </w:r>
      <w:r>
        <w:t xml:space="preserve"> </w:t>
      </w:r>
      <w:r>
        <w:t xml:space="preserve">– rund 30 randomisierte Studien mit insgesamt einigen tausend Teilnehmenden, aber jeweils klein, mit widersprüchlichen Ergebnissen und ohne harte Endpunkte.</w:t>
      </w:r>
    </w:p>
    <w:bookmarkEnd w:id="2371"/>
    <w:bookmarkStart w:id="2375" w:name="wie-es-wirken-soll-53"/>
    <w:p>
      <w:pPr>
        <w:pStyle w:val="Heading3"/>
      </w:pPr>
      <w:r>
        <w:t xml:space="preserve">Wie es wirken soll</w:t>
      </w:r>
    </w:p>
    <w:p>
      <w:pPr>
        <w:pStyle w:val="FirstParagraph"/>
      </w:pPr>
      <w:r>
        <w:t xml:space="preserve">Der Blutdruck wird unter anderem vom Renin-Angiotensin-System gesteuert. Ein zentraler Schritt ist die Umwandlung des inaktiven Angiotensin I in das gefäßverengende Angiotensin II durch das Enzym ACE. Dasselbe Enzym baut außerdem Bradykinin ab, einen Stoff, der Gefäße erweitert. Wird ACE gehemmt, entstehen weniger Angiotensin II und mehr Bradykinin – der Blutdruck sinkt. Auf diesem Prinzip beruhen die ACE-Hemmer, eine der wichtigsten Gruppen von Blutdruckmedikamenten. Historisch interessant: Der erste ACE-Hemmer, Captopril, wurde aus einem Peptid im Gift einer Schlange entwickelt.</w:t>
      </w:r>
    </w:p>
    <w:p>
      <w:pPr>
        <w:pStyle w:val="BodyText"/>
      </w:pPr>
      <w:r>
        <w:t xml:space="preserve">In den 1990er-Jahren isolierten japanische Forschende aus Sauermilch zwei Tripeptide, die ACE im Reagenzglas hemmen. Bei Ratten mit angeborenem Bluthochdruck senkten eine einmalige Gabe der Sauermilch oder der isolierten Peptide VPP und IPP den systolischen Blutdruck für einige Stunden; bei Ratten mit normalem Blutdruck veränderte sich nichts</w:t>
      </w:r>
      <w:r>
        <w:rPr>
          <w:rStyle w:val="FootnoteReference"/>
        </w:rPr>
        <w:footnoteReference w:id="2372"/>
      </w:r>
      <w:r>
        <w:t xml:space="preserve">. Daraus entstand die Idee eines „blutdrucksenkenden Lebensmittels“.</w:t>
      </w:r>
    </w:p>
    <w:p>
      <w:pPr>
        <w:pStyle w:val="BodyText"/>
      </w:pPr>
      <w:r>
        <w:t xml:space="preserve">Damit das funktioniert, müssen die Peptide unversehrt in den Blutkreislauf gelangen. Eine kleine Studie zeigte, dass IPP nach dem Trinken eines angereicherten Joghurtgetränks tatsächlich intakt im Blut nachweisbar ist – allerdings in Konzentrationen im Pikomol-pro-Liter-Bereich</w:t>
      </w:r>
      <w:r>
        <w:rPr>
          <w:rStyle w:val="FootnoteReference"/>
        </w:rPr>
        <w:footnoteReference w:id="2373"/>
      </w:r>
      <w:r>
        <w:t xml:space="preserve">. Eine Schweizer Studie mit zwölf gesunden Männern prüfte dann direkt, ob die Peptide ACE im Körper hemmen: Nach sieben Tagen fermentierter Milch blieben Marker der ACE-Aktivität und das Renin unverändert, während eine einzige Tablette Captopril die ACE-Aktivität im Plasma um 82 % senkte. IPP stieg im Blut nur kurz und gering an, VPP lag unter der Nachweisgrenze</w:t>
      </w:r>
      <w:r>
        <w:rPr>
          <w:rStyle w:val="FootnoteReference"/>
        </w:rPr>
        <w:footnoteReference w:id="2374"/>
      </w:r>
      <w:r>
        <w:t xml:space="preserve">.</w:t>
      </w:r>
    </w:p>
    <w:p>
      <w:pPr>
        <w:pStyle w:val="BodyText"/>
      </w:pPr>
      <w:r>
        <w:t xml:space="preserve">Das bedeutet: Der im Labor plausible Mechanismus ließ sich beim Menschen in den getesteten Mengen nicht nachweisen. Diskutiert werden deshalb auch andere Wege, etwa eine verbesserte Funktion der Gefäßinnenwand über Stickstoffmonoxid. Diese stammen bislang vor allem aus Zellkultur- und Tierversuchen.</w:t>
      </w:r>
    </w:p>
    <w:bookmarkEnd w:id="2375"/>
    <w:bookmarkStart w:id="2387" w:name="studien-am-menschen-53"/>
    <w:p>
      <w:pPr>
        <w:pStyle w:val="Heading3"/>
      </w:pPr>
      <w:r>
        <w:t xml:space="preserve">Studien am Menschen</w:t>
      </w:r>
    </w:p>
    <w:p>
      <w:pPr>
        <w:pStyle w:val="FirstParagraph"/>
      </w:pPr>
      <w:r>
        <w:t xml:space="preserve">Die für dieses Buch ausgewertete PubMed-Abfrage (Lactotripeptide bzw. Valyl-Prolyl-Prolin, Abfragedatum Oktober 2026) ergab 21 Humanstudien; auf ClinicalTrials.gov fand die Suche „lactotripeptides“ keinen Registereintrag. Die meisten Studien wurden vor Einführung der Registrierungspflicht für Ernährungsstudien durchgeführt. Die Meta-Analysen beziehen sich auf bis zu 30 randomisierte Studien, darunter viele japanische Studien, die in der PubMed-Abfrage nicht vollständig erfasst sind.</w:t>
      </w:r>
    </w:p>
    <w:bookmarkStart w:id="2376" w:name="die-frühen-positiven-studien"/>
    <w:p>
      <w:pPr>
        <w:pStyle w:val="Heading4"/>
      </w:pPr>
      <w:r>
        <w:t xml:space="preserve">Die frühen positiven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Hata 1996, PMID 8901799</w:t>
            </w:r>
          </w:p>
        </w:tc>
        <w:tc>
          <w:tcPr/>
          <w:p>
            <w:pPr>
              <w:pStyle w:val="Compact"/>
              <w:jc w:val="left"/>
            </w:pPr>
            <w:r>
              <w:t xml:space="preserve">30 ältere Menschen mit Bluthochdruck (meist mit Medikamenten), Sauermilch vs. angesäuerte Milch</w:t>
            </w:r>
          </w:p>
        </w:tc>
        <w:tc>
          <w:tcPr/>
          <w:p>
            <w:pPr>
              <w:pStyle w:val="Compact"/>
              <w:jc w:val="left"/>
            </w:pPr>
            <w:r>
              <w:t xml:space="preserve">8 Wochen</w:t>
            </w:r>
          </w:p>
        </w:tc>
        <w:tc>
          <w:tcPr/>
          <w:p>
            <w:pPr>
              <w:pStyle w:val="Compact"/>
              <w:jc w:val="left"/>
            </w:pPr>
            <w:r>
              <w:t xml:space="preserve">Systolisch −14,1 mmHg gegenüber Ausgangswert in der Sauermilchgruppe; Placebo unverändert</w:t>
            </w:r>
          </w:p>
        </w:tc>
      </w:tr>
      <w:tr>
        <w:tc>
          <w:tcPr/>
          <w:p>
            <w:pPr>
              <w:pStyle w:val="Compact"/>
              <w:jc w:val="left"/>
            </w:pPr>
            <w:r>
              <w:t xml:space="preserve">Seppo 2003, PMID 12540390</w:t>
            </w:r>
          </w:p>
        </w:tc>
        <w:tc>
          <w:tcPr/>
          <w:p>
            <w:pPr>
              <w:pStyle w:val="Compact"/>
              <w:jc w:val="left"/>
            </w:pPr>
            <w:r>
              <w:t xml:space="preserve">39 Personen mit Bluthochdruck, fermentierte Milch vs. Kontrolle</w:t>
            </w:r>
          </w:p>
        </w:tc>
        <w:tc>
          <w:tcPr/>
          <w:p>
            <w:pPr>
              <w:pStyle w:val="Compact"/>
              <w:jc w:val="left"/>
            </w:pPr>
            <w:r>
              <w:t xml:space="preserve">21 Wochen</w:t>
            </w:r>
          </w:p>
        </w:tc>
        <w:tc>
          <w:tcPr/>
          <w:p>
            <w:pPr>
              <w:pStyle w:val="Compact"/>
              <w:jc w:val="left"/>
            </w:pPr>
            <w:r>
              <w:t xml:space="preserve">Unterschied systolisch 6,7 mmHg (p = 0,03), diastolisch 3,6 mmHg (nicht signifikant)</w:t>
            </w:r>
          </w:p>
        </w:tc>
      </w:tr>
      <w:tr>
        <w:tc>
          <w:tcPr/>
          <w:p>
            <w:pPr>
              <w:pStyle w:val="Compact"/>
              <w:jc w:val="left"/>
            </w:pPr>
            <w:r>
              <w:t xml:space="preserve">Tuomilehto 2004, PMID 15175633</w:t>
            </w:r>
          </w:p>
        </w:tc>
        <w:tc>
          <w:tcPr/>
          <w:p>
            <w:pPr>
              <w:pStyle w:val="Compact"/>
              <w:jc w:val="left"/>
            </w:pPr>
            <w:r>
              <w:t xml:space="preserve">60 Personen mit mildem Bluthochdruck, Crossover</w:t>
            </w:r>
          </w:p>
        </w:tc>
        <w:tc>
          <w:tcPr/>
          <w:p>
            <w:pPr>
              <w:pStyle w:val="Compact"/>
              <w:jc w:val="left"/>
            </w:pPr>
            <w:r>
              <w:t xml:space="preserve">2 × Phasen</w:t>
            </w:r>
          </w:p>
        </w:tc>
        <w:tc>
          <w:tcPr/>
          <w:p>
            <w:pPr>
              <w:pStyle w:val="Compact"/>
              <w:jc w:val="left"/>
            </w:pPr>
            <w:r>
              <w:t xml:space="preserve">Gesamtanalyse: systolisch 2,6 mmHg Unterschied, nicht signifikant</w:t>
            </w:r>
          </w:p>
        </w:tc>
      </w:tr>
      <w:tr>
        <w:tc>
          <w:tcPr/>
          <w:p>
            <w:pPr>
              <w:pStyle w:val="Compact"/>
              <w:jc w:val="left"/>
            </w:pPr>
            <w:r>
              <w:t xml:space="preserve">Jauhiainen 2005, PMID 16364832</w:t>
            </w:r>
          </w:p>
        </w:tc>
        <w:tc>
          <w:tcPr/>
          <w:p>
            <w:pPr>
              <w:pStyle w:val="Compact"/>
              <w:jc w:val="left"/>
            </w:pPr>
            <w:r>
              <w:t xml:space="preserve">94 unbehandelte Personen mit Bluthochdruck, fermentierte Milch vs. Kontrolle, 24-Stunden-Messung</w:t>
            </w:r>
          </w:p>
        </w:tc>
        <w:tc>
          <w:tcPr/>
          <w:p>
            <w:pPr>
              <w:pStyle w:val="Compact"/>
              <w:jc w:val="left"/>
            </w:pPr>
            <w:r>
              <w:t xml:space="preserve">10 Wochen</w:t>
            </w:r>
          </w:p>
        </w:tc>
        <w:tc>
          <w:tcPr/>
          <w:p>
            <w:pPr>
              <w:pStyle w:val="Compact"/>
              <w:jc w:val="left"/>
            </w:pPr>
            <w:r>
              <w:t xml:space="preserve">Systolisch −4,1 mmHg, diastolisch −1,8 mmHg gegenüber Kontrolle</w:t>
            </w:r>
          </w:p>
        </w:tc>
      </w:tr>
    </w:tbl>
    <w:p>
      <w:pPr>
        <w:pStyle w:val="BodyText"/>
      </w:pPr>
      <w:r>
        <w:t xml:space="preserve">Die frühe Studie von Hata war klein, die meisten Teilnehmenden nahmen bereits Blutdruckmedikamente, und es wurde vor allem mit dem Ausgangswert verglichen. Die Studie von Jauhiainen ist methodisch stärker, weil sie die 24-Stunden-Blutdruckmessung verwendete, die weniger anfällig für den „Weißkitteleffekt“ beim Arzt ist.</w:t>
      </w:r>
    </w:p>
    <w:bookmarkEnd w:id="2376"/>
    <w:bookmarkStart w:id="2378" w:name="Xff6a21eccf11761faf4d0251f7bfbf32bdf547d"/>
    <w:p>
      <w:pPr>
        <w:pStyle w:val="Heading4"/>
      </w:pPr>
      <w:r>
        <w:t xml:space="preserve">Die negativen Studien aus den Niederlanden</w:t>
      </w:r>
    </w:p>
    <w:p>
      <w:pPr>
        <w:pStyle w:val="FirstParagraph"/>
      </w:pPr>
      <w:r>
        <w:t xml:space="preserve">Ab 2008 erschienen mehrere größere, sorgfältig durchgeführte Studien aus europäischen Ländern, die keinen Effekt fanden: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Engberink 2008, PMID 18086944</w:t>
            </w:r>
          </w:p>
        </w:tc>
        <w:tc>
          <w:tcPr/>
          <w:p>
            <w:pPr>
              <w:pStyle w:val="Compact"/>
              <w:jc w:val="left"/>
            </w:pPr>
            <w:r>
              <w:t xml:space="preserve">135 Niederländer mit erhöhtem systolischem Druck, drei Herstellungsarten von LTP vs. Placebo</w:t>
            </w:r>
          </w:p>
        </w:tc>
        <w:tc>
          <w:tcPr/>
          <w:p>
            <w:pPr>
              <w:pStyle w:val="Compact"/>
              <w:jc w:val="left"/>
            </w:pPr>
            <w:r>
              <w:t xml:space="preserve">8 Wochen</w:t>
            </w:r>
          </w:p>
        </w:tc>
        <w:tc>
          <w:tcPr/>
          <w:p>
            <w:pPr>
              <w:pStyle w:val="Compact"/>
              <w:jc w:val="left"/>
            </w:pPr>
            <w:r>
              <w:t xml:space="preserve">Kein Unterschied zu Placebo bei Praxis-, Heim- und 24-Stunden-Blutdruck, ACE-Aktivität oder Angiotensin II</w:t>
            </w:r>
          </w:p>
        </w:tc>
      </w:tr>
      <w:tr>
        <w:tc>
          <w:tcPr/>
          <w:p>
            <w:pPr>
              <w:pStyle w:val="Compact"/>
              <w:jc w:val="left"/>
            </w:pPr>
            <w:r>
              <w:t xml:space="preserve">van der Zander 2008, PMID 19064533</w:t>
            </w:r>
          </w:p>
        </w:tc>
        <w:tc>
          <w:tcPr/>
          <w:p>
            <w:pPr>
              <w:pStyle w:val="Compact"/>
              <w:jc w:val="left"/>
            </w:pPr>
            <w:r>
              <w:t xml:space="preserve">275 Niederländer mit Bluthochdruck, enzymatisch hergestellte LTP in Joghurtdrink vs. Placebo</w:t>
            </w:r>
          </w:p>
        </w:tc>
        <w:tc>
          <w:tcPr/>
          <w:p>
            <w:pPr>
              <w:pStyle w:val="Compact"/>
              <w:jc w:val="left"/>
            </w:pPr>
            <w:r>
              <w:t xml:space="preserve">8 Wochen</w:t>
            </w:r>
          </w:p>
        </w:tc>
        <w:tc>
          <w:tcPr/>
          <w:p>
            <w:pPr>
              <w:pStyle w:val="Compact"/>
              <w:jc w:val="left"/>
            </w:pPr>
            <w:r>
              <w:t xml:space="preserve">Kein Unterschied systolisch (p = 0,66) oder diastolisch (p = 0,72)</w:t>
            </w:r>
          </w:p>
        </w:tc>
      </w:tr>
      <w:tr>
        <w:tc>
          <w:tcPr/>
          <w:p>
            <w:pPr>
              <w:pStyle w:val="Compact"/>
              <w:jc w:val="left"/>
            </w:pPr>
            <w:r>
              <w:t xml:space="preserve">van Mierlo 2009, PMID 19106238</w:t>
            </w:r>
          </w:p>
        </w:tc>
        <w:tc>
          <w:tcPr/>
          <w:p>
            <w:pPr>
              <w:pStyle w:val="Compact"/>
              <w:jc w:val="left"/>
            </w:pPr>
            <w:r>
              <w:t xml:space="preserve">2 Crossover-Studien mit 69 und 93 unbehandelten Erwachsenen, 24-Stunden-Messung</w:t>
            </w:r>
          </w:p>
        </w:tc>
        <w:tc>
          <w:tcPr/>
          <w:p>
            <w:pPr>
              <w:pStyle w:val="Compact"/>
              <w:jc w:val="left"/>
            </w:pPr>
            <w:r>
              <w:t xml:space="preserve">je 4 Wochen</w:t>
            </w:r>
          </w:p>
        </w:tc>
        <w:tc>
          <w:tcPr/>
          <w:p>
            <w:pPr>
              <w:pStyle w:val="Compact"/>
              <w:jc w:val="left"/>
            </w:pPr>
            <w:r>
              <w:t xml:space="preserve">Kein Unterschied im 24-Stunden-Blutdruck</w:t>
            </w:r>
          </w:p>
        </w:tc>
      </w:tr>
      <w:tr>
        <w:tc>
          <w:tcPr/>
          <w:p>
            <w:pPr>
              <w:pStyle w:val="Compact"/>
              <w:jc w:val="left"/>
            </w:pPr>
            <w:r>
              <w:t xml:space="preserve">Usinger 2010, PMID 20147968</w:t>
            </w:r>
          </w:p>
        </w:tc>
        <w:tc>
          <w:tcPr/>
          <w:p>
            <w:pPr>
              <w:pStyle w:val="Compact"/>
              <w:jc w:val="left"/>
            </w:pPr>
            <w:r>
              <w:t xml:space="preserve">94 Personen mit hochnormalem oder grenzwertigem Blutdruck, 150 oder 300 ml fermentierte Milch vs. Placebo</w:t>
            </w:r>
          </w:p>
        </w:tc>
        <w:tc>
          <w:tcPr/>
          <w:p>
            <w:pPr>
              <w:pStyle w:val="Compact"/>
              <w:jc w:val="left"/>
            </w:pPr>
            <w:r>
              <w:t xml:space="preserve">8 Wochen</w:t>
            </w:r>
          </w:p>
        </w:tc>
        <w:tc>
          <w:tcPr/>
          <w:p>
            <w:pPr>
              <w:pStyle w:val="Compact"/>
              <w:jc w:val="left"/>
            </w:pPr>
            <w:r>
              <w:t xml:space="preserve">Kein signifikanter Unterschied im 24-Stunden-Blutdruck</w:t>
            </w:r>
          </w:p>
        </w:tc>
      </w:tr>
    </w:tbl>
    <w:p>
      <w:pPr>
        <w:pStyle w:val="BodyText"/>
      </w:pPr>
      <w:r>
        <w:t xml:space="preserve">Bemerkenswert an der Studie von Engberink: Sie testete Lactotripeptide aus drei Quellen – aus konzentrierter fermentierter Milch, enzymatisch hergestellt und chemisch synthetisiert. Keine der drei Varianten senkte den Blutdruck oder hemmte ACE messbar. Eine Übersichtsarbeit fasste sechs solcher Studien mit 780 Teilnehmenden aus Großbritannien und den Niederlanden zusammen und kam zu dem Schluss, dass die neueren Daten eine Rolle der Lactotripeptide bei der Blutdruckregulation nicht stützen</w:t>
      </w:r>
      <w:r>
        <w:rPr>
          <w:rStyle w:val="FootnoteReference"/>
        </w:rPr>
        <w:footnoteReference w:id="2377"/>
      </w:r>
      <w:r>
        <w:t xml:space="preserve">.</w:t>
      </w:r>
    </w:p>
    <w:bookmarkEnd w:id="2378"/>
    <w:bookmarkStart w:id="2384" w:name="spätere-studien"/>
    <w:p>
      <w:pPr>
        <w:pStyle w:val="Heading4"/>
      </w:pPr>
      <w:r>
        <w:t xml:space="preserve">Spätere Studien</w:t>
      </w:r>
    </w:p>
    <w:p>
      <w:pPr>
        <w:pStyle w:val="FirstParagraph"/>
      </w:pPr>
      <w:r>
        <w:t xml:space="preserve">Auch nach 2010 blieben die Ergebnisse gemischt. In Finnland senkte eine Dosis von 50 mg Lactotripeptiden pro Tag den 24-Stunden-Blutdruck zwar gegenüber dem Ausgangswert, aber nicht signifikant gegenüber Placebo (−2,6 mmHg systolisch); 5 mg pro Tag hatten keinen Effekt</w:t>
      </w:r>
      <w:r>
        <w:rPr>
          <w:rStyle w:val="FootnoteReference"/>
        </w:rPr>
        <w:footnoteReference w:id="2379"/>
      </w:r>
      <w:r>
        <w:t xml:space="preserve">. Ein Streichfett mit IPP, VPP und Pflanzensterinen senkte den zu Hause gemessenen systolischen Blutdruck stärker als Placebo (−4,1 gegenüber −0,5 mmHg), nicht aber den Praxis- oder 24-Stunden-Wert</w:t>
      </w:r>
      <w:r>
        <w:rPr>
          <w:rStyle w:val="FootnoteReference"/>
        </w:rPr>
        <w:footnoteReference w:id="2380"/>
      </w:r>
      <w:r>
        <w:t xml:space="preserve">. Italienische Studien berichteten günstige Effekte auf Praxisblutdruck und Gefäßsteifigkeit</w:t>
      </w:r>
      <w:r>
        <w:rPr>
          <w:rStyle w:val="FootnoteReference"/>
        </w:rPr>
        <w:footnoteReference w:id="2381"/>
      </w:r>
      <w:r>
        <w:t xml:space="preserve">, in einer davon ohne Effekt auf den 24-Stunden-Blutdruck. In den USA sank in einer Studie mit 91 Personen mit Bluthochdruck Stadium 1 und 2 der systolische Tagesblutdruck um 3,6 mmHg, unter Placebo nicht</w:t>
      </w:r>
      <w:r>
        <w:rPr>
          <w:rStyle w:val="FootnoteReference"/>
        </w:rPr>
        <w:footnoteReference w:id="2382"/>
      </w:r>
      <w:r>
        <w:t xml:space="preserve">.</w:t>
      </w:r>
    </w:p>
    <w:p>
      <w:pPr>
        <w:pStyle w:val="BodyText"/>
      </w:pPr>
      <w:r>
        <w:t xml:space="preserve">Daneben gibt es kleine Studien zu Gefäßfunktion, Hirndurchblutung, Muskelermüdung und kognitiver Leistung, meist mit 15 bis 50 Teilnehmenden</w:t>
      </w:r>
      <w:r>
        <w:rPr>
          <w:rStyle w:val="FootnoteReference"/>
        </w:rPr>
        <w:footnoteReference w:id="2383"/>
      </w:r>
      <w:r>
        <w:t xml:space="preserve">. Sie sind als Hinweise zu lesen, nicht als Belege.</w:t>
      </w:r>
    </w:p>
    <w:bookmarkEnd w:id="2384"/>
    <w:bookmarkStart w:id="2386" w:name="Xf385484aa7706699d75bd884c8c1093d33b2222"/>
    <w:p>
      <w:pPr>
        <w:pStyle w:val="Heading4"/>
      </w:pPr>
      <w:r>
        <w:t xml:space="preserve">Meta-Analysen: kleiner Effekt, starker Einfluss der Herkunft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Meta-Analyse</w:t>
            </w:r>
          </w:p>
        </w:tc>
        <w:tc>
          <w:tcPr/>
          <w:p>
            <w:pPr>
              <w:pStyle w:val="Compact"/>
              <w:jc w:val="left"/>
            </w:pPr>
            <w:r>
              <w:t xml:space="preserve">Umfang</w:t>
            </w:r>
          </w:p>
        </w:tc>
        <w:tc>
          <w:tcPr/>
          <w:p>
            <w:pPr>
              <w:pStyle w:val="Compact"/>
              <w:jc w:val="left"/>
            </w:pPr>
            <w:r>
              <w:t xml:space="preserve">Effekt auf den systolischen Blutdruck</w:t>
            </w:r>
          </w:p>
        </w:tc>
      </w:tr>
      <w:tr>
        <w:tc>
          <w:tcPr/>
          <w:p>
            <w:pPr>
              <w:pStyle w:val="Compact"/>
              <w:jc w:val="left"/>
            </w:pPr>
            <w:r>
              <w:t xml:space="preserve">Cicero 2011, PMID 20811398</w:t>
            </w:r>
          </w:p>
        </w:tc>
        <w:tc>
          <w:tcPr/>
          <w:p>
            <w:pPr>
              <w:pStyle w:val="Compact"/>
              <w:jc w:val="left"/>
            </w:pPr>
            <w:r>
              <w:t xml:space="preserve">18 Studien</w:t>
            </w:r>
          </w:p>
        </w:tc>
        <w:tc>
          <w:tcPr/>
          <w:p>
            <w:pPr>
              <w:pStyle w:val="Compact"/>
              <w:jc w:val="left"/>
            </w:pPr>
            <w:r>
              <w:t xml:space="preserve">−3,73 mmHg gesamt; Asien −6,93 mmHg; Europa −1,17 mmHg (nicht signifikant)</w:t>
            </w:r>
          </w:p>
        </w:tc>
      </w:tr>
      <w:tr>
        <w:tc>
          <w:tcPr/>
          <w:p>
            <w:pPr>
              <w:pStyle w:val="Compact"/>
              <w:jc w:val="left"/>
            </w:pPr>
            <w:r>
              <w:t xml:space="preserve">Turpeinen 2013, PMID 23305234</w:t>
            </w:r>
          </w:p>
        </w:tc>
        <w:tc>
          <w:tcPr/>
          <w:p>
            <w:pPr>
              <w:pStyle w:val="Compact"/>
              <w:jc w:val="left"/>
            </w:pPr>
            <w:r>
              <w:t xml:space="preserve">19 Studien, ca. 1.500 Personen</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Studienarme, 1.919 Personen</w:t>
            </w:r>
          </w:p>
        </w:tc>
        <w:tc>
          <w:tcPr/>
          <w:p>
            <w:pPr>
              <w:pStyle w:val="Compact"/>
              <w:jc w:val="left"/>
            </w:pPr>
            <w:r>
              <w:t xml:space="preserve">−1,66 mmHg; im 24-Stunden-Blutdruck −1,30 mmHg</w:t>
            </w:r>
          </w:p>
        </w:tc>
      </w:tr>
      <w:tr>
        <w:tc>
          <w:tcPr/>
          <w:p>
            <w:pPr>
              <w:pStyle w:val="Compact"/>
              <w:jc w:val="left"/>
            </w:pPr>
            <w:r>
              <w:t xml:space="preserve">Cicero 2013, PMID 23382495</w:t>
            </w:r>
          </w:p>
        </w:tc>
        <w:tc>
          <w:tcPr/>
          <w:p>
            <w:pPr>
              <w:pStyle w:val="Compact"/>
              <w:jc w:val="left"/>
            </w:pPr>
            <w:r>
              <w:t xml:space="preserve">14 europäische Studien, 1.306 Personen</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Studien</w:t>
            </w:r>
          </w:p>
        </w:tc>
        <w:tc>
          <w:tcPr/>
          <w:p>
            <w:pPr>
              <w:pStyle w:val="Compact"/>
              <w:jc w:val="left"/>
            </w:pPr>
            <w:r>
              <w:t xml:space="preserve">−2,95 mmHg; 24-Stunden-Blutdruck nicht signifikant</w:t>
            </w:r>
          </w:p>
        </w:tc>
      </w:tr>
      <w:tr>
        <w:tc>
          <w:tcPr/>
          <w:p>
            <w:pPr>
              <w:pStyle w:val="Compact"/>
              <w:jc w:val="left"/>
            </w:pPr>
            <w:r>
              <w:t xml:space="preserve">Chanson-Rolle 2015, PMID 26536628</w:t>
            </w:r>
          </w:p>
        </w:tc>
        <w:tc>
          <w:tcPr/>
          <w:p>
            <w:pPr>
              <w:pStyle w:val="Compact"/>
              <w:jc w:val="left"/>
            </w:pPr>
            <w:r>
              <w:t xml:space="preserve">18 japanische Studien, 1.194 Personen</w:t>
            </w:r>
          </w:p>
        </w:tc>
        <w:tc>
          <w:tcPr/>
          <w:p>
            <w:pPr>
              <w:pStyle w:val="Compact"/>
              <w:jc w:val="left"/>
            </w:pPr>
            <w:r>
              <w:t xml:space="preserve">−5,63 mmHg</w:t>
            </w:r>
          </w:p>
        </w:tc>
      </w:tr>
    </w:tbl>
    <w:p>
      <w:pPr>
        <w:pStyle w:val="BodyText"/>
      </w:pPr>
      <w:r>
        <w:t xml:space="preserve">Drei Muster ziehen sich durch alle Auswertungen:</w:t>
      </w:r>
    </w:p>
    <w:p>
      <w:pPr>
        <w:numPr>
          <w:ilvl w:val="0"/>
          <w:numId w:val="1299"/>
        </w:numPr>
        <w:pStyle w:val="Compact"/>
      </w:pPr>
      <w:r>
        <w:rPr>
          <w:bCs/>
          <w:b/>
        </w:rPr>
        <w:t xml:space="preserve">Der Effekt ist klein.</w:t>
      </w:r>
      <w:r>
        <w:t xml:space="preserve"> </w:t>
      </w:r>
      <w:r>
        <w:t xml:space="preserve">Gepoolt liegt er meist zwischen 1 und 4 mmHg systolisch – deutlich weniger, als zugelassene Blutdruckmedikamente erreichen.</w:t>
      </w:r>
    </w:p>
    <w:p>
      <w:pPr>
        <w:numPr>
          <w:ilvl w:val="0"/>
          <w:numId w:val="1299"/>
        </w:numPr>
        <w:pStyle w:val="Compact"/>
      </w:pPr>
      <w:r>
        <w:rPr>
          <w:bCs/>
          <w:b/>
        </w:rPr>
        <w:t xml:space="preserve">Asiatische, vor allem japanische, Studien zeigen deutlich größere Effekte als europäische.</w:t>
      </w:r>
      <w:r>
        <w:t xml:space="preserve"> </w:t>
      </w:r>
      <w:r>
        <w:t xml:space="preserve">Ob das an genetischen Unterschieden, an der Ernährung (etwa höherem Salzkonsum) oder an methodischen Unterschieden liegt, ist ungeklärt.</w:t>
      </w:r>
    </w:p>
    <w:p>
      <w:pPr>
        <w:numPr>
          <w:ilvl w:val="0"/>
          <w:numId w:val="1299"/>
        </w:numPr>
        <w:pStyle w:val="Compact"/>
      </w:pPr>
      <w:r>
        <w:rPr>
          <w:bCs/>
          <w:b/>
        </w:rPr>
        <w:t xml:space="preserve">Hinweise auf Publikationsverzerrung.</w:t>
      </w:r>
      <w:r>
        <w:t xml:space="preserve"> </w:t>
      </w:r>
      <w:r>
        <w:t xml:space="preserve">Die Meta-Analyse von Fekete fand sowohl eine Publikationsverzerrung als auch einen „Small-Study-Effekt“: Kleine Studien zeigten größere Effekte. Nach Korrektur schrumpfte die systolische Senkung, die diastolische war nicht mehr signifikant. Im 24-Stunden-Blutdruck – dem verlässlichsten Messverfahren – war der Effekt nicht signifikant</w:t>
      </w:r>
      <w:r>
        <w:rPr>
          <w:rStyle w:val="FootnoteReference"/>
        </w:rPr>
        <w:footnoteReference w:id="2385"/>
      </w:r>
      <w:r>
        <w:t xml:space="preserve">.</w:t>
      </w:r>
    </w:p>
    <w:p>
      <w:pPr>
        <w:pStyle w:val="FirstParagraph"/>
      </w:pPr>
      <w:r>
        <w:t xml:space="preserve">Es fehlt eine Studie, die zeigt, dass Lactotripeptide Herzinfarkte, Schlaganfälle oder Todesfälle verhindern. Angesichts des kleinen Effekts ist eine solche Studie auch nicht zu erwarten.</w:t>
      </w:r>
    </w:p>
    <w:bookmarkEnd w:id="2386"/>
    <w:bookmarkEnd w:id="2387"/>
    <w:bookmarkStart w:id="2394" w:name="tier--und-laborstudien-53"/>
    <w:p>
      <w:pPr>
        <w:pStyle w:val="Heading3"/>
      </w:pPr>
      <w:r>
        <w:t xml:space="preserve">Tier- und Laborstudien</w:t>
      </w:r>
    </w:p>
    <w:p>
      <w:pPr>
        <w:pStyle w:val="FirstParagraph"/>
      </w:pPr>
      <w:r>
        <w:t xml:space="preserve">Bei Ratten mit angeborenem Bluthochdruck (SHR-Ratten) senkten VPP und IPP den Blutdruck dosisabhängig; bei Ratten mit normalem Blutdruck nicht</w:t>
      </w:r>
      <w:r>
        <w:rPr>
          <w:rStyle w:val="FootnoteReference"/>
        </w:rPr>
        <w:footnoteReference w:id="2388"/>
      </w:r>
      <w:r>
        <w:t xml:space="preserve">. In Zellkulturen regten VPP und IPP ab Konzentrationen von mehr als 100 Nanomol pro Liter die Bildung von Stickstoffmonoxid in Gefäßzellen an, und an isolierten Rattenaorten lösten sie eine Gefäßerweiterung aus</w:t>
      </w:r>
      <w:r>
        <w:rPr>
          <w:rStyle w:val="FootnoteReference"/>
        </w:rPr>
        <w:footnoteReference w:id="2389"/>
      </w:r>
      <w:r>
        <w:t xml:space="preserve">. Zum Vergleich: Im Blut von Menschen wurden nach dem Trinken eines angereicherten Getränks weniger als 1 Nanomol pro Liter IPP gemessen</w:t>
      </w:r>
      <w:r>
        <w:rPr>
          <w:rStyle w:val="FootnoteReference"/>
        </w:rPr>
        <w:footnoteReference w:id="2390"/>
      </w:r>
      <w:r>
        <w:t xml:space="preserve">. Röntgenstrukturanalysen zeigen, dass beide Peptide bevorzugt an eine der beiden aktiven Stellen des ACE-Moleküls binden</w:t>
      </w:r>
      <w:r>
        <w:rPr>
          <w:rStyle w:val="FootnoteReference"/>
        </w:rPr>
        <w:footnoteReference w:id="2391"/>
      </w:r>
      <w:r>
        <w:t xml:space="preserve">. Bei Ratten und Kaninchen fanden Toxizitätsstudien – einschließlich Untersuchungen zur Nierenentwicklung der Nachkommen, weil ACE-Hemmer in der Schwangerschaft das Ungeborene schädigen können – keine Nebenwirkungen bei den höchsten getesteten Dosen</w:t>
      </w:r>
      <w:r>
        <w:rPr>
          <w:rStyle w:val="FootnoteReference"/>
        </w:rPr>
        <w:footnoteReference w:id="2392"/>
      </w:r>
      <w:r>
        <w:t xml:space="preserve">. Ein IPP-haltiges Milchproteinhydrolysat war in Erbgut-Tests nicht mutagen; die höchste getestete Dosis im 90-Tage-Versuch an Ratten lag etwa 141-fach über der erwarteten maximalen Aufnahme</w:t>
      </w:r>
      <w:r>
        <w:rPr>
          <w:rStyle w:val="FootnoteReference"/>
        </w:rPr>
        <w:footnoteReference w:id="2393"/>
      </w:r>
      <w:r>
        <w:t xml:space="preserve">.</w:t>
      </w:r>
    </w:p>
    <w:bookmarkEnd w:id="2394"/>
    <w:bookmarkStart w:id="2396" w:name="risiken-und-nebenwirkungen-53"/>
    <w:p>
      <w:pPr>
        <w:pStyle w:val="Heading3"/>
      </w:pPr>
      <w:r>
        <w:t xml:space="preserve">Risiken und Nebenwirkungen</w:t>
      </w:r>
    </w:p>
    <w:p>
      <w:pPr>
        <w:pStyle w:val="FirstParagraph"/>
      </w:pPr>
      <w:r>
        <w:rPr>
          <w:bCs/>
          <w:b/>
        </w:rPr>
        <w:t xml:space="preserve">Belegt:</w:t>
      </w:r>
      <w:r>
        <w:t xml:space="preserve"> </w:t>
      </w:r>
      <w:r>
        <w:t xml:space="preserve">In den Humanstudien traten unter Lactotripeptiden nicht mehr Nebenwirkungen auf als unter Placebo</w:t>
      </w:r>
      <w:r>
        <w:rPr>
          <w:rStyle w:val="FootnoteReference"/>
        </w:rPr>
        <w:footnoteReference w:id="2395"/>
      </w:r>
      <w:r>
        <w:t xml:space="preserve">. Die Peptide stammen aus Milcheiweiß, das seit jeher gegessen wird; die Mengen in den Produkten liegen im Milligrammbereich.</w:t>
      </w:r>
    </w:p>
    <w:p>
      <w:pPr>
        <w:pStyle w:val="BodyText"/>
      </w:pPr>
      <w:r>
        <w:rPr>
          <w:bCs/>
          <w:b/>
        </w:rPr>
        <w:t xml:space="preserve">Theoretisch bzw. zu beachten:</w:t>
      </w:r>
    </w:p>
    <w:p>
      <w:pPr>
        <w:numPr>
          <w:ilvl w:val="0"/>
          <w:numId w:val="1300"/>
        </w:numPr>
        <w:pStyle w:val="Compact"/>
      </w:pPr>
      <w:r>
        <w:rPr>
          <w:bCs/>
          <w:b/>
        </w:rPr>
        <w:t xml:space="preserve">Milchallergie:</w:t>
      </w:r>
      <w:r>
        <w:t xml:space="preserve"> </w:t>
      </w:r>
      <w:r>
        <w:t xml:space="preserve">Produkte auf Milch- bzw. Caseinbasis sind bei Kuhmilcheiweißallergie ungeeignet.</w:t>
      </w:r>
    </w:p>
    <w:p>
      <w:pPr>
        <w:numPr>
          <w:ilvl w:val="0"/>
          <w:numId w:val="1300"/>
        </w:numPr>
        <w:pStyle w:val="Compact"/>
      </w:pPr>
      <w:r>
        <w:rPr>
          <w:bCs/>
          <w:b/>
        </w:rPr>
        <w:t xml:space="preserve">Kombination mit Blutdruckmedikamenten:</w:t>
      </w:r>
      <w:r>
        <w:t xml:space="preserve"> </w:t>
      </w:r>
      <w:r>
        <w:t xml:space="preserve">Eine relevante Verstärkung ist angesichts der schwachen Wirkung unwahrscheinlich, aber nicht systematisch untersucht.</w:t>
      </w:r>
    </w:p>
    <w:p>
      <w:pPr>
        <w:numPr>
          <w:ilvl w:val="0"/>
          <w:numId w:val="1300"/>
        </w:numPr>
        <w:pStyle w:val="Compact"/>
      </w:pPr>
      <w:r>
        <w:rPr>
          <w:bCs/>
          <w:b/>
        </w:rPr>
        <w:t xml:space="preserve">Schwangerschaft:</w:t>
      </w:r>
      <w:r>
        <w:t xml:space="preserve"> </w:t>
      </w:r>
      <w:r>
        <w:t xml:space="preserve">ACE-Hemmer sind in der Schwangerschaft kontraindiziert. Für Lactotripeptide wurde in Tierversuchen keine entsprechende Schädigung gefunden; Humandaten fehlen.</w:t>
      </w:r>
    </w:p>
    <w:p>
      <w:pPr>
        <w:numPr>
          <w:ilvl w:val="0"/>
          <w:numId w:val="1300"/>
        </w:numPr>
        <w:pStyle w:val="Compact"/>
      </w:pPr>
      <w:r>
        <w:rPr>
          <w:bCs/>
          <w:b/>
        </w:rPr>
        <w:t xml:space="preserve">Das wichtigste Risiko:</w:t>
      </w:r>
      <w:r>
        <w:t xml:space="preserve"> </w:t>
      </w:r>
      <w:r>
        <w:t xml:space="preserve">Wer einen behandlungsbedürftigen Bluthochdruck mit einem Milchgetränk statt mit wirksamen Maßnahmen behandelt, verschenkt Schutz vor Herzinfarkt und Schlaganfall. Gewichtsreduktion, weniger Salz, Bewegung und – wenn nötig – Medikamente senken den Blutdruck nachweislich stärker.</w:t>
      </w:r>
    </w:p>
    <w:bookmarkEnd w:id="2396"/>
    <w:bookmarkStart w:id="2397" w:name="rechtslage-53"/>
    <w:p>
      <w:pPr>
        <w:pStyle w:val="Heading3"/>
      </w:pPr>
      <w:r>
        <w:t xml:space="preserve">Rechtslage</w:t>
      </w:r>
    </w:p>
    <w:p>
      <w:pPr>
        <w:numPr>
          <w:ilvl w:val="0"/>
          <w:numId w:val="1301"/>
        </w:numPr>
        <w:pStyle w:val="Compact"/>
      </w:pPr>
      <w:r>
        <w:rPr>
          <w:bCs/>
          <w:b/>
        </w:rPr>
        <w:t xml:space="preserve">EU / Österreich / Deutschland:</w:t>
      </w:r>
      <w:r>
        <w:t xml:space="preserve"> </w:t>
      </w:r>
      <w:r>
        <w:t xml:space="preserve">Lactotripeptide sind Lebensmittelzutaten. Gesundheitsbezogene Angaben zum Blutdruck sind nach der Health-Claims-Verordnung (Verordnung (EG) Nr. 1924/2006)</w:t>
      </w:r>
      <w:r>
        <w:t xml:space="preserve"> </w:t>
      </w:r>
      <w:r>
        <w:rPr>
          <w:bCs/>
          <w:b/>
        </w:rPr>
        <w:t xml:space="preserve">nicht zugelassen</w:t>
      </w:r>
      <w:r>
        <w:t xml:space="preserve">. Die Europäische Behörde für Lebensmittelsicherheit (EFSA) hat Anträge zu Lactotripeptiden und der Aufrechterhaltung eines normalen Blutdrucks geprüft und kam zu dem Ergebnis, dass ein Ursache-Wirkungs-Zusammenhang nicht ausreichend belegt ist. Ausschlaggebend waren unter anderem die widersprüchlichen europäischen Studien. Produkte dürfen daher in der EU nicht mit „senkt den Blutdruck“ oder „trägt zu einem normalen Blutdruck bei“ beworben werden.</w:t>
      </w:r>
    </w:p>
    <w:p>
      <w:pPr>
        <w:numPr>
          <w:ilvl w:val="0"/>
          <w:numId w:val="1301"/>
        </w:numPr>
        <w:pStyle w:val="Compact"/>
      </w:pPr>
      <w:r>
        <w:rPr>
          <w:bCs/>
          <w:b/>
        </w:rPr>
        <w:t xml:space="preserve">Japan:</w:t>
      </w:r>
      <w:r>
        <w:t xml:space="preserve"> </w:t>
      </w:r>
      <w:r>
        <w:t xml:space="preserve">Dort wurden entsprechende Getränke als „Lebensmittel für bestimmte Gesundheitszwecke“ (FOSHU) mit einer behördlich zugelassenen Blutdruck-Aussage vermarktet. Das erklärt zum Teil, warum ein großer Teil der Studien aus Japan stammt.</w:t>
      </w:r>
    </w:p>
    <w:p>
      <w:pPr>
        <w:numPr>
          <w:ilvl w:val="0"/>
          <w:numId w:val="1301"/>
        </w:numPr>
        <w:pStyle w:val="Compact"/>
      </w:pPr>
      <w:r>
        <w:rPr>
          <w:bCs/>
          <w:b/>
        </w:rPr>
        <w:t xml:space="preserve">USA:</w:t>
      </w:r>
      <w:r>
        <w:t xml:space="preserve"> </w:t>
      </w:r>
      <w:r>
        <w:t xml:space="preserve">als Nahrungsergänzungsmittel verkäuflich; krankheitsbezogene Aussagen sind nicht erlaubt.</w:t>
      </w:r>
    </w:p>
    <w:p>
      <w:pPr>
        <w:numPr>
          <w:ilvl w:val="0"/>
          <w:numId w:val="1301"/>
        </w:numPr>
        <w:pStyle w:val="Compact"/>
      </w:pPr>
      <w:r>
        <w:rPr>
          <w:bCs/>
          <w:b/>
        </w:rPr>
        <w:t xml:space="preserve">Sport:</w:t>
      </w:r>
      <w:r>
        <w:t xml:space="preserve"> </w:t>
      </w:r>
      <w:r>
        <w:t xml:space="preserve">nicht auf der WADA-Verbotsliste (Stand 2026, bitte aktuell prüfen).</w:t>
      </w:r>
    </w:p>
    <w:bookmarkEnd w:id="2397"/>
    <w:bookmarkStart w:id="2399" w:name="laufende-studien-und-ausblick-53"/>
    <w:p>
      <w:pPr>
        <w:pStyle w:val="Heading3"/>
      </w:pPr>
      <w:r>
        <w:t xml:space="preserve">Laufende Studien und Ausblick</w:t>
      </w:r>
    </w:p>
    <w:p>
      <w:pPr>
        <w:pStyle w:val="FirstParagraph"/>
      </w:pPr>
      <w:r>
        <w:rPr>
          <w:bCs/>
          <w:b/>
        </w:rPr>
        <w:t xml:space="preserve">Gesichert:</w:t>
      </w:r>
      <w:r>
        <w:t xml:space="preserve"> </w:t>
      </w:r>
      <w:r>
        <w:t xml:space="preserve">Auf ClinicalTrials.gov ist unter dem Begriff „lactotripeptides“ keine laufende Studie registriert. Unter verwandten Begriffen findet sich eine abgeschlossene Studie zu IPP und der Gefäßfunktion bei koronarer Herzkrankheit mit 54 Teilnehmenden</w:t>
      </w:r>
      <w:r>
        <w:rPr>
          <w:rStyle w:val="FootnoteReference"/>
        </w:rPr>
        <w:footnoteReference w:id="2398"/>
      </w:r>
      <w:r>
        <w:t xml:space="preserve">. Die Forschung zu Lactotripeptiden ist seit etwa 2015 deutlich abgeflaut; neue Arbeiten untersuchen vor allem allgemein, warum Menschen auf Nahrungspeptide unterschiedlich ansprechen.</w:t>
      </w:r>
    </w:p>
    <w:p>
      <w:pPr>
        <w:pStyle w:val="BodyText"/>
      </w:pPr>
      <w:r>
        <w:rPr>
          <w:bCs/>
          <w:b/>
        </w:rPr>
        <w:t xml:space="preserve">Einschätzung:</w:t>
      </w:r>
      <w:r>
        <w:t xml:space="preserve"> </w:t>
      </w:r>
      <w:r>
        <w:t xml:space="preserve">Lactotripeptide sind ein Lehrbeispiel dafür, wie ein im Labor überzeugender Mechanismus und frühe positive Studien in größeren, unabhängigen Untersuchungen zusammenschrumpfen können. Ein kleiner Effekt auf den Blutdruck ist – vor allem bei asiatischen Studienpopulationen – möglich, für Europa jedoch nicht überzeugend belegt. Eine Renaissance ist nicht in Sicht.</w:t>
      </w:r>
    </w:p>
    <w:bookmarkEnd w:id="2399"/>
    <w:bookmarkStart w:id="2400" w:name="fazit-53"/>
    <w:p>
      <w:pPr>
        <w:pStyle w:val="Heading3"/>
      </w:pPr>
      <w:r>
        <w:t xml:space="preserve">Fazit</w:t>
      </w:r>
    </w:p>
    <w:p>
      <w:pPr>
        <w:pStyle w:val="FirstParagraph"/>
      </w:pPr>
      <w:r>
        <w:t xml:space="preserve">Lactotripeptide sind zwei kleine Milchpeptide, die im Reagenzglas das blutdruckregulierende Enzym ACE hemmen. In frühen japanischen und finnischen Studien senkten sie den Blutdruck, in mehreren größeren niederländischen Studien dagegen nicht, und eine messbare ACE-Hemmung ließ sich beim Menschen nicht nachweisen. Meta-Analysen ergeben eine Senkung des systolischen Blutdrucks um etwa 1 bis 4 mmHg mit Hinweisen auf Publikationsverzerrung und einem deutlich kleineren Effekt in Europa. Die EFSA hat eine Blutdruck-Aussage abgelehnt. Sie sind unbedenklich, aber kein Ersatz für eine Blutdruckbehandlung.</w:t>
      </w:r>
    </w:p>
    <w:bookmarkEnd w:id="2400"/>
    <w:bookmarkEnd w:id="2401"/>
    <w:bookmarkStart w:id="2452" w:name="carnosin"/>
    <w:p>
      <w:pPr>
        <w:pStyle w:val="Heading2"/>
      </w:pPr>
      <w:r>
        <w:t xml:space="preserve">Carnosin</w:t>
      </w:r>
    </w:p>
    <w:bookmarkStart w:id="2402" w:name="steckbrief-54"/>
    <w:p>
      <w:pPr>
        <w:pStyle w:val="Heading3"/>
      </w:pPr>
      <w:r>
        <w:t xml:space="preserve">Steckbrief</w:t>
      </w:r>
    </w:p>
    <w:p>
      <w:pPr>
        <w:numPr>
          <w:ilvl w:val="0"/>
          <w:numId w:val="1302"/>
        </w:numPr>
        <w:pStyle w:val="Compact"/>
      </w:pPr>
      <w:r>
        <w:rPr>
          <w:bCs/>
          <w:b/>
        </w:rPr>
        <w:t xml:space="preserve">Art/Struktur:</w:t>
      </w:r>
      <w:r>
        <w:t xml:space="preserve"> </w:t>
      </w:r>
      <w:r>
        <w:t xml:space="preserve">Dipeptid aus den Aminosäuren Beta-Alanin und Histidin (β-Alanyl-L-Histidin). Verwandte Stoffe sind Anserin (in Geflügel und Fisch) und Homocarnosin (im Gehirn); zusammen heißen sie histidinhaltige Dipeptide.</w:t>
      </w:r>
    </w:p>
    <w:p>
      <w:pPr>
        <w:numPr>
          <w:ilvl w:val="0"/>
          <w:numId w:val="1302"/>
        </w:numPr>
        <w:pStyle w:val="Compact"/>
      </w:pPr>
      <w:r>
        <w:rPr>
          <w:bCs/>
          <w:b/>
        </w:rPr>
        <w:t xml:space="preserve">Herkunft:</w:t>
      </w:r>
      <w:r>
        <w:t xml:space="preserve"> </w:t>
      </w:r>
      <w:r>
        <w:t xml:space="preserve">körpereigen, in hoher Konzentration in der Skelettmuskulatur, außerdem in Herz und Gehirn. Mit der Nahrung wird Carnosin vor allem über Fleisch und Fisch aufgenommen; pflanzliche Lebensmittel enthalten praktisch keines. Für Nahrungsergänzungsmittel wird es synthetisch hergestellt.</w:t>
      </w:r>
    </w:p>
    <w:p>
      <w:pPr>
        <w:numPr>
          <w:ilvl w:val="0"/>
          <w:numId w:val="1302"/>
        </w:numPr>
        <w:pStyle w:val="Compact"/>
      </w:pPr>
      <w:r>
        <w:rPr>
          <w:bCs/>
          <w:b/>
        </w:rPr>
        <w:t xml:space="preserve">Wirkprinzip:</w:t>
      </w:r>
      <w:r>
        <w:t xml:space="preserve"> </w:t>
      </w:r>
      <w:r>
        <w:t xml:space="preserve">Puffer gegen Übersäuerung im Muskel; im Labor außerdem Abfangen reaktiver Zucker- und Fettabbauprodukte (Anti-Glykation) und antioxidative Wirkung.</w:t>
      </w:r>
    </w:p>
    <w:p>
      <w:pPr>
        <w:numPr>
          <w:ilvl w:val="0"/>
          <w:numId w:val="1302"/>
        </w:numPr>
        <w:pStyle w:val="Compact"/>
      </w:pPr>
      <w:r>
        <w:rPr>
          <w:bCs/>
          <w:b/>
        </w:rPr>
        <w:t xml:space="preserve">Verwandte Wirkstoffe:</w:t>
      </w:r>
      <w:r>
        <w:t xml:space="preserve"> </w:t>
      </w:r>
      <w:r>
        <w:t xml:space="preserve">Beta-Alanin (die Vorstufe, verbreitetes Sport-Supplement); Zink-Carnosin (Polaprezinc, in Japan ein Arzneimittel gegen Magengeschwüre); N-Acetylcarnosin (in Augentropfen).</w:t>
      </w:r>
    </w:p>
    <w:p>
      <w:pPr>
        <w:numPr>
          <w:ilvl w:val="0"/>
          <w:numId w:val="1302"/>
        </w:numPr>
        <w:pStyle w:val="Compact"/>
      </w:pPr>
      <w:r>
        <w:rPr>
          <w:bCs/>
          <w:b/>
        </w:rPr>
        <w:t xml:space="preserve">Zulassung EU:</w:t>
      </w:r>
      <w:r>
        <w:t xml:space="preserve"> </w:t>
      </w:r>
      <w:r>
        <w:t xml:space="preserve">keine Arzneimittelzulassung für Carnosin; als Nahrungsergänzungsmittel im Handel. Keine zugelassene gesundheitsbezogene Angabe.</w:t>
      </w:r>
    </w:p>
    <w:p>
      <w:pPr>
        <w:numPr>
          <w:ilvl w:val="0"/>
          <w:numId w:val="1302"/>
        </w:numPr>
        <w:pStyle w:val="Compact"/>
      </w:pPr>
      <w:r>
        <w:rPr>
          <w:bCs/>
          <w:b/>
        </w:rPr>
        <w:t xml:space="preserve">Zulassung USA:</w:t>
      </w:r>
      <w:r>
        <w:t xml:space="preserve"> </w:t>
      </w:r>
      <w:r>
        <w:t xml:space="preserve">keine Arzneimittelzulassung; als Nahrungsergänzungsmittel erhältlich.</w:t>
      </w:r>
    </w:p>
    <w:p>
      <w:pPr>
        <w:numPr>
          <w:ilvl w:val="0"/>
          <w:numId w:val="1302"/>
        </w:numPr>
        <w:pStyle w:val="Compact"/>
      </w:pPr>
      <w:r>
        <w:rPr>
          <w:bCs/>
          <w:b/>
        </w:rPr>
        <w:t xml:space="preserve">WADA:</w:t>
      </w:r>
      <w:r>
        <w:t xml:space="preserve"> </w:t>
      </w:r>
      <w:r>
        <w:t xml:space="preserve">Carnosin und Beta-Alanin sind nicht gelistet.</w:t>
      </w:r>
    </w:p>
    <w:p>
      <w:pPr>
        <w:numPr>
          <w:ilvl w:val="0"/>
          <w:numId w:val="1302"/>
        </w:numPr>
        <w:pStyle w:val="Compact"/>
      </w:pPr>
      <w:r>
        <w:rPr>
          <w:bCs/>
          <w:b/>
        </w:rPr>
        <w:t xml:space="preserve">Evidenzstufe:</w:t>
      </w:r>
      <w:r>
        <w:t xml:space="preserve"> </w:t>
      </w:r>
      <w:r>
        <w:rPr>
          <w:bCs/>
          <w:b/>
        </w:rPr>
        <w:t xml:space="preserve">B</w:t>
      </w:r>
      <w:r>
        <w:t xml:space="preserve"> </w:t>
      </w:r>
      <w:r>
        <w:t xml:space="preserve">– mehrere kleine randomisierte Studien, eine größere Studie mit knapp 300 Teilnehmenden; viele Ergebnisse uneinheitlich.</w:t>
      </w:r>
    </w:p>
    <w:bookmarkEnd w:id="2402"/>
    <w:bookmarkStart w:id="2411" w:name="wie-es-wirken-soll-54"/>
    <w:p>
      <w:pPr>
        <w:pStyle w:val="Heading3"/>
      </w:pPr>
      <w:r>
        <w:t xml:space="preserve">Wie es wirken soll</w:t>
      </w:r>
    </w:p>
    <w:p>
      <w:pPr>
        <w:pStyle w:val="FirstParagraph"/>
      </w:pPr>
      <w:r>
        <w:t xml:space="preserve">Bei kurzen, sehr intensiven Belastungen – einem 400-Meter-Lauf oder einem Ruderrennen – produziert der Muskel mehr Säure, als er abtransportieren kann. Der Säuregrad steigt, die Muskelarbeit lässt nach. Carnosin ist im Muskel einer der Puffer, die diese Säure abfangen. Bei 18 belgischen Spitzenruderern hing der Carnosingehalt der Wadenmuskulatur eng mit der Geschwindigkeit über 100 bis 6.000 Meter zusammen</w:t>
      </w:r>
      <w:r>
        <w:rPr>
          <w:rStyle w:val="FootnoteReference"/>
        </w:rPr>
        <w:footnoteReference w:id="2403"/>
      </w:r>
      <w:r>
        <w:t xml:space="preserve">.</w:t>
      </w:r>
    </w:p>
    <w:p>
      <w:pPr>
        <w:pStyle w:val="BodyText"/>
      </w:pPr>
      <w:r>
        <w:t xml:space="preserve">Daneben hat Carnosin im Labor weitere Eigenschaften: Es fängt reaktive Moleküle ab, die bei hohem Blutzucker oder beim Abbau von Fetten entstehen und Eiweiße schädigen können (sogenannte Glykation und Lipidperoxidation). Daraus leiten sich die Hypothesen ab, Carnosin könnte bei Diabetes, Gefäß- und Nierenschäden, Hirnalterung oder Hautalterung nützen.</w:t>
      </w:r>
    </w:p>
    <w:bookmarkStart w:id="2406" w:name="das-problem-der-aufnahme-carnosinase"/>
    <w:p>
      <w:pPr>
        <w:pStyle w:val="Heading4"/>
      </w:pPr>
      <w:r>
        <w:t xml:space="preserve">Das Problem der Aufnahme: Carnosinase</w:t>
      </w:r>
    </w:p>
    <w:p>
      <w:pPr>
        <w:pStyle w:val="FirstParagraph"/>
      </w:pPr>
      <w:r>
        <w:t xml:space="preserve">Im menschlichen Blut gibt es ein sehr aktives Enzym, die Serum-Carnosinase (CN1), die Carnosin rasch in Beta-Alanin und Histidin spaltet. Nagetiere besitzen dieses Enzym im Blut praktisch nicht – ein wichtiger Grund, warum Ergebnisse aus Tierversuchen nur eingeschränkt übertragbar sind. Schon 1991 zeigte eine Studie, dass ein Teil des geschluckten Carnosins zwar unverändert aus dem Darm aufgenommen wird (bis zu 14 % fanden sich im Urin), im Blut aber nur nachweisbar war, wenn die Carnosinase im Probenröhrchen blockiert wurde. Die Menge im Urin schwankte stark und war umso geringer, je aktiver die Carnosinase der Person war</w:t>
      </w:r>
      <w:r>
        <w:rPr>
          <w:rStyle w:val="FootnoteReference"/>
        </w:rPr>
        <w:footnoteReference w:id="2404"/>
      </w:r>
      <w:r>
        <w:t xml:space="preserve">.</w:t>
      </w:r>
    </w:p>
    <w:p>
      <w:pPr>
        <w:pStyle w:val="BodyText"/>
      </w:pPr>
      <w:r>
        <w:t xml:space="preserve">In der bislang größten Studie stiegen unter 2 g Carnosin pro Tag die Carnosinwerte in den roten Blutkörperchen nach 6 und 12 Wochen etwa auf das Doppelte, im Urin auf rund das Siebenfache</w:t>
      </w:r>
      <w:r>
        <w:rPr>
          <w:rStyle w:val="FootnoteReference"/>
        </w:rPr>
        <w:footnoteReference w:id="2405"/>
      </w:r>
      <w:r>
        <w:t xml:space="preserve">. Carnosin kommt also im Körper an – wie viel davon in Muskel, Gehirn oder Niere gelangt, ist aber weitgehend offen.</w:t>
      </w:r>
    </w:p>
    <w:bookmarkEnd w:id="2406"/>
    <w:bookmarkStart w:id="2410" w:name="beta-alanin-der-umweg-über-die-vorstufe"/>
    <w:p>
      <w:pPr>
        <w:pStyle w:val="Heading4"/>
      </w:pPr>
      <w:r>
        <w:t xml:space="preserve">Beta-Alanin: der Umweg über die Vorstufe</w:t>
      </w:r>
    </w:p>
    <w:p>
      <w:pPr>
        <w:pStyle w:val="FirstParagraph"/>
      </w:pPr>
      <w:r>
        <w:t xml:space="preserve">Für den Muskel hat sich ein anderer Weg durchgesetzt. Der Körper baut Carnosin in der Muskelzelle selbst aus Beta-Alanin und Histidin auf; Beta-Alanin ist dabei der knappe Baustein. Nimmt man Beta-Alanin ein, steigt der Carnosingehalt im Muskel deutlich an. In einer frühen Studie erhöhten vier Wochen Beta-Alanin den Muskelcarnosingehalt um geschätzt 42 bis 64 %; isomolare Mengen Carnosin hatten einen ähnlichen Effekt</w:t>
      </w:r>
      <w:r>
        <w:rPr>
          <w:rStyle w:val="FootnoteReference"/>
        </w:rPr>
        <w:footnoteReference w:id="2407"/>
      </w:r>
      <w:r>
        <w:t xml:space="preserve">. Nach dem Absetzen dauerte es 12 bis 16 Wochen, bis der Wert wieder auf dem Ausgangsniveau war</w:t>
      </w:r>
      <w:r>
        <w:rPr>
          <w:rStyle w:val="FootnoteReference"/>
        </w:rPr>
        <w:footnoteReference w:id="2408"/>
      </w:r>
      <w:r>
        <w:t xml:space="preserve">. Praktisch alle Personen sprechen auf Beta-Alanin an</w:t>
      </w:r>
      <w:r>
        <w:rPr>
          <w:rStyle w:val="FootnoteReference"/>
        </w:rPr>
        <w:footnoteReference w:id="2409"/>
      </w:r>
      <w:r>
        <w:t xml:space="preserve">.</w:t>
      </w:r>
    </w:p>
    <w:p>
      <w:pPr>
        <w:pStyle w:val="BodyText"/>
      </w:pPr>
      <w:r>
        <w:t xml:space="preserve">Beta-Alanin ist kein Peptid, sondern eine einzelne Aminosäure. Es wird hier nur kurz behandelt, weil es den Muskelcarnosingehalt verlässlicher erhöht als Carnosin selbst und deshalb im Sport die weitaus größere Rolle spielt.</w:t>
      </w:r>
    </w:p>
    <w:bookmarkEnd w:id="2410"/>
    <w:bookmarkEnd w:id="2411"/>
    <w:bookmarkStart w:id="2439" w:name="studien-am-menschen-54"/>
    <w:p>
      <w:pPr>
        <w:pStyle w:val="Heading3"/>
      </w:pPr>
      <w:r>
        <w:t xml:space="preserve">Studien am Menschen</w:t>
      </w:r>
    </w:p>
    <w:p>
      <w:pPr>
        <w:pStyle w:val="FirstParagraph"/>
      </w:pPr>
      <w:r>
        <w:t xml:space="preserve">Die für dieses Buch ausgewertete PubMed-Abfrage (Carnosin im Titel, kombiniert mit Supplementierung oder oraler Gabe, Abfragedatum Oktober 2026) ergab 57 Humanstudien; auf ClinicalTrials.gov sind 53 Registereinträge verzeichnet. Ein Teil davon betrifft tatsächlich Beta-Alanin oder Zink-Carnosin. Die Studien verteilen sich auf viele kleine Anwendungsfelder.</w:t>
      </w:r>
    </w:p>
    <w:bookmarkStart w:id="2416" w:name="sport-und-körperliche-leistung"/>
    <w:p>
      <w:pPr>
        <w:pStyle w:val="Heading4"/>
      </w:pPr>
      <w:r>
        <w:t xml:space="preserve">Sport und körperliche Leistung</w:t>
      </w:r>
    </w:p>
    <w:p>
      <w:pPr>
        <w:pStyle w:val="FirstParagraph"/>
      </w:pPr>
      <w:r>
        <w:t xml:space="preserve">Bei Sportlerinnen und Sportlern ist die Datenlage für</w:t>
      </w:r>
      <w:r>
        <w:t xml:space="preserve"> </w:t>
      </w:r>
      <w:r>
        <w:rPr>
          <w:bCs/>
          <w:b/>
        </w:rPr>
        <w:t xml:space="preserve">Beta-Alanin</w:t>
      </w:r>
      <w:r>
        <w:t xml:space="preserve"> </w:t>
      </w:r>
      <w:r>
        <w:t xml:space="preserve">deutlich besser als für Carnosin. Eine Meta-Analyse von 40 doppelblinden, placebokontrollierten Studien mit 1.461 Teilnehmenden fand einen kleinen Gesamteffekt (Effektstärke 0,18). Am deutlichsten war er bei Belastungen von 0,5 bis 10 Minuten Dauer und bei Tests der Belastbarkeit bis zur Erschöpfung, weniger bei Wettkampfleistung</w:t>
      </w:r>
      <w:r>
        <w:rPr>
          <w:rStyle w:val="FootnoteReference"/>
        </w:rPr>
        <w:footnoteReference w:id="2412"/>
      </w:r>
      <w:r>
        <w:t xml:space="preserve">. Ein Beispiel: Bei 15 Sprintern erhöhte Beta-Alanin den Carnosingehalt in Waden</w:t>
      </w:r>
      <w:r>
        <w:softHyphen/>
      </w:r>
      <w:r>
        <w:t xml:space="preserve">muskeln um 37 bis 47 % und milderte die Ermüdung bei wiederholten Kraftserien, verbesserte aber nicht die 400-Meter-Zeit</w:t>
      </w:r>
      <w:r>
        <w:rPr>
          <w:rStyle w:val="FootnoteReference"/>
        </w:rPr>
        <w:footnoteReference w:id="2413"/>
      </w:r>
      <w:r>
        <w:t xml:space="preserve">. Auch eine Verdoppelung des Muskelcarnosins verbesserte bei Radfahrern die Zeit über eine Stunde nicht</w:t>
      </w:r>
      <w:r>
        <w:rPr>
          <w:rStyle w:val="FootnoteReference"/>
        </w:rPr>
        <w:footnoteReference w:id="2414"/>
      </w:r>
      <w:r>
        <w:t xml:space="preserve"> </w:t>
      </w:r>
      <w:r>
        <w:t xml:space="preserve">– folgerichtig, denn bei Ausdauerbelastungen spielt die Säurepufferung eine kleinere Rolle.</w:t>
      </w:r>
    </w:p>
    <w:p>
      <w:pPr>
        <w:pStyle w:val="BodyText"/>
      </w:pPr>
      <w:r>
        <w:t xml:space="preserve">Für</w:t>
      </w:r>
      <w:r>
        <w:t xml:space="preserve"> </w:t>
      </w:r>
      <w:r>
        <w:rPr>
          <w:bCs/>
          <w:b/>
        </w:rPr>
        <w:t xml:space="preserve">Carnosin selbst</w:t>
      </w:r>
      <w:r>
        <w:t xml:space="preserve"> </w:t>
      </w:r>
      <w:r>
        <w:t xml:space="preserve">gibt es nur wenige Leistungsstudien. In der NEAT-Studie (Nucleophilic Defense Against PM Toxicity, NCT03314987) erhielten 299 Erwachsene 2 g Carnosin oder Placebo über zwölf Wochen. Bei Griffkraft, Gehgeschwindigkeit und den meisten Tests gab es keine Unterschiede; signifikante Verbesserungen zeigten sich nur in einzelnen Untergruppen (bestimmte Alters- und Geschlechtsgruppen) bei Wadenheben und Stufentest</w:t>
      </w:r>
      <w:r>
        <w:rPr>
          <w:rStyle w:val="FootnoteReference"/>
        </w:rPr>
        <w:footnoteReference w:id="2415"/>
      </w:r>
      <w:r>
        <w:t xml:space="preserve">. Solche Untergruppenbefunde sind anfällig für Zufallstreffer und müssen bestätigt werden.</w:t>
      </w:r>
    </w:p>
    <w:bookmarkEnd w:id="2416"/>
    <w:bookmarkStart w:id="2420" w:name="diabetes-und-stoffwechsel"/>
    <w:p>
      <w:pPr>
        <w:pStyle w:val="Heading4"/>
      </w:pPr>
      <w:r>
        <w:t xml:space="preserve">Diabetes und Stoffwechsel</w:t>
      </w:r>
    </w:p>
    <w:p>
      <w:pPr>
        <w:pStyle w:val="FirstParagraph"/>
      </w:pPr>
      <w:r>
        <w:t xml:space="preserve">Dies ist das am intensivsten untersuchte medizinische Feld: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de Courten 2016, PMID 27040154</w:t>
            </w:r>
          </w:p>
        </w:tc>
        <w:tc>
          <w:tcPr/>
          <w:p>
            <w:pPr>
              <w:pStyle w:val="Compact"/>
              <w:jc w:val="left"/>
            </w:pPr>
            <w:r>
              <w:t xml:space="preserve">30 Erwachsene mit Übergewicht ohne Diabetes, 2 g vs. Placebo</w:t>
            </w:r>
          </w:p>
        </w:tc>
        <w:tc>
          <w:tcPr/>
          <w:p>
            <w:pPr>
              <w:pStyle w:val="Compact"/>
              <w:jc w:val="left"/>
            </w:pPr>
            <w:r>
              <w:t xml:space="preserve">12 Wochen</w:t>
            </w:r>
          </w:p>
        </w:tc>
        <w:tc>
          <w:tcPr/>
          <w:p>
            <w:pPr>
              <w:pStyle w:val="Compact"/>
              <w:jc w:val="left"/>
            </w:pPr>
            <w:r>
              <w:t xml:space="preserve">Anstieg von Nüchterninsulin und Insulinresistenz unter Carnosin gebremst (Pilotstudie)</w:t>
            </w:r>
          </w:p>
        </w:tc>
      </w:tr>
      <w:tr>
        <w:tc>
          <w:tcPr/>
          <w:p>
            <w:pPr>
              <w:pStyle w:val="Compact"/>
              <w:jc w:val="left"/>
            </w:pPr>
            <w:r>
              <w:t xml:space="preserve">Houjeghani 2018, PMID 29420997</w:t>
            </w:r>
          </w:p>
        </w:tc>
        <w:tc>
          <w:tcPr/>
          <w:p>
            <w:pPr>
              <w:pStyle w:val="Compact"/>
              <w:jc w:val="left"/>
            </w:pPr>
            <w:r>
              <w:t xml:space="preserve">54 Personen mit Typ-2-Diabetes, 1 g vs. Placebo</w:t>
            </w:r>
          </w:p>
        </w:tc>
        <w:tc>
          <w:tcPr/>
          <w:p>
            <w:pPr>
              <w:pStyle w:val="Compact"/>
              <w:jc w:val="left"/>
            </w:pPr>
            <w:r>
              <w:t xml:space="preserve">12 Wochen</w:t>
            </w:r>
          </w:p>
        </w:tc>
        <w:tc>
          <w:tcPr/>
          <w:p>
            <w:pPr>
              <w:pStyle w:val="Compact"/>
              <w:jc w:val="left"/>
            </w:pPr>
            <w:r>
              <w:t xml:space="preserve">Nüchternzucker −13,1 mg/dl, HbA1c −0,6 Prozentpunkte vs. Placebo</w:t>
            </w:r>
          </w:p>
        </w:tc>
      </w:tr>
      <w:tr>
        <w:tc>
          <w:tcPr/>
          <w:p>
            <w:pPr>
              <w:pStyle w:val="Compact"/>
              <w:jc w:val="left"/>
            </w:pPr>
            <w:r>
              <w:t xml:space="preserve">Hariharan 2024, PMID 38172006</w:t>
            </w:r>
          </w:p>
        </w:tc>
        <w:tc>
          <w:tcPr/>
          <w:p>
            <w:pPr>
              <w:pStyle w:val="Compact"/>
              <w:jc w:val="left"/>
            </w:pPr>
            <w:r>
              <w:t xml:space="preserve">43 Erwachsene mit Prädiabetes oder Typ-2-Diabetes, 2 g vs. Placebo</w:t>
            </w:r>
          </w:p>
        </w:tc>
        <w:tc>
          <w:tcPr/>
          <w:p>
            <w:pPr>
              <w:pStyle w:val="Compact"/>
              <w:jc w:val="left"/>
            </w:pPr>
            <w:r>
              <w:t xml:space="preserve">14 Wochen</w:t>
            </w:r>
          </w:p>
        </w:tc>
        <w:tc>
          <w:tcPr/>
          <w:p>
            <w:pPr>
              <w:pStyle w:val="Compact"/>
              <w:jc w:val="left"/>
            </w:pPr>
            <w:r>
              <w:t xml:space="preserve">Niedrigerer Blutzucker 90 und 120 Minuten nach Zuckerbelastung; Insulin unverändert</w:t>
            </w:r>
          </w:p>
        </w:tc>
      </w:tr>
      <w:tr>
        <w:tc>
          <w:tcPr/>
          <w:p>
            <w:pPr>
              <w:pStyle w:val="Compact"/>
              <w:jc w:val="left"/>
            </w:pPr>
            <w:r>
              <w:t xml:space="preserve">Saadati 2023, PMID 38004228</w:t>
            </w:r>
          </w:p>
        </w:tc>
        <w:tc>
          <w:tcPr/>
          <w:p>
            <w:pPr>
              <w:pStyle w:val="Compact"/>
              <w:jc w:val="left"/>
            </w:pPr>
            <w:r>
              <w:t xml:space="preserve">49 Erwachsene mit Prädiabetes oder gut eingestelltem Typ-2-Diabetes, 2 g vs. Placebo</w:t>
            </w:r>
          </w:p>
        </w:tc>
        <w:tc>
          <w:tcPr/>
          <w:p>
            <w:pPr>
              <w:pStyle w:val="Compact"/>
              <w:jc w:val="left"/>
            </w:pPr>
            <w:r>
              <w:t xml:space="preserve">14 Wochen</w:t>
            </w:r>
          </w:p>
        </w:tc>
        <w:tc>
          <w:tcPr/>
          <w:p>
            <w:pPr>
              <w:pStyle w:val="Compact"/>
              <w:jc w:val="left"/>
            </w:pPr>
            <w:r>
              <w:t xml:space="preserve">Kein Effekt auf Gefäßfunktion, Gefäßsteifigkeit, Blutfette, Blutdruck, Leber- und Nierenwerte</w:t>
            </w:r>
          </w:p>
        </w:tc>
      </w:tr>
      <w:tr>
        <w:tc>
          <w:tcPr/>
          <w:p>
            <w:pPr>
              <w:pStyle w:val="Compact"/>
              <w:jc w:val="left"/>
            </w:pPr>
            <w:r>
              <w:t xml:space="preserve">Elbarbary 2018, PMID 28744992</w:t>
            </w:r>
          </w:p>
        </w:tc>
        <w:tc>
          <w:tcPr/>
          <w:p>
            <w:pPr>
              <w:pStyle w:val="Compact"/>
              <w:jc w:val="left"/>
            </w:pPr>
            <w:r>
              <w:t xml:space="preserve">90 Kinder und Jugendliche mit Typ-1-Diabetes und Nierenschaden, 1 g vs. Placebo</w:t>
            </w:r>
          </w:p>
        </w:tc>
        <w:tc>
          <w:tcPr/>
          <w:p>
            <w:pPr>
              <w:pStyle w:val="Compact"/>
              <w:jc w:val="left"/>
            </w:pPr>
            <w:r>
              <w:t xml:space="preserve">12 Wochen</w:t>
            </w:r>
          </w:p>
        </w:tc>
        <w:tc>
          <w:tcPr/>
          <w:p>
            <w:pPr>
              <w:pStyle w:val="Compact"/>
              <w:jc w:val="left"/>
            </w:pPr>
            <w:r>
              <w:t xml:space="preserve">Albumin im Urin, HbA1c und Oxidationsmarker verbessert</w:t>
            </w:r>
          </w:p>
        </w:tc>
      </w:tr>
    </w:tbl>
    <w:p>
      <w:pPr>
        <w:pStyle w:val="BodyText"/>
      </w:pPr>
      <w:r>
        <w:t xml:space="preserve">Mehrere Meta-Analysen fassen diese Studien zusammen. Eine Auswertung von vier Studien mit 184 Teilnehmenden fand eine Senkung des HbA1c um 0,92 Prozentpunkte, aber keine Wirkung auf Nüchternzucker, Insulinresistenz oder Blutfette</w:t>
      </w:r>
      <w:r>
        <w:rPr>
          <w:rStyle w:val="FootnoteReference"/>
        </w:rPr>
        <w:footnoteReference w:id="2417"/>
      </w:r>
      <w:r>
        <w:t xml:space="preserve">. Eine Bayes’sche Meta-Analyse, die Carnosin und Beta-Alanin gemeinsam betrachtete, schätzte für den Menschen eine HbA1c-Senkung um 0,91 Prozentpunkte – auf Basis von nur vier Humanstudien</w:t>
      </w:r>
      <w:r>
        <w:rPr>
          <w:rStyle w:val="FootnoteReference"/>
        </w:rPr>
        <w:footnoteReference w:id="2418"/>
      </w:r>
      <w:r>
        <w:t xml:space="preserve">. Eine neuere Meta-Analyse mit acht Studien und 377 Teilnehmenden mit Prädiabetes oder Typ-2-Diabetes fand Verbesserungen bei Nüchternzucker und HbA1c, nicht aber bei Insulin oder Körpergewicht</w:t>
      </w:r>
      <w:r>
        <w:rPr>
          <w:rStyle w:val="FootnoteReference"/>
        </w:rPr>
        <w:footnoteReference w:id="2419"/>
      </w:r>
      <w:r>
        <w:t xml:space="preserve">.</w:t>
      </w:r>
    </w:p>
    <w:p>
      <w:pPr>
        <w:pStyle w:val="BodyText"/>
      </w:pPr>
      <w:r>
        <w:t xml:space="preserve">Die Effekte wirken auf dem Papier beachtlich, stehen aber auf einer sehr schmalen Basis: wenige, kleine, kurze Studien, oft aus einzelnen Zentren, mit teils widersprüchlichen Ergebnissen (vgl. die ähnlich angelegten 14-Wochen-Studien von Hariharan 2024 und Saadati 2023, von denen die eine günstige Effekte auf den Blutzucker, die andere keine Effekte auf Gefäße und Stoffwechselwerte fand). Ob Carnosin langfristig Folgeschäden des Diabetes verhindert, wurde nie untersucht.</w:t>
      </w:r>
    </w:p>
    <w:bookmarkEnd w:id="2420"/>
    <w:bookmarkStart w:id="2422" w:name="entzündung-und-oxidativer-stress"/>
    <w:p>
      <w:pPr>
        <w:pStyle w:val="Heading4"/>
      </w:pPr>
      <w:r>
        <w:t xml:space="preserve">Entzündung und oxidativer Stress</w:t>
      </w:r>
    </w:p>
    <w:p>
      <w:pPr>
        <w:pStyle w:val="FirstParagraph"/>
      </w:pPr>
      <w:r>
        <w:t xml:space="preserve">Eine Meta-Analyse von neun Studien mit 350 Teilnehmenden fand unter Carnosin bzw. histidinhaltigen Dipeptiden niedrigere Werte des Entzündungsmarkers CRP und des Oxidationsmarkers Malondialdehyd, aber keine Veränderung bei mehreren anderen Markern</w:t>
      </w:r>
      <w:r>
        <w:rPr>
          <w:rStyle w:val="FootnoteReference"/>
        </w:rPr>
        <w:footnoteReference w:id="2421"/>
      </w:r>
      <w:r>
        <w:t xml:space="preserve">. Laborwerte sind allerdings Surrogatparameter – ob sie mit einem gesundheitlichen Nutzen einhergehen, ist offen.</w:t>
      </w:r>
    </w:p>
    <w:bookmarkEnd w:id="2422"/>
    <w:bookmarkStart w:id="2430" w:name="gehirn-gedächtnis-und-psyche"/>
    <w:p>
      <w:pPr>
        <w:pStyle w:val="Heading4"/>
      </w:pPr>
      <w:r>
        <w:t xml:space="preserve">Gehirn, Gedächtnis und Psyche</w:t>
      </w:r>
    </w:p>
    <w:p>
      <w:pPr>
        <w:numPr>
          <w:ilvl w:val="0"/>
          <w:numId w:val="1303"/>
        </w:numPr>
        <w:pStyle w:val="Compact"/>
      </w:pPr>
      <w:r>
        <w:rPr>
          <w:bCs/>
          <w:b/>
        </w:rPr>
        <w:t xml:space="preserve">Ältere Menschen:</w:t>
      </w:r>
      <w:r>
        <w:t xml:space="preserve"> </w:t>
      </w:r>
      <w:r>
        <w:t xml:space="preserve">In japanischen Studien einer Arbeitsgruppe erhielten Ältere eine Mischung aus Anserin und Carnosin (3:1). Bei 39 gesunden Älteren blieb das verzögerte Wiedergeben von Wortinhalten besser erhalten als unter Placebo</w:t>
      </w:r>
      <w:r>
        <w:rPr>
          <w:rStyle w:val="FootnoteReference"/>
        </w:rPr>
        <w:footnoteReference w:id="2423"/>
      </w:r>
      <w:r>
        <w:t xml:space="preserve">. Bei 54 Menschen mit leichter kognitiver Störung war ein globaler Demenz-Schweregrad unter der Mischung günstiger, die meisten anderen Tests unterschieden sich nicht</w:t>
      </w:r>
      <w:r>
        <w:rPr>
          <w:rStyle w:val="FootnoteReference"/>
        </w:rPr>
        <w:footnoteReference w:id="2424"/>
      </w:r>
      <w:r>
        <w:t xml:space="preserve">.</w:t>
      </w:r>
    </w:p>
    <w:p>
      <w:pPr>
        <w:numPr>
          <w:ilvl w:val="0"/>
          <w:numId w:val="1303"/>
        </w:numPr>
        <w:pStyle w:val="Compact"/>
      </w:pPr>
      <w:r>
        <w:rPr>
          <w:bCs/>
          <w:b/>
        </w:rPr>
        <w:t xml:space="preserve">Jüngere Erwachsene:</w:t>
      </w:r>
      <w:r>
        <w:t xml:space="preserve"> </w:t>
      </w:r>
      <w:r>
        <w:t xml:space="preserve">In einer nachträglichen Auswertung der NEAT-Studie verbesserten sich Geschwindigkeit und Effizienz in Kognitionstests nur in der jüngsten Altersgruppe (23–35 Jahre)</w:t>
      </w:r>
      <w:r>
        <w:rPr>
          <w:rStyle w:val="FootnoteReference"/>
        </w:rPr>
        <w:footnoteReference w:id="2425"/>
      </w:r>
      <w:r>
        <w:t xml:space="preserve">.</w:t>
      </w:r>
    </w:p>
    <w:p>
      <w:pPr>
        <w:numPr>
          <w:ilvl w:val="0"/>
          <w:numId w:val="1303"/>
        </w:numPr>
        <w:pStyle w:val="Compact"/>
      </w:pPr>
      <w:r>
        <w:rPr>
          <w:bCs/>
          <w:b/>
        </w:rPr>
        <w:t xml:space="preserve">Zusammenfassung:</w:t>
      </w:r>
      <w:r>
        <w:t xml:space="preserve"> </w:t>
      </w:r>
      <w:r>
        <w:t xml:space="preserve">Eine Meta-Analyse aus dem Jahr 2026 schloss 13 Studien ein. Die meisten Kognitionstests zeigten keinen Unterschied zu Placebo; günstige gepoolte Effekte beruhten zum Teil auf drei Studien derselben Forschungsgruppe. Die Autoren bewerten die Evidenzstärke als niedrig</w:t>
      </w:r>
      <w:r>
        <w:rPr>
          <w:rStyle w:val="FootnoteReference"/>
        </w:rPr>
        <w:footnoteReference w:id="2426"/>
      </w:r>
      <w:r>
        <w:t xml:space="preserve">. Eine weitere Meta-Analyse fand eine Verringerung von Depressionswerten (moderate Vertrauenswürdigkeit), betont aber kleine Studien mit mäßigem bis hohem Verzerrungsrisiko</w:t>
      </w:r>
      <w:r>
        <w:rPr>
          <w:rStyle w:val="FootnoteReference"/>
        </w:rPr>
        <w:footnoteReference w:id="2427"/>
      </w:r>
      <w:r>
        <w:t xml:space="preserve">.</w:t>
      </w:r>
    </w:p>
    <w:p>
      <w:pPr>
        <w:numPr>
          <w:ilvl w:val="0"/>
          <w:numId w:val="1303"/>
        </w:numPr>
        <w:pStyle w:val="Compact"/>
      </w:pPr>
      <w:r>
        <w:rPr>
          <w:bCs/>
          <w:b/>
        </w:rPr>
        <w:t xml:space="preserve">Autismus:</w:t>
      </w:r>
      <w:r>
        <w:t xml:space="preserve"> </w:t>
      </w:r>
      <w:r>
        <w:t xml:space="preserve">Eine frühe Studie mit 31 Kindern berichtete Verbesserungen in einer Verhaltensskala</w:t>
      </w:r>
      <w:r>
        <w:rPr>
          <w:rStyle w:val="FootnoteReference"/>
        </w:rPr>
        <w:footnoteReference w:id="2428"/>
      </w:r>
      <w:r>
        <w:t xml:space="preserve">. Eine spätere randomisierte Studie mit 63 auswertbaren Kindern fand dagegen bei keinem Endpunkt einen Unterschied</w:t>
      </w:r>
      <w:r>
        <w:rPr>
          <w:rStyle w:val="FootnoteReference"/>
        </w:rPr>
        <w:footnoteReference w:id="2429"/>
      </w:r>
      <w:r>
        <w:t xml:space="preserve">.</w:t>
      </w:r>
    </w:p>
    <w:bookmarkEnd w:id="2430"/>
    <w:bookmarkStart w:id="2435" w:name="weitere-anwendungen-2"/>
    <w:p>
      <w:pPr>
        <w:pStyle w:val="Heading4"/>
      </w:pPr>
      <w:r>
        <w:t xml:space="preserve">Weitere Anwendungen</w:t>
      </w:r>
    </w:p>
    <w:p>
      <w:pPr>
        <w:numPr>
          <w:ilvl w:val="0"/>
          <w:numId w:val="1304"/>
        </w:numPr>
        <w:pStyle w:val="Compact"/>
      </w:pPr>
      <w:r>
        <w:rPr>
          <w:bCs/>
          <w:b/>
        </w:rPr>
        <w:t xml:space="preserve">Chemotherapie-Nervenschäden:</w:t>
      </w:r>
      <w:r>
        <w:t xml:space="preserve"> </w:t>
      </w:r>
      <w:r>
        <w:t xml:space="preserve">In einer randomisierten Pilotstudie mit 65 Patientinnen und Patienten mit Darmkrebs traten unter Oxaliplatin-Chemotherapie plus Carnosin seltener Nervenschäden zweiten Grades auf (1 von 30 gegenüber 19 von 31 ohne Carnosin)</w:t>
      </w:r>
      <w:r>
        <w:rPr>
          <w:rStyle w:val="FootnoteReference"/>
        </w:rPr>
        <w:footnoteReference w:id="2431"/>
      </w:r>
      <w:r>
        <w:t xml:space="preserve">. Die Studie war nicht verblindet und ohne Placebo; eine Bestätigung steht aus.</w:t>
      </w:r>
    </w:p>
    <w:p>
      <w:pPr>
        <w:numPr>
          <w:ilvl w:val="0"/>
          <w:numId w:val="1304"/>
        </w:numPr>
        <w:pStyle w:val="Compact"/>
      </w:pPr>
      <w:r>
        <w:rPr>
          <w:bCs/>
          <w:b/>
        </w:rPr>
        <w:t xml:space="preserve">Herzinsuffizienz:</w:t>
      </w:r>
      <w:r>
        <w:t xml:space="preserve"> </w:t>
      </w:r>
      <w:r>
        <w:t xml:space="preserve">Bei 50 Patientinnen und Patienten mit schwerer Herzschwäche verbesserten sich Gehstrecke, maximale Sauerstoffaufnahme und Lebensqualität unter Carnosin im Vergleich zur Standardbehandlung</w:t>
      </w:r>
      <w:r>
        <w:rPr>
          <w:rStyle w:val="FootnoteReference"/>
        </w:rPr>
        <w:footnoteReference w:id="2432"/>
      </w:r>
      <w:r>
        <w:t xml:space="preserve"> </w:t>
      </w:r>
      <w:r>
        <w:t xml:space="preserve">– ebenfalls ohne Placebo.</w:t>
      </w:r>
    </w:p>
    <w:p>
      <w:pPr>
        <w:numPr>
          <w:ilvl w:val="0"/>
          <w:numId w:val="1304"/>
        </w:numPr>
        <w:pStyle w:val="Compact"/>
      </w:pPr>
      <w:r>
        <w:rPr>
          <w:bCs/>
          <w:b/>
        </w:rPr>
        <w:t xml:space="preserve">Golfkriegssyndrom:</w:t>
      </w:r>
      <w:r>
        <w:t xml:space="preserve"> </w:t>
      </w:r>
      <w:r>
        <w:t xml:space="preserve">In einer kleinen Studie mit 25 Veteranen verbesserte sich ein Kognitionstest; Müdigkeit und Schmerz blieben unverändert</w:t>
      </w:r>
      <w:r>
        <w:rPr>
          <w:rStyle w:val="FootnoteReference"/>
        </w:rPr>
        <w:footnoteReference w:id="2433"/>
      </w:r>
      <w:r>
        <w:t xml:space="preserve">.</w:t>
      </w:r>
    </w:p>
    <w:p>
      <w:pPr>
        <w:numPr>
          <w:ilvl w:val="0"/>
          <w:numId w:val="1304"/>
        </w:numPr>
        <w:pStyle w:val="Compact"/>
      </w:pPr>
      <w:r>
        <w:rPr>
          <w:bCs/>
          <w:b/>
        </w:rPr>
        <w:t xml:space="preserve">Haut:</w:t>
      </w:r>
      <w:r>
        <w:t xml:space="preserve"> </w:t>
      </w:r>
      <w:r>
        <w:t xml:space="preserve">Eine Studie mit einer „nicht hydrolysierbaren“ Carnosin-Zubereitung berichtete Hautverbesserungen; sie stammt vom Erfinder der patentierten Formulierung und vermischt Laborversuche mit einer klinischen Prüfung</w:t>
      </w:r>
      <w:r>
        <w:rPr>
          <w:rStyle w:val="FootnoteReference"/>
        </w:rPr>
        <w:footnoteReference w:id="2434"/>
      </w:r>
      <w:r>
        <w:t xml:space="preserve">.</w:t>
      </w:r>
    </w:p>
    <w:bookmarkEnd w:id="2435"/>
    <w:bookmarkStart w:id="2438" w:name="X856450719c3804045d149b7b98f8b726cc2d9c9"/>
    <w:p>
      <w:pPr>
        <w:pStyle w:val="Heading4"/>
      </w:pPr>
      <w:r>
        <w:t xml:space="preserve">Verwandte Stoffe: Zink-Carnosin und N-Acetylcarnosin</w:t>
      </w:r>
    </w:p>
    <w:p>
      <w:pPr>
        <w:pStyle w:val="FirstParagraph"/>
      </w:pPr>
      <w:r>
        <w:rPr>
          <w:bCs/>
          <w:b/>
        </w:rPr>
        <w:t xml:space="preserve">Zink-Carnosin (Polaprezinc)</w:t>
      </w:r>
      <w:r>
        <w:t xml:space="preserve"> </w:t>
      </w:r>
      <w:r>
        <w:t xml:space="preserve">ist eine Verbindung aus Zink und Carnosin, die in Japan als Arzneimittel gegen Magengeschwüre eingesetzt wird. In einer multizentrischen Studie mit 224 Patientinnen und Patienten war es nach acht Wochen ähnlich wirksam wie das Vergleichsmedikament Rebamipid (81,5 % gegenüber 74,3 % Heilungsrate, Unterschied nicht signifikant)</w:t>
      </w:r>
      <w:r>
        <w:rPr>
          <w:rStyle w:val="FootnoteReference"/>
        </w:rPr>
        <w:footnoteReference w:id="2436"/>
      </w:r>
      <w:r>
        <w:t xml:space="preserve">. Diese Wirkung ist wahrscheinlich stark an das Zink gebunden und lässt sich nicht auf reines Carnosin übertragen.</w:t>
      </w:r>
    </w:p>
    <w:p>
      <w:pPr>
        <w:pStyle w:val="BodyText"/>
      </w:pPr>
      <w:r>
        <w:rPr>
          <w:bCs/>
          <w:b/>
        </w:rPr>
        <w:t xml:space="preserve">N-Acetylcarnosin-Augentropfen</w:t>
      </w:r>
      <w:r>
        <w:t xml:space="preserve"> </w:t>
      </w:r>
      <w:r>
        <w:t xml:space="preserve">werden im Internet gegen grauen Star (Katarakt) beworben. Ein Cochrane-Review fand nur zwei mögliche Studien mit 114 Teilnehmenden, deren Methodik nicht nachvollziehbar war, und kam zu dem Schluss, dass es keine überzeugenden Belege gibt, dass die Tropfen einen grauen Star rückgängig machen oder sein Fortschreiten verhindern</w:t>
      </w:r>
      <w:r>
        <w:rPr>
          <w:rStyle w:val="FootnoteReference"/>
        </w:rPr>
        <w:footnoteReference w:id="2437"/>
      </w:r>
      <w:r>
        <w:t xml:space="preserve">. Die einzige wirksame Behandlung bleibt die Operation.</w:t>
      </w:r>
    </w:p>
    <w:bookmarkEnd w:id="2438"/>
    <w:bookmarkEnd w:id="2439"/>
    <w:bookmarkStart w:id="2442" w:name="tier--und-laborstudien-54"/>
    <w:p>
      <w:pPr>
        <w:pStyle w:val="Heading3"/>
      </w:pPr>
      <w:r>
        <w:t xml:space="preserve">Tier- und Laborstudien</w:t>
      </w:r>
    </w:p>
    <w:p>
      <w:pPr>
        <w:pStyle w:val="FirstParagraph"/>
      </w:pPr>
      <w:r>
        <w:t xml:space="preserve">In Zellkulturen und bei Nagetieren wirkt Carnosin antioxidativ, hemmt die Glykation von Eiweißen und bindet reaktive Aldehyde. Bei Mäusen und Ratten verbesserte es in vielen Versuchen Blutzucker, Nierenschäden bei Diabetes, Wundheilung und Gefäßfunktion. Die Meta-Analyse von Matthews 2021 schloss neben vier Humanstudien 16 Nagerstudien ein und bewertete die Vertrauenswürdigkeit der Tierdaten als sehr niedrig</w:t>
      </w:r>
      <w:r>
        <w:rPr>
          <w:rStyle w:val="FootnoteReference"/>
        </w:rPr>
        <w:footnoteReference w:id="2440"/>
      </w:r>
      <w:r>
        <w:t xml:space="preserve">.</w:t>
      </w:r>
    </w:p>
    <w:p>
      <w:pPr>
        <w:pStyle w:val="BodyText"/>
      </w:pPr>
      <w:r>
        <w:t xml:space="preserve">Ein grundsätzliches Übertragungsproblem bleibt: Nagetiere besitzen im Blut praktisch keine Carnosinase. Bei Mäusen, denen man das menschliche Enzym gentechnisch einbaute, verliefen Diabetes und Nierenschäden schwerer</w:t>
      </w:r>
      <w:r>
        <w:rPr>
          <w:rStyle w:val="FootnoteReference"/>
        </w:rPr>
        <w:footnoteReference w:id="2441"/>
      </w:r>
      <w:r>
        <w:t xml:space="preserve">. Das spricht dafür, dass das Enzym beim Menschen die Wirkung von zugeführtem Carnosin deutlich begrenzen könnte.</w:t>
      </w:r>
    </w:p>
    <w:bookmarkEnd w:id="2442"/>
    <w:bookmarkStart w:id="2445" w:name="risiken-und-nebenwirkungen-54"/>
    <w:p>
      <w:pPr>
        <w:pStyle w:val="Heading3"/>
      </w:pPr>
      <w:r>
        <w:t xml:space="preserve">Risiken und Nebenwirkungen</w:t>
      </w:r>
    </w:p>
    <w:p>
      <w:pPr>
        <w:pStyle w:val="FirstParagraph"/>
      </w:pPr>
      <w:r>
        <w:rPr>
          <w:bCs/>
          <w:b/>
        </w:rPr>
        <w:t xml:space="preserve">Belegt:</w:t>
      </w:r>
      <w:r>
        <w:t xml:space="preserve"> </w:t>
      </w:r>
      <w:r>
        <w:t xml:space="preserve">In den bisherigen Studien – mit Tagesmengen bis 2 g über bis zu 14 Wochen – wurden keine relevanten Nebenwirkungen berichtet. In der NEAT-Studie mit knapp 300 Teilnehmenden fanden sich keine Veränderungen von Nieren-, Leber- und Herzfunktion oder Blutsalzen</w:t>
      </w:r>
      <w:r>
        <w:rPr>
          <w:rStyle w:val="FootnoteReference"/>
        </w:rPr>
        <w:footnoteReference w:id="2443"/>
      </w:r>
      <w:r>
        <w:t xml:space="preserve">.</w:t>
      </w:r>
    </w:p>
    <w:p>
      <w:pPr>
        <w:pStyle w:val="BodyText"/>
      </w:pPr>
      <w:r>
        <w:rPr>
          <w:bCs/>
          <w:b/>
        </w:rPr>
        <w:t xml:space="preserve">Beta-Alanin:</w:t>
      </w:r>
      <w:r>
        <w:t xml:space="preserve"> </w:t>
      </w:r>
      <w:r>
        <w:t xml:space="preserve">Die einzige regelmäßig berichtete Nebenwirkung ist ein harmloses, aber unangenehmes Kribbeln der Haut (Parästhesie), meist im Gesicht und an den Händen, kurz nach der Einnahme. Eine Risikobewertung mit 101 Humanstudien schätzte die Chance (Odds) dafür unter Beta-Alanin etwa neunmal so hoch wie unter Placebo (Odds Ratio 8,9); die Abbruchraten unterschieden sich nicht, und ein geringer Anstieg eines Leberwerts blieb im Normbereich</w:t>
      </w:r>
      <w:r>
        <w:rPr>
          <w:rStyle w:val="FootnoteReference"/>
        </w:rPr>
        <w:footnoteReference w:id="2444"/>
      </w:r>
      <w:r>
        <w:t xml:space="preserve">.</w:t>
      </w:r>
    </w:p>
    <w:p>
      <w:pPr>
        <w:pStyle w:val="BodyText"/>
      </w:pPr>
      <w:r>
        <w:rPr>
          <w:bCs/>
          <w:b/>
        </w:rPr>
        <w:t xml:space="preserve">Theoretisch bzw. unklar:</w:t>
      </w:r>
    </w:p>
    <w:p>
      <w:pPr>
        <w:numPr>
          <w:ilvl w:val="0"/>
          <w:numId w:val="1305"/>
        </w:numPr>
        <w:pStyle w:val="Compact"/>
      </w:pPr>
      <w:r>
        <w:t xml:space="preserve">Langzeitdaten über mehr als ein Jahr fehlen.</w:t>
      </w:r>
    </w:p>
    <w:p>
      <w:pPr>
        <w:numPr>
          <w:ilvl w:val="0"/>
          <w:numId w:val="1305"/>
        </w:numPr>
        <w:pStyle w:val="Compact"/>
      </w:pPr>
      <w:r>
        <w:t xml:space="preserve">Für Schwangerschaft, Stillzeit und Kinder (außer den genannten kleinen Studien) liegen keine Sicherheitsdaten vor.</w:t>
      </w:r>
    </w:p>
    <w:p>
      <w:pPr>
        <w:numPr>
          <w:ilvl w:val="0"/>
          <w:numId w:val="1305"/>
        </w:numPr>
        <w:pStyle w:val="Compact"/>
      </w:pPr>
      <w:r>
        <w:t xml:space="preserve">Bei Diabetes-Medikamenten ist eine Verstärkung der Blutzuckersenkung denkbar, aber nicht belegt; Blutzuckerkontrollen und ärztliche Rücksprache sind sinnvoll.</w:t>
      </w:r>
    </w:p>
    <w:p>
      <w:pPr>
        <w:numPr>
          <w:ilvl w:val="0"/>
          <w:numId w:val="1305"/>
        </w:numPr>
        <w:pStyle w:val="Compact"/>
      </w:pPr>
      <w:r>
        <w:t xml:space="preserve">Wie bei allen Nahrungsergänzungsmitteln hängt die Qualität vom Hersteller ab.</w:t>
      </w:r>
    </w:p>
    <w:bookmarkEnd w:id="2445"/>
    <w:bookmarkStart w:id="2446" w:name="rechtslage-54"/>
    <w:p>
      <w:pPr>
        <w:pStyle w:val="Heading3"/>
      </w:pPr>
      <w:r>
        <w:t xml:space="preserve">Rechtslage</w:t>
      </w:r>
    </w:p>
    <w:p>
      <w:pPr>
        <w:numPr>
          <w:ilvl w:val="0"/>
          <w:numId w:val="1306"/>
        </w:numPr>
        <w:pStyle w:val="Compact"/>
      </w:pPr>
      <w:r>
        <w:rPr>
          <w:bCs/>
          <w:b/>
        </w:rPr>
        <w:t xml:space="preserve">EU / Österreich / Deutschland:</w:t>
      </w:r>
      <w:r>
        <w:t xml:space="preserve"> </w:t>
      </w:r>
      <w:r>
        <w:t xml:space="preserve">Carnosin ist als Nahrungsergänzungsmittel im Handel. Für Carnosin gibt es keine zugelassene gesundheitsbezogene Angabe nach der Health-Claims-Verordnung (Verordnung (EG) Nr. 1924/2006); Werbeaussagen wie „Anti-Aging“ oder „schützt die Zellen“ sind damit nicht zulässig. Ob einzelne Zubereitungen als neuartige Lebensmittel (Novel Food) einzustufen sind, kann von Produkt zu Produkt unterschiedlich sein – bitte aktuell prüfen. Zink-Carnosin ist in der EU nicht als Arzneimittel zugelassen; für N-Acetylcarnosin-Augentropfen gibt es keine Arzneimittelzulassung gegen grauen Star.</w:t>
      </w:r>
    </w:p>
    <w:p>
      <w:pPr>
        <w:numPr>
          <w:ilvl w:val="0"/>
          <w:numId w:val="1306"/>
        </w:numPr>
        <w:pStyle w:val="Compact"/>
      </w:pPr>
      <w:r>
        <w:rPr>
          <w:bCs/>
          <w:b/>
        </w:rPr>
        <w:t xml:space="preserve">USA:</w:t>
      </w:r>
      <w:r>
        <w:t xml:space="preserve"> </w:t>
      </w:r>
      <w:r>
        <w:t xml:space="preserve">als Nahrungsergänzungsmittel erhältlich, ohne Arzneimittelzulassung.</w:t>
      </w:r>
    </w:p>
    <w:p>
      <w:pPr>
        <w:numPr>
          <w:ilvl w:val="0"/>
          <w:numId w:val="1306"/>
        </w:numPr>
        <w:pStyle w:val="Compact"/>
      </w:pPr>
      <w:r>
        <w:rPr>
          <w:bCs/>
          <w:b/>
        </w:rPr>
        <w:t xml:space="preserve">Japan:</w:t>
      </w:r>
      <w:r>
        <w:t xml:space="preserve"> </w:t>
      </w:r>
      <w:r>
        <w:t xml:space="preserve">Polaprezinc (Zink-Carnosin) ist ein zugelassenes Magenmittel.</w:t>
      </w:r>
    </w:p>
    <w:p>
      <w:pPr>
        <w:numPr>
          <w:ilvl w:val="0"/>
          <w:numId w:val="1306"/>
        </w:numPr>
        <w:pStyle w:val="Compact"/>
      </w:pPr>
      <w:r>
        <w:rPr>
          <w:bCs/>
          <w:b/>
        </w:rPr>
        <w:t xml:space="preserve">Sport:</w:t>
      </w:r>
      <w:r>
        <w:t xml:space="preserve"> </w:t>
      </w:r>
      <w:r>
        <w:t xml:space="preserve">Weder Carnosin noch Beta-Alanin stehen auf der WADA-Verbotsliste (Stand 2026, bitte aktuell prüfen).</w:t>
      </w:r>
    </w:p>
    <w:bookmarkEnd w:id="2446"/>
    <w:bookmarkStart w:id="2450" w:name="laufende-studien-und-ausblick-54"/>
    <w:p>
      <w:pPr>
        <w:pStyle w:val="Heading3"/>
      </w:pPr>
      <w:r>
        <w:t xml:space="preserve">Laufende Studien und Ausblick</w:t>
      </w:r>
    </w:p>
    <w:p>
      <w:pPr>
        <w:pStyle w:val="FirstParagraph"/>
      </w:pPr>
      <w:r>
        <w:rPr>
          <w:bCs/>
          <w:b/>
        </w:rPr>
        <w:t xml:space="preserve">Gesichert (registrierte Studien, Stand Oktober 2026):</w:t>
      </w:r>
    </w:p>
    <w:p>
      <w:pPr>
        <w:numPr>
          <w:ilvl w:val="0"/>
          <w:numId w:val="1307"/>
        </w:numPr>
        <w:pStyle w:val="Compact"/>
      </w:pPr>
      <w:r>
        <w:rPr>
          <w:bCs/>
          <w:b/>
        </w:rPr>
        <w:t xml:space="preserve">Periphere arterielle Verschlusskrankheit:</w:t>
      </w:r>
      <w:r>
        <w:t xml:space="preserve"> </w:t>
      </w:r>
      <w:r>
        <w:t xml:space="preserve">Eine Phase-1/2-Studie mit geplant 144 Teilnehmenden untersucht Carnosin bei Durchblutungsstörungen der Beine</w:t>
      </w:r>
      <w:r>
        <w:rPr>
          <w:rStyle w:val="FootnoteReference"/>
        </w:rPr>
        <w:footnoteReference w:id="2447"/>
      </w:r>
      <w:r>
        <w:t xml:space="preserve">; frühere kleinere Studien zum selben Thema sind abgeschlossen oder mit unbekanntem Status gelistet.</w:t>
      </w:r>
    </w:p>
    <w:p>
      <w:pPr>
        <w:numPr>
          <w:ilvl w:val="0"/>
          <w:numId w:val="1307"/>
        </w:numPr>
        <w:pStyle w:val="Compact"/>
      </w:pPr>
      <w:r>
        <w:rPr>
          <w:bCs/>
          <w:b/>
        </w:rPr>
        <w:t xml:space="preserve">Gerotherapie:</w:t>
      </w:r>
      <w:r>
        <w:t xml:space="preserve"> </w:t>
      </w:r>
      <w:r>
        <w:t xml:space="preserve">Eine kleine Phase-3-Studie mit 30 Teilnehmenden prüft Kombinationen von Substanzen zur Verbesserung der gesunden Lebensspanne, darunter Carnosin</w:t>
      </w:r>
      <w:r>
        <w:rPr>
          <w:rStyle w:val="FootnoteReference"/>
        </w:rPr>
        <w:footnoteReference w:id="2448"/>
      </w:r>
      <w:r>
        <w:t xml:space="preserve">.</w:t>
      </w:r>
    </w:p>
    <w:p>
      <w:pPr>
        <w:numPr>
          <w:ilvl w:val="0"/>
          <w:numId w:val="1307"/>
        </w:numPr>
        <w:pStyle w:val="Compact"/>
      </w:pPr>
      <w:r>
        <w:t xml:space="preserve">Die NEAT-Studie</w:t>
      </w:r>
      <w:r>
        <w:rPr>
          <w:rStyle w:val="FootnoteReference"/>
        </w:rPr>
        <w:footnoteReference w:id="2449"/>
      </w:r>
      <w:r>
        <w:t xml:space="preserve"> </w:t>
      </w:r>
      <w:r>
        <w:t xml:space="preserve">ist abgeschlossen; weitere Auswertungen zu Gefäßen und Luftverschmutzung sind möglich.</w:t>
      </w:r>
    </w:p>
    <w:p>
      <w:pPr>
        <w:pStyle w:val="FirstParagraph"/>
      </w:pPr>
      <w:r>
        <w:rPr>
          <w:bCs/>
          <w:b/>
        </w:rPr>
        <w:t xml:space="preserve">Einschätzung:</w:t>
      </w:r>
      <w:r>
        <w:t xml:space="preserve"> </w:t>
      </w:r>
      <w:r>
        <w:t xml:space="preserve">Carnosin ist biologisch interessant, aber die Humanstudien sind klein und uneinheitlich. Für den Sport ist die Vorstufe Beta-Alanin der besser belegte Weg. Für Diabetes und Gehirnalterung wären größere, längere Studien mit klinischen Endpunkten nötig. Ein Ansatz der Forschung sind carnosinase-resistente Abkömmlinge, die im Blut nicht sofort abgebaut werden – sie befinden sich jedoch noch im Laborstadium.</w:t>
      </w:r>
    </w:p>
    <w:bookmarkEnd w:id="2450"/>
    <w:bookmarkStart w:id="2451" w:name="fazit-54"/>
    <w:p>
      <w:pPr>
        <w:pStyle w:val="Heading3"/>
      </w:pPr>
      <w:r>
        <w:t xml:space="preserve">Fazit</w:t>
      </w:r>
    </w:p>
    <w:p>
      <w:pPr>
        <w:pStyle w:val="FirstParagraph"/>
      </w:pPr>
      <w:r>
        <w:t xml:space="preserve">Carnosin ist ein körpereigenes Dipeptid, das im Muskel Säure puffert und im Labor Zellen vor Zucker- und Fettabbauprodukten schützt. Beim Menschen wird es im Blut rasch durch das Enzym Carnosinase abgebaut, weshalb Tierergebnisse nur begrenzt übertragbar sind. Kleine Studien und Meta-Analysen deuten auf eine leichte Verbesserung des Langzeitzuckers bei Diabetes und auf Effekte auf Entzündungsmarker hin; für Leistung, Gedächtnis und Hautalterung sind die Daten schwach oder widersprüchlich. Für die Sportleistung ist die Vorstufe Beta-Alanin besser untersucht und mit kleinen Vorteilen bei kurzen intensiven Belastungen verbunden. Carnosin gilt in den untersuchten Mengen als gut verträglich.</w:t>
      </w:r>
    </w:p>
    <w:bookmarkEnd w:id="2451"/>
    <w:bookmarkEnd w:id="2452"/>
    <w:bookmarkStart w:id="2480" w:name="ghk-cu-kupferpeptid"/>
    <w:p>
      <w:pPr>
        <w:pStyle w:val="Heading2"/>
      </w:pPr>
      <w:r>
        <w:t xml:space="preserve">GHK-Cu (Kupferpeptid)</w:t>
      </w:r>
    </w:p>
    <w:bookmarkStart w:id="2454" w:name="steckbrief-55"/>
    <w:p>
      <w:pPr>
        <w:pStyle w:val="Heading3"/>
      </w:pPr>
      <w:r>
        <w:t xml:space="preserve">Steckbrief</w:t>
      </w:r>
    </w:p>
    <w:p>
      <w:pPr>
        <w:numPr>
          <w:ilvl w:val="0"/>
          <w:numId w:val="1308"/>
        </w:numPr>
        <w:pStyle w:val="Compact"/>
      </w:pPr>
      <w:r>
        <w:rPr>
          <w:bCs/>
          <w:b/>
        </w:rPr>
        <w:t xml:space="preserve">Art/Struktur:</w:t>
      </w:r>
      <w:r>
        <w:t xml:space="preserve"> </w:t>
      </w:r>
      <w:r>
        <w:t xml:space="preserve">Tripeptid aus Glycin, Histidin und Lysin (Gly-His-Lys, kurz GHK), das ein Kupferion fest bindet. In Kosmetik-Inhaltsstofflisten heißt es meist</w:t>
      </w:r>
      <w:r>
        <w:t xml:space="preserve"> </w:t>
      </w:r>
      <w:r>
        <w:rPr>
          <w:iCs/>
          <w:i/>
        </w:rPr>
        <w:t xml:space="preserve">Copper Tripeptide-1</w:t>
      </w:r>
      <w:r>
        <w:t xml:space="preserve">. Eine verwandte Form ohne Kupfer, aber mit Fettsäurerest, ist Palmitoyl-Tripeptid-1 (Pal-GHK), ein Bestandteil von „Matrixyl 3000“.</w:t>
      </w:r>
    </w:p>
    <w:p>
      <w:pPr>
        <w:numPr>
          <w:ilvl w:val="0"/>
          <w:numId w:val="1308"/>
        </w:numPr>
        <w:pStyle w:val="Compact"/>
      </w:pPr>
      <w:r>
        <w:rPr>
          <w:bCs/>
          <w:b/>
        </w:rPr>
        <w:t xml:space="preserve">Herkunft:</w:t>
      </w:r>
      <w:r>
        <w:t xml:space="preserve"> </w:t>
      </w:r>
      <w:r>
        <w:t xml:space="preserve">körpereigen. GHK wurde in den 1970er-Jahren im menschlichen Blutplasma entdeckt</w:t>
      </w:r>
      <w:r>
        <w:rPr>
          <w:rStyle w:val="FootnoteReference"/>
        </w:rPr>
        <w:footnoteReference w:id="2453"/>
      </w:r>
      <w:r>
        <w:t xml:space="preserve"> </w:t>
      </w:r>
      <w:r>
        <w:t xml:space="preserve">und kommt auch in Speichel und Urin vor. Die Sequenz GHK ist Teil des Kollagens und könnte bei dessen Abbau freigesetzt werden. Für Produkte wird es synthetisch hergestellt.</w:t>
      </w:r>
    </w:p>
    <w:p>
      <w:pPr>
        <w:numPr>
          <w:ilvl w:val="0"/>
          <w:numId w:val="1308"/>
        </w:numPr>
        <w:pStyle w:val="Compact"/>
      </w:pPr>
      <w:r>
        <w:rPr>
          <w:bCs/>
          <w:b/>
        </w:rPr>
        <w:t xml:space="preserve">Wirkprinzip:</w:t>
      </w:r>
      <w:r>
        <w:t xml:space="preserve"> </w:t>
      </w:r>
      <w:r>
        <w:t xml:space="preserve">soll die Wundheilung und den Umbau des Bindegewebes anregen, unter anderem durch Transport von Kupfer in Zellen und Stimulation der Kollagenbildung.</w:t>
      </w:r>
    </w:p>
    <w:p>
      <w:pPr>
        <w:numPr>
          <w:ilvl w:val="0"/>
          <w:numId w:val="1308"/>
        </w:numPr>
        <w:pStyle w:val="Compact"/>
      </w:pPr>
      <w:r>
        <w:rPr>
          <w:bCs/>
          <w:b/>
        </w:rPr>
        <w:t xml:space="preserve">Verwendung:</w:t>
      </w:r>
      <w:r>
        <w:t xml:space="preserve"> </w:t>
      </w:r>
      <w:r>
        <w:t xml:space="preserve">zugelassen als Inhaltsstoff in Kosmetika (Cremes, Seren, Haarpflege). Daneben auf dem Graumarkt als „Research Peptide“ zur Injektion angeboten.</w:t>
      </w:r>
    </w:p>
    <w:p>
      <w:pPr>
        <w:numPr>
          <w:ilvl w:val="0"/>
          <w:numId w:val="1308"/>
        </w:numPr>
        <w:pStyle w:val="Compact"/>
      </w:pPr>
      <w:r>
        <w:rPr>
          <w:bCs/>
          <w:b/>
        </w:rPr>
        <w:t xml:space="preserve">Zulassung EU:</w:t>
      </w:r>
      <w:r>
        <w:t xml:space="preserve"> </w:t>
      </w:r>
      <w:r>
        <w:t xml:space="preserve">keine Arzneimittelzulassung. Als kosmetischer Inhaltsstoff verwendbar.</w:t>
      </w:r>
    </w:p>
    <w:p>
      <w:pPr>
        <w:numPr>
          <w:ilvl w:val="0"/>
          <w:numId w:val="1308"/>
        </w:numPr>
        <w:pStyle w:val="Compact"/>
      </w:pPr>
      <w:r>
        <w:rPr>
          <w:bCs/>
          <w:b/>
        </w:rPr>
        <w:t xml:space="preserve">Zulassung USA:</w:t>
      </w:r>
      <w:r>
        <w:t xml:space="preserve"> </w:t>
      </w:r>
      <w:r>
        <w:t xml:space="preserve">keine Arzneimittelzulassung; als kosmetischer Inhaltsstoff im Handel. Für die Herstellung injizierbarer Zubereitungen in Apotheken bestehen Einschränkungen (siehe Rechtslage).</w:t>
      </w:r>
    </w:p>
    <w:p>
      <w:pPr>
        <w:numPr>
          <w:ilvl w:val="0"/>
          <w:numId w:val="1308"/>
        </w:numPr>
        <w:pStyle w:val="Compact"/>
      </w:pPr>
      <w:r>
        <w:rPr>
          <w:bCs/>
          <w:b/>
        </w:rPr>
        <w:t xml:space="preserve">WADA:</w:t>
      </w:r>
      <w:r>
        <w:t xml:space="preserve"> </w:t>
      </w:r>
      <w:r>
        <w:t xml:space="preserve">nicht namentlich gelistet. Bei Injektion als nicht zugelassener Wirkstoff kann die Kategorie S0 („nicht zugelassene Substanzen“) greifen.</w:t>
      </w:r>
    </w:p>
    <w:p>
      <w:pPr>
        <w:numPr>
          <w:ilvl w:val="0"/>
          <w:numId w:val="1308"/>
        </w:numPr>
        <w:pStyle w:val="Compact"/>
      </w:pPr>
      <w:r>
        <w:rPr>
          <w:bCs/>
          <w:b/>
        </w:rPr>
        <w:t xml:space="preserve">Evidenzstufe:</w:t>
      </w:r>
      <w:r>
        <w:t xml:space="preserve"> </w:t>
      </w:r>
      <w:r>
        <w:rPr>
          <w:bCs/>
          <w:b/>
        </w:rPr>
        <w:t xml:space="preserve">C</w:t>
      </w:r>
      <w:r>
        <w:t xml:space="preserve"> </w:t>
      </w:r>
      <w:r>
        <w:t xml:space="preserve">– eine ältere randomisierte Wundstudie und wenige sehr kleine Hautstudien; für die heute beworbenen Anwendungen (Anti-Aging-Kosmetik, Injektionen) keine belastbaren kontrollierten Humandaten.</w:t>
      </w:r>
    </w:p>
    <w:bookmarkEnd w:id="2454"/>
    <w:bookmarkStart w:id="2461" w:name="wie-es-wirken-soll-55"/>
    <w:p>
      <w:pPr>
        <w:pStyle w:val="Heading3"/>
      </w:pPr>
      <w:r>
        <w:t xml:space="preserve">Wie es wirken soll</w:t>
      </w:r>
    </w:p>
    <w:p>
      <w:pPr>
        <w:pStyle w:val="FirstParagraph"/>
      </w:pPr>
      <w:r>
        <w:t xml:space="preserve">GHK bindet Kupfer so fest, dass es dieses lebenswichtige Spurenelement in Zellen transportieren kann. Kupfer wird von mehreren Enzymen benötigt, die für das Bindegewebe wichtig sind, etwa von der Lysyloxidase, die Kollagen- und Elastinfasern miteinander vernetzt. Eine frühe Arbeit vermutete bereits 1980, dass GHK seine Wirkung auf Zellen über die Erleichterung der Kupferaufnahme entfaltet</w:t>
      </w:r>
      <w:r>
        <w:rPr>
          <w:rStyle w:val="FootnoteReference"/>
        </w:rPr>
        <w:footnoteReference w:id="2455"/>
      </w:r>
      <w:r>
        <w:t xml:space="preserve">.</w:t>
      </w:r>
    </w:p>
    <w:p>
      <w:pPr>
        <w:pStyle w:val="BodyText"/>
      </w:pPr>
      <w:r>
        <w:t xml:space="preserve">In Zellkulturen regte GHK-Cu die Kollagenbildung von Fibroblasten bereits in extrem niedrigen Konzentrationen an; das Maximum lag bei etwa einem Nanomol pro Liter</w:t>
      </w:r>
      <w:r>
        <w:rPr>
          <w:rStyle w:val="FootnoteReference"/>
        </w:rPr>
        <w:footnoteReference w:id="2456"/>
      </w:r>
      <w:r>
        <w:t xml:space="preserve">. Der Entdecker von GHK, Loren Pickart, hat in mehreren Übersichtsarbeiten eine Vielzahl weiterer Wirkungen beschrieben – auf Wundheilung, Haarwachstum, Entzündung, Nervenwachstum und sogar auf die Aktivität tausender Gene</w:t>
      </w:r>
      <w:r>
        <w:rPr>
          <w:rStyle w:val="FootnoteReference"/>
        </w:rPr>
        <w:footnoteReference w:id="2457"/>
      </w:r>
      <w:r>
        <w:t xml:space="preserve">. Diese Aussagen beruhen überwiegend auf Zell- und Tierversuchen sowie auf Genexpressionsdaten aus Datenbanken, nicht auf Studien am Menschen. Zudem stammen viele dieser Übersichten aus dem Umfeld der Personen, die GHK-Cu auch kommerziell entwickelt haben – ein Umstand, den Leserinnen und Leser bei der Bewertung kennen sollten.</w:t>
      </w:r>
    </w:p>
    <w:bookmarkStart w:id="2460" w:name="kommt-das-peptid-durch-die-haut"/>
    <w:p>
      <w:pPr>
        <w:pStyle w:val="Heading4"/>
      </w:pPr>
      <w:r>
        <w:t xml:space="preserve">Kommt das Peptid durch die Haut?</w:t>
      </w:r>
    </w:p>
    <w:p>
      <w:pPr>
        <w:pStyle w:val="FirstParagraph"/>
      </w:pPr>
      <w:r>
        <w:t xml:space="preserve">Für die kosmetische Anwendung ist entscheidend, ob GHK-Cu die Hautbarriere überwindet. Die Hornschicht der Haut ist für wasserlösliche, geladene Moleküle wie GHK schlecht durchlässig. Eine Übersichtsarbeit aus dem Jahr 2025 kommt zu dem Schluss, dass GHK in Zellversuchen zweifellos als Anti-Falten-Wirkstoff gelten könne, dass es aber auffallend wenige klinische Studien gebe; Kupferbindung und Fettsäure-Anhängsel verbessern die Durchlässigkeit, Mikronadeln und andere Hilfsmittel werden erforscht</w:t>
      </w:r>
      <w:r>
        <w:rPr>
          <w:rStyle w:val="FootnoteReference"/>
        </w:rPr>
        <w:footnoteReference w:id="2458"/>
      </w:r>
      <w:r>
        <w:t xml:space="preserve">. Eine Untersuchung an drei Freiwilligen fand das verwandte Pal-GHK nach dem Auftragen in allen Schichten der Hornschicht, allerdings nur zwischen den Zellen und mit abnehmender Menge in der Tiefe</w:t>
      </w:r>
      <w:r>
        <w:rPr>
          <w:rStyle w:val="FootnoteReference"/>
        </w:rPr>
        <w:footnoteReference w:id="2459"/>
      </w:r>
      <w:r>
        <w:t xml:space="preserve">. Ob ausreichende Mengen die tieferen Hautschichten erreichen, in denen Kollagen gebildet wird, ist nicht geklärt.</w:t>
      </w:r>
    </w:p>
    <w:bookmarkEnd w:id="2460"/>
    <w:bookmarkEnd w:id="2461"/>
    <w:bookmarkStart w:id="2465" w:name="studien-am-menschen-55"/>
    <w:p>
      <w:pPr>
        <w:pStyle w:val="Heading3"/>
      </w:pPr>
      <w:r>
        <w:t xml:space="preserve">Studien am Menschen</w:t>
      </w:r>
    </w:p>
    <w:p>
      <w:pPr>
        <w:pStyle w:val="FirstParagraph"/>
      </w:pPr>
      <w:r>
        <w:t xml:space="preserve">Die für dieses Buch ausgewertete PubMed-Abfrage (GHK-Cu, Kupfer-Tripeptid oder Kupferpeptid GHK in Titel oder Abstract, Abfragedatum Oktober 2026) ergab nur</w:t>
      </w:r>
      <w:r>
        <w:t xml:space="preserve"> </w:t>
      </w:r>
      <w:r>
        <w:rPr>
          <w:bCs/>
          <w:b/>
        </w:rPr>
        <w:t xml:space="preserve">eine</w:t>
      </w:r>
      <w:r>
        <w:t xml:space="preserve"> </w:t>
      </w:r>
      <w:r>
        <w:t xml:space="preserve">Humanstudie. Auf ClinicalTrials.gov ergab die Suche 25 Einträge, von denen jedoch fast alle andere Kupferverbindungen betreffen (etwa radioaktives Kupfer-64 für die Bildgebung). Nur ein glaubwürdiger Eintrag untersucht tatsächlich GHK bzw. GHK-Cu; ein weiterer Eintrag zu einem GHK-Cu-Wundgel stammt von einem Sponsor, dessen Registereinträge nach unserer Prüfung offenbar fiktive Beispiel- oder Testeinträge sind, und wird deshalb hier nicht berücksichtigt. Eine erweiterte Suche ergab zusätzlich die unten genannte ältere Wundstudie sowie Einzelfallberichte.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Mulder 1994, PMID 17147644</w:t>
            </w:r>
          </w:p>
        </w:tc>
        <w:tc>
          <w:tcPr/>
          <w:p>
            <w:pPr>
              <w:pStyle w:val="Compact"/>
              <w:jc w:val="left"/>
            </w:pPr>
            <w:r>
              <w:t xml:space="preserve">Menschen mit diabetischen Fußgeschwüren, multizentrisch, randomisiert, verblindete Bewertung, GHK-Cu-Gel vs. Trägergel</w:t>
            </w:r>
          </w:p>
        </w:tc>
        <w:tc>
          <w:tcPr/>
          <w:p>
            <w:pPr>
              <w:pStyle w:val="Compact"/>
              <w:jc w:val="left"/>
            </w:pPr>
            <w:r>
              <w:t xml:space="preserve">k. A. im Abstract</w:t>
            </w:r>
          </w:p>
        </w:tc>
        <w:tc>
          <w:tcPr/>
          <w:p>
            <w:pPr>
              <w:pStyle w:val="Compact"/>
              <w:jc w:val="left"/>
            </w:pPr>
            <w:r>
              <w:t xml:space="preserve">Mediane Wundflächenverkleinerung 98,5 % vs. 60,8 %; Infektionen 7 % vs. 34 %</w:t>
            </w:r>
          </w:p>
        </w:tc>
      </w:tr>
      <w:tr>
        <w:tc>
          <w:tcPr/>
          <w:p>
            <w:pPr>
              <w:pStyle w:val="Compact"/>
              <w:jc w:val="left"/>
            </w:pPr>
            <w:r>
              <w:t xml:space="preserve">Miller 2006, PMID 16847171</w:t>
            </w:r>
          </w:p>
        </w:tc>
        <w:tc>
          <w:tcPr/>
          <w:p>
            <w:pPr>
              <w:pStyle w:val="Compact"/>
              <w:jc w:val="left"/>
            </w:pPr>
            <w:r>
              <w:t xml:space="preserve">Hautpflege nach CO₂-Laserbehandlung, randomisiert, 13 Auswertbare</w:t>
            </w:r>
          </w:p>
        </w:tc>
        <w:tc>
          <w:tcPr/>
          <w:p>
            <w:pPr>
              <w:pStyle w:val="Compact"/>
              <w:jc w:val="left"/>
            </w:pPr>
            <w:r>
              <w:t xml:space="preserve">12 Wochen</w:t>
            </w:r>
          </w:p>
        </w:tc>
        <w:tc>
          <w:tcPr/>
          <w:p>
            <w:pPr>
              <w:pStyle w:val="Compact"/>
              <w:jc w:val="left"/>
            </w:pPr>
            <w:r>
              <w:t xml:space="preserve">Kein Unterschied bei Rötung, Falten oder Hautqualität laut Messung und verblindeter Bewertung; höhere Zufriedenheit im Fragebogen</w:t>
            </w:r>
          </w:p>
        </w:tc>
      </w:tr>
      <w:tr>
        <w:tc>
          <w:tcPr/>
          <w:p>
            <w:pPr>
              <w:pStyle w:val="Compact"/>
              <w:jc w:val="left"/>
            </w:pPr>
            <w:r>
              <w:t xml:space="preserve">Byun 2016, PMID 27064823</w:t>
            </w:r>
          </w:p>
        </w:tc>
        <w:tc>
          <w:tcPr/>
          <w:p>
            <w:pPr>
              <w:pStyle w:val="Compact"/>
              <w:jc w:val="left"/>
            </w:pPr>
            <w:r>
              <w:t xml:space="preserve">1 Mann, Mischung aus GHK-Cu, Hyaluronsäure, Pflanzenextrakt, Tranexamsäure und Beta-Glucan mit Sprühgerät</w:t>
            </w:r>
          </w:p>
        </w:tc>
        <w:tc>
          <w:tcPr/>
          <w:p>
            <w:pPr>
              <w:pStyle w:val="Compact"/>
              <w:jc w:val="left"/>
            </w:pPr>
            <w:r>
              <w:t xml:space="preserve">12 Wochen</w:t>
            </w:r>
          </w:p>
        </w:tc>
        <w:tc>
          <w:tcPr/>
          <w:p>
            <w:pPr>
              <w:pStyle w:val="Compact"/>
              <w:jc w:val="left"/>
            </w:pPr>
            <w:r>
              <w:t xml:space="preserve">Weniger Augenfalten; mehr Kollagen in Hautproben (Einzelfall, Kombinationsprodukt)</w:t>
            </w:r>
          </w:p>
        </w:tc>
      </w:tr>
    </w:tbl>
    <w:p>
      <w:pPr>
        <w:pStyle w:val="BodyText"/>
      </w:pPr>
      <w:r>
        <w:rPr>
          <w:bCs/>
          <w:b/>
        </w:rPr>
        <w:t xml:space="preserve">Die Wundstudie von 1994</w:t>
      </w:r>
      <w:r>
        <w:t xml:space="preserve"> </w:t>
      </w:r>
      <w:r>
        <w:t xml:space="preserve">ist die einzige kontrollierte Studie, die einen klinisch relevanten Endpunkt verbessert hat. Das Präparat (unter dem Namen Iamin entwickelt) hat jedoch keine Arzneimittelzulassung erlangt. Das Abstract nennt weder die Zahl der Teilnehmenden noch die Studiendauer; spätere Bestätigungsstudien sind in PubMed nicht auffindbar.</w:t>
      </w:r>
    </w:p>
    <w:p>
      <w:pPr>
        <w:pStyle w:val="BodyText"/>
      </w:pPr>
      <w:r>
        <w:rPr>
          <w:bCs/>
          <w:b/>
        </w:rPr>
        <w:t xml:space="preserve">Die Laserstudie von 2006</w:t>
      </w:r>
      <w:r>
        <w:t xml:space="preserve"> </w:t>
      </w:r>
      <w:r>
        <w:t xml:space="preserve">ist die einzige randomisierte Studie mit kosmetischer Fragestellung, die in PubMed erfasst ist. Mit nur 13 auswertbaren Patientinnen und Patienten war sie zu klein, um Unterschiede sicher zu erkennen – und sie fand objektiv keine.</w:t>
      </w:r>
    </w:p>
    <w:p>
      <w:pPr>
        <w:pStyle w:val="BodyText"/>
      </w:pPr>
      <w:r>
        <w:rPr>
          <w:bCs/>
          <w:b/>
        </w:rPr>
        <w:t xml:space="preserve">Kosmetische Studien:</w:t>
      </w:r>
      <w:r>
        <w:t xml:space="preserve"> </w:t>
      </w:r>
      <w:r>
        <w:t xml:space="preserve">In Fachbüchern und Werbematerialien werden Studien zitiert, nach denen GHK-Cu-Cremes Falten, Hautdichte und Elastizität verbessert hätten. Diese sind überwiegend nicht in PubMed-gelisteten Fachzeitschriften erschienen oder nur als Kongressbeiträge und Herstellerberichte verfügbar und konnten für dieses Buch nicht im Original geprüft werden. Eine Meta-Analyse zu oralen und äußerlich angewendeten Peptiden gegen Hautalterung aus dem Jahr 2026 fand, dass der Nutzen bei Falten vor allem von</w:t>
      </w:r>
      <w:r>
        <w:t xml:space="preserve"> </w:t>
      </w:r>
      <w:r>
        <w:rPr>
          <w:iCs/>
          <w:i/>
        </w:rPr>
        <w:t xml:space="preserve">oral</w:t>
      </w:r>
      <w:r>
        <w:t xml:space="preserve"> </w:t>
      </w:r>
      <w:r>
        <w:t xml:space="preserve">eingenommenen Peptiden getragen wurde; Ergebnisse speziell für GHK-Cu weist das Abstract nicht aus</w:t>
      </w:r>
      <w:r>
        <w:rPr>
          <w:rStyle w:val="FootnoteReference"/>
        </w:rPr>
        <w:footnoteReference w:id="2462"/>
      </w:r>
      <w:r>
        <w:t xml:space="preserve">.</w:t>
      </w:r>
    </w:p>
    <w:p>
      <w:pPr>
        <w:pStyle w:val="BodyText"/>
      </w:pPr>
      <w:r>
        <w:rPr>
          <w:bCs/>
          <w:b/>
        </w:rPr>
        <w:t xml:space="preserve">Injektionen:</w:t>
      </w:r>
      <w:r>
        <w:t xml:space="preserve"> </w:t>
      </w:r>
      <w:r>
        <w:t xml:space="preserve">Für injiziertes GHK-Cu gibt es keine einzige veröffentlichte kontrollierte Studie am Menschen. Eine Übersichtsarbeit für Orthopädie und Sportmedizin hält fest, dass für den Einsatz bei Erkrankungen des Bewegungsapparats keine klinischen Daten vorliegen und dass Dosierung, Häufigkeit und Dauer einer Behandlung unbekannt sind</w:t>
      </w:r>
      <w:r>
        <w:rPr>
          <w:rStyle w:val="FootnoteReference"/>
        </w:rPr>
        <w:footnoteReference w:id="2463"/>
      </w:r>
      <w:r>
        <w:t xml:space="preserve">. Eine weitere Übersicht zu nicht zugelassenen Peptiden in der Sportmedizin kommt zu dem Schluss, dass belastbare Sicherheitsdaten am Menschen fehlen und ein Schadenspotenzial besteht</w:t>
      </w:r>
      <w:r>
        <w:rPr>
          <w:rStyle w:val="FootnoteReference"/>
        </w:rPr>
        <w:footnoteReference w:id="2464"/>
      </w:r>
      <w:r>
        <w:t xml:space="preserve">.</w:t>
      </w:r>
    </w:p>
    <w:bookmarkEnd w:id="2465"/>
    <w:bookmarkStart w:id="2472" w:name="tier--und-laborstudien-55"/>
    <w:p>
      <w:pPr>
        <w:pStyle w:val="Heading3"/>
      </w:pPr>
      <w:r>
        <w:t xml:space="preserve">Tier- und Laborstudien</w:t>
      </w:r>
    </w:p>
    <w:p>
      <w:pPr>
        <w:pStyle w:val="FirstParagraph"/>
      </w:pPr>
      <w:r>
        <w:t xml:space="preserve">Die präklinische Literatur ist umfangreich:</w:t>
      </w:r>
    </w:p>
    <w:p>
      <w:pPr>
        <w:numPr>
          <w:ilvl w:val="0"/>
          <w:numId w:val="1309"/>
        </w:numPr>
        <w:pStyle w:val="Compact"/>
      </w:pPr>
      <w:r>
        <w:rPr>
          <w:bCs/>
          <w:b/>
        </w:rPr>
        <w:t xml:space="preserve">Zellkultur:</w:t>
      </w:r>
      <w:r>
        <w:t xml:space="preserve"> </w:t>
      </w:r>
      <w:r>
        <w:t xml:space="preserve">Steigerung der Kollagenbildung in Fibroblasten</w:t>
      </w:r>
      <w:r>
        <w:rPr>
          <w:rStyle w:val="FootnoteReference"/>
        </w:rPr>
        <w:footnoteReference w:id="2466"/>
      </w:r>
      <w:r>
        <w:t xml:space="preserve">; Beeinflussung von Enzymen, die Bindegewebe auf- und abbauen.</w:t>
      </w:r>
    </w:p>
    <w:p>
      <w:pPr>
        <w:numPr>
          <w:ilvl w:val="0"/>
          <w:numId w:val="1309"/>
        </w:numPr>
        <w:pStyle w:val="Compact"/>
      </w:pPr>
      <w:r>
        <w:rPr>
          <w:bCs/>
          <w:b/>
        </w:rPr>
        <w:t xml:space="preserve">Wundheilung bei Tieren:</w:t>
      </w:r>
      <w:r>
        <w:t xml:space="preserve"> </w:t>
      </w:r>
      <w:r>
        <w:t xml:space="preserve">Bei Ratten mit schlecht durchbluteten Wunden verkleinerte sich die Wundfläche unter GHK-Cu-Gel nach 13 Tagen um 64,5 %, unter dem Trägergel um 45,6 % und ohne Behandlung um 28,2 %</w:t>
      </w:r>
      <w:r>
        <w:rPr>
          <w:rStyle w:val="FootnoteReference"/>
        </w:rPr>
        <w:footnoteReference w:id="2467"/>
      </w:r>
      <w:r>
        <w:t xml:space="preserve">. Bei Mäusen förderten GHK-Cu-haltige Liposomen die Gefäßneubildung in verbrühter Haut und verkürzten die Heilungszeit</w:t>
      </w:r>
      <w:r>
        <w:rPr>
          <w:rStyle w:val="FootnoteReference"/>
        </w:rPr>
        <w:footnoteReference w:id="2468"/>
      </w:r>
      <w:r>
        <w:t xml:space="preserve">.</w:t>
      </w:r>
    </w:p>
    <w:p>
      <w:pPr>
        <w:numPr>
          <w:ilvl w:val="0"/>
          <w:numId w:val="1309"/>
        </w:numPr>
        <w:pStyle w:val="Compact"/>
      </w:pPr>
      <w:r>
        <w:rPr>
          <w:bCs/>
          <w:b/>
        </w:rPr>
        <w:t xml:space="preserve">Andere Organe (bei Tieren):</w:t>
      </w:r>
      <w:r>
        <w:t xml:space="preserve"> </w:t>
      </w:r>
      <w:r>
        <w:t xml:space="preserve">In Mäusen milderte GHK-Cu, in die Bauchhöhle gespritzt, eine experimentell ausgelöste Lungenfibrose</w:t>
      </w:r>
      <w:r>
        <w:rPr>
          <w:rStyle w:val="FootnoteReference"/>
        </w:rPr>
        <w:footnoteReference w:id="2469"/>
      </w:r>
      <w:r>
        <w:t xml:space="preserve">; weitere Mausstudien beschreiben Effekte bei Lungenschäden, Darmentzündung und Muskelschwäche nach Zigarettenrauch. Bei Ratten verbesserte es die Heilung nach Kreuzbandersatz nur vorübergehend</w:t>
      </w:r>
      <w:r>
        <w:rPr>
          <w:rStyle w:val="FootnoteReference"/>
        </w:rPr>
        <w:footnoteReference w:id="2470"/>
      </w:r>
      <w:r>
        <w:t xml:space="preserve">.</w:t>
      </w:r>
    </w:p>
    <w:p>
      <w:pPr>
        <w:numPr>
          <w:ilvl w:val="0"/>
          <w:numId w:val="1309"/>
        </w:numPr>
        <w:pStyle w:val="Compact"/>
      </w:pPr>
      <w:r>
        <w:rPr>
          <w:bCs/>
          <w:b/>
        </w:rPr>
        <w:t xml:space="preserve">Gehirn (bei Mäusen):</w:t>
      </w:r>
      <w:r>
        <w:t xml:space="preserve"> </w:t>
      </w:r>
      <w:r>
        <w:t xml:space="preserve">Eine noch nicht begutachtete Vorabveröffentlichung aus 2026 beschrieb bei alten Mäusen bessere Lernleistungen nach achtwöchiger Gabe durch die Nase, nach kurzer Gabe in die Bauchhöhle nur vorübergehend und nur bei Männchen</w:t>
      </w:r>
      <w:r>
        <w:rPr>
          <w:rStyle w:val="FootnoteReference"/>
        </w:rPr>
        <w:footnoteReference w:id="2471"/>
      </w:r>
      <w:r>
        <w:t xml:space="preserve">.</w:t>
      </w:r>
    </w:p>
    <w:p>
      <w:pPr>
        <w:pStyle w:val="FirstParagraph"/>
      </w:pPr>
      <w:r>
        <w:t xml:space="preserve">Diese Befunde zeigen eine biologische Aktivität, lassen sich aber nicht ohne Weiteres auf den Menschen übertragen – schon gar nicht auf kosmetische Cremes mit unklarer Hautdurchlässigkeit.</w:t>
      </w:r>
    </w:p>
    <w:bookmarkEnd w:id="2472"/>
    <w:bookmarkStart w:id="2475" w:name="risiken-und-nebenwirkungen-55"/>
    <w:p>
      <w:pPr>
        <w:pStyle w:val="Heading3"/>
      </w:pPr>
      <w:r>
        <w:t xml:space="preserve">Risiken und Nebenwirkungen</w:t>
      </w:r>
    </w:p>
    <w:p>
      <w:pPr>
        <w:pStyle w:val="FirstParagraph"/>
      </w:pPr>
      <w:r>
        <w:rPr>
          <w:bCs/>
          <w:b/>
        </w:rPr>
        <w:t xml:space="preserve">Kosmetische Anwendung (belegt bzw. wahrscheinlich):</w:t>
      </w:r>
      <w:r>
        <w:t xml:space="preserve"> </w:t>
      </w:r>
      <w:r>
        <w:t xml:space="preserve">GHK-Cu wird seit Jahrzehnten in Kosmetika verwendet; in den wenigen Studien wurden keine relevanten Nebenwirkungen berichtet. Wie bei jedem kosmetischen Inhaltsstoff sind Hautreizungen und Kontaktallergien möglich. Kupferhaltige Seren können sich mit anderen Wirkstoffen (etwa Vitamin C oder Säuren) chemisch vertragen oder nicht – das ist eine Frage der Rezeptur.</w:t>
      </w:r>
    </w:p>
    <w:p>
      <w:pPr>
        <w:pStyle w:val="BodyText"/>
      </w:pPr>
      <w:r>
        <w:rPr>
          <w:bCs/>
          <w:b/>
        </w:rPr>
        <w:t xml:space="preserve">Injektion (theoretisch, aber ernst zu nehmen):</w:t>
      </w:r>
    </w:p>
    <w:p>
      <w:pPr>
        <w:numPr>
          <w:ilvl w:val="0"/>
          <w:numId w:val="1310"/>
        </w:numPr>
        <w:pStyle w:val="Compact"/>
      </w:pPr>
      <w:r>
        <w:rPr>
          <w:bCs/>
          <w:b/>
        </w:rPr>
        <w:t xml:space="preserve">Keine Sicherheitsdaten:</w:t>
      </w:r>
      <w:r>
        <w:t xml:space="preserve"> </w:t>
      </w:r>
      <w:r>
        <w:t xml:space="preserve">Es gibt keine systematischen Daten zu Verträglichkeit, Dosierung oder Langzeitfolgen beim Menschen.</w:t>
      </w:r>
    </w:p>
    <w:p>
      <w:pPr>
        <w:numPr>
          <w:ilvl w:val="0"/>
          <w:numId w:val="1310"/>
        </w:numPr>
        <w:pStyle w:val="Compact"/>
      </w:pPr>
      <w:r>
        <w:rPr>
          <w:bCs/>
          <w:b/>
        </w:rPr>
        <w:t xml:space="preserve">Uneinheitliche Zellwirkungen:</w:t>
      </w:r>
      <w:r>
        <w:t xml:space="preserve"> </w:t>
      </w:r>
      <w:r>
        <w:t xml:space="preserve">Schon die frühen Laborarbeiten beschrieben, dass GHK je nach Zellsystem Wachstum fördern, aber auch giftig wirken kann</w:t>
      </w:r>
      <w:r>
        <w:rPr>
          <w:rStyle w:val="FootnoteReference"/>
        </w:rPr>
        <w:footnoteReference w:id="2473"/>
      </w:r>
      <w:r>
        <w:t xml:space="preserve">.</w:t>
      </w:r>
    </w:p>
    <w:p>
      <w:pPr>
        <w:numPr>
          <w:ilvl w:val="0"/>
          <w:numId w:val="1310"/>
        </w:numPr>
        <w:pStyle w:val="Compact"/>
      </w:pPr>
      <w:r>
        <w:rPr>
          <w:bCs/>
          <w:b/>
        </w:rPr>
        <w:t xml:space="preserve">Kupferbelastung:</w:t>
      </w:r>
      <w:r>
        <w:t xml:space="preserve"> </w:t>
      </w:r>
      <w:r>
        <w:t xml:space="preserve">Kupfer ist in höheren Mengen giftig. Wie viel Kupfer bei wiederholten Injektionen im Körper verbleibt, ist nicht untersucht. Besonders gefährdet wären Menschen mit Morbus Wilson, einer angeborenen Kupferspeicherkrankheit.</w:t>
      </w:r>
    </w:p>
    <w:p>
      <w:pPr>
        <w:numPr>
          <w:ilvl w:val="0"/>
          <w:numId w:val="1310"/>
        </w:numPr>
        <w:pStyle w:val="Compact"/>
      </w:pPr>
      <w:r>
        <w:rPr>
          <w:bCs/>
          <w:b/>
        </w:rPr>
        <w:t xml:space="preserve">Wachstumssignale:</w:t>
      </w:r>
      <w:r>
        <w:t xml:space="preserve"> </w:t>
      </w:r>
      <w:r>
        <w:t xml:space="preserve">GHK-Cu fördert in Tierversuchen die Bildung neuer Blutgefäße (Angiogenese). Ob das bei bestehenden Tumoren ein Risiko darstellt, ist unbekannt (theoretisches Risiko).</w:t>
      </w:r>
    </w:p>
    <w:p>
      <w:pPr>
        <w:numPr>
          <w:ilvl w:val="0"/>
          <w:numId w:val="1310"/>
        </w:numPr>
        <w:pStyle w:val="Compact"/>
      </w:pPr>
      <w:r>
        <w:rPr>
          <w:bCs/>
          <w:b/>
        </w:rPr>
        <w:t xml:space="preserve">Graumarktqualität:</w:t>
      </w:r>
      <w:r>
        <w:t xml:space="preserve"> </w:t>
      </w:r>
      <w:r>
        <w:t xml:space="preserve">„Research Peptides“ werden ohne pharmazeutische Qualitätskontrolle hergestellt. Verunreinigungen, falsche Mengen oder bakterielle Kontamination sind möglich; Injektionen nicht steriler Produkte können zu Abszessen und Infektionen führen. Eine Übersicht beschreibt diese Risiken für injizierbare „Biohacking“-Peptide allgemein</w:t>
      </w:r>
      <w:r>
        <w:rPr>
          <w:rStyle w:val="FootnoteReference"/>
        </w:rPr>
        <w:footnoteReference w:id="2474"/>
      </w:r>
      <w:r>
        <w:t xml:space="preserve">. Ausführlich behandelt Teil IV das Thema.</w:t>
      </w:r>
    </w:p>
    <w:bookmarkEnd w:id="2475"/>
    <w:bookmarkStart w:id="2476" w:name="rechtslage-55"/>
    <w:p>
      <w:pPr>
        <w:pStyle w:val="Heading3"/>
      </w:pPr>
      <w:r>
        <w:t xml:space="preserve">Rechtslage</w:t>
      </w:r>
    </w:p>
    <w:p>
      <w:pPr>
        <w:numPr>
          <w:ilvl w:val="0"/>
          <w:numId w:val="1311"/>
        </w:numPr>
        <w:pStyle w:val="Compact"/>
      </w:pPr>
      <w:r>
        <w:rPr>
          <w:bCs/>
          <w:b/>
        </w:rPr>
        <w:t xml:space="preserve">EU / Österreich / Deutschland:</w:t>
      </w:r>
      <w:r>
        <w:t xml:space="preserve"> </w:t>
      </w:r>
      <w:r>
        <w:t xml:space="preserve">GHK-Cu (Copper Tripeptide-1) darf als Inhaltsstoff in Kosmetika verwendet werden; es gilt die EU-Kosmetikverordnung (Verordnung (EG) Nr. 1223/2009). Kosmetika dürfen nur für die Anwendung auf der Haut und ihren Anhangsgebilden bestimmt sein und keine arzneilichen Wirkungen beanspruchen; Werbeaussagen müssen nach der Verordnung (EU) Nr. 655/2013 belegbar sein. Ein zur Injektion bestimmtes GHK-Cu ist kein Kosmetikum, sondern ein nicht zugelassenes Arzneimittel. Sein Verkauf zur Anwendung am Menschen ist nicht erlaubt; Etiketten wie „nur für Forschungszwecke“ ändern daran nichts.</w:t>
      </w:r>
    </w:p>
    <w:p>
      <w:pPr>
        <w:numPr>
          <w:ilvl w:val="0"/>
          <w:numId w:val="1311"/>
        </w:numPr>
        <w:pStyle w:val="Compact"/>
      </w:pPr>
      <w:r>
        <w:rPr>
          <w:bCs/>
          <w:b/>
        </w:rPr>
        <w:t xml:space="preserve">USA:</w:t>
      </w:r>
      <w:r>
        <w:t xml:space="preserve"> </w:t>
      </w:r>
      <w:r>
        <w:t xml:space="preserve">In Kosmetika erlaubt. Die FDA hat GHK-Cu zur Injektion nach unserem Kenntnisstand 2023 auf eine Liste von Wirkstoffen gesetzt, bei denen sie erhebliche Sicherheitsbedenken für die Herstellung in Apotheken (Compounding) sieht; die Einstufung mehrerer Peptide wurde seitdem neu diskutiert.</w:t>
      </w:r>
    </w:p>
    <w:p>
      <w:pPr>
        <w:numPr>
          <w:ilvl w:val="0"/>
          <w:numId w:val="1311"/>
        </w:numPr>
        <w:pStyle w:val="Compact"/>
      </w:pPr>
      <w:r>
        <w:rPr>
          <w:bCs/>
          <w:b/>
        </w:rPr>
        <w:t xml:space="preserve">Sport:</w:t>
      </w:r>
      <w:r>
        <w:t xml:space="preserve"> </w:t>
      </w:r>
      <w:r>
        <w:t xml:space="preserve">GHK-Cu ist nicht namentlich auf der WADA-Liste. Kosmetische Cremes gelten als unproblematisch. Injiziertes GHK-Cu als nicht zugelassene Substanz könnte unter die Kategorie S0 fallen; Athletinnen und Athleten sollten im Zweifel bei der Nationalen Anti-Doping-Agentur nachfragen (Stand 2026, bitte aktuell prüfen).</w:t>
      </w:r>
    </w:p>
    <w:bookmarkEnd w:id="2476"/>
    <w:bookmarkStart w:id="2478" w:name="laufende-studien-und-ausblick-55"/>
    <w:p>
      <w:pPr>
        <w:pStyle w:val="Heading3"/>
      </w:pPr>
      <w:r>
        <w:t xml:space="preserve">Laufende Studien und Ausblick</w:t>
      </w:r>
    </w:p>
    <w:p>
      <w:pPr>
        <w:pStyle w:val="FirstParagraph"/>
      </w:pPr>
      <w:r>
        <w:rPr>
          <w:bCs/>
          <w:b/>
        </w:rPr>
        <w:t xml:space="preserve">Gesichert (registrierte Studien, Stand Oktober 2026):</w:t>
      </w:r>
    </w:p>
    <w:p>
      <w:pPr>
        <w:numPr>
          <w:ilvl w:val="0"/>
          <w:numId w:val="1312"/>
        </w:numPr>
        <w:pStyle w:val="Compact"/>
      </w:pPr>
      <w:r>
        <w:rPr>
          <w:bCs/>
          <w:b/>
        </w:rPr>
        <w:t xml:space="preserve">Pflaster:</w:t>
      </w:r>
      <w:r>
        <w:t xml:space="preserve"> </w:t>
      </w:r>
      <w:r>
        <w:t xml:space="preserve">Eine Studie mit geplant 100 Gesunden soll untersuchen, ob ein Pflaster (X39) die GHK- und GHK-Cu-Spiegel im Blut verändert; Beginn geplant 2027</w:t>
      </w:r>
      <w:r>
        <w:rPr>
          <w:rStyle w:val="FootnoteReference"/>
        </w:rPr>
        <w:footnoteReference w:id="2477"/>
      </w:r>
      <w:r>
        <w:t xml:space="preserve">. Der Sponsor ist ein Unternehmen, das das Pflaster vertreibt.</w:t>
      </w:r>
    </w:p>
    <w:p>
      <w:pPr>
        <w:pStyle w:val="FirstParagraph"/>
      </w:pPr>
      <w:r>
        <w:rPr>
          <w:bCs/>
          <w:b/>
        </w:rPr>
        <w:t xml:space="preserve">Einschätzung:</w:t>
      </w:r>
      <w:r>
        <w:t xml:space="preserve"> </w:t>
      </w:r>
      <w:r>
        <w:t xml:space="preserve">Eine seriöse, registrierte Studie zu einem medizinisch relevanten Endpunkt – etwa der Wundheilung, wo die einzigen positiven kontrollierten Humandaten herkommen – ist derzeit nicht erkennbar. Für die kosmetische Anwendung wären unabhängige, ausreichend große, placebokontrollierte Studien mit einer Creme ohne weitere Wirkstoffe nötig. Für Injektionen ist keine seriöse Studie in Sicht; das Interesse wird vor allem in sozialen Medien und auf dem Graumarkt angeheizt.</w:t>
      </w:r>
    </w:p>
    <w:bookmarkEnd w:id="2478"/>
    <w:bookmarkStart w:id="2479" w:name="fazit-55"/>
    <w:p>
      <w:pPr>
        <w:pStyle w:val="Heading3"/>
      </w:pPr>
      <w:r>
        <w:t xml:space="preserve">Fazit</w:t>
      </w:r>
    </w:p>
    <w:p>
      <w:pPr>
        <w:pStyle w:val="FirstParagraph"/>
      </w:pPr>
      <w:r>
        <w:t xml:space="preserve">GHK-Cu ist ein körpereigenes Kupferpeptid, das im Labor die Kollagenbildung anregt und in Tierversuchen die Wundheilung beschleunigt. Am Menschen gibt es nur eine ältere randomisierte Studie zu diabetischen Fußgeschwüren mit positivem Ergebnis und eine winzige kosmetische Studie ohne messbaren Effekt. Ob GHK-Cu aus Cremes in ausreichender Menge in die Haut gelangt, ist ungeklärt; Werbeaussagen stützen sich vor allem auf Labordaten und nicht unabhängig geprüfte Herstellerstudien. Als kosmetischer Inhaltsstoff ist es legal und gilt als gut verträglich. Injektionen von Graumarkt-GHK-Cu sind weder untersucht noch zugelassen und bergen vermeidbare Risiken.</w:t>
      </w:r>
    </w:p>
    <w:bookmarkEnd w:id="2479"/>
    <w:bookmarkEnd w:id="2480"/>
    <w:bookmarkStart w:id="2499" w:name="palmitoyl-pentapeptid-4-matrixyl"/>
    <w:p>
      <w:pPr>
        <w:pStyle w:val="Heading2"/>
      </w:pPr>
      <w:r>
        <w:t xml:space="preserve">Palmitoyl-Pentapeptid-4 (Matrixyl)</w:t>
      </w:r>
    </w:p>
    <w:bookmarkStart w:id="2481" w:name="steckbrief-56"/>
    <w:p>
      <w:pPr>
        <w:pStyle w:val="Heading3"/>
      </w:pPr>
      <w:r>
        <w:t xml:space="preserve">Steckbrief</w:t>
      </w:r>
    </w:p>
    <w:p>
      <w:pPr>
        <w:numPr>
          <w:ilvl w:val="0"/>
          <w:numId w:val="1313"/>
        </w:numPr>
        <w:pStyle w:val="Compact"/>
      </w:pPr>
      <w:r>
        <w:rPr>
          <w:bCs/>
          <w:b/>
        </w:rPr>
        <w:t xml:space="preserve">Art/Struktur:</w:t>
      </w:r>
      <w:r>
        <w:t xml:space="preserve"> </w:t>
      </w:r>
      <w:r>
        <w:t xml:space="preserve">Pentapeptid aus Lysin, Threonin, Threonin, Lysin und Serin (KTTKS), an das eine Palmitinsäure (eine Fettsäure mit 16 Kohlenstoffatomen) gekoppelt ist. Kurzbezeichnung Pal-KTTKS; früher als Palmitoyl-Pentapeptid-3 geführt. Handelsname des Rohstoffs: Matrixyl.</w:t>
      </w:r>
    </w:p>
    <w:p>
      <w:pPr>
        <w:numPr>
          <w:ilvl w:val="0"/>
          <w:numId w:val="1313"/>
        </w:numPr>
        <w:pStyle w:val="Compact"/>
      </w:pPr>
      <w:r>
        <w:rPr>
          <w:bCs/>
          <w:b/>
        </w:rPr>
        <w:t xml:space="preserve">Herkunft:</w:t>
      </w:r>
      <w:r>
        <w:t xml:space="preserve"> </w:t>
      </w:r>
      <w:r>
        <w:t xml:space="preserve">synthetisch. Die Sequenz KTTKS stammt aus dem Vorläufermolekül von Typ-I-Kollagen (Prokollagen). Das Fettsäure-Anhängsel soll das Eindringen in die Haut verbessern.</w:t>
      </w:r>
    </w:p>
    <w:p>
      <w:pPr>
        <w:numPr>
          <w:ilvl w:val="0"/>
          <w:numId w:val="1313"/>
        </w:numPr>
        <w:pStyle w:val="Compact"/>
      </w:pPr>
      <w:r>
        <w:rPr>
          <w:bCs/>
          <w:b/>
        </w:rPr>
        <w:t xml:space="preserve">Wirkprinzip:</w:t>
      </w:r>
      <w:r>
        <w:t xml:space="preserve"> </w:t>
      </w:r>
      <w:r>
        <w:t xml:space="preserve">soll als „Matrikin“ – ein Bruchstück der Bindegewebsmatrix mit Signalwirkung – Fibroblasten in der Haut zur Bildung von Kollagen und anderen Matrixbestandteilen anregen.</w:t>
      </w:r>
    </w:p>
    <w:p>
      <w:pPr>
        <w:numPr>
          <w:ilvl w:val="0"/>
          <w:numId w:val="1313"/>
        </w:numPr>
        <w:pStyle w:val="Compact"/>
      </w:pPr>
      <w:r>
        <w:rPr>
          <w:bCs/>
          <w:b/>
        </w:rPr>
        <w:t xml:space="preserve">Abgrenzung:</w:t>
      </w:r>
      <w:r>
        <w:t xml:space="preserve"> </w:t>
      </w:r>
      <w:r>
        <w:t xml:space="preserve">„Matrixyl 3000“ ist ein anderes Produkt, eine Kombination aus Palmitoyl-Tripeptid-1 (Pal-GHK, siehe Kapitel GHK-Cu) und Palmitoyl-Tetrapeptid-7.</w:t>
      </w:r>
    </w:p>
    <w:p>
      <w:pPr>
        <w:numPr>
          <w:ilvl w:val="0"/>
          <w:numId w:val="1313"/>
        </w:numPr>
        <w:pStyle w:val="Compact"/>
      </w:pPr>
      <w:r>
        <w:rPr>
          <w:bCs/>
          <w:b/>
        </w:rPr>
        <w:t xml:space="preserve">Zulassung EU:</w:t>
      </w:r>
      <w:r>
        <w:t xml:space="preserve"> </w:t>
      </w:r>
      <w:r>
        <w:t xml:space="preserve">kein Arzneimittel; kosmetischer Inhaltsstoff.</w:t>
      </w:r>
    </w:p>
    <w:p>
      <w:pPr>
        <w:numPr>
          <w:ilvl w:val="0"/>
          <w:numId w:val="1313"/>
        </w:numPr>
        <w:pStyle w:val="Compact"/>
      </w:pPr>
      <w:r>
        <w:rPr>
          <w:bCs/>
          <w:b/>
        </w:rPr>
        <w:t xml:space="preserve">Zulassung USA:</w:t>
      </w:r>
      <w:r>
        <w:t xml:space="preserve"> </w:t>
      </w:r>
      <w:r>
        <w:t xml:space="preserve">kein Arzneimittel; kosmetischer Inhaltsstoff.</w:t>
      </w:r>
    </w:p>
    <w:p>
      <w:pPr>
        <w:numPr>
          <w:ilvl w:val="0"/>
          <w:numId w:val="1313"/>
        </w:numPr>
        <w:pStyle w:val="Compact"/>
      </w:pPr>
      <w:r>
        <w:rPr>
          <w:bCs/>
          <w:b/>
        </w:rPr>
        <w:t xml:space="preserve">WADA:</w:t>
      </w:r>
      <w:r>
        <w:t xml:space="preserve"> </w:t>
      </w:r>
      <w:r>
        <w:t xml:space="preserve">nicht gelistet; als Kosmetikbestandteil sportrechtlich ohne Bedeutung.</w:t>
      </w:r>
    </w:p>
    <w:p>
      <w:pPr>
        <w:numPr>
          <w:ilvl w:val="0"/>
          <w:numId w:val="1313"/>
        </w:numPr>
        <w:pStyle w:val="Compact"/>
      </w:pPr>
      <w:r>
        <w:rPr>
          <w:bCs/>
          <w:b/>
        </w:rPr>
        <w:t xml:space="preserve">Evidenzstufe:</w:t>
      </w:r>
      <w:r>
        <w:t xml:space="preserve"> </w:t>
      </w:r>
      <w:r>
        <w:rPr>
          <w:bCs/>
          <w:b/>
        </w:rPr>
        <w:t xml:space="preserve">B</w:t>
      </w:r>
      <w:r>
        <w:t xml:space="preserve"> </w:t>
      </w:r>
      <w:r>
        <w:t xml:space="preserve">(schwach) – eine größere randomisierte Halbseitenstudie aus dem Jahr 2005 und eine sehr kleine randomisierte Studie; keine unabhängigen Bestätigungsstudien.</w:t>
      </w:r>
    </w:p>
    <w:bookmarkEnd w:id="2481"/>
    <w:bookmarkStart w:id="2485" w:name="wie-es-wirken-soll-56"/>
    <w:p>
      <w:pPr>
        <w:pStyle w:val="Heading3"/>
      </w:pPr>
      <w:r>
        <w:t xml:space="preserve">Wie es wirken soll</w:t>
      </w:r>
    </w:p>
    <w:p>
      <w:pPr>
        <w:pStyle w:val="FirstParagraph"/>
      </w:pPr>
      <w:r>
        <w:t xml:space="preserve">Wenn Bindegewebe verletzt wird, zerlegen Enzyme Kollagen und andere Matrixbestandteile in Bruchstücke. Einige dieser Bruchstücke wirken als Signal: Sie zeigen den Bindegewebszellen an, dass Reparaturbedarf besteht. Solche Signalfragmente werden Matrikine genannt.</w:t>
      </w:r>
    </w:p>
    <w:p>
      <w:pPr>
        <w:pStyle w:val="BodyText"/>
      </w:pPr>
      <w:r>
        <w:t xml:space="preserve">1993 beschrieb eine Arbeitsgruppe, dass das Pentapeptid KTTKS – ein kleines Stück aus dem Ende des Typ-I-Prokollagens – in Fibroblasten-Kulturen die Bildung von Typ-I- und Typ-III-Kollagen sowie Fibronectin kräftig steigert. KTTKS war die kleinste Sequenz, die diesen Effekt noch auslöste</w:t>
      </w:r>
      <w:r>
        <w:rPr>
          <w:rStyle w:val="FootnoteReference"/>
        </w:rPr>
        <w:footnoteReference w:id="2482"/>
      </w:r>
      <w:r>
        <w:t xml:space="preserve">. Die Kosmetikindustrie griff die Idee auf: Ein Peptid, das der Haut „Reparaturbedarf“ signalisiert, könnte die altersbedingt nachlassende Kollagenbildung ankurbeln.</w:t>
      </w:r>
    </w:p>
    <w:p>
      <w:pPr>
        <w:pStyle w:val="BodyText"/>
      </w:pPr>
      <w:r>
        <w:t xml:space="preserve">Reines KTTKS dringt allerdings kaum in die Haut ein. Durch das Anhängen einer Fettsäure (Palmitoylierung) wird das Molekül fettlöslicher. In Zellkultur regte Pal-KTTKS die Kollagenbildung von Haut- und Hornhautfibroblasten konzentrationsabhängig an; der Effekt trat nahe der Konzentration auf, ab der sich die Moleküle zu bandförmigen Nanostrukturen zusammenlagern</w:t>
      </w:r>
      <w:r>
        <w:rPr>
          <w:rStyle w:val="FootnoteReference"/>
        </w:rPr>
        <w:footnoteReference w:id="2483"/>
      </w:r>
      <w:r>
        <w:t xml:space="preserve">.</w:t>
      </w:r>
    </w:p>
    <w:p>
      <w:pPr>
        <w:pStyle w:val="BodyText"/>
      </w:pPr>
      <w:r>
        <w:t xml:space="preserve">Offen bleibt, wie viel Pal-KTTKS aus einer Creme tatsächlich die Lederhaut erreicht, wo die Fibroblasten sitzen. Für das verwandte Pal-GHK zeigte eine Untersuchung an Freiwilligen, dass es sich nach dem Auftragen nur zwischen den Zellen der Hornschicht verteilt und mit der Tiefe abnimmt</w:t>
      </w:r>
      <w:r>
        <w:rPr>
          <w:rStyle w:val="FootnoteReference"/>
        </w:rPr>
        <w:footnoteReference w:id="2484"/>
      </w:r>
      <w:r>
        <w:t xml:space="preserve">. Für Pal-KTTKS selbst fehlen vergleichbare Messungen beim Menschen in der ausgewerteten Literatur.</w:t>
      </w:r>
    </w:p>
    <w:bookmarkEnd w:id="2485"/>
    <w:bookmarkStart w:id="2488" w:name="studien-am-menschen-56"/>
    <w:p>
      <w:pPr>
        <w:pStyle w:val="Heading3"/>
      </w:pPr>
      <w:r>
        <w:t xml:space="preserve">Studien am Menschen</w:t>
      </w:r>
    </w:p>
    <w:p>
      <w:pPr>
        <w:pStyle w:val="FirstParagraph"/>
      </w:pPr>
      <w:r>
        <w:t xml:space="preserve">Die für dieses Buch ausgewertete PubMed-Abfrage (Palmitoyl-Pentapeptid oder Matrixyl in Titel oder Abstract, Abfragedatum Oktober 2026) ergab nur</w:t>
      </w:r>
      <w:r>
        <w:t xml:space="preserve"> </w:t>
      </w:r>
      <w:r>
        <w:rPr>
          <w:bCs/>
          <w:b/>
        </w:rPr>
        <w:t xml:space="preserve">eine</w:t>
      </w:r>
      <w:r>
        <w:t xml:space="preserve"> </w:t>
      </w:r>
      <w:r>
        <w:t xml:space="preserve">als Humanstudie klassifizierte Arbeit; auf ClinicalTrials.gov ist kein Registereintrag verzeichnet. Bei der manuellen Durchsicht fanden sich zwei weitere kontrollierte Studien sowie Studien mit Kombinationsprodukten.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Robinson 2005, PMID 18492182</w:t>
            </w:r>
          </w:p>
        </w:tc>
        <w:tc>
          <w:tcPr/>
          <w:p>
            <w:pPr>
              <w:pStyle w:val="Compact"/>
              <w:jc w:val="left"/>
            </w:pPr>
            <w:r>
              <w:t xml:space="preserve">93 hellhäutige Frauen (35–55 J.), Feuchtigkeitscreme mit Pal-KTTKS auf einer Gesichtshälfte vs. gleiche Creme ohne Wirkstoff auf der anderen, doppelblind</w:t>
            </w:r>
          </w:p>
        </w:tc>
        <w:tc>
          <w:tcPr/>
          <w:p>
            <w:pPr>
              <w:pStyle w:val="Compact"/>
              <w:jc w:val="left"/>
            </w:pPr>
            <w:r>
              <w:t xml:space="preserve">12 Wochen</w:t>
            </w:r>
          </w:p>
        </w:tc>
        <w:tc>
          <w:tcPr/>
          <w:p>
            <w:pPr>
              <w:pStyle w:val="Compact"/>
              <w:jc w:val="left"/>
            </w:pPr>
            <w:r>
              <w:t xml:space="preserve">Signifikante Verringerung von Falten und feinen Linien gegenüber der Kontrollseite, gemessen mit Bildanalyse und durch Fachleute; gut verträglich</w:t>
            </w:r>
          </w:p>
        </w:tc>
      </w:tr>
      <w:tr>
        <w:tc>
          <w:tcPr/>
          <w:p>
            <w:pPr>
              <w:pStyle w:val="Compact"/>
              <w:jc w:val="left"/>
            </w:pPr>
            <w:r>
              <w:t xml:space="preserve">Aruan 2023, PMID 36909866</w:t>
            </w:r>
          </w:p>
        </w:tc>
        <w:tc>
          <w:tcPr/>
          <w:p>
            <w:pPr>
              <w:pStyle w:val="Compact"/>
              <w:jc w:val="left"/>
            </w:pPr>
            <w:r>
              <w:t xml:space="preserve">21 indonesische Frauen (26–55 J.), Creme mit Palmitoyl-Pentapeptid-4 vs. Acetyl-Hexapeptid-3 vs. Placebo, doppelblind</w:t>
            </w:r>
          </w:p>
        </w:tc>
        <w:tc>
          <w:tcPr/>
          <w:p>
            <w:pPr>
              <w:pStyle w:val="Compact"/>
              <w:jc w:val="left"/>
            </w:pPr>
            <w:r>
              <w:t xml:space="preserve">8 Wochen</w:t>
            </w:r>
          </w:p>
        </w:tc>
        <w:tc>
          <w:tcPr/>
          <w:p>
            <w:pPr>
              <w:pStyle w:val="Compact"/>
              <w:jc w:val="left"/>
            </w:pPr>
            <w:r>
              <w:t xml:space="preserve">Verbesserungen „bei einigen Teilnehmerinnen“; Palmitoyl-Pentapeptid-4 schnitt besser ab als die Vergleichsgruppen; keine belastbaren Effektgrößen im Abstract</w:t>
            </w:r>
          </w:p>
        </w:tc>
      </w:tr>
      <w:tr>
        <w:tc>
          <w:tcPr/>
          <w:p>
            <w:pPr>
              <w:pStyle w:val="Compact"/>
              <w:jc w:val="left"/>
            </w:pPr>
            <w:r>
              <w:t xml:space="preserve">Röper 2004, PMID 15127162</w:t>
            </w:r>
          </w:p>
        </w:tc>
        <w:tc>
          <w:tcPr/>
          <w:p>
            <w:pPr>
              <w:pStyle w:val="Compact"/>
              <w:jc w:val="left"/>
            </w:pPr>
            <w:r>
              <w:t xml:space="preserve">20 Frauen mit Brustkrebs unter Strahlentherapie, Creme mit Matrixyl und weiteren Wirkstoffen vs. Dexpanthenol-Lotion</w:t>
            </w:r>
          </w:p>
        </w:tc>
        <w:tc>
          <w:tcPr/>
          <w:p>
            <w:pPr>
              <w:pStyle w:val="Compact"/>
              <w:jc w:val="left"/>
            </w:pPr>
            <w:r>
              <w:t xml:space="preserve">Therapiedauer</w:t>
            </w:r>
          </w:p>
        </w:tc>
        <w:tc>
          <w:tcPr/>
          <w:p>
            <w:pPr>
              <w:pStyle w:val="Compact"/>
              <w:jc w:val="left"/>
            </w:pPr>
            <w:r>
              <w:t xml:space="preserve">Kein Vorteil bei Hautreaktionen; Juckreiz häufiger, ein Verdacht auf allergische Reaktion nur in der Matrixyl-Gruppe</w:t>
            </w:r>
          </w:p>
        </w:tc>
      </w:tr>
    </w:tbl>
    <w:p>
      <w:pPr>
        <w:pStyle w:val="BodyText"/>
      </w:pPr>
      <w:r>
        <w:rPr>
          <w:bCs/>
          <w:b/>
        </w:rPr>
        <w:t xml:space="preserve">Robinson 2005</w:t>
      </w:r>
      <w:r>
        <w:t xml:space="preserve"> </w:t>
      </w:r>
      <w:r>
        <w:t xml:space="preserve">ist die zentrale Studie. Das Halbseitendesign ist klug, weil jede Teilnehmerin ihre eigene Kontrolle ist. Die Konzentration im Produkt betrug 3 ppm (Millionstel). Einschränkungen: Das Abstract nennt keine Effektgrößen; die Studie wurde in einer Kosmetik-Fachzeitschrift veröffentlicht und seither nicht von unabhängiger Seite wiederholt. Untersucht wurden ausschließlich hellhäutige Frauen mit lichtgealterter Haut; ob die Ergebnisse auf andere Hauttypen übertragbar sind, ist offen.</w:t>
      </w:r>
    </w:p>
    <w:p>
      <w:pPr>
        <w:pStyle w:val="BodyText"/>
      </w:pPr>
      <w:r>
        <w:rPr>
          <w:bCs/>
          <w:b/>
        </w:rPr>
        <w:t xml:space="preserve">Aruan 2023</w:t>
      </w:r>
      <w:r>
        <w:t xml:space="preserve"> </w:t>
      </w:r>
      <w:r>
        <w:t xml:space="preserve">war mit 21 Teilnehmerinnen in drei Gruppen zu klein für verlässliche Aussagen; die Autoren bezeichnen sie selbst als Ausgangspunkt für größere Studien.</w:t>
      </w:r>
    </w:p>
    <w:p>
      <w:pPr>
        <w:pStyle w:val="BodyText"/>
      </w:pPr>
      <w:r>
        <w:rPr>
          <w:bCs/>
          <w:b/>
        </w:rPr>
        <w:t xml:space="preserve">Röper 2004</w:t>
      </w:r>
      <w:r>
        <w:t xml:space="preserve"> </w:t>
      </w:r>
      <w:r>
        <w:t xml:space="preserve">prüfte ein Kombinationsprodukt in einem medizinischen Zusammenhang und fand keinen Nutzen.</w:t>
      </w:r>
    </w:p>
    <w:p>
      <w:pPr>
        <w:pStyle w:val="BodyText"/>
      </w:pPr>
      <w:r>
        <w:rPr>
          <w:bCs/>
          <w:b/>
        </w:rPr>
        <w:t xml:space="preserve">Kombinationsprodukte:</w:t>
      </w:r>
      <w:r>
        <w:t xml:space="preserve"> </w:t>
      </w:r>
      <w:r>
        <w:t xml:space="preserve">In zwei Halbseitenstudien mit 42 bzw. 35 Frauen verbesserten Pflegeprodukte, die Pal-KTTKS zusammen mit Niacinamid, einem weiteren Peptid, Carnosin und teils Retinylpropionat enthielten, die Glätte der Haut um die Augen gegenüber unbehandelter Haut</w:t>
      </w:r>
      <w:r>
        <w:rPr>
          <w:rStyle w:val="FootnoteReference"/>
        </w:rPr>
        <w:footnoteReference w:id="2486"/>
      </w:r>
      <w:r>
        <w:t xml:space="preserve">. Weil mehrere Wirkstoffe gleichzeitig getestet und mit „keiner Behandlung“ verglichen wurden, lässt sich der Effekt nicht dem Peptid zuordnen.</w:t>
      </w:r>
    </w:p>
    <w:p>
      <w:pPr>
        <w:pStyle w:val="BodyText"/>
      </w:pPr>
      <w:r>
        <w:rPr>
          <w:bCs/>
          <w:b/>
        </w:rPr>
        <w:t xml:space="preserve">Meta-Analyse:</w:t>
      </w:r>
      <w:r>
        <w:t xml:space="preserve"> </w:t>
      </w:r>
      <w:r>
        <w:t xml:space="preserve">Eine Meta-Analyse zu oralen und äußerlich angewendeten Peptiden gegen Hautalterung (19 Studien, 1.341 Teilnehmende) fand einen bescheidenen Gesamteffekt auf Falten, der vor allem von oral eingenommenen Peptiden getragen wurde</w:t>
      </w:r>
      <w:r>
        <w:rPr>
          <w:rStyle w:val="FootnoteReference"/>
        </w:rPr>
        <w:footnoteReference w:id="2487"/>
      </w:r>
      <w:r>
        <w:t xml:space="preserve">. Für äußerlich angewendete Peptide wie Pal-KTTKS ergibt sich daraus kein eigener Nachweis.</w:t>
      </w:r>
    </w:p>
    <w:bookmarkEnd w:id="2488"/>
    <w:bookmarkStart w:id="2492" w:name="tier--und-laborstudien-56"/>
    <w:p>
      <w:pPr>
        <w:pStyle w:val="Heading3"/>
      </w:pPr>
      <w:r>
        <w:t xml:space="preserve">Tier- und Laborstudien</w:t>
      </w:r>
    </w:p>
    <w:p>
      <w:pPr>
        <w:numPr>
          <w:ilvl w:val="0"/>
          <w:numId w:val="1314"/>
        </w:numPr>
        <w:pStyle w:val="Compact"/>
      </w:pPr>
      <w:r>
        <w:rPr>
          <w:bCs/>
          <w:b/>
        </w:rPr>
        <w:t xml:space="preserve">Zellkultur:</w:t>
      </w:r>
      <w:r>
        <w:t xml:space="preserve"> </w:t>
      </w:r>
      <w:r>
        <w:t xml:space="preserve">KTTKS und Pal-KTTKS steigern die Bildung von Kollagen und Fibronectin in Fibroblasten</w:t>
      </w:r>
      <w:r>
        <w:rPr>
          <w:rStyle w:val="FootnoteReference"/>
        </w:rPr>
        <w:footnoteReference w:id="2489"/>
      </w:r>
      <w:r>
        <w:t xml:space="preserve">. In einer anderen Zellstudie verringerte Pal-KTTKS in niedriger Konzentration die Umwandlung von Fibroblasten in narbenbildende Myofibroblasten; in höherer Konzentration war der Effekt nicht signifikant</w:t>
      </w:r>
      <w:r>
        <w:rPr>
          <w:rStyle w:val="FootnoteReference"/>
        </w:rPr>
        <w:footnoteReference w:id="2490"/>
      </w:r>
      <w:r>
        <w:t xml:space="preserve">.</w:t>
      </w:r>
    </w:p>
    <w:p>
      <w:pPr>
        <w:numPr>
          <w:ilvl w:val="0"/>
          <w:numId w:val="1314"/>
        </w:numPr>
        <w:pStyle w:val="Compact"/>
      </w:pPr>
      <w:r>
        <w:rPr>
          <w:bCs/>
          <w:b/>
        </w:rPr>
        <w:t xml:space="preserve">Tierversuche:</w:t>
      </w:r>
      <w:r>
        <w:t xml:space="preserve"> </w:t>
      </w:r>
      <w:r>
        <w:t xml:space="preserve">Bei Versuchstieren verbesserten Pflaster und Cremes mit Matrixyl die Heilung von Hautwunden gegenüber unbehandelten Kontrollen</w:t>
      </w:r>
      <w:r>
        <w:rPr>
          <w:rStyle w:val="FootnoteReference"/>
        </w:rPr>
        <w:footnoteReference w:id="2491"/>
      </w:r>
      <w:r>
        <w:t xml:space="preserve">.</w:t>
      </w:r>
    </w:p>
    <w:p>
      <w:pPr>
        <w:numPr>
          <w:ilvl w:val="0"/>
          <w:numId w:val="1314"/>
        </w:numPr>
        <w:pStyle w:val="Compact"/>
      </w:pPr>
      <w:r>
        <w:rPr>
          <w:bCs/>
          <w:b/>
        </w:rPr>
        <w:t xml:space="preserve">Neue Abwandlungen:</w:t>
      </w:r>
      <w:r>
        <w:t xml:space="preserve"> </w:t>
      </w:r>
      <w:r>
        <w:t xml:space="preserve">Forschungsgruppen koppeln KTTKS an andere Moleküle, um antibakterielle oder stärker kollagenanregende Varianten zu erzeugen – bislang ausschließlich im Labor.</w:t>
      </w:r>
    </w:p>
    <w:bookmarkEnd w:id="2492"/>
    <w:bookmarkStart w:id="2495" w:name="risiken-und-nebenwirkungen-56"/>
    <w:p>
      <w:pPr>
        <w:pStyle w:val="Heading3"/>
      </w:pPr>
      <w:r>
        <w:t xml:space="preserve">Risiken und Nebenwirkungen</w:t>
      </w:r>
    </w:p>
    <w:p>
      <w:pPr>
        <w:pStyle w:val="FirstParagraph"/>
      </w:pPr>
      <w:r>
        <w:rPr>
          <w:bCs/>
          <w:b/>
        </w:rPr>
        <w:t xml:space="preserve">Belegt:</w:t>
      </w:r>
      <w:r>
        <w:t xml:space="preserve"> </w:t>
      </w:r>
      <w:r>
        <w:t xml:space="preserve">In der Studie von Robinson war das Peptid gut verträglich. In der Strahlentherapie-Studie trat Juckreiz unter dem Matrixyl-haltigen Kombinationsprodukt häufiger auf, ein Verdacht auf eine allergische Reaktion nur unter diesem Produkt</w:t>
      </w:r>
      <w:r>
        <w:rPr>
          <w:rStyle w:val="FootnoteReference"/>
        </w:rPr>
        <w:footnoteReference w:id="2493"/>
      </w:r>
      <w:r>
        <w:t xml:space="preserve">; welcher Bestandteil verantwortlich war, ist unklar.</w:t>
      </w:r>
    </w:p>
    <w:p>
      <w:pPr>
        <w:pStyle w:val="BodyText"/>
      </w:pPr>
      <w:r>
        <w:rPr>
          <w:bCs/>
          <w:b/>
        </w:rPr>
        <w:t xml:space="preserve">Allgemein:</w:t>
      </w:r>
      <w:r>
        <w:t xml:space="preserve"> </w:t>
      </w:r>
      <w:r>
        <w:t xml:space="preserve">Wie bei jedem Kosmetikbestandteil sind Reizungen und Kontaktallergien möglich, sie scheinen aber selten zu sein. Eine Arbeit aus der Kosmetikindustrie, die Peptide mit bioinformatischen Werkzeugen auf Gift- und Allergiepotenzial prüfte, fand für Palmitoyl-Pentapeptid-4 Ähnlichkeiten mit Bindegewebseiweißen der Haut, aber keine Hinweise auf Toxin- oder Allergenstrukturen</w:t>
      </w:r>
      <w:r>
        <w:rPr>
          <w:rStyle w:val="FootnoteReference"/>
        </w:rPr>
        <w:footnoteReference w:id="2494"/>
      </w:r>
      <w:r>
        <w:t xml:space="preserve">. Solche Computeranalysen ersetzen keine klinische Beobachtung.</w:t>
      </w:r>
    </w:p>
    <w:p>
      <w:pPr>
        <w:pStyle w:val="BodyText"/>
      </w:pPr>
      <w:r>
        <w:rPr>
          <w:bCs/>
          <w:b/>
        </w:rPr>
        <w:t xml:space="preserve">Theoretisch:</w:t>
      </w:r>
      <w:r>
        <w:t xml:space="preserve"> </w:t>
      </w:r>
      <w:r>
        <w:t xml:space="preserve">Ein Signalstoff, der Fibroblasten tatsächlich zur Kollagenbildung anregt, könnte bei Neigung zu Narbenwucherungen unerwünscht sein. Dafür gibt es keine Fallberichte; die geringe Hautdurchlässigkeit spricht gegen eine relevante Wirkung.</w:t>
      </w:r>
    </w:p>
    <w:bookmarkEnd w:id="2495"/>
    <w:bookmarkStart w:id="2496" w:name="rechtslage-56"/>
    <w:p>
      <w:pPr>
        <w:pStyle w:val="Heading3"/>
      </w:pPr>
      <w:r>
        <w:t xml:space="preserve">Rechtslage</w:t>
      </w:r>
    </w:p>
    <w:p>
      <w:pPr>
        <w:numPr>
          <w:ilvl w:val="0"/>
          <w:numId w:val="1315"/>
        </w:numPr>
        <w:pStyle w:val="Compact"/>
      </w:pPr>
      <w:r>
        <w:rPr>
          <w:bCs/>
          <w:b/>
        </w:rPr>
        <w:t xml:space="preserve">EU / Österreich / Deutschland:</w:t>
      </w:r>
      <w:r>
        <w:t xml:space="preserve"> </w:t>
      </w:r>
      <w:r>
        <w:t xml:space="preserve">Palmitoyl-Pentapeptid-4 ist ein zulässiger kosmetischer Inhaltsstoff nach der EU-Kosmetikverordnung (Verordnung (EG) Nr. 1223/2009). Kosmetika werden vor dem Verkauf nicht behördlich auf Wirksamkeit geprüft; der Hersteller muss eine Sicherheitsbewertung erstellen und Werbeaussagen nach der Verordnung (EU) Nr. 655/2013 belegen können. Aussagen wie „wirkt wie eine Faltenunterspritzung“ oder „baut Kollagen auf“ sind daher rechtlich heikel, wenn sie nicht durch Studien am Produkt gedeckt sind.</w:t>
      </w:r>
    </w:p>
    <w:p>
      <w:pPr>
        <w:numPr>
          <w:ilvl w:val="0"/>
          <w:numId w:val="1315"/>
        </w:numPr>
        <w:pStyle w:val="Compact"/>
      </w:pPr>
      <w:r>
        <w:rPr>
          <w:bCs/>
          <w:b/>
        </w:rPr>
        <w:t xml:space="preserve">USA:</w:t>
      </w:r>
      <w:r>
        <w:t xml:space="preserve"> </w:t>
      </w:r>
      <w:r>
        <w:t xml:space="preserve">kosmetischer Inhaltsstoff ohne Vorabprüfung durch die FDA. Werbeaussagen, die eine Veränderung der Hautstruktur versprechen, können ein Produkt rechtlich zum Arzneimittel machen.</w:t>
      </w:r>
    </w:p>
    <w:p>
      <w:pPr>
        <w:numPr>
          <w:ilvl w:val="0"/>
          <w:numId w:val="1315"/>
        </w:numPr>
        <w:pStyle w:val="Compact"/>
      </w:pPr>
      <w:r>
        <w:rPr>
          <w:bCs/>
          <w:b/>
        </w:rPr>
        <w:t xml:space="preserve">Sport:</w:t>
      </w:r>
      <w:r>
        <w:t xml:space="preserve"> </w:t>
      </w:r>
      <w:r>
        <w:t xml:space="preserve">ohne Bedeutung (Stand 2026, bitte aktuell prüfen).</w:t>
      </w:r>
    </w:p>
    <w:bookmarkEnd w:id="2496"/>
    <w:bookmarkStart w:id="2497" w:name="laufende-studien-und-ausblick-56"/>
    <w:p>
      <w:pPr>
        <w:pStyle w:val="Heading3"/>
      </w:pPr>
      <w:r>
        <w:t xml:space="preserve">Laufende Studien und Ausblick</w:t>
      </w:r>
    </w:p>
    <w:p>
      <w:pPr>
        <w:pStyle w:val="FirstParagraph"/>
      </w:pPr>
      <w:r>
        <w:rPr>
          <w:bCs/>
          <w:b/>
        </w:rPr>
        <w:t xml:space="preserve">Gesichert:</w:t>
      </w:r>
      <w:r>
        <w:t xml:space="preserve"> </w:t>
      </w:r>
      <w:r>
        <w:t xml:space="preserve">Auf ClinicalTrials.gov ist unter „palmitoyl pentapeptide“ keine Studie registriert (Stand Oktober 2026). Kosmetische Wirksamkeitsstudien werden in der Regel nicht registriert, sondern von den Herstellern in Auftrag gegeben und nur teilweise veröffentlicht.</w:t>
      </w:r>
    </w:p>
    <w:p>
      <w:pPr>
        <w:pStyle w:val="BodyText"/>
      </w:pPr>
      <w:r>
        <w:rPr>
          <w:bCs/>
          <w:b/>
        </w:rPr>
        <w:t xml:space="preserve">Einschätzung:</w:t>
      </w:r>
      <w:r>
        <w:t xml:space="preserve"> </w:t>
      </w:r>
      <w:r>
        <w:t xml:space="preserve">Matrixyl ist eines der ältesten und meistverwendeten „Anti-Aging-Peptide“ in Kosmetika. Seine wissenschaftliche Grundlage – eine Zellkulturarbeit von 1993 und eine Halbseitenstudie von 2005 – ist für ein so verbreitetes Produkt erstaunlich schmal. Neue Entwicklungen zielen auf bessere Hautgängigkeit (Mikronadeln, Nanostrukturen) und auf Kombinationen mit anderen Peptiden. Ohne unabhängige, ausreichend große Studien mit dem einzelnen Wirkstoff wird sich am Kenntnisstand wenig ändern.</w:t>
      </w:r>
    </w:p>
    <w:bookmarkEnd w:id="2497"/>
    <w:bookmarkStart w:id="2498" w:name="fazit-56"/>
    <w:p>
      <w:pPr>
        <w:pStyle w:val="Heading3"/>
      </w:pPr>
      <w:r>
        <w:t xml:space="preserve">Fazit</w:t>
      </w:r>
    </w:p>
    <w:p>
      <w:pPr>
        <w:pStyle w:val="FirstParagraph"/>
      </w:pPr>
      <w:r>
        <w:t xml:space="preserve">Palmitoyl-Pentapeptid-4 ist ein Fettsäure-gekoppeltes Bruchstück des Kollagen-Vorläufers, das im Labor Fibroblasten zur Kollagenbildung anregt. Am Menschen stützt sich die Wirksamkeit vor allem auf eine Halbseitenstudie mit 93 Frauen aus dem Jahr 2005, die eine Verringerung feiner Linien zeigte, sowie auf eine sehr kleine Studie aus dem Jahr 2023. Wie viel Wirkstoff tatsächlich die tiefere Haut erreicht, ist nicht geklärt. Als kosmetischer Inhaltsstoff gilt es als gut verträglich. Wer Matrixyl-Produkte verwendet, sollte einen kleinen, kosmetischen Effekt erwarten – keinen Ersatz für UV-Schutz oder medizinisch geprüfte Wirkstoffe wie Retinoide.</w:t>
      </w:r>
    </w:p>
    <w:bookmarkEnd w:id="2498"/>
    <w:bookmarkEnd w:id="2499"/>
    <w:bookmarkStart w:id="2523" w:name="acetyl-hexapeptid-8-argireline"/>
    <w:p>
      <w:pPr>
        <w:pStyle w:val="Heading2"/>
      </w:pPr>
      <w:r>
        <w:t xml:space="preserve">Acetyl-Hexapeptid-8 (Argireline)</w:t>
      </w:r>
    </w:p>
    <w:bookmarkStart w:id="2500" w:name="steckbrief-57"/>
    <w:p>
      <w:pPr>
        <w:pStyle w:val="Heading3"/>
      </w:pPr>
      <w:r>
        <w:t xml:space="preserve">Steckbrief</w:t>
      </w:r>
    </w:p>
    <w:p>
      <w:pPr>
        <w:numPr>
          <w:ilvl w:val="0"/>
          <w:numId w:val="1316"/>
        </w:numPr>
        <w:pStyle w:val="Compact"/>
      </w:pPr>
      <w:r>
        <w:rPr>
          <w:bCs/>
          <w:b/>
        </w:rPr>
        <w:t xml:space="preserve">Art/Struktur:</w:t>
      </w:r>
      <w:r>
        <w:t xml:space="preserve"> </w:t>
      </w:r>
      <w:r>
        <w:t xml:space="preserve">Hexapeptid mit der Sequenz Glutamat-Glutamat-Methionin-Glutamin-Arginin-Arginin (Ac-EEMQRR-NH₂), am Anfang acetyliert und am Ende amidiert. Früher als Acetyl-Hexapeptid-3 bezeichnet; Handelsname des Rohstoffs: Argireline.</w:t>
      </w:r>
    </w:p>
    <w:p>
      <w:pPr>
        <w:numPr>
          <w:ilvl w:val="0"/>
          <w:numId w:val="1316"/>
        </w:numPr>
        <w:pStyle w:val="Compact"/>
      </w:pPr>
      <w:r>
        <w:rPr>
          <w:bCs/>
          <w:b/>
        </w:rPr>
        <w:t xml:space="preserve">Herkunft:</w:t>
      </w:r>
      <w:r>
        <w:t xml:space="preserve"> </w:t>
      </w:r>
      <w:r>
        <w:t xml:space="preserve">synthetisch, Anfang der 2000er-Jahre gezielt entworfen. Die Sequenz ist dem Anfangsstück des Nervenzell-Eiweißes SNAP-25 nachgebildet.</w:t>
      </w:r>
    </w:p>
    <w:p>
      <w:pPr>
        <w:numPr>
          <w:ilvl w:val="0"/>
          <w:numId w:val="1316"/>
        </w:numPr>
        <w:pStyle w:val="Compact"/>
      </w:pPr>
      <w:r>
        <w:rPr>
          <w:bCs/>
          <w:b/>
        </w:rPr>
        <w:t xml:space="preserve">Wirkprinzip:</w:t>
      </w:r>
      <w:r>
        <w:t xml:space="preserve"> </w:t>
      </w:r>
      <w:r>
        <w:t xml:space="preserve">soll die Freisetzung des Botenstoffs Acetylcholin an der Verbindung zwischen Nerv und Muskel abschwächen und so mimisch bedingte Falten glätten – ein ähnlicher Angriffspunkt wie beim Botulinumtoxin, nur viel schwächer. Daher der Werbebegriff „Botox aus der Tube“.</w:t>
      </w:r>
    </w:p>
    <w:p>
      <w:pPr>
        <w:numPr>
          <w:ilvl w:val="0"/>
          <w:numId w:val="1316"/>
        </w:numPr>
        <w:pStyle w:val="Compact"/>
      </w:pPr>
      <w:r>
        <w:rPr>
          <w:bCs/>
          <w:b/>
        </w:rPr>
        <w:t xml:space="preserve">Zulassung EU:</w:t>
      </w:r>
      <w:r>
        <w:t xml:space="preserve"> </w:t>
      </w:r>
      <w:r>
        <w:t xml:space="preserve">kein Arzneimittel; kosmetischer Inhaltsstoff.</w:t>
      </w:r>
    </w:p>
    <w:p>
      <w:pPr>
        <w:numPr>
          <w:ilvl w:val="0"/>
          <w:numId w:val="1316"/>
        </w:numPr>
        <w:pStyle w:val="Compact"/>
      </w:pPr>
      <w:r>
        <w:rPr>
          <w:bCs/>
          <w:b/>
        </w:rPr>
        <w:t xml:space="preserve">Zulassung USA:</w:t>
      </w:r>
      <w:r>
        <w:t xml:space="preserve"> </w:t>
      </w:r>
      <w:r>
        <w:t xml:space="preserve">kein Arzneimittel; kosmetischer Inhaltsstoff.</w:t>
      </w:r>
    </w:p>
    <w:p>
      <w:pPr>
        <w:numPr>
          <w:ilvl w:val="0"/>
          <w:numId w:val="1316"/>
        </w:numPr>
        <w:pStyle w:val="Compact"/>
      </w:pPr>
      <w:r>
        <w:rPr>
          <w:bCs/>
          <w:b/>
        </w:rPr>
        <w:t xml:space="preserve">WADA:</w:t>
      </w:r>
      <w:r>
        <w:t xml:space="preserve"> </w:t>
      </w:r>
      <w:r>
        <w:t xml:space="preserve">nicht gelistet.</w:t>
      </w:r>
    </w:p>
    <w:p>
      <w:pPr>
        <w:numPr>
          <w:ilvl w:val="0"/>
          <w:numId w:val="1316"/>
        </w:numPr>
        <w:pStyle w:val="Compact"/>
      </w:pPr>
      <w:r>
        <w:rPr>
          <w:bCs/>
          <w:b/>
        </w:rPr>
        <w:t xml:space="preserve">Evidenzstufe:</w:t>
      </w:r>
      <w:r>
        <w:t xml:space="preserve"> </w:t>
      </w:r>
      <w:r>
        <w:rPr>
          <w:bCs/>
          <w:b/>
        </w:rPr>
        <w:t xml:space="preserve">B</w:t>
      </w:r>
      <w:r>
        <w:t xml:space="preserve"> </w:t>
      </w:r>
      <w:r>
        <w:t xml:space="preserve">(schwach) – einige kleine randomisierte Studien mit überwiegend kurzen Laufzeiten und uneinheitlichen Ergebnissen.</w:t>
      </w:r>
    </w:p>
    <w:bookmarkEnd w:id="2500"/>
    <w:bookmarkStart w:id="2504" w:name="wie-es-wirken-soll-57"/>
    <w:p>
      <w:pPr>
        <w:pStyle w:val="Heading3"/>
      </w:pPr>
      <w:r>
        <w:t xml:space="preserve">Wie es wirken soll</w:t>
      </w:r>
    </w:p>
    <w:p>
      <w:pPr>
        <w:pStyle w:val="FirstParagraph"/>
      </w:pPr>
      <w:r>
        <w:t xml:space="preserve">Damit ein Muskel sich zusammenzieht, muss eine Nervenzelle den Botenstoff Acetylcholin freisetzen. Dazu verschmelzen kleine Bläschen, gefüllt mit dem Botenstoff, mit der Zellmembran. Diese Verschmelzung wird von einem Eiweißkomplex vermittelt, dem SNARE-Komplex, an dem unter anderem das Eiweiß SNAP-25 beteiligt ist. Botulinumtoxin Typ A zerschneidet SNAP-25 und legt so die Freisetzung des Botenstoffs für Monate lahm – der Muskel entspannt sich, die darüberliegende Falte glättet sich.</w:t>
      </w:r>
    </w:p>
    <w:p>
      <w:pPr>
        <w:pStyle w:val="BodyText"/>
      </w:pPr>
      <w:r>
        <w:t xml:space="preserve">Argireline wurde als Nachbildung des Anfangsstücks von SNAP-25 entworfen. Die Idee: Das kurze Peptid konkurriert mit dem echten SNAP-25 um seinen Platz im SNARE-Komplex und stört dessen Bildung. In der Erstbeschreibung hemmte Argireline in Zellversuchen die Freisetzung von Botenstoffen mit einer ähnlichen</w:t>
      </w:r>
      <w:r>
        <w:t xml:space="preserve"> </w:t>
      </w:r>
      <w:r>
        <w:rPr>
          <w:iCs/>
          <w:i/>
        </w:rPr>
        <w:t xml:space="preserve">Wirkstärke</w:t>
      </w:r>
      <w:r>
        <w:t xml:space="preserve"> </w:t>
      </w:r>
      <w:r>
        <w:t xml:space="preserve">wie Botulinumtoxin A, erreichte aber erwartungsgemäß eine viel geringere</w:t>
      </w:r>
      <w:r>
        <w:t xml:space="preserve"> </w:t>
      </w:r>
      <w:r>
        <w:rPr>
          <w:iCs/>
          <w:i/>
        </w:rPr>
        <w:t xml:space="preserve">Wirksamkeit</w:t>
      </w:r>
      <w:r>
        <w:t xml:space="preserve"> </w:t>
      </w:r>
      <w:r>
        <w:t xml:space="preserve">– also einen deutlich kleineren Maximaleffekt</w:t>
      </w:r>
      <w:r>
        <w:rPr>
          <w:rStyle w:val="FootnoteReference"/>
        </w:rPr>
        <w:footnoteReference w:id="2501"/>
      </w:r>
      <w:r>
        <w:t xml:space="preserve">.</w:t>
      </w:r>
    </w:p>
    <w:p>
      <w:pPr>
        <w:pStyle w:val="BodyText"/>
      </w:pPr>
      <w:r>
        <w:t xml:space="preserve">Der entscheidende Haken: Um zu wirken, müsste Argireline aus einer Creme durch Ober- und Lederhaut bis zu den Nervenendigungen an den Gesichtsmuskeln gelangen. Das Molekül ist wasserlöslich, elektrisch geladen und für die Haut vergleichsweise groß. In einem Laborversuch mit Haut von Körperspendern blieb nach 24 Stunden der größte Teil auf der Hautoberfläche; 0,22 % des aufgetragenen Peptids fanden sich in der Hornschicht, 0,01 % in der Oberhaut, in der Lederhaut und darunter war nichts nachweisbar</w:t>
      </w:r>
      <w:r>
        <w:rPr>
          <w:rStyle w:val="FootnoteReference"/>
        </w:rPr>
        <w:footnoteReference w:id="2502"/>
      </w:r>
      <w:r>
        <w:t xml:space="preserve">. Eine Übersichtsarbeit aus dem Jahr 2025 hält fest, dass unklar bleibt, ob das Peptid die Nerv-Muskel-Verbindung überhaupt erreicht</w:t>
      </w:r>
      <w:r>
        <w:rPr>
          <w:rStyle w:val="FootnoteReference"/>
        </w:rPr>
        <w:footnoteReference w:id="2503"/>
      </w:r>
      <w:r>
        <w:t xml:space="preserve">.</w:t>
      </w:r>
    </w:p>
    <w:p>
      <w:pPr>
        <w:pStyle w:val="BodyText"/>
      </w:pPr>
      <w:r>
        <w:t xml:space="preserve">Das schließt Effekte auf die Haut nicht aus – etwa auf Feuchtigkeit oder über Nervenendigungen in den oberen Hautschichten –, macht aber den beworbenen „Botox-Mechanismus“ beim Auftragen auf die Haut wenig wahrscheinlich.</w:t>
      </w:r>
    </w:p>
    <w:bookmarkEnd w:id="2504"/>
    <w:bookmarkStart w:id="2511" w:name="studien-am-menschen-57"/>
    <w:p>
      <w:pPr>
        <w:pStyle w:val="Heading3"/>
      </w:pPr>
      <w:r>
        <w:t xml:space="preserve">Studien am Menschen</w:t>
      </w:r>
    </w:p>
    <w:p>
      <w:pPr>
        <w:pStyle w:val="FirstParagraph"/>
      </w:pPr>
      <w:r>
        <w:t xml:space="preserve">Die für dieses Buch ausgewertete PubMed-Abfrage (Acetyl-Hexapeptid oder Argireline in Titel oder Abstract, Abfragedatum Oktober 2026) ergab drei als Humanstudien klassifizierte Arbeiten; auf ClinicalTrials.gov sind sieben Registereinträge verzeichnet. Bei der Durchsicht fanden sich einige weitere kleine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Blanes-Mira 2002, PMID 18498523</w:t>
            </w:r>
          </w:p>
        </w:tc>
        <w:tc>
          <w:tcPr/>
          <w:p>
            <w:pPr>
              <w:pStyle w:val="Compact"/>
              <w:jc w:val="left"/>
            </w:pPr>
            <w:r>
              <w:t xml:space="preserve">gesunde Frauen, Emulsion mit 10 % Argireline (Angaben im Abstract knapp)</w:t>
            </w:r>
          </w:p>
        </w:tc>
        <w:tc>
          <w:tcPr/>
          <w:p>
            <w:pPr>
              <w:pStyle w:val="Compact"/>
              <w:jc w:val="left"/>
            </w:pPr>
            <w:r>
              <w:t xml:space="preserve">30 Tage</w:t>
            </w:r>
          </w:p>
        </w:tc>
        <w:tc>
          <w:tcPr/>
          <w:p>
            <w:pPr>
              <w:pStyle w:val="Compact"/>
              <w:jc w:val="left"/>
            </w:pPr>
            <w:r>
              <w:t xml:space="preserve">Faltentiefe um bis zu 30 % verringert</w:t>
            </w:r>
          </w:p>
        </w:tc>
      </w:tr>
      <w:tr>
        <w:tc>
          <w:tcPr/>
          <w:p>
            <w:pPr>
              <w:pStyle w:val="Compact"/>
              <w:jc w:val="left"/>
            </w:pPr>
            <w:r>
              <w:t xml:space="preserve">Wang 2013, PMID 23417317</w:t>
            </w:r>
          </w:p>
        </w:tc>
        <w:tc>
          <w:tcPr/>
          <w:p>
            <w:pPr>
              <w:pStyle w:val="Compact"/>
              <w:jc w:val="left"/>
            </w:pPr>
            <w:r>
              <w:t xml:space="preserve">60 chinesische Erwachsene mit Augenfältchen, Argireline vs. Placebo im Verhältnis 3:1</w:t>
            </w:r>
          </w:p>
        </w:tc>
        <w:tc>
          <w:tcPr/>
          <w:p>
            <w:pPr>
              <w:pStyle w:val="Compact"/>
              <w:jc w:val="left"/>
            </w:pPr>
            <w:r>
              <w:t xml:space="preserve">4 Wochen</w:t>
            </w:r>
          </w:p>
        </w:tc>
        <w:tc>
          <w:tcPr/>
          <w:p>
            <w:pPr>
              <w:pStyle w:val="Compact"/>
              <w:jc w:val="left"/>
            </w:pPr>
            <w:r>
              <w:t xml:space="preserve">Subjektive „Gesamtwirksamkeit“ 48,9 % vs. 0 %; Rauigkeitswerte in Hautabdrücken gesunken</w:t>
            </w:r>
          </w:p>
        </w:tc>
      </w:tr>
      <w:tr>
        <w:tc>
          <w:tcPr/>
          <w:p>
            <w:pPr>
              <w:pStyle w:val="Compact"/>
              <w:jc w:val="left"/>
            </w:pPr>
            <w:r>
              <w:t xml:space="preserve">Raikou 2017, PMID 28150423</w:t>
            </w:r>
          </w:p>
        </w:tc>
        <w:tc>
          <w:tcPr/>
          <w:p>
            <w:pPr>
              <w:pStyle w:val="Compact"/>
              <w:jc w:val="left"/>
            </w:pPr>
            <w:r>
              <w:t xml:space="preserve">24 Gesunde, vier Gruppen: Argireline, Tripeptid-10-Citrullin, beide oder keines</w:t>
            </w:r>
          </w:p>
        </w:tc>
        <w:tc>
          <w:tcPr/>
          <w:p>
            <w:pPr>
              <w:pStyle w:val="Compact"/>
              <w:jc w:val="left"/>
            </w:pPr>
            <w:r>
              <w:t xml:space="preserve">60 Tage</w:t>
            </w:r>
          </w:p>
        </w:tc>
        <w:tc>
          <w:tcPr/>
          <w:p>
            <w:pPr>
              <w:pStyle w:val="Compact"/>
              <w:jc w:val="left"/>
            </w:pPr>
            <w:r>
              <w:t xml:space="preserve">Einzelne Faltenparameter und Wasserverlust der Haut besser mit Argireline</w:t>
            </w:r>
          </w:p>
        </w:tc>
      </w:tr>
      <w:tr>
        <w:tc>
          <w:tcPr/>
          <w:p>
            <w:pPr>
              <w:pStyle w:val="Compact"/>
              <w:jc w:val="left"/>
            </w:pPr>
            <w:r>
              <w:t xml:space="preserve">Henseler 2023, PMID 38024099</w:t>
            </w:r>
          </w:p>
        </w:tc>
        <w:tc>
          <w:tcPr/>
          <w:p>
            <w:pPr>
              <w:pStyle w:val="Compact"/>
              <w:jc w:val="left"/>
            </w:pPr>
            <w:r>
              <w:t xml:space="preserve">19 Frauen, Halbseitenvergleich: Hyaluronserum mit vs. ohne Argireline, doppelblind</w:t>
            </w:r>
          </w:p>
        </w:tc>
        <w:tc>
          <w:tcPr/>
          <w:p>
            <w:pPr>
              <w:pStyle w:val="Compact"/>
              <w:jc w:val="left"/>
            </w:pPr>
            <w:r>
              <w:t xml:space="preserve">4 Wochen</w:t>
            </w:r>
          </w:p>
        </w:tc>
        <w:tc>
          <w:tcPr/>
          <w:p>
            <w:pPr>
              <w:pStyle w:val="Compact"/>
              <w:jc w:val="left"/>
            </w:pPr>
            <w:r>
              <w:t xml:space="preserve">Kein signifikanter Unterschied zwischen den Gesichtshälften</w:t>
            </w:r>
          </w:p>
        </w:tc>
      </w:tr>
      <w:tr>
        <w:tc>
          <w:tcPr/>
          <w:p>
            <w:pPr>
              <w:pStyle w:val="Compact"/>
              <w:jc w:val="left"/>
            </w:pPr>
            <w:r>
              <w:t xml:space="preserve">Aruan 2023, PMID 36909866</w:t>
            </w:r>
          </w:p>
        </w:tc>
        <w:tc>
          <w:tcPr/>
          <w:p>
            <w:pPr>
              <w:pStyle w:val="Compact"/>
              <w:jc w:val="left"/>
            </w:pPr>
            <w:r>
              <w:t xml:space="preserve">21 Frauen, Acetyl-Hexapeptid-3 vs. Palmitoyl-Pentapeptid-4 vs. Placebo</w:t>
            </w:r>
          </w:p>
        </w:tc>
        <w:tc>
          <w:tcPr/>
          <w:p>
            <w:pPr>
              <w:pStyle w:val="Compact"/>
              <w:jc w:val="left"/>
            </w:pPr>
            <w:r>
              <w:t xml:space="preserve">8 Wochen</w:t>
            </w:r>
          </w:p>
        </w:tc>
        <w:tc>
          <w:tcPr/>
          <w:p>
            <w:pPr>
              <w:pStyle w:val="Compact"/>
              <w:jc w:val="left"/>
            </w:pPr>
            <w:r>
              <w:t xml:space="preserve">Palmitoyl-Pentapeptid-4 schnitt besser ab als Argireline und Placebo</w:t>
            </w:r>
          </w:p>
        </w:tc>
      </w:tr>
    </w:tbl>
    <w:p>
      <w:pPr>
        <w:pStyle w:val="BodyText"/>
      </w:pPr>
      <w:r>
        <w:rPr>
          <w:bCs/>
          <w:b/>
        </w:rPr>
        <w:t xml:space="preserve">Zur Einordnung der positiven Studien:</w:t>
      </w:r>
    </w:p>
    <w:p>
      <w:pPr>
        <w:numPr>
          <w:ilvl w:val="0"/>
          <w:numId w:val="1317"/>
        </w:numPr>
        <w:pStyle w:val="Compact"/>
      </w:pPr>
      <w:r>
        <w:t xml:space="preserve">Die Erstbeschreibung von 2002 stammt von den Entwicklern und enthält im Abstract weder Teilnehmerzahl noch Kontrollgruppe. Sie testete eine Konzentration von 10 % – weit über dem, was eine US-Sicherheitsbewertung später als ausreichend untersucht ansah (siehe Risiken).</w:t>
      </w:r>
    </w:p>
    <w:p>
      <w:pPr>
        <w:numPr>
          <w:ilvl w:val="0"/>
          <w:numId w:val="1317"/>
        </w:numPr>
        <w:pStyle w:val="Compact"/>
      </w:pPr>
      <w:r>
        <w:t xml:space="preserve">Die chinesische Studie (Wang 2013) ist die größte. Die Gruppen waren ungleich groß (etwa 45 gegenüber 15), die Hauptbewertung war subjektiv, und dieselben klinischen Daten erscheinen zusammen mit Mäuseversuchen in einer weiteren Veröffentlichung derselben Gruppe</w:t>
      </w:r>
      <w:r>
        <w:rPr>
          <w:rStyle w:val="FootnoteReference"/>
        </w:rPr>
        <w:footnoteReference w:id="2505"/>
      </w:r>
      <w:r>
        <w:t xml:space="preserve">. Bei Vergleichen mit dem Ausgangswert zeigte nur die Argireline-Gruppe sinkende Rauigkeitswerte – ein direkter statistischer Vergleich der Gruppen wird im Abstract nicht berichtet.</w:t>
      </w:r>
    </w:p>
    <w:p>
      <w:pPr>
        <w:numPr>
          <w:ilvl w:val="0"/>
          <w:numId w:val="1317"/>
        </w:numPr>
        <w:pStyle w:val="Compact"/>
      </w:pPr>
      <w:r>
        <w:t xml:space="preserve">Die Studie von Raikou hatte nur sechs Teilnehmende pro Gruppe und eine Vielzahl von Einzelvergleichen; einige Unterschiede waren signifikant, andere nicht.</w:t>
      </w:r>
    </w:p>
    <w:p>
      <w:pPr>
        <w:pStyle w:val="FirstParagraph"/>
      </w:pPr>
      <w:r>
        <w:rPr>
          <w:bCs/>
          <w:b/>
        </w:rPr>
        <w:t xml:space="preserve">Die negative Studie:</w:t>
      </w:r>
      <w:r>
        <w:t xml:space="preserve"> </w:t>
      </w:r>
      <w:r>
        <w:t xml:space="preserve">Eine doppelblinde Halbseitenstudie aus einer plastisch-chirurgischen Praxis mit objektiver Kameramessung (Henseler 2023) fand keinen Unterschied zwischen der Gesichtshälfte mit und ohne Argireline. Die Studienverantwortlichen schlossen, dass eine Wirkung nicht nachgewiesen wurde und Argireline nicht als Alternative zu Botulinumtoxin einzustufen ist. Mit 19 Teilnehmerinnen war allerdings auch diese Studie klein.</w:t>
      </w:r>
    </w:p>
    <w:bookmarkStart w:id="2510" w:name="weitere-anwendungen-3"/>
    <w:p>
      <w:pPr>
        <w:pStyle w:val="Heading4"/>
      </w:pPr>
      <w:r>
        <w:t xml:space="preserve">Weitere Anwendungen</w:t>
      </w:r>
    </w:p>
    <w:p>
      <w:pPr>
        <w:numPr>
          <w:ilvl w:val="0"/>
          <w:numId w:val="1318"/>
        </w:numPr>
        <w:pStyle w:val="Compact"/>
      </w:pPr>
      <w:r>
        <w:rPr>
          <w:bCs/>
          <w:b/>
        </w:rPr>
        <w:t xml:space="preserve">Lidkrampf (Blepharospasmus):</w:t>
      </w:r>
      <w:r>
        <w:t xml:space="preserve"> </w:t>
      </w:r>
      <w:r>
        <w:t xml:space="preserve">Bei dieser neurologischen Erkrankung krampfen die Lidmuskeln unwillkürlich; Standardbehandlung ist die Injektion von Botulinumtoxin alle drei Monate. In einer Pilotstudie mit 24 Patientinnen und Patienten sollte eine Argireline-Creme die Wirkdauer der Injektion verlängern. Es gab einen nicht signifikanten Trend (3,7 gegenüber 3,0 Monate bis zur Rückkehr der Beschwerden) und keine relevanten Nebenwirkungen (Lungu 2013, PMID 23146065; registriert als NCT00942851). Eine Folgestudie wurde nach acht Teilnehmenden abgebrochen</w:t>
      </w:r>
      <w:r>
        <w:rPr>
          <w:rStyle w:val="FootnoteReference"/>
        </w:rPr>
        <w:footnoteReference w:id="2506"/>
      </w:r>
      <w:r>
        <w:t xml:space="preserve">.</w:t>
      </w:r>
    </w:p>
    <w:p>
      <w:pPr>
        <w:numPr>
          <w:ilvl w:val="0"/>
          <w:numId w:val="1318"/>
        </w:numPr>
        <w:pStyle w:val="Compact"/>
      </w:pPr>
      <w:r>
        <w:rPr>
          <w:bCs/>
          <w:b/>
        </w:rPr>
        <w:t xml:space="preserve">Mikronadel-Pflaster:</w:t>
      </w:r>
      <w:r>
        <w:t xml:space="preserve"> </w:t>
      </w:r>
      <w:r>
        <w:t xml:space="preserve">In einer koreanischen Halbseitenstudie mit 52 Frauen verbesserte ein Hyaluron-Mikronadelpflaster mit Argireline die Falten stärker als das Pflaster allein</w:t>
      </w:r>
      <w:r>
        <w:rPr>
          <w:rStyle w:val="FootnoteReference"/>
        </w:rPr>
        <w:footnoteReference w:id="2507"/>
      </w:r>
      <w:r>
        <w:t xml:space="preserve">. Hier wird das Peptid durch winzige Nadeln in die Haut gebracht – das Ergebnis ist nicht auf normale Cremes übertragbar.</w:t>
      </w:r>
    </w:p>
    <w:p>
      <w:pPr>
        <w:numPr>
          <w:ilvl w:val="0"/>
          <w:numId w:val="1318"/>
        </w:numPr>
        <w:pStyle w:val="Compact"/>
      </w:pPr>
      <w:r>
        <w:rPr>
          <w:bCs/>
          <w:b/>
        </w:rPr>
        <w:t xml:space="preserve">Kombinationsprodukte:</w:t>
      </w:r>
      <w:r>
        <w:t xml:space="preserve"> </w:t>
      </w:r>
      <w:r>
        <w:t xml:space="preserve">Viele Studien testen Seren, die Argireline zusammen mit Retinol, Hyaluronsäure oder anderen Peptiden enthalten. Ihr Ergebnis lässt sich dem einzelnen Peptid nicht zuordnen.</w:t>
      </w:r>
    </w:p>
    <w:p>
      <w:pPr>
        <w:numPr>
          <w:ilvl w:val="0"/>
          <w:numId w:val="1318"/>
        </w:numPr>
        <w:pStyle w:val="Compact"/>
      </w:pPr>
      <w:r>
        <w:rPr>
          <w:bCs/>
          <w:b/>
        </w:rPr>
        <w:t xml:space="preserve">Registrierte Kleinstudien:</w:t>
      </w:r>
      <w:r>
        <w:t xml:space="preserve"> </w:t>
      </w:r>
      <w:r>
        <w:t xml:space="preserve">Auf ClinicalTrials.gov sind unter anderem eine abgeschlossene Studie zu öliger Haut mit 14 Teilnehmenden</w:t>
      </w:r>
      <w:r>
        <w:rPr>
          <w:rStyle w:val="FootnoteReference"/>
        </w:rPr>
        <w:footnoteReference w:id="2508"/>
      </w:r>
      <w:r>
        <w:t xml:space="preserve"> </w:t>
      </w:r>
      <w:r>
        <w:t xml:space="preserve">und eine als Phase 3 bezeichnete Studie zu Augenfältchen mit 70 Teilnehmenden</w:t>
      </w:r>
      <w:r>
        <w:rPr>
          <w:rStyle w:val="FootnoteReference"/>
        </w:rPr>
        <w:footnoteReference w:id="2509"/>
      </w:r>
      <w:r>
        <w:t xml:space="preserve"> </w:t>
      </w:r>
      <w:r>
        <w:t xml:space="preserve">gelistet; ob Letztere der oben genannten chinesischen Studie entspricht, ließ sich nicht eindeutig klären.</w:t>
      </w:r>
    </w:p>
    <w:bookmarkEnd w:id="2510"/>
    <w:bookmarkEnd w:id="2511"/>
    <w:bookmarkStart w:id="2516" w:name="tier--und-laborstudien-57"/>
    <w:p>
      <w:pPr>
        <w:pStyle w:val="Heading3"/>
      </w:pPr>
      <w:r>
        <w:t xml:space="preserve">Tier- und Laborstudien</w:t>
      </w:r>
    </w:p>
    <w:p>
      <w:pPr>
        <w:numPr>
          <w:ilvl w:val="0"/>
          <w:numId w:val="1319"/>
        </w:numPr>
        <w:pStyle w:val="Compact"/>
      </w:pPr>
      <w:r>
        <w:rPr>
          <w:bCs/>
          <w:b/>
        </w:rPr>
        <w:t xml:space="preserve">Zellversuche:</w:t>
      </w:r>
      <w:r>
        <w:t xml:space="preserve"> </w:t>
      </w:r>
      <w:r>
        <w:t xml:space="preserve">Hemmung der Botenstofffreisetzung und Störung der SNARE-Komplex-Bildung</w:t>
      </w:r>
      <w:r>
        <w:rPr>
          <w:rStyle w:val="FootnoteReference"/>
        </w:rPr>
        <w:footnoteReference w:id="2512"/>
      </w:r>
      <w:r>
        <w:t xml:space="preserve">. In Zellkulturen menschlicher Hautfibroblasten und anderer Zelllinien hemmte Argireline die Zellvermehrung dosisabhängig, allerdings erst in Konzentrationen, die 18- bis 10.000-mal höher lagen als beim Vergleichsstoff Doxorubicin, einem Krebsmedikament</w:t>
      </w:r>
      <w:r>
        <w:rPr>
          <w:rStyle w:val="FootnoteReference"/>
        </w:rPr>
        <w:footnoteReference w:id="2513"/>
      </w:r>
      <w:r>
        <w:t xml:space="preserve">.</w:t>
      </w:r>
    </w:p>
    <w:p>
      <w:pPr>
        <w:numPr>
          <w:ilvl w:val="0"/>
          <w:numId w:val="1319"/>
        </w:numPr>
        <w:pStyle w:val="Compact"/>
      </w:pPr>
      <w:r>
        <w:rPr>
          <w:bCs/>
          <w:b/>
        </w:rPr>
        <w:t xml:space="preserve">Tierversuche:</w:t>
      </w:r>
      <w:r>
        <w:t xml:space="preserve"> </w:t>
      </w:r>
      <w:r>
        <w:t xml:space="preserve">Bei Mäusen mit künstlich beschleunigter Alterung (durch D-Galaktose) nahm unter Argireline der Anteil von Typ-I-Kollagenfasern in der Haut zu</w:t>
      </w:r>
      <w:r>
        <w:rPr>
          <w:rStyle w:val="FootnoteReference"/>
        </w:rPr>
        <w:footnoteReference w:id="2514"/>
      </w:r>
      <w:r>
        <w:t xml:space="preserve">.</w:t>
      </w:r>
    </w:p>
    <w:p>
      <w:pPr>
        <w:numPr>
          <w:ilvl w:val="0"/>
          <w:numId w:val="1319"/>
        </w:numPr>
        <w:pStyle w:val="Compact"/>
      </w:pPr>
      <w:r>
        <w:rPr>
          <w:bCs/>
          <w:b/>
        </w:rPr>
        <w:t xml:space="preserve">Hautdurchlässigkeit:</w:t>
      </w:r>
      <w:r>
        <w:t xml:space="preserve"> </w:t>
      </w:r>
      <w:r>
        <w:t xml:space="preserve">Neben der Studie an Körperspenderhaut</w:t>
      </w:r>
      <w:r>
        <w:rPr>
          <w:rStyle w:val="FootnoteReference"/>
        </w:rPr>
        <w:footnoteReference w:id="2515"/>
      </w:r>
      <w:r>
        <w:t xml:space="preserve"> </w:t>
      </w:r>
      <w:r>
        <w:t xml:space="preserve">untersuchen zahlreiche Laborarbeiten Emulsionen, Mikronadeln, Iontophorese und chemische Abwandlungen, um mehr Wirkstoff in die Haut zu bringen.</w:t>
      </w:r>
    </w:p>
    <w:bookmarkEnd w:id="2516"/>
    <w:bookmarkStart w:id="2519" w:name="risiken-und-nebenwirkungen-57"/>
    <w:p>
      <w:pPr>
        <w:pStyle w:val="Heading3"/>
      </w:pPr>
      <w:r>
        <w:t xml:space="preserve">Risiken und Nebenwirkungen</w:t>
      </w:r>
    </w:p>
    <w:p>
      <w:pPr>
        <w:pStyle w:val="FirstParagraph"/>
      </w:pPr>
      <w:r>
        <w:rPr>
          <w:bCs/>
          <w:b/>
        </w:rPr>
        <w:t xml:space="preserve">Als Creme (belegt):</w:t>
      </w:r>
      <w:r>
        <w:t xml:space="preserve"> </w:t>
      </w:r>
      <w:r>
        <w:t xml:space="preserve">In den Studien wurden keine relevanten Nebenwirkungen beobachtet; Hautreizungen und Allergien sind wie bei jedem Kosmetikbestandteil möglich. Das unabhängige US-Expertengremium für die Sicherheit kosmetischer Inhaltsstoffe (Cosmetic Ingredient Review) kam 2025 zu dem Ergebnis, dass Acetyl-Hexapeptid-8 in den derzeit üblichen Konzentrationen bis 0,005 % sicher ist. Für höhere Konzentrationen reichten die vorliegenden Daten für eine Sicherheitsaussage nicht aus</w:t>
      </w:r>
      <w:r>
        <w:rPr>
          <w:rStyle w:val="FootnoteReference"/>
        </w:rPr>
        <w:footnoteReference w:id="2517"/>
      </w:r>
      <w:r>
        <w:t xml:space="preserve">.</w:t>
      </w:r>
    </w:p>
    <w:p>
      <w:pPr>
        <w:pStyle w:val="BodyText"/>
      </w:pPr>
      <w:r>
        <w:rPr>
          <w:bCs/>
          <w:b/>
        </w:rPr>
        <w:t xml:space="preserve">Als Injektion:</w:t>
      </w:r>
      <w:r>
        <w:t xml:space="preserve"> </w:t>
      </w:r>
      <w:r>
        <w:t xml:space="preserve">Argireline wird teils auch in die Haut gespritzt, etwa in Kosmetikstudios oder über Graumarktprodukte. Dafür gibt es keine Zulassung und keine Studien. Ein Fallbericht beschreibt eine 45-jährige Frau, bei der nach Argireline-Injektionen in Stirn und Schläfen Rötungen, Knoten und Abszesse auftraten; Ursache war eine Infektion mit dem schwer behandelbaren Bakterium</w:t>
      </w:r>
      <w:r>
        <w:t xml:space="preserve"> </w:t>
      </w:r>
      <w:r>
        <w:rPr>
          <w:iCs/>
          <w:i/>
        </w:rPr>
        <w:t xml:space="preserve">Mycobacterium abscessus</w:t>
      </w:r>
      <w:r>
        <w:t xml:space="preserve">, die eine fünfmonatige Antibiotikatherapie erforderte</w:t>
      </w:r>
      <w:r>
        <w:rPr>
          <w:rStyle w:val="FootnoteReference"/>
        </w:rPr>
        <w:footnoteReference w:id="2518"/>
      </w:r>
      <w:r>
        <w:t xml:space="preserve">. Das Risiko liegt hier weniger im Peptid selbst als in unsterilen Produkten und Verfahren.</w:t>
      </w:r>
    </w:p>
    <w:p>
      <w:pPr>
        <w:pStyle w:val="BodyText"/>
      </w:pPr>
      <w:r>
        <w:rPr>
          <w:bCs/>
          <w:b/>
        </w:rPr>
        <w:t xml:space="preserve">Theoretisch:</w:t>
      </w:r>
      <w:r>
        <w:t xml:space="preserve"> </w:t>
      </w:r>
      <w:r>
        <w:t xml:space="preserve">Würde Argireline in nennenswerter Menge an Nerv-Muskel-Verbindungen gelangen, wären – wie bei Botulinumtoxin – unerwünschte Muskelschwächen denkbar. Dafür gibt es bei äußerlicher Anwendung keine Hinweise.</w:t>
      </w:r>
    </w:p>
    <w:bookmarkEnd w:id="2519"/>
    <w:bookmarkStart w:id="2520" w:name="rechtslage-57"/>
    <w:p>
      <w:pPr>
        <w:pStyle w:val="Heading3"/>
      </w:pPr>
      <w:r>
        <w:t xml:space="preserve">Rechtslage</w:t>
      </w:r>
    </w:p>
    <w:p>
      <w:pPr>
        <w:numPr>
          <w:ilvl w:val="0"/>
          <w:numId w:val="1320"/>
        </w:numPr>
        <w:pStyle w:val="Compact"/>
      </w:pPr>
      <w:r>
        <w:rPr>
          <w:bCs/>
          <w:b/>
        </w:rPr>
        <w:t xml:space="preserve">EU / Österreich / Deutschland:</w:t>
      </w:r>
      <w:r>
        <w:t xml:space="preserve"> </w:t>
      </w:r>
      <w:r>
        <w:t xml:space="preserve">Acetyl-Hexapeptid-8 ist ein zulässiger kosmetischer Inhaltsstoff nach der EU-Kosmetikverordnung (Verordnung (EG) Nr. 1223/2009). Werbeaussagen müssen nach der Verordnung (EU) Nr. 655/2013 belegbar sein. Vergleiche mit Botulinumtoxin („wie Botox“) sind irreführend, wenn sie eine vergleichbare Wirkung nahelegen. Eine Injektion ist keine kosmetische Anwendung; ein zur Injektion bestimmtes Produkt wäre ein nicht zugelassenes Arzneimittel bzw. Medizinprodukt und darf so nicht vertrieben werden.</w:t>
      </w:r>
    </w:p>
    <w:p>
      <w:pPr>
        <w:numPr>
          <w:ilvl w:val="0"/>
          <w:numId w:val="1320"/>
        </w:numPr>
        <w:pStyle w:val="Compact"/>
      </w:pPr>
      <w:r>
        <w:rPr>
          <w:bCs/>
          <w:b/>
        </w:rPr>
        <w:t xml:space="preserve">USA:</w:t>
      </w:r>
      <w:r>
        <w:t xml:space="preserve"> </w:t>
      </w:r>
      <w:r>
        <w:t xml:space="preserve">kosmetischer Inhaltsstoff ohne Vorabprüfung durch die FDA; Aussagen, die eine Muskelwirkung versprechen, können ein Produkt rechtlich zum Arzneimittel machen.</w:t>
      </w:r>
    </w:p>
    <w:p>
      <w:pPr>
        <w:numPr>
          <w:ilvl w:val="0"/>
          <w:numId w:val="1320"/>
        </w:numPr>
        <w:pStyle w:val="Compact"/>
      </w:pPr>
      <w:r>
        <w:rPr>
          <w:bCs/>
          <w:b/>
        </w:rPr>
        <w:t xml:space="preserve">Sport:</w:t>
      </w:r>
      <w:r>
        <w:t xml:space="preserve"> </w:t>
      </w:r>
      <w:r>
        <w:t xml:space="preserve">ohne Bedeutung (Stand 2026, bitte aktuell prüfen).</w:t>
      </w:r>
    </w:p>
    <w:bookmarkEnd w:id="2520"/>
    <w:bookmarkStart w:id="2521" w:name="laufende-studien-und-ausblick-57"/>
    <w:p>
      <w:pPr>
        <w:pStyle w:val="Heading3"/>
      </w:pPr>
      <w:r>
        <w:t xml:space="preserve">Laufende Studien und Ausblick</w:t>
      </w:r>
    </w:p>
    <w:p>
      <w:pPr>
        <w:pStyle w:val="FirstParagraph"/>
      </w:pPr>
      <w:r>
        <w:rPr>
          <w:bCs/>
          <w:b/>
        </w:rPr>
        <w:t xml:space="preserve">Gesichert:</w:t>
      </w:r>
      <w:r>
        <w:t xml:space="preserve"> </w:t>
      </w:r>
      <w:r>
        <w:t xml:space="preserve">Auf ClinicalTrials.gov ist (Stand Oktober 2026) keine laufende Studie mit Acetyl-Hexapeptid-8 als Einzelwirkstoff verzeichnet; die gelisteten Einträge sind abgeschlossen oder abgebrochen. Kosmetische Wirksamkeitsstudien werden selten registriert.</w:t>
      </w:r>
    </w:p>
    <w:p>
      <w:pPr>
        <w:pStyle w:val="BodyText"/>
      </w:pPr>
      <w:r>
        <w:rPr>
          <w:bCs/>
          <w:b/>
        </w:rPr>
        <w:t xml:space="preserve">Einschätzung:</w:t>
      </w:r>
      <w:r>
        <w:t xml:space="preserve"> </w:t>
      </w:r>
      <w:r>
        <w:t xml:space="preserve">Argireline ist ein Beispiel für ein rational entworfenes Peptid, dessen Laborbefund überzeugend ist, dessen Weg zum Wirkort aber ungelöst bleibt. Die Forschung konzentriert sich daher auf Transportsysteme wie Mikronadeln und Nanoträger. Ob diese einen Effekt erreichen, der für Anwenderinnen und Anwender sichtbar ist und über den eines guten Feuchtigkeitsprodukts hinausgeht, müssen größere, unabhängige Studien zeigen. Eine echte Alternative zu Botulinumtoxin ist nach heutigem Wissen nicht zu erwarten.</w:t>
      </w:r>
    </w:p>
    <w:bookmarkEnd w:id="2521"/>
    <w:bookmarkStart w:id="2522" w:name="fazit-57"/>
    <w:p>
      <w:pPr>
        <w:pStyle w:val="Heading3"/>
      </w:pPr>
      <w:r>
        <w:t xml:space="preserve">Fazit</w:t>
      </w:r>
    </w:p>
    <w:p>
      <w:pPr>
        <w:pStyle w:val="FirstParagraph"/>
      </w:pPr>
      <w:r>
        <w:t xml:space="preserve">Acetyl-Hexapeptid-8 ist ein synthetisches Peptid, das im Labor die Freisetzung von Botenstoffen an Nervenzellen ähnlich wie Botulinumtoxin, aber wesentlich schwächer hemmt. Aus Cremes dringt es kaum in die Haut ein; in einem Laborversuch blieb es fast vollständig in den oberflächlichen Schichten. Kleine, kurze Studien – teils von den Entwicklern, teils mit Kombinationsprodukten – berichten weniger Fältchen; eine verblindete Halbseitenstudie mit objektiver Messung fand dagegen keinen Unterschied. Als Creme gilt es in üblichen Konzentrationen als sicher; Injektionen sind weder untersucht noch zugelassen und können zu schweren Infektionen führen. Der Werbebegriff „Botox aus der Tube“ ist durch die Daten nicht gedeckt.</w:t>
      </w:r>
    </w:p>
    <w:bookmarkEnd w:id="2522"/>
    <w:bookmarkEnd w:id="2523"/>
    <w:bookmarkEnd w:id="2524"/>
    <w:bookmarkStart w:id="2603" w:name="teil-iii-der-große-vergleich"/>
    <w:p>
      <w:pPr>
        <w:pStyle w:val="Heading1"/>
      </w:pPr>
      <w:r>
        <w:t xml:space="preserve">Teil III – Der große Vergleich</w:t>
      </w:r>
    </w:p>
    <w:p>
      <w:pPr>
        <w:pStyle w:val="FirstParagraph"/>
      </w:pPr>
      <w:r>
        <w:t xml:space="preserve">In Teil II wurde jedes Peptid einzeln betrachtet. Dieser Teil legt die Ergebnisse nebeneinander und beantwortet drei Fragen: Wie gut ist ein Peptid im Vergleich zu den anderen untersucht? Wie schneiden die Abnehm- und Diabetesmedikamente gegeneinander ab? Und was bleibt von den Versprechen aus dem Internet, wenn man nur Studien am Menschen gelten lässt?</w:t>
      </w:r>
    </w:p>
    <w:p>
      <w:pPr>
        <w:pStyle w:val="BodyText"/>
      </w:pPr>
      <w:r>
        <w:t xml:space="preserve">Die Tabellen sind Verdichtungen. Quellen und Einschränkungen jeder Zahl stehen in den Kapiteln von Teil II. Alle Angaben zu Zulassung und Dopingstatus geben den Stand 2026 wieder und sollten aktuell geprüft werden.</w:t>
      </w:r>
    </w:p>
    <w:bookmarkStart w:id="2537" w:name="alle-peptide-auf-einen-blick"/>
    <w:p>
      <w:pPr>
        <w:pStyle w:val="Heading2"/>
      </w:pPr>
      <w:r>
        <w:t xml:space="preserve">Alle Peptide auf einen Blick</w:t>
      </w:r>
    </w:p>
    <w:bookmarkStart w:id="2525" w:name="so-liest-du-die-tabellen"/>
    <w:p>
      <w:pPr>
        <w:pStyle w:val="Heading3"/>
      </w:pPr>
      <w:r>
        <w:t xml:space="preserve">So liest du die Tabellen</w:t>
      </w:r>
    </w:p>
    <w:p>
      <w:pPr>
        <w:pStyle w:val="FirstParagraph"/>
      </w:pPr>
      <w:r>
        <w:t xml:space="preserve">Für jede Gruppe aus Teil II folgen zwei Tabellen: die erste mit Evidenzstufe, Zulassung und Größenordnung der Studienlage, die zweite mit dem wichtigsten Studienergebnis und dem Hauptrisiko.</w:t>
      </w:r>
    </w:p>
    <w:p>
      <w:pPr>
        <w:pStyle w:val="BodyText"/>
      </w:pPr>
      <w:r>
        <w:rPr>
          <w:bCs/>
          <w:b/>
        </w:rPr>
        <w:t xml:space="preserve">Evidenzstufe</w:t>
      </w:r>
      <w:r>
        <w:t xml:space="preserve"> </w:t>
      </w:r>
      <w:r>
        <w:t xml:space="preserve">(wie in Teil II):</w:t>
      </w:r>
    </w:p>
    <w:p>
      <w:pPr>
        <w:numPr>
          <w:ilvl w:val="0"/>
          <w:numId w:val="1321"/>
        </w:numPr>
        <w:pStyle w:val="Compact"/>
      </w:pPr>
      <w:r>
        <w:rPr>
          <w:bCs/>
          <w:b/>
        </w:rPr>
        <w:t xml:space="preserve">A</w:t>
      </w:r>
      <w:r>
        <w:t xml:space="preserve">: mehrere große randomisierte Studien am Menschen, meist mit Zulassung</w:t>
      </w:r>
    </w:p>
    <w:p>
      <w:pPr>
        <w:numPr>
          <w:ilvl w:val="0"/>
          <w:numId w:val="1321"/>
        </w:numPr>
        <w:pStyle w:val="Compact"/>
      </w:pPr>
      <w:r>
        <w:rPr>
          <w:bCs/>
          <w:b/>
        </w:rPr>
        <w:t xml:space="preserve">B</w:t>
      </w:r>
      <w:r>
        <w:t xml:space="preserve">: einzelne randomisierte Studien am Menschen</w:t>
      </w:r>
    </w:p>
    <w:p>
      <w:pPr>
        <w:numPr>
          <w:ilvl w:val="0"/>
          <w:numId w:val="1321"/>
        </w:numPr>
        <w:pStyle w:val="Compact"/>
      </w:pPr>
      <w:r>
        <w:rPr>
          <w:bCs/>
          <w:b/>
        </w:rPr>
        <w:t xml:space="preserve">C</w:t>
      </w:r>
      <w:r>
        <w:t xml:space="preserve">: nur kleine oder unkontrollierte Humanstudien</w:t>
      </w:r>
    </w:p>
    <w:p>
      <w:pPr>
        <w:numPr>
          <w:ilvl w:val="0"/>
          <w:numId w:val="1321"/>
        </w:numPr>
        <w:pStyle w:val="Compact"/>
      </w:pPr>
      <w:r>
        <w:rPr>
          <w:bCs/>
          <w:b/>
        </w:rPr>
        <w:t xml:space="preserve">D</w:t>
      </w:r>
      <w:r>
        <w:t xml:space="preserve">: nur Tier- und Laborstudien</w:t>
      </w:r>
    </w:p>
    <w:p>
      <w:pPr>
        <w:pStyle w:val="FirstParagraph"/>
      </w:pPr>
      <w:r>
        <w:t xml:space="preserve">Die Stufe beschreibt,</w:t>
      </w:r>
      <w:r>
        <w:t xml:space="preserve"> </w:t>
      </w:r>
      <w:r>
        <w:rPr>
          <w:iCs/>
          <w:i/>
        </w:rPr>
        <w:t xml:space="preserve">wie gut</w:t>
      </w:r>
      <w:r>
        <w:t xml:space="preserve"> </w:t>
      </w:r>
      <w:r>
        <w:t xml:space="preserve">etwas untersucht ist, nicht,</w:t>
      </w:r>
      <w:r>
        <w:t xml:space="preserve"> </w:t>
      </w:r>
      <w:r>
        <w:rPr>
          <w:iCs/>
          <w:i/>
        </w:rPr>
        <w:t xml:space="preserve">ob</w:t>
      </w:r>
      <w:r>
        <w:t xml:space="preserve"> </w:t>
      </w:r>
      <w:r>
        <w:t xml:space="preserve">es wirkt – und gilt nur für die untersuchte Anwendung.</w:t>
      </w:r>
    </w:p>
    <w:p>
      <w:pPr>
        <w:pStyle w:val="BodyText"/>
      </w:pPr>
      <w:r>
        <w:rPr>
          <w:bCs/>
          <w:b/>
        </w:rPr>
        <w:t xml:space="preserve">Humanstudien / Register:</w:t>
      </w:r>
      <w:r>
        <w:t xml:space="preserve"> </w:t>
      </w:r>
      <w:r>
        <w:t xml:space="preserve">Die Zahlen stammen aus der automatisierten Abfrage für dieses Buch (Oktober 2026, Methodik im Anhang): als Humanstudie eingeordnete Veröffentlichungen in PubMed und Einträge im Studienregister ClinicalTrials.gov. Sie zeigen nur die Größenordnung, hängen stark vom Suchbegriff ab und enthalten teils fachfremde Treffer, während ältere Arbeiten unter anderen Namen fehlen können. Wo eine Zahl deutlich in die Irre führt, ist sie mit „(Anm.)“ markiert und unter der Tabelle erläutert. Registereinträge eines Sponsors, dessen Einträge sich bei der Prüfung als offenbar fiktive Beispiel- oder Testeinträge erwiesen, sind nicht mitgezählt.</w:t>
      </w:r>
    </w:p>
    <w:bookmarkEnd w:id="2525"/>
    <w:bookmarkStart w:id="2526" w:name="a.-stoffwechsel-und-gewicht"/>
    <w:p>
      <w:pPr>
        <w:pStyle w:val="Heading3"/>
      </w:pPr>
      <w:r>
        <w:t xml:space="preserve">A. Stoffwechsel und Gewicht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437 / 379</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ja / ja (auch Generika)</w:t>
            </w:r>
          </w:p>
        </w:tc>
        <w:tc>
          <w:tcPr/>
          <w:p>
            <w:pPr>
              <w:pStyle w:val="Compact"/>
              <w:jc w:val="left"/>
            </w:pPr>
            <w:r>
              <w:t xml:space="preserve">613 / 517</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158 / 143</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ja / ja (Spritze und Tablette)</w:t>
            </w:r>
          </w:p>
        </w:tc>
        <w:tc>
          <w:tcPr/>
          <w:p>
            <w:pPr>
              <w:pStyle w:val="Compact"/>
              <w:jc w:val="left"/>
            </w:pPr>
            <w:r>
              <w:t xml:space="preserve">342 / 793</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144 / 307</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32</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29</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nein / nein (nur China, 2025)</w:t>
            </w:r>
          </w:p>
        </w:tc>
        <w:tc>
          <w:tcPr/>
          <w:p>
            <w:pPr>
              <w:pStyle w:val="Compact"/>
              <w:jc w:val="left"/>
            </w:pPr>
            <w:r>
              <w:t xml:space="preserve">9 / 44</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 (Anm.)</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28</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nein / ja</w:t>
            </w:r>
          </w:p>
        </w:tc>
        <w:tc>
          <w:tcPr/>
          <w:p>
            <w:pPr>
              <w:pStyle w:val="Compact"/>
              <w:jc w:val="left"/>
            </w:pPr>
            <w:r>
              <w:t xml:space="preserve">76 / 64</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ja / ja (seltene genetische Formen)</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Orforglipron (kein Peptid)</w:t>
            </w:r>
          </w:p>
        </w:tc>
        <w:tc>
          <w:tcPr/>
          <w:p>
            <w:pPr>
              <w:pStyle w:val="Compact"/>
              <w:jc w:val="left"/>
            </w:pPr>
            <w:r>
              <w:t xml:space="preserve">A</w:t>
            </w:r>
          </w:p>
        </w:tc>
        <w:tc>
          <w:tcPr/>
          <w:p>
            <w:pPr>
              <w:pStyle w:val="Compact"/>
              <w:jc w:val="left"/>
            </w:pPr>
            <w:r>
              <w:t xml:space="preserve">nein / Antrag gestellt (bitte prüfen)</w:t>
            </w:r>
          </w:p>
        </w:tc>
        <w:tc>
          <w:tcPr/>
          <w:p>
            <w:pPr>
              <w:pStyle w:val="Compact"/>
              <w:jc w:val="left"/>
            </w:pPr>
            <w:r>
              <w:t xml:space="preserve">20 / 53</w:t>
            </w:r>
          </w:p>
        </w:tc>
      </w:tr>
    </w:tbl>
    <w:p>
      <w:pPr>
        <w:pStyle w:val="BodyText"/>
      </w:pPr>
      <w:r>
        <w:t xml:space="preserve">Anmerkung zur Tabelle: Bei</w:t>
      </w:r>
      <w:r>
        <w:t xml:space="preserve"> </w:t>
      </w:r>
      <w:r>
        <w:rPr>
          <w:bCs/>
          <w:b/>
        </w:rPr>
        <w:t xml:space="preserve">Amycretin</w:t>
      </w:r>
      <w:r>
        <w:t xml:space="preserve"> </w:t>
      </w:r>
      <w:r>
        <w:t xml:space="preserve">fand die Registersuche nur einen Eintrag; unter dem Namen Zenagamtid und dem Entwicklungscode sind rund 30 Studien registriert, darunter das 2026 begonnene Phase-3-Programm. Bei</w:t>
      </w:r>
      <w:r>
        <w:t xml:space="preserve"> </w:t>
      </w:r>
      <w:r>
        <w:rPr>
          <w:bCs/>
          <w:b/>
        </w:rPr>
        <w:t xml:space="preserve">Mazdutid</w:t>
      </w:r>
      <w:r>
        <w:t xml:space="preserve"> </w:t>
      </w:r>
      <w:r>
        <w:t xml:space="preserve">stammen die Studien fast nur aus China; bei</w:t>
      </w:r>
      <w:r>
        <w:t xml:space="preserve"> </w:t>
      </w:r>
      <w:r>
        <w:rPr>
          <w:bCs/>
          <w:b/>
        </w:rPr>
        <w:t xml:space="preserve">Orforglipron</w:t>
      </w:r>
      <w:r>
        <w:t xml:space="preserve"> </w:t>
      </w:r>
      <w:r>
        <w:t xml:space="preserve">stand die Zulassung bei Redaktionsschluss aus.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Exenatid</w:t>
            </w:r>
          </w:p>
        </w:tc>
        <w:tc>
          <w:tcPr/>
          <w:p>
            <w:pPr>
              <w:pStyle w:val="Compact"/>
              <w:jc w:val="left"/>
            </w:pPr>
            <w:r>
              <w:t xml:space="preserve">EXSCEL: Herz-Kreislauf-Risiko nicht erhöht, aber auch nicht signifikant gesenkt (HR 0,91; PMID 28910237)</w:t>
            </w:r>
          </w:p>
        </w:tc>
        <w:tc>
          <w:tcPr/>
          <w:p>
            <w:pPr>
              <w:pStyle w:val="Compact"/>
              <w:jc w:val="left"/>
            </w:pPr>
            <w:r>
              <w:t xml:space="preserve">Übelkeit, Knötchen, Antikörper</w:t>
            </w:r>
          </w:p>
        </w:tc>
      </w:tr>
      <w:tr>
        <w:tc>
          <w:tcPr/>
          <w:p>
            <w:pPr>
              <w:pStyle w:val="Compact"/>
              <w:jc w:val="left"/>
            </w:pPr>
            <w:r>
              <w:t xml:space="preserve">Liraglutid</w:t>
            </w:r>
          </w:p>
        </w:tc>
        <w:tc>
          <w:tcPr/>
          <w:p>
            <w:pPr>
              <w:pStyle w:val="Compact"/>
              <w:jc w:val="left"/>
            </w:pPr>
            <w:r>
              <w:t xml:space="preserve">LEADER: 13 % weniger Herz-Kreislauf-Ereignisse (PMID 27295427); SCALE: −8,4 vs. −2,8 kg (PMID 26132939)</w:t>
            </w:r>
          </w:p>
        </w:tc>
        <w:tc>
          <w:tcPr/>
          <w:p>
            <w:pPr>
              <w:pStyle w:val="Compact"/>
              <w:jc w:val="left"/>
            </w:pPr>
            <w:r>
              <w:t xml:space="preserve">Magen-Darm-Beschwerden, Gallenblase</w:t>
            </w:r>
          </w:p>
        </w:tc>
      </w:tr>
      <w:tr>
        <w:tc>
          <w:tcPr/>
          <w:p>
            <w:pPr>
              <w:pStyle w:val="Compact"/>
              <w:jc w:val="left"/>
            </w:pPr>
            <w:r>
              <w:t xml:space="preserve">Dulaglutid</w:t>
            </w:r>
          </w:p>
        </w:tc>
        <w:tc>
          <w:tcPr/>
          <w:p>
            <w:pPr>
              <w:pStyle w:val="Compact"/>
              <w:jc w:val="left"/>
            </w:pPr>
            <w:r>
              <w:t xml:space="preserve">REWIND: 12 % weniger schwere Herz-Kreislauf-Ereignisse bei 9.901 Teilnehmenden (PMID 31189511)</w:t>
            </w:r>
          </w:p>
        </w:tc>
        <w:tc>
          <w:tcPr/>
          <w:p>
            <w:pPr>
              <w:pStyle w:val="Compact"/>
              <w:jc w:val="left"/>
            </w:pPr>
            <w:r>
              <w:t xml:space="preserve">Magen-Darm; Unterzuckerung in Kombination</w:t>
            </w:r>
          </w:p>
        </w:tc>
      </w:tr>
      <w:tr>
        <w:tc>
          <w:tcPr/>
          <w:p>
            <w:pPr>
              <w:pStyle w:val="Compact"/>
              <w:jc w:val="left"/>
            </w:pPr>
            <w:r>
              <w:t xml:space="preserve">Semaglutid</w:t>
            </w:r>
          </w:p>
        </w:tc>
        <w:tc>
          <w:tcPr/>
          <w:p>
            <w:pPr>
              <w:pStyle w:val="Compact"/>
              <w:jc w:val="left"/>
            </w:pPr>
            <w:r>
              <w:t xml:space="preserve">STEP 1: −14,9 % vs. −2,4 % (PMID 33567185); SELECT: 20 % weniger Herz-Kreislauf-Ereignisse (PMID 37952131)</w:t>
            </w:r>
          </w:p>
        </w:tc>
        <w:tc>
          <w:tcPr/>
          <w:p>
            <w:pPr>
              <w:pStyle w:val="Compact"/>
              <w:jc w:val="left"/>
            </w:pPr>
            <w:r>
              <w:t xml:space="preserve">Magen-Darm, Gallenblase, seltenes NAION-Signal, Fälschungen</w:t>
            </w:r>
          </w:p>
        </w:tc>
      </w:tr>
      <w:tr>
        <w:tc>
          <w:tcPr/>
          <w:p>
            <w:pPr>
              <w:pStyle w:val="Compact"/>
              <w:jc w:val="left"/>
            </w:pPr>
            <w:r>
              <w:t xml:space="preserve">Tirzepatid</w:t>
            </w:r>
          </w:p>
        </w:tc>
        <w:tc>
          <w:tcPr/>
          <w:p>
            <w:pPr>
              <w:pStyle w:val="Compact"/>
              <w:jc w:val="left"/>
            </w:pPr>
            <w:r>
              <w:t xml:space="preserve">SURMOUNT-5: −20,2 % vs. −13,7 % unter Semaglutid (PMID 40353578)</w:t>
            </w:r>
          </w:p>
        </w:tc>
        <w:tc>
          <w:tcPr/>
          <w:p>
            <w:pPr>
              <w:pStyle w:val="Compact"/>
              <w:jc w:val="left"/>
            </w:pPr>
            <w:r>
              <w:t xml:space="preserve">Magen-Darm, Gallenwege; Wiederzunahme nach Absetzen</w:t>
            </w:r>
          </w:p>
        </w:tc>
      </w:tr>
      <w:tr>
        <w:tc>
          <w:tcPr/>
          <w:p>
            <w:pPr>
              <w:pStyle w:val="Compact"/>
              <w:jc w:val="left"/>
            </w:pPr>
            <w:r>
              <w:t xml:space="preserve">Retatrutid</w:t>
            </w:r>
          </w:p>
        </w:tc>
        <w:tc>
          <w:tcPr/>
          <w:p>
            <w:pPr>
              <w:pStyle w:val="Compact"/>
              <w:jc w:val="left"/>
            </w:pPr>
            <w:r>
              <w:t xml:space="preserve">TRIUMPH-1: bis −25,0 % vs. −3,9 % nach 80 Wochen (PMID 42814954)</w:t>
            </w:r>
          </w:p>
        </w:tc>
        <w:tc>
          <w:tcPr/>
          <w:p>
            <w:pPr>
              <w:pStyle w:val="Compact"/>
              <w:jc w:val="left"/>
            </w:pPr>
            <w:r>
              <w:t xml:space="preserve">Magen-Darm, Hautmissempfindungen, mehr Abbrüche bei hoher Dosis</w:t>
            </w:r>
          </w:p>
        </w:tc>
      </w:tr>
      <w:tr>
        <w:tc>
          <w:tcPr/>
          <w:p>
            <w:pPr>
              <w:pStyle w:val="Compact"/>
              <w:jc w:val="left"/>
            </w:pPr>
            <w:r>
              <w:t xml:space="preserve">Survodutid</w:t>
            </w:r>
          </w:p>
        </w:tc>
        <w:tc>
          <w:tcPr/>
          <w:p>
            <w:pPr>
              <w:pStyle w:val="Compact"/>
              <w:jc w:val="left"/>
            </w:pPr>
            <w:r>
              <w:t xml:space="preserve">SYNCHRONIZE-1: bis −13,0 % vs. −5,4 % nach 76 Wochen (PMID 42253238)</w:t>
            </w:r>
          </w:p>
        </w:tc>
        <w:tc>
          <w:tcPr/>
          <w:p>
            <w:pPr>
              <w:pStyle w:val="Compact"/>
              <w:jc w:val="left"/>
            </w:pPr>
            <w:r>
              <w:t xml:space="preserve">sehr häufig Magen-Darm-Beschwerden</w:t>
            </w:r>
          </w:p>
        </w:tc>
      </w:tr>
      <w:tr>
        <w:tc>
          <w:tcPr/>
          <w:p>
            <w:pPr>
              <w:pStyle w:val="Compact"/>
              <w:jc w:val="left"/>
            </w:pPr>
            <w:r>
              <w:t xml:space="preserve">Mazdutid</w:t>
            </w:r>
          </w:p>
        </w:tc>
        <w:tc>
          <w:tcPr/>
          <w:p>
            <w:pPr>
              <w:pStyle w:val="Compact"/>
              <w:jc w:val="left"/>
            </w:pPr>
            <w:r>
              <w:t xml:space="preserve">GLORY-1: bis −14,0 % vs. +0,3 % nach 48 Wochen (PMID 40421736)</w:t>
            </w:r>
          </w:p>
        </w:tc>
        <w:tc>
          <w:tcPr/>
          <w:p>
            <w:pPr>
              <w:pStyle w:val="Compact"/>
              <w:jc w:val="left"/>
            </w:pPr>
            <w:r>
              <w:t xml:space="preserve">Magen-Darm, vor allem Erbrechen</w:t>
            </w:r>
          </w:p>
        </w:tc>
      </w:tr>
      <w:tr>
        <w:tc>
          <w:tcPr/>
          <w:p>
            <w:pPr>
              <w:pStyle w:val="Compact"/>
              <w:jc w:val="left"/>
            </w:pPr>
            <w:r>
              <w:t xml:space="preserve">Cagrilintid / CagriSema</w:t>
            </w:r>
          </w:p>
        </w:tc>
        <w:tc>
          <w:tcPr/>
          <w:p>
            <w:pPr>
              <w:pStyle w:val="Compact"/>
              <w:jc w:val="left"/>
            </w:pPr>
            <w:r>
              <w:t xml:space="preserve">REDEFINE 1: −20,4 % vs. −3,0 % nach 68 Wochen (PMID 40544433)</w:t>
            </w:r>
          </w:p>
        </w:tc>
        <w:tc>
          <w:tcPr/>
          <w:p>
            <w:pPr>
              <w:pStyle w:val="Compact"/>
              <w:jc w:val="left"/>
            </w:pPr>
            <w:r>
              <w:t xml:space="preserve">Magen-Darm-Beschwerden bei rund 80 %</w:t>
            </w:r>
          </w:p>
        </w:tc>
      </w:tr>
      <w:tr>
        <w:tc>
          <w:tcPr/>
          <w:p>
            <w:pPr>
              <w:pStyle w:val="Compact"/>
              <w:jc w:val="left"/>
            </w:pPr>
            <w:r>
              <w:t xml:space="preserve">Amycretin</w:t>
            </w:r>
          </w:p>
        </w:tc>
        <w:tc>
          <w:tcPr/>
          <w:p>
            <w:pPr>
              <w:pStyle w:val="Compact"/>
              <w:jc w:val="left"/>
            </w:pPr>
            <w:r>
              <w:t xml:space="preserve">Phase 1b/2a: bis −24,3 % vs. −1,1 % nach 36 Wochen (PMID 40550231)</w:t>
            </w:r>
          </w:p>
        </w:tc>
        <w:tc>
          <w:tcPr/>
          <w:p>
            <w:pPr>
              <w:pStyle w:val="Compact"/>
              <w:jc w:val="left"/>
            </w:pPr>
            <w:r>
              <w:t xml:space="preserve">Magen-Darm; Langzeitfolgen unbekannt</w:t>
            </w:r>
          </w:p>
        </w:tc>
      </w:tr>
      <w:tr>
        <w:tc>
          <w:tcPr/>
          <w:p>
            <w:pPr>
              <w:pStyle w:val="Compact"/>
              <w:jc w:val="left"/>
            </w:pPr>
            <w:r>
              <w:t xml:space="preserve">Maridebart Cafraglutid</w:t>
            </w:r>
          </w:p>
        </w:tc>
        <w:tc>
          <w:tcPr/>
          <w:p>
            <w:pPr>
              <w:pStyle w:val="Compact"/>
              <w:jc w:val="left"/>
            </w:pPr>
            <w:r>
              <w:t xml:space="preserve">Phase 2: −12,3 bis −16,2 % vs. −2,5 % nach 52 Wochen (PMID 40549887)</w:t>
            </w:r>
          </w:p>
        </w:tc>
        <w:tc>
          <w:tcPr/>
          <w:p>
            <w:pPr>
              <w:pStyle w:val="Compact"/>
              <w:jc w:val="left"/>
            </w:pPr>
            <w:r>
              <w:t xml:space="preserve">Magen-Darm; sehr lange Wirkdauer</w:t>
            </w:r>
          </w:p>
        </w:tc>
      </w:tr>
      <w:tr>
        <w:tc>
          <w:tcPr/>
          <w:p>
            <w:pPr>
              <w:pStyle w:val="Compact"/>
              <w:jc w:val="left"/>
            </w:pPr>
            <w:r>
              <w:t xml:space="preserve">Pramlintid</w:t>
            </w:r>
          </w:p>
        </w:tc>
        <w:tc>
          <w:tcPr/>
          <w:p>
            <w:pPr>
              <w:pStyle w:val="Compact"/>
              <w:jc w:val="left"/>
            </w:pPr>
            <w:r>
              <w:t xml:space="preserve">HbA1c −0,62 Prozentpunkte, Gewicht −1,4 kg (PMID 12610038)</w:t>
            </w:r>
          </w:p>
        </w:tc>
        <w:tc>
          <w:tcPr/>
          <w:p>
            <w:pPr>
              <w:pStyle w:val="Compact"/>
              <w:jc w:val="left"/>
            </w:pPr>
            <w:r>
              <w:t xml:space="preserve">schwere Unterzuckerung mit Insulin, Übelkeit</w:t>
            </w:r>
          </w:p>
        </w:tc>
      </w:tr>
      <w:tr>
        <w:tc>
          <w:tcPr/>
          <w:p>
            <w:pPr>
              <w:pStyle w:val="Compact"/>
              <w:jc w:val="left"/>
            </w:pPr>
            <w:r>
              <w:t xml:space="preserve">Setmelanotid</w:t>
            </w:r>
          </w:p>
        </w:tc>
        <w:tc>
          <w:tcPr/>
          <w:p>
            <w:pPr>
              <w:pStyle w:val="Compact"/>
              <w:jc w:val="left"/>
            </w:pPr>
            <w:r>
              <w:t xml:space="preserve">TRANSCEND: BMI −16,5 % vs. +3,3 % bei hypothalamischer Adipositas (PMID 42418774)</w:t>
            </w:r>
          </w:p>
        </w:tc>
        <w:tc>
          <w:tcPr/>
          <w:p>
            <w:pPr>
              <w:pStyle w:val="Compact"/>
              <w:jc w:val="left"/>
            </w:pPr>
            <w:r>
              <w:t xml:space="preserve">Einstichstellen, Hautverdunklung, Übelkeit</w:t>
            </w:r>
          </w:p>
        </w:tc>
      </w:tr>
      <w:tr>
        <w:tc>
          <w:tcPr/>
          <w:p>
            <w:pPr>
              <w:pStyle w:val="Compact"/>
              <w:jc w:val="left"/>
            </w:pPr>
            <w:r>
              <w:t xml:space="preserve">AOD-9604</w:t>
            </w:r>
          </w:p>
        </w:tc>
        <w:tc>
          <w:tcPr/>
          <w:p>
            <w:pPr>
              <w:pStyle w:val="Compact"/>
              <w:jc w:val="left"/>
            </w:pPr>
            <w:r>
              <w:t xml:space="preserve">Nur Tierdaten: bei Mäusen weniger Gewichtszunahme (PMID 11673763)</w:t>
            </w:r>
          </w:p>
        </w:tc>
        <w:tc>
          <w:tcPr/>
          <w:p>
            <w:pPr>
              <w:pStyle w:val="Compact"/>
              <w:jc w:val="left"/>
            </w:pPr>
            <w:r>
              <w:t xml:space="preserve">Wirkung beim Menschen unbekannt</w:t>
            </w:r>
          </w:p>
        </w:tc>
      </w:tr>
      <w:tr>
        <w:tc>
          <w:tcPr/>
          <w:p>
            <w:pPr>
              <w:pStyle w:val="Compact"/>
              <w:jc w:val="left"/>
            </w:pPr>
            <w:r>
              <w:t xml:space="preserve">Orforglipron</w:t>
            </w:r>
          </w:p>
        </w:tc>
        <w:tc>
          <w:tcPr/>
          <w:p>
            <w:pPr>
              <w:pStyle w:val="Compact"/>
              <w:jc w:val="left"/>
            </w:pPr>
            <w:r>
              <w:t xml:space="preserve">ATTAIN-1: bis −11,2 % vs. −2,1 % als Tablette (PMID 40960239)</w:t>
            </w:r>
          </w:p>
        </w:tc>
        <w:tc>
          <w:tcPr/>
          <w:p>
            <w:pPr>
              <w:pStyle w:val="Compact"/>
              <w:jc w:val="left"/>
            </w:pPr>
            <w:r>
              <w:t xml:space="preserve">Magen-Darm, etwas mehr Abbrüche als Semaglutid-Tablette</w:t>
            </w:r>
          </w:p>
        </w:tc>
      </w:tr>
    </w:tbl>
    <w:bookmarkEnd w:id="2526"/>
    <w:bookmarkStart w:id="2527" w:name="b.-heilung-regeneration-und-immunsystem"/>
    <w:p>
      <w:pPr>
        <w:pStyle w:val="Heading3"/>
      </w:pPr>
      <w:r>
        <w:t xml:space="preserve">B. Heilung, Regeneration und Immunsystem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0 / 4 (Anm.)</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 / nein</w:t>
            </w:r>
          </w:p>
        </w:tc>
        <w:tc>
          <w:tcPr/>
          <w:p>
            <w:pPr>
              <w:pStyle w:val="Compact"/>
              <w:jc w:val="left"/>
            </w:pPr>
            <w:r>
              <w:t xml:space="preserve">9 / 18 (Anm.)</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nein / nein (in China u. a. zugelassen)</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91 / 20 (Anm.)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5 / 5</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10 (Anm.)</w:t>
            </w:r>
          </w:p>
        </w:tc>
      </w:tr>
      <w:tr>
        <w:tc>
          <w:tcPr/>
          <w:p>
            <w:pPr>
              <w:pStyle w:val="Compact"/>
              <w:jc w:val="left"/>
            </w:pPr>
            <w:r>
              <w:t xml:space="preserve">Thymalin</w:t>
            </w:r>
          </w:p>
        </w:tc>
        <w:tc>
          <w:tcPr/>
          <w:p>
            <w:pPr>
              <w:pStyle w:val="Compact"/>
              <w:jc w:val="left"/>
            </w:pPr>
            <w:r>
              <w:t xml:space="preserve">C</w:t>
            </w:r>
          </w:p>
        </w:tc>
        <w:tc>
          <w:tcPr/>
          <w:p>
            <w:pPr>
              <w:pStyle w:val="Compact"/>
              <w:jc w:val="left"/>
            </w:pPr>
            <w:r>
              <w:t xml:space="preserve">nein / nein (in Russland zugelassen)</w:t>
            </w:r>
          </w:p>
        </w:tc>
        <w:tc>
          <w:tcPr/>
          <w:p>
            <w:pPr>
              <w:pStyle w:val="Compact"/>
              <w:jc w:val="left"/>
            </w:pPr>
            <w:r>
              <w:t xml:space="preserve">17 / 0</w:t>
            </w:r>
          </w:p>
        </w:tc>
      </w:tr>
    </w:tbl>
    <w:p>
      <w:pPr>
        <w:pStyle w:val="BodyText"/>
      </w:pPr>
      <w:r>
        <w:t xml:space="preserve">Anmerkungen zur Tabelle: Bei</w:t>
      </w:r>
      <w:r>
        <w:t xml:space="preserve"> </w:t>
      </w:r>
      <w:r>
        <w:rPr>
          <w:bCs/>
          <w:b/>
        </w:rPr>
        <w:t xml:space="preserve">BPC-157</w:t>
      </w:r>
      <w:r>
        <w:t xml:space="preserve"> </w:t>
      </w:r>
      <w:r>
        <w:t xml:space="preserve">erfüllte keine Veröffentlichung die Filterkriterien der automatischen Suche; tatsächlich gibt es drei kleine, unkontrollierte Untersuchungen mit zusammen rund 30 Personen. Bei</w:t>
      </w:r>
      <w:r>
        <w:t xml:space="preserve"> </w:t>
      </w:r>
      <w:r>
        <w:rPr>
          <w:bCs/>
          <w:b/>
        </w:rPr>
        <w:t xml:space="preserve">TB-500</w:t>
      </w:r>
      <w:r>
        <w:t xml:space="preserve"> </w:t>
      </w:r>
      <w:r>
        <w:t xml:space="preserve">betreffen die Treffer das ganze Eiweiß Thymosin Beta-4 (nur sechs davon als Wirkstoff); keine untersucht TB-500. Bei</w:t>
      </w:r>
      <w:r>
        <w:t xml:space="preserve"> </w:t>
      </w:r>
      <w:r>
        <w:rPr>
          <w:bCs/>
          <w:b/>
        </w:rPr>
        <w:t xml:space="preserve">LL-37</w:t>
      </w:r>
      <w:r>
        <w:t xml:space="preserve"> </w:t>
      </w:r>
      <w:r>
        <w:t xml:space="preserve">messen die meisten Treffer LL-37 nur als Laborwert, etwa in Vitamin-D-Studien; Studien, in denen LL-37 selbst gegeben wurde, sind in PubMed nur fünf, im Register zwei. Bei</w:t>
      </w:r>
      <w:r>
        <w:t xml:space="preserve"> </w:t>
      </w:r>
      <w:r>
        <w:rPr>
          <w:bCs/>
          <w:b/>
        </w:rPr>
        <w:t xml:space="preserve">Larazotid</w:t>
      </w:r>
      <w:r>
        <w:t xml:space="preserve"> </w:t>
      </w:r>
      <w:r>
        <w:t xml:space="preserve">fand die Suche 29 Registereinträge, von denen 19 ein anderes Medikament mit demselben früheren Entwicklungscode betreffen; die Tabelle nennt die bereinigte Zahl.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BPC-157</w:t>
            </w:r>
          </w:p>
        </w:tc>
        <w:tc>
          <w:tcPr/>
          <w:p>
            <w:pPr>
              <w:pStyle w:val="Compact"/>
              <w:jc w:val="left"/>
            </w:pPr>
            <w:r>
              <w:t xml:space="preserve">Drei unkontrollierte Pilotuntersuchungen, Evidenz laut Übersicht sehr niedrig (PMID 42885452)</w:t>
            </w:r>
          </w:p>
        </w:tc>
        <w:tc>
          <w:tcPr/>
          <w:p>
            <w:pPr>
              <w:pStyle w:val="Compact"/>
              <w:jc w:val="left"/>
            </w:pPr>
            <w:r>
              <w:t xml:space="preserve">unbekannte Langzeitsicherheit, Graumarkt-Qualität</w:t>
            </w:r>
          </w:p>
        </w:tc>
      </w:tr>
      <w:tr>
        <w:tc>
          <w:tcPr/>
          <w:p>
            <w:pPr>
              <w:pStyle w:val="Compact"/>
              <w:jc w:val="left"/>
            </w:pPr>
            <w:r>
              <w:t xml:space="preserve">TB-500 / Thymosin Beta-4</w:t>
            </w:r>
          </w:p>
        </w:tc>
        <w:tc>
          <w:tcPr/>
          <w:p>
            <w:pPr>
              <w:pStyle w:val="Compact"/>
              <w:jc w:val="left"/>
            </w:pPr>
            <w:r>
              <w:t xml:space="preserve">Tβ4 nach Herzinfarkt: Infarktgröße nicht signifikant kleiner (PMID 41229390); TB-500 ungeprüft</w:t>
            </w:r>
          </w:p>
        </w:tc>
        <w:tc>
          <w:tcPr/>
          <w:p>
            <w:pPr>
              <w:pStyle w:val="Compact"/>
              <w:jc w:val="left"/>
            </w:pPr>
            <w:r>
              <w:t xml:space="preserve">unklarer Inhalt, theoretisch Tumorförderung</w:t>
            </w:r>
          </w:p>
        </w:tc>
      </w:tr>
      <w:tr>
        <w:tc>
          <w:tcPr/>
          <w:p>
            <w:pPr>
              <w:pStyle w:val="Compact"/>
              <w:jc w:val="left"/>
            </w:pPr>
            <w:r>
              <w:t xml:space="preserve">Thymosin Alpha-1</w:t>
            </w:r>
          </w:p>
        </w:tc>
        <w:tc>
          <w:tcPr/>
          <w:p>
            <w:pPr>
              <w:pStyle w:val="Compact"/>
              <w:jc w:val="left"/>
            </w:pPr>
            <w:r>
              <w:t xml:space="preserve">TESTS bei Sepsis: 28-Tage-Sterblichkeit 23,4 % vs. 24,1 %, kein Unterschied (PMID 39814420)</w:t>
            </w:r>
          </w:p>
        </w:tc>
        <w:tc>
          <w:tcPr/>
          <w:p>
            <w:pPr>
              <w:pStyle w:val="Compact"/>
              <w:jc w:val="left"/>
            </w:pPr>
            <w:r>
              <w:t xml:space="preserve">mögliche Nachteile in Untergruppen; Graumarkt</w:t>
            </w:r>
          </w:p>
        </w:tc>
      </w:tr>
      <w:tr>
        <w:tc>
          <w:tcPr/>
          <w:p>
            <w:pPr>
              <w:pStyle w:val="Compact"/>
              <w:jc w:val="left"/>
            </w:pPr>
            <w:r>
              <w:t xml:space="preserve">KPV</w:t>
            </w:r>
          </w:p>
        </w:tc>
        <w:tc>
          <w:tcPr/>
          <w:p>
            <w:pPr>
              <w:pStyle w:val="Compact"/>
              <w:jc w:val="left"/>
            </w:pPr>
            <w:r>
              <w:t xml:space="preserve">Nur Tierdaten: weniger Darmentzündung bei Mäusen (PMID 18061177)</w:t>
            </w:r>
          </w:p>
        </w:tc>
        <w:tc>
          <w:tcPr/>
          <w:p>
            <w:pPr>
              <w:pStyle w:val="Compact"/>
              <w:jc w:val="left"/>
            </w:pPr>
            <w:r>
              <w:t xml:space="preserve">völlig unbekanntes Profil am Menschen</w:t>
            </w:r>
          </w:p>
        </w:tc>
      </w:tr>
      <w:tr>
        <w:tc>
          <w:tcPr/>
          <w:p>
            <w:pPr>
              <w:pStyle w:val="Compact"/>
              <w:jc w:val="left"/>
            </w:pPr>
            <w:r>
              <w:t xml:space="preserve">LL-37</w:t>
            </w:r>
          </w:p>
        </w:tc>
        <w:tc>
          <w:tcPr/>
          <w:p>
            <w:pPr>
              <w:pStyle w:val="Compact"/>
              <w:jc w:val="left"/>
            </w:pPr>
            <w:r>
              <w:t xml:space="preserve">HEAL LL-37: Beingeschwüre heilten nicht besser als unter Placebo (PMID 34687253)</w:t>
            </w:r>
          </w:p>
        </w:tc>
        <w:tc>
          <w:tcPr/>
          <w:p>
            <w:pPr>
              <w:pStyle w:val="Compact"/>
              <w:jc w:val="left"/>
            </w:pPr>
            <w:r>
              <w:t xml:space="preserve">Entzündungs- und Autoimmunreaktionen</w:t>
            </w:r>
          </w:p>
        </w:tc>
      </w:tr>
      <w:tr>
        <w:tc>
          <w:tcPr/>
          <w:p>
            <w:pPr>
              <w:pStyle w:val="Compact"/>
              <w:jc w:val="left"/>
            </w:pPr>
            <w:r>
              <w:t xml:space="preserve">ARA-290</w:t>
            </w:r>
          </w:p>
        </w:tc>
        <w:tc>
          <w:tcPr/>
          <w:p>
            <w:pPr>
              <w:pStyle w:val="Compact"/>
              <w:jc w:val="left"/>
            </w:pPr>
            <w:r>
              <w:t xml:space="preserve">Phase 2b: Nervenfasern nur unter einer von drei Dosen vermehrt (PMID 28475703)</w:t>
            </w:r>
          </w:p>
        </w:tc>
        <w:tc>
          <w:tcPr/>
          <w:p>
            <w:pPr>
              <w:pStyle w:val="Compact"/>
              <w:jc w:val="left"/>
            </w:pPr>
            <w:r>
              <w:t xml:space="preserve">kaum Daten über zwölf Wochen hinaus</w:t>
            </w:r>
          </w:p>
        </w:tc>
      </w:tr>
      <w:tr>
        <w:tc>
          <w:tcPr/>
          <w:p>
            <w:pPr>
              <w:pStyle w:val="Compact"/>
              <w:jc w:val="left"/>
            </w:pPr>
            <w:r>
              <w:t xml:space="preserve">Larazotid</w:t>
            </w:r>
          </w:p>
        </w:tc>
        <w:tc>
          <w:tcPr/>
          <w:p>
            <w:pPr>
              <w:pStyle w:val="Compact"/>
              <w:jc w:val="left"/>
            </w:pPr>
            <w:r>
              <w:t xml:space="preserve">Nur die niedrigste von drei Dosen besser als Placebo (PMID 25683116); Phase 3 abgebrochen</w:t>
            </w:r>
          </w:p>
        </w:tc>
        <w:tc>
          <w:tcPr/>
          <w:p>
            <w:pPr>
              <w:pStyle w:val="Compact"/>
              <w:jc w:val="left"/>
            </w:pPr>
            <w:r>
              <w:t xml:space="preserve">gelockerte glutenfreie Diät</w:t>
            </w:r>
          </w:p>
        </w:tc>
      </w:tr>
      <w:tr>
        <w:tc>
          <w:tcPr/>
          <w:p>
            <w:pPr>
              <w:pStyle w:val="Compact"/>
              <w:jc w:val="left"/>
            </w:pPr>
            <w:r>
              <w:t xml:space="preserve">Thymalin</w:t>
            </w:r>
          </w:p>
        </w:tc>
        <w:tc>
          <w:tcPr/>
          <w:p>
            <w:pPr>
              <w:pStyle w:val="Compact"/>
              <w:jc w:val="left"/>
            </w:pPr>
            <w:r>
              <w:t xml:space="preserve">Russisch-ukrainische Beobachtung: geringere Sterblichkeit, Zuteilung unklar (PMID 14523363)</w:t>
            </w:r>
          </w:p>
        </w:tc>
        <w:tc>
          <w:tcPr/>
          <w:p>
            <w:pPr>
              <w:pStyle w:val="Compact"/>
              <w:jc w:val="left"/>
            </w:pPr>
            <w:r>
              <w:t xml:space="preserve">tierischer Extrakt, Chargenrisiken</w:t>
            </w:r>
          </w:p>
        </w:tc>
      </w:tr>
    </w:tbl>
    <w:bookmarkEnd w:id="2527"/>
    <w:bookmarkStart w:id="2528" w:name="c.-wachstumshormon-achse"/>
    <w:p>
      <w:pPr>
        <w:pStyle w:val="Heading3"/>
      </w:pPr>
      <w:r>
        <w:t xml:space="preserve">C. Wachstumshormon-Achse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nein / früher ja, vom Markt</w:t>
            </w:r>
          </w:p>
        </w:tc>
        <w:tc>
          <w:tcPr/>
          <w:p>
            <w:pPr>
              <w:pStyle w:val="Compact"/>
              <w:jc w:val="left"/>
            </w:pPr>
            <w:r>
              <w:t xml:space="preserve">0 / 27 (Anm.)</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nein / ja (HIV-Lipodystrophie)</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2 / 1</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nein / nein (Japan: Diagnostikum)</w:t>
            </w:r>
          </w:p>
        </w:tc>
        <w:tc>
          <w:tcPr/>
          <w:p>
            <w:pPr>
              <w:pStyle w:val="Compact"/>
              <w:jc w:val="left"/>
            </w:pPr>
            <w:r>
              <w:t xml:space="preserve">55 / 0 (Anm.)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40 / 0 (Anm.)</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58 / 0 (Anm.)</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ja / ja (nur Diagnostikum)</w:t>
            </w:r>
          </w:p>
        </w:tc>
        <w:tc>
          <w:tcPr/>
          <w:p>
            <w:pPr>
              <w:pStyle w:val="Compact"/>
              <w:jc w:val="left"/>
            </w:pPr>
            <w:r>
              <w:t xml:space="preserve">4 / 6</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Ibutamoren (kein Peptid)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19 / 8</w:t>
            </w:r>
          </w:p>
        </w:tc>
      </w:tr>
    </w:tbl>
    <w:p>
      <w:pPr>
        <w:pStyle w:val="BodyText"/>
      </w:pPr>
      <w:r>
        <w:t xml:space="preserve">Anmerkungen zur Tabelle: Bei</w:t>
      </w:r>
      <w:r>
        <w:t xml:space="preserve"> </w:t>
      </w:r>
      <w:r>
        <w:rPr>
          <w:bCs/>
          <w:b/>
        </w:rPr>
        <w:t xml:space="preserve">Sermorelin</w:t>
      </w:r>
      <w:r>
        <w:t xml:space="preserve"> </w:t>
      </w:r>
      <w:r>
        <w:t xml:space="preserve">findet die Namenssuche keine Humanstudie, weil die meisten Arbeiten unter „GHRH(1-29)“ oder „GRF 1-29“ erschienen sind; gezielt nachgesucht sind es mehrere Dutzend kleine Studien, meist vor 2000. Viele der 27 Registertreffer betreffen dagegen Tesamorelin oder GHRH-Tests allgemein. Bei</w:t>
      </w:r>
      <w:r>
        <w:t xml:space="preserve"> </w:t>
      </w:r>
      <w:r>
        <w:rPr>
          <w:bCs/>
          <w:b/>
        </w:rPr>
        <w:t xml:space="preserve">GHRP-2, GHRP-6 und Hexarelin</w:t>
      </w:r>
      <w:r>
        <w:t xml:space="preserve"> </w:t>
      </w:r>
      <w:r>
        <w:t xml:space="preserve">nutzen fast alle Arbeiten den Stoff nur als einmalige Testsubstanz zur Erforschung der Hormonsteuerung; über einen Nutzen sagen sie nichts.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Sermorelin</w:t>
            </w:r>
          </w:p>
        </w:tc>
        <w:tc>
          <w:tcPr/>
          <w:p>
            <w:pPr>
              <w:pStyle w:val="Compact"/>
              <w:jc w:val="left"/>
            </w:pPr>
            <w:r>
              <w:t xml:space="preserve">110 Kinder mit GH-Mangel: Wachstum 4,1 auf 7,2 cm/Jahr (PMID 8772599)</w:t>
            </w:r>
          </w:p>
        </w:tc>
        <w:tc>
          <w:tcPr/>
          <w:p>
            <w:pPr>
              <w:pStyle w:val="Compact"/>
              <w:jc w:val="left"/>
            </w:pPr>
            <w:r>
              <w:t xml:space="preserve">Flush; Langzeitfolgen bei Erwachsenen ungeklärt</w:t>
            </w:r>
          </w:p>
        </w:tc>
      </w:tr>
      <w:tr>
        <w:tc>
          <w:tcPr/>
          <w:p>
            <w:pPr>
              <w:pStyle w:val="Compact"/>
              <w:jc w:val="left"/>
            </w:pPr>
            <w:r>
              <w:t xml:space="preserve">Tesamorelin</w:t>
            </w:r>
          </w:p>
        </w:tc>
        <w:tc>
          <w:tcPr/>
          <w:p>
            <w:pPr>
              <w:pStyle w:val="Compact"/>
              <w:jc w:val="left"/>
            </w:pPr>
            <w:r>
              <w:t xml:space="preserve">Zwei Phase-3-Studien mit 806 Personen: viszerales Bauchfett −15,4 % gegenüber Placebo (PMID 20554713)</w:t>
            </w:r>
          </w:p>
        </w:tc>
        <w:tc>
          <w:tcPr/>
          <w:p>
            <w:pPr>
              <w:pStyle w:val="Compact"/>
              <w:jc w:val="left"/>
            </w:pPr>
            <w:r>
              <w:t xml:space="preserve">Gelenkschmerzen, Wassereinlagerung, Blutzucker</w:t>
            </w:r>
          </w:p>
        </w:tc>
      </w:tr>
      <w:tr>
        <w:tc>
          <w:tcPr/>
          <w:p>
            <w:pPr>
              <w:pStyle w:val="Compact"/>
              <w:jc w:val="left"/>
            </w:pPr>
            <w:r>
              <w:t xml:space="preserve">CJC-1295</w:t>
            </w:r>
          </w:p>
        </w:tc>
        <w:tc>
          <w:tcPr/>
          <w:p>
            <w:pPr>
              <w:pStyle w:val="Compact"/>
              <w:jc w:val="left"/>
            </w:pPr>
            <w:r>
              <w:t xml:space="preserve">Einzelinjektion: GH 2- bis 10-fach, IGF-1 1,5- bis 3-fach erhöht (PMID 16352683)</w:t>
            </w:r>
          </w:p>
        </w:tc>
        <w:tc>
          <w:tcPr/>
          <w:p>
            <w:pPr>
              <w:pStyle w:val="Compact"/>
              <w:jc w:val="left"/>
            </w:pPr>
            <w:r>
              <w:t xml:space="preserve">Dauerstimulation unerforscht, unklarer Inhalt</w:t>
            </w:r>
          </w:p>
        </w:tc>
      </w:tr>
      <w:tr>
        <w:tc>
          <w:tcPr/>
          <w:p>
            <w:pPr>
              <w:pStyle w:val="Compact"/>
              <w:jc w:val="left"/>
            </w:pPr>
            <w:r>
              <w:t xml:space="preserve">Ipamorelin</w:t>
            </w:r>
          </w:p>
        </w:tc>
        <w:tc>
          <w:tcPr/>
          <w:p>
            <w:pPr>
              <w:pStyle w:val="Compact"/>
              <w:jc w:val="left"/>
            </w:pPr>
            <w:r>
              <w:t xml:space="preserve">Phase 2 nach Darmoperation: kein signifikanter Nutzen (PMID 25331030)</w:t>
            </w:r>
          </w:p>
        </w:tc>
        <w:tc>
          <w:tcPr/>
          <w:p>
            <w:pPr>
              <w:pStyle w:val="Compact"/>
              <w:jc w:val="left"/>
            </w:pPr>
            <w:r>
              <w:t xml:space="preserve">keine Daten zur Daueranwendung; abgewandelte Moleküle</w:t>
            </w:r>
          </w:p>
        </w:tc>
      </w:tr>
      <w:tr>
        <w:tc>
          <w:tcPr/>
          <w:p>
            <w:pPr>
              <w:pStyle w:val="Compact"/>
              <w:jc w:val="left"/>
            </w:pPr>
            <w:r>
              <w:t xml:space="preserve">GHRP-2</w:t>
            </w:r>
          </w:p>
        </w:tc>
        <w:tc>
          <w:tcPr/>
          <w:p>
            <w:pPr>
              <w:pStyle w:val="Compact"/>
              <w:jc w:val="left"/>
            </w:pPr>
            <w:r>
              <w:t xml:space="preserve">Als Test trennte es GH-Mangel zuverlässig von Gesunden (PMID 17609397)</w:t>
            </w:r>
          </w:p>
        </w:tc>
        <w:tc>
          <w:tcPr/>
          <w:p>
            <w:pPr>
              <w:pStyle w:val="Compact"/>
              <w:jc w:val="left"/>
            </w:pPr>
            <w:r>
              <w:t xml:space="preserve">Heißhunger, Stresshormonanstieg</w:t>
            </w:r>
          </w:p>
        </w:tc>
      </w:tr>
      <w:tr>
        <w:tc>
          <w:tcPr/>
          <w:p>
            <w:pPr>
              <w:pStyle w:val="Compact"/>
              <w:jc w:val="left"/>
            </w:pPr>
            <w:r>
              <w:t xml:space="preserve">GHRP-6</w:t>
            </w:r>
          </w:p>
        </w:tc>
        <w:tc>
          <w:tcPr/>
          <w:p>
            <w:pPr>
              <w:pStyle w:val="Compact"/>
              <w:jc w:val="left"/>
            </w:pPr>
            <w:r>
              <w:t xml:space="preserve">Kombinationstest erkannte GH-Mangel zuverlässig (PMID 11030292)</w:t>
            </w:r>
          </w:p>
        </w:tc>
        <w:tc>
          <w:tcPr/>
          <w:p>
            <w:pPr>
              <w:pStyle w:val="Compact"/>
              <w:jc w:val="left"/>
            </w:pPr>
            <w:r>
              <w:t xml:space="preserve">Flush, Hormonanstiege, Hunger</w:t>
            </w:r>
          </w:p>
        </w:tc>
      </w:tr>
      <w:tr>
        <w:tc>
          <w:tcPr/>
          <w:p>
            <w:pPr>
              <w:pStyle w:val="Compact"/>
              <w:jc w:val="left"/>
            </w:pPr>
            <w:r>
              <w:t xml:space="preserve">Hexarelin</w:t>
            </w:r>
          </w:p>
        </w:tc>
        <w:tc>
          <w:tcPr/>
          <w:p>
            <w:pPr>
              <w:pStyle w:val="Compact"/>
              <w:jc w:val="left"/>
            </w:pPr>
            <w:r>
              <w:t xml:space="preserve">Über 16 Wochen Wirkverlust, Körperzusammensetzung unverändert (PMID 9589671)</w:t>
            </w:r>
          </w:p>
        </w:tc>
        <w:tc>
          <w:tcPr/>
          <w:p>
            <w:pPr>
              <w:pStyle w:val="Compact"/>
              <w:jc w:val="left"/>
            </w:pPr>
            <w:r>
              <w:t xml:space="preserve">Stresshormone, Prolaktin, Wirkverlust</w:t>
            </w:r>
          </w:p>
        </w:tc>
      </w:tr>
      <w:tr>
        <w:tc>
          <w:tcPr/>
          <w:p>
            <w:pPr>
              <w:pStyle w:val="Compact"/>
              <w:jc w:val="left"/>
            </w:pPr>
            <w:r>
              <w:t xml:space="preserve">Macimorelin</w:t>
            </w:r>
          </w:p>
        </w:tc>
        <w:tc>
          <w:tcPr/>
          <w:p>
            <w:pPr>
              <w:pStyle w:val="Compact"/>
              <w:jc w:val="left"/>
            </w:pPr>
            <w:r>
              <w:t xml:space="preserve">Test mit 87 % Sensitivität und 96 % Spezifität gegenüber dem Insulintest (PMID 29860473)</w:t>
            </w:r>
          </w:p>
        </w:tc>
        <w:tc>
          <w:tcPr/>
          <w:p>
            <w:pPr>
              <w:pStyle w:val="Compact"/>
              <w:jc w:val="left"/>
            </w:pPr>
            <w:r>
              <w:t xml:space="preserve">QT-Verlängerung bei Überdosis</w:t>
            </w:r>
          </w:p>
        </w:tc>
      </w:tr>
      <w:tr>
        <w:tc>
          <w:tcPr/>
          <w:p>
            <w:pPr>
              <w:pStyle w:val="Compact"/>
              <w:jc w:val="left"/>
            </w:pPr>
            <w:r>
              <w:t xml:space="preserve">Mecasermin (IGF-1)</w:t>
            </w:r>
          </w:p>
        </w:tc>
        <w:tc>
          <w:tcPr/>
          <w:p>
            <w:pPr>
              <w:pStyle w:val="Compact"/>
              <w:jc w:val="left"/>
            </w:pPr>
            <w:r>
              <w:t xml:space="preserve">76 Kinder mit GH-Resistenz: Wachstum 2,8 auf 8,0 cm/Jahr (PMID 17192294)</w:t>
            </w:r>
          </w:p>
        </w:tc>
        <w:tc>
          <w:tcPr/>
          <w:p>
            <w:pPr>
              <w:pStyle w:val="Compact"/>
              <w:jc w:val="left"/>
            </w:pPr>
            <w:r>
              <w:t xml:space="preserve">Unterzuckerung; Warnhinweis Neubildungen</w:t>
            </w:r>
          </w:p>
        </w:tc>
      </w:tr>
      <w:tr>
        <w:tc>
          <w:tcPr/>
          <w:p>
            <w:pPr>
              <w:pStyle w:val="Compact"/>
              <w:jc w:val="left"/>
            </w:pPr>
            <w:r>
              <w:t xml:space="preserve">IGF-1 LR3</w:t>
            </w:r>
          </w:p>
        </w:tc>
        <w:tc>
          <w:tcPr/>
          <w:p>
            <w:pPr>
              <w:pStyle w:val="Compact"/>
              <w:jc w:val="left"/>
            </w:pPr>
            <w:r>
              <w:t xml:space="preserve">Keine Humanstudie; im Schwarzmarkt-Fläschchen eine Laborvariante (PMID 20675162)</w:t>
            </w:r>
          </w:p>
        </w:tc>
        <w:tc>
          <w:tcPr/>
          <w:p>
            <w:pPr>
              <w:pStyle w:val="Compact"/>
              <w:jc w:val="left"/>
            </w:pPr>
            <w:r>
              <w:t xml:space="preserve">Unterzuckerung, Wachstumssignale (theoretisch)</w:t>
            </w:r>
          </w:p>
        </w:tc>
      </w:tr>
      <w:tr>
        <w:tc>
          <w:tcPr/>
          <w:p>
            <w:pPr>
              <w:pStyle w:val="Compact"/>
              <w:jc w:val="left"/>
            </w:pPr>
            <w:r>
              <w:t xml:space="preserve">Ibutamoren</w:t>
            </w:r>
          </w:p>
        </w:tc>
        <w:tc>
          <w:tcPr/>
          <w:p>
            <w:pPr>
              <w:pStyle w:val="Compact"/>
              <w:jc w:val="left"/>
            </w:pPr>
            <w:r>
              <w:t xml:space="preserve">65 Ältere: fettfreie Masse +1,1 kg, Kraft und Funktion unverändert (PMID 18981485)</w:t>
            </w:r>
          </w:p>
        </w:tc>
        <w:tc>
          <w:tcPr/>
          <w:p>
            <w:pPr>
              <w:pStyle w:val="Compact"/>
              <w:jc w:val="left"/>
            </w:pPr>
            <w:r>
              <w:t xml:space="preserve">Herzinsuffizienz-Signal, höherer Blutzucker</w:t>
            </w:r>
          </w:p>
        </w:tc>
      </w:tr>
    </w:tbl>
    <w:bookmarkEnd w:id="2528"/>
    <w:bookmarkStart w:id="2529" w:name="d.-gehirn-schlaf-und-langlebigkeit"/>
    <w:p>
      <w:pPr>
        <w:pStyle w:val="Heading3"/>
      </w:pPr>
      <w:r>
        <w:t xml:space="preserve">D. Gehirn, Schlaf und Langlebigkeit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3 / 2 (Anm.)</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 / nein</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18 / 1 (Anm.)</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1 (Anm.)</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5 / 4 (Anm.)</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8 / 3 (Anm.)</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nein / ja, beschleunigt (nur Barth-Syndrom)</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161 / 273 (Anm.)</w:t>
            </w:r>
          </w:p>
        </w:tc>
      </w:tr>
    </w:tbl>
    <w:p>
      <w:pPr>
        <w:pStyle w:val="BodyText"/>
      </w:pPr>
      <w:r>
        <w:t xml:space="preserve">Anmerkungen zur Tabelle: Bei</w:t>
      </w:r>
      <w:r>
        <w:t xml:space="preserve"> </w:t>
      </w:r>
      <w:r>
        <w:rPr>
          <w:bCs/>
          <w:b/>
        </w:rPr>
        <w:t xml:space="preserve">Selank</w:t>
      </w:r>
      <w:r>
        <w:t xml:space="preserve"> </w:t>
      </w:r>
      <w:r>
        <w:t xml:space="preserve">und</w:t>
      </w:r>
      <w:r>
        <w:t xml:space="preserve"> </w:t>
      </w:r>
      <w:r>
        <w:rPr>
          <w:bCs/>
          <w:b/>
        </w:rPr>
        <w:t xml:space="preserve">DSIP</w:t>
      </w:r>
      <w:r>
        <w:t xml:space="preserve"> </w:t>
      </w:r>
      <w:r>
        <w:t xml:space="preserve">betreffen die Registertreffer andere Verfahren bzw. Themen; eine registrierte Studie mit dem Peptid gibt es nicht. Der einzige Registereintrag zu</w:t>
      </w:r>
      <w:r>
        <w:t xml:space="preserve"> </w:t>
      </w:r>
      <w:r>
        <w:rPr>
          <w:bCs/>
          <w:b/>
        </w:rPr>
        <w:t xml:space="preserve">Epitalon</w:t>
      </w:r>
      <w:r>
        <w:t xml:space="preserve"> </w:t>
      </w:r>
      <w:r>
        <w:t xml:space="preserve">ist eine unkontrollierte Studie mit einem Hautserum, in dem Epitalon einer von fünf Bestandteilen ist. Bei</w:t>
      </w:r>
      <w:r>
        <w:t xml:space="preserve"> </w:t>
      </w:r>
      <w:r>
        <w:rPr>
          <w:bCs/>
          <w:b/>
        </w:rPr>
        <w:t xml:space="preserve">MOTS-c</w:t>
      </w:r>
      <w:r>
        <w:t xml:space="preserve"> </w:t>
      </w:r>
      <w:r>
        <w:t xml:space="preserve">und</w:t>
      </w:r>
      <w:r>
        <w:t xml:space="preserve"> </w:t>
      </w:r>
      <w:r>
        <w:rPr>
          <w:bCs/>
          <w:b/>
        </w:rPr>
        <w:t xml:space="preserve">Humanin</w:t>
      </w:r>
      <w:r>
        <w:t xml:space="preserve"> </w:t>
      </w:r>
      <w:r>
        <w:t xml:space="preserve">wurde in keiner der Veröffentlichungen das Peptid verabreicht; sie messen körpereigene Spiegel. Bei</w:t>
      </w:r>
      <w:r>
        <w:t xml:space="preserve"> </w:t>
      </w:r>
      <w:r>
        <w:rPr>
          <w:bCs/>
          <w:b/>
        </w:rPr>
        <w:t xml:space="preserve">Glutathion</w:t>
      </w:r>
      <w:r>
        <w:t xml:space="preserve"> </w:t>
      </w:r>
      <w:r>
        <w:t xml:space="preserve">messen viele Treffer Glutathion nur als Laborwert oder betreffen das Enzym Glutathion-S-Transferase; Studien mit Gabe von Glutathion sind eine Minderheit von einigen Dutzend.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Semax</w:t>
            </w:r>
          </w:p>
        </w:tc>
        <w:tc>
          <w:tcPr/>
          <w:p>
            <w:pPr>
              <w:pStyle w:val="Compact"/>
              <w:jc w:val="left"/>
            </w:pPr>
            <w:r>
              <w:t xml:space="preserve">Offene Studie nach Schlaganfall: höheres BDNF, schnellere Besserung (PMID 29798983)</w:t>
            </w:r>
          </w:p>
        </w:tc>
        <w:tc>
          <w:tcPr/>
          <w:p>
            <w:pPr>
              <w:pStyle w:val="Compact"/>
              <w:jc w:val="left"/>
            </w:pPr>
            <w:r>
              <w:t xml:space="preserve">keine systematischen Sicherheitsdaten</w:t>
            </w:r>
          </w:p>
        </w:tc>
      </w:tr>
      <w:tr>
        <w:tc>
          <w:tcPr/>
          <w:p>
            <w:pPr>
              <w:pStyle w:val="Compact"/>
              <w:jc w:val="left"/>
            </w:pPr>
            <w:r>
              <w:t xml:space="preserve">Selank</w:t>
            </w:r>
          </w:p>
        </w:tc>
        <w:tc>
          <w:tcPr/>
          <w:p>
            <w:pPr>
              <w:pStyle w:val="Compact"/>
              <w:jc w:val="left"/>
            </w:pPr>
            <w:r>
              <w:t xml:space="preserve">Angstlösende Wirkung ähnlich Medazepam, ohne Placebogruppe (PMID 18454096)</w:t>
            </w:r>
          </w:p>
        </w:tc>
        <w:tc>
          <w:tcPr/>
          <w:p>
            <w:pPr>
              <w:pStyle w:val="Compact"/>
              <w:jc w:val="left"/>
            </w:pPr>
            <w:r>
              <w:t xml:space="preserve">keine Langzeitdaten; Graumarkt</w:t>
            </w:r>
          </w:p>
        </w:tc>
      </w:tr>
      <w:tr>
        <w:tc>
          <w:tcPr/>
          <w:p>
            <w:pPr>
              <w:pStyle w:val="Compact"/>
              <w:jc w:val="left"/>
            </w:pPr>
            <w:r>
              <w:t xml:space="preserve">Cerebrolysin</w:t>
            </w:r>
          </w:p>
        </w:tc>
        <w:tc>
          <w:tcPr/>
          <w:p>
            <w:pPr>
              <w:pStyle w:val="Compact"/>
              <w:jc w:val="left"/>
            </w:pPr>
            <w:r>
              <w:t xml:space="preserve">CASTA mit 1.070 Personen: Hauptendpunkt verfehlt (PMID 22282884)</w:t>
            </w:r>
          </w:p>
        </w:tc>
        <w:tc>
          <w:tcPr/>
          <w:p>
            <w:pPr>
              <w:pStyle w:val="Compact"/>
              <w:jc w:val="left"/>
            </w:pPr>
            <w:r>
              <w:t xml:space="preserve">mögliches Signal für schwere Nebenwirkungen (Cochrane)</w:t>
            </w:r>
          </w:p>
        </w:tc>
      </w:tr>
      <w:tr>
        <w:tc>
          <w:tcPr/>
          <w:p>
            <w:pPr>
              <w:pStyle w:val="Compact"/>
              <w:jc w:val="left"/>
            </w:pPr>
            <w:r>
              <w:t xml:space="preserve">Dihexa</w:t>
            </w:r>
          </w:p>
        </w:tc>
        <w:tc>
          <w:tcPr/>
          <w:p>
            <w:pPr>
              <w:pStyle w:val="Compact"/>
              <w:jc w:val="left"/>
            </w:pPr>
            <w:r>
              <w:t xml:space="preserve">Nur Tierdaten; eine zentrale Rattenstudie wurde 2025 zurückgezogen (PMID 25187433, Rückzug PMID 40312093)</w:t>
            </w:r>
          </w:p>
        </w:tc>
        <w:tc>
          <w:tcPr/>
          <w:p>
            <w:pPr>
              <w:pStyle w:val="Compact"/>
              <w:jc w:val="left"/>
            </w:pPr>
            <w:r>
              <w:t xml:space="preserve">keine Humandaten; theoretisches Krebsrisiko</w:t>
            </w:r>
          </w:p>
        </w:tc>
      </w:tr>
      <w:tr>
        <w:tc>
          <w:tcPr/>
          <w:p>
            <w:pPr>
              <w:pStyle w:val="Compact"/>
              <w:jc w:val="left"/>
            </w:pPr>
            <w:r>
              <w:t xml:space="preserve">DSIP</w:t>
            </w:r>
          </w:p>
        </w:tc>
        <w:tc>
          <w:tcPr/>
          <w:p>
            <w:pPr>
              <w:pStyle w:val="Compact"/>
              <w:jc w:val="left"/>
            </w:pPr>
            <w:r>
              <w:t xml:space="preserve">16 Personen mit Schlaflosigkeit: nur schwache Effekte (PMID 1299794)</w:t>
            </w:r>
          </w:p>
        </w:tc>
        <w:tc>
          <w:tcPr/>
          <w:p>
            <w:pPr>
              <w:pStyle w:val="Compact"/>
              <w:jc w:val="left"/>
            </w:pPr>
            <w:r>
              <w:t xml:space="preserve">keine systematischen Sicherheitsdaten</w:t>
            </w:r>
          </w:p>
        </w:tc>
      </w:tr>
      <w:tr>
        <w:tc>
          <w:tcPr/>
          <w:p>
            <w:pPr>
              <w:pStyle w:val="Compact"/>
              <w:jc w:val="left"/>
            </w:pPr>
            <w:r>
              <w:t xml:space="preserve">Epitalon</w:t>
            </w:r>
          </w:p>
        </w:tc>
        <w:tc>
          <w:tcPr/>
          <w:p>
            <w:pPr>
              <w:pStyle w:val="Compact"/>
              <w:jc w:val="left"/>
            </w:pPr>
            <w:r>
              <w:t xml:space="preserve">Bei Mäusen keine längere mittlere Lebensdauer (PMID 14501183)</w:t>
            </w:r>
          </w:p>
        </w:tc>
        <w:tc>
          <w:tcPr/>
          <w:p>
            <w:pPr>
              <w:pStyle w:val="Compact"/>
              <w:jc w:val="left"/>
            </w:pPr>
            <w:r>
              <w:t xml:space="preserve">keine Humandaten; Telomerase-Frage</w:t>
            </w:r>
          </w:p>
        </w:tc>
      </w:tr>
      <w:tr>
        <w:tc>
          <w:tcPr/>
          <w:p>
            <w:pPr>
              <w:pStyle w:val="Compact"/>
              <w:jc w:val="left"/>
            </w:pPr>
            <w:r>
              <w:t xml:space="preserve">Pinealon</w:t>
            </w:r>
          </w:p>
        </w:tc>
        <w:tc>
          <w:tcPr/>
          <w:p>
            <w:pPr>
              <w:pStyle w:val="Compact"/>
              <w:jc w:val="left"/>
            </w:pPr>
            <w:r>
              <w:t xml:space="preserve">32 Ältere, unkontrolliert; auch Hemmung der Blutbildung (PMID 26390612)</w:t>
            </w:r>
          </w:p>
        </w:tc>
        <w:tc>
          <w:tcPr/>
          <w:p>
            <w:pPr>
              <w:pStyle w:val="Compact"/>
              <w:jc w:val="left"/>
            </w:pPr>
            <w:r>
              <w:t xml:space="preserve">keine systematischen Sicherheitsdaten</w:t>
            </w:r>
          </w:p>
        </w:tc>
      </w:tr>
      <w:tr>
        <w:tc>
          <w:tcPr/>
          <w:p>
            <w:pPr>
              <w:pStyle w:val="Compact"/>
              <w:jc w:val="left"/>
            </w:pPr>
            <w:r>
              <w:t xml:space="preserve">MOTS-c</w:t>
            </w:r>
          </w:p>
        </w:tc>
        <w:tc>
          <w:tcPr/>
          <w:p>
            <w:pPr>
              <w:pStyle w:val="Compact"/>
              <w:jc w:val="left"/>
            </w:pPr>
            <w:r>
              <w:t xml:space="preserve">Nur Tierdaten zur Gabe: bei Mäusen weniger Übergewicht (PMID 25738459)</w:t>
            </w:r>
          </w:p>
        </w:tc>
        <w:tc>
          <w:tcPr/>
          <w:p>
            <w:pPr>
              <w:pStyle w:val="Compact"/>
              <w:jc w:val="left"/>
            </w:pPr>
            <w:r>
              <w:t xml:space="preserve">keine Daten zur Gabe am Menschen</w:t>
            </w:r>
          </w:p>
        </w:tc>
      </w:tr>
      <w:tr>
        <w:tc>
          <w:tcPr/>
          <w:p>
            <w:pPr>
              <w:pStyle w:val="Compact"/>
              <w:jc w:val="left"/>
            </w:pPr>
            <w:r>
              <w:t xml:space="preserve">Humanin</w:t>
            </w:r>
          </w:p>
        </w:tc>
        <w:tc>
          <w:tcPr/>
          <w:p>
            <w:pPr>
              <w:pStyle w:val="Compact"/>
              <w:jc w:val="left"/>
            </w:pPr>
            <w:r>
              <w:t xml:space="preserve">Nur Spiegelmessungen am Menschen (PMID 32575074)</w:t>
            </w:r>
          </w:p>
        </w:tc>
        <w:tc>
          <w:tcPr/>
          <w:p>
            <w:pPr>
              <w:pStyle w:val="Compact"/>
              <w:jc w:val="left"/>
            </w:pPr>
            <w:r>
              <w:t xml:space="preserve">bei Mäusen mehr Brustkrebswachstum (PMID 32444831)</w:t>
            </w:r>
          </w:p>
        </w:tc>
      </w:tr>
      <w:tr>
        <w:tc>
          <w:tcPr/>
          <w:p>
            <w:pPr>
              <w:pStyle w:val="Compact"/>
              <w:jc w:val="left"/>
            </w:pPr>
            <w:r>
              <w:t xml:space="preserve">SS-31 (Elamipretid)</w:t>
            </w:r>
          </w:p>
        </w:tc>
        <w:tc>
          <w:tcPr/>
          <w:p>
            <w:pPr>
              <w:pStyle w:val="Compact"/>
              <w:jc w:val="left"/>
            </w:pPr>
            <w:r>
              <w:t xml:space="preserve">MMPOWER-3 mit 218 Personen: kein Nutzen bei Myopathie (PMID 37268435)</w:t>
            </w:r>
          </w:p>
        </w:tc>
        <w:tc>
          <w:tcPr/>
          <w:p>
            <w:pPr>
              <w:pStyle w:val="Compact"/>
              <w:jc w:val="left"/>
            </w:pPr>
            <w:r>
              <w:t xml:space="preserve">Einstichstellen; Graumarkt-Ware nicht identisch</w:t>
            </w:r>
          </w:p>
        </w:tc>
      </w:tr>
      <w:tr>
        <w:tc>
          <w:tcPr/>
          <w:p>
            <w:pPr>
              <w:pStyle w:val="Compact"/>
              <w:jc w:val="left"/>
            </w:pPr>
            <w:r>
              <w:t xml:space="preserve">FOXO4-DRI</w:t>
            </w:r>
          </w:p>
        </w:tc>
        <w:tc>
          <w:tcPr/>
          <w:p>
            <w:pPr>
              <w:pStyle w:val="Compact"/>
              <w:jc w:val="left"/>
            </w:pPr>
            <w:r>
              <w:t xml:space="preserve">Nur Tierdaten: bei gealterten Mäusen bessere Fitness (PMID 28340339)</w:t>
            </w:r>
          </w:p>
        </w:tc>
        <w:tc>
          <w:tcPr/>
          <w:p>
            <w:pPr>
              <w:pStyle w:val="Compact"/>
              <w:jc w:val="left"/>
            </w:pPr>
            <w:r>
              <w:t xml:space="preserve">keine Humandaten; Eingriff in p53</w:t>
            </w:r>
          </w:p>
        </w:tc>
      </w:tr>
      <w:tr>
        <w:tc>
          <w:tcPr/>
          <w:p>
            <w:pPr>
              <w:pStyle w:val="Compact"/>
              <w:jc w:val="left"/>
            </w:pPr>
            <w:r>
              <w:t xml:space="preserve">Glutathion</w:t>
            </w:r>
          </w:p>
        </w:tc>
        <w:tc>
          <w:tcPr/>
          <w:p>
            <w:pPr>
              <w:pStyle w:val="Compact"/>
              <w:jc w:val="left"/>
            </w:pPr>
            <w:r>
              <w:t xml:space="preserve">Phase 3 mit 185 Personen: kein Schutz vor Nervenschäden durch Chemotherapie (PMID 24619793)</w:t>
            </w:r>
          </w:p>
        </w:tc>
        <w:tc>
          <w:tcPr/>
          <w:p>
            <w:pPr>
              <w:pStyle w:val="Compact"/>
              <w:jc w:val="left"/>
            </w:pPr>
            <w:r>
              <w:t xml:space="preserve">Infusionen zur Hautaufhellung: Behördenwarnungen</w:t>
            </w:r>
          </w:p>
        </w:tc>
      </w:tr>
    </w:tbl>
    <w:bookmarkEnd w:id="2529"/>
    <w:bookmarkStart w:id="2530" w:name="e.-hormone-sexualität-und-pigmentierung"/>
    <w:p>
      <w:pPr>
        <w:pStyle w:val="Heading3"/>
      </w:pPr>
      <w:r>
        <w:t xml:space="preserve">E. Hormone, Sexualität und Pigmentierung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nein / ja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8 / 0 (Anm.)</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ja / ja (Scenesse, nur EPP)</w:t>
            </w:r>
          </w:p>
        </w:tc>
        <w:tc>
          <w:tcPr/>
          <w:p>
            <w:pPr>
              <w:pStyle w:val="Compact"/>
              <w:jc w:val="left"/>
            </w:pPr>
            <w:r>
              <w:t xml:space="preserve">10 / 23 (Anm.)</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37 / 36</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Geburtshilfe / nur Geburtshilfe</w:t>
            </w:r>
          </w:p>
        </w:tc>
        <w:tc>
          <w:tcPr/>
          <w:p>
            <w:pPr>
              <w:pStyle w:val="Compact"/>
              <w:jc w:val="left"/>
            </w:pPr>
            <w:r>
              <w:t xml:space="preserve">349 / 263</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in einzelnen Staaten / nein</w:t>
            </w:r>
          </w:p>
        </w:tc>
        <w:tc>
          <w:tcPr/>
          <w:p>
            <w:pPr>
              <w:pStyle w:val="Compact"/>
              <w:jc w:val="left"/>
            </w:pPr>
            <w:r>
              <w:t xml:space="preserve">9 / 1.000 (Anm.)</w:t>
            </w:r>
          </w:p>
        </w:tc>
      </w:tr>
    </w:tbl>
    <w:p>
      <w:pPr>
        <w:pStyle w:val="BodyText"/>
      </w:pPr>
      <w:r>
        <w:t xml:space="preserve">Anmerkungen zur Tabelle: Bei</w:t>
      </w:r>
      <w:r>
        <w:t xml:space="preserve"> </w:t>
      </w:r>
      <w:r>
        <w:rPr>
          <w:bCs/>
          <w:b/>
        </w:rPr>
        <w:t xml:space="preserve">Melanotan II</w:t>
      </w:r>
      <w:r>
        <w:t xml:space="preserve"> </w:t>
      </w:r>
      <w:r>
        <w:t xml:space="preserve">betreffen vier der acht PubMed-Treffer Melanotan I (das spätere Afamelanotid); der einzige Registereintrag erwies sich als nicht vertrauenswürdig. Bei</w:t>
      </w:r>
      <w:r>
        <w:t xml:space="preserve"> </w:t>
      </w:r>
      <w:r>
        <w:rPr>
          <w:bCs/>
          <w:b/>
        </w:rPr>
        <w:t xml:space="preserve">Afamelanotid</w:t>
      </w:r>
      <w:r>
        <w:t xml:space="preserve"> </w:t>
      </w:r>
      <w:r>
        <w:t xml:space="preserve">fehlen in der Zählung ältere Studien unter den Namen Melanotan I oder NDP-MSH. Bei</w:t>
      </w:r>
      <w:r>
        <w:t xml:space="preserve"> </w:t>
      </w:r>
      <w:r>
        <w:rPr>
          <w:bCs/>
          <w:b/>
        </w:rPr>
        <w:t xml:space="preserve">Oxytocin</w:t>
      </w:r>
      <w:r>
        <w:t xml:space="preserve"> </w:t>
      </w:r>
      <w:r>
        <w:t xml:space="preserve">ist nur die Anwendung als Infusion oder Spritze in der Geburtshilfe zugelassen, nicht das Nasenspray. Die Zahlen für</w:t>
      </w:r>
      <w:r>
        <w:t xml:space="preserve"> </w:t>
      </w:r>
      <w:r>
        <w:rPr>
          <w:bCs/>
          <w:b/>
        </w:rPr>
        <w:t xml:space="preserve">Gonadorelin</w:t>
      </w:r>
      <w:r>
        <w:t xml:space="preserve"> </w:t>
      </w:r>
      <w:r>
        <w:t xml:space="preserve">sind unbrauchbar: Die Registersuche stieß an ihre Obergrenze von 1.000 Treffern, weil das Register den Oberbegriff „Gonadotropin-Releasing Hormone“ einbezieht; fast alle Treffer betreffen GnRH-Analoga, etwa bei Prostatakrebs, nur rund zehn das körpergleiche Hormon. Die PubMed-Zahl ist zu niedrig, weil die meisten Studien „GnRH“ oder „LHRH“ schreiben.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Bremelanotid (PT-141)</w:t>
            </w:r>
          </w:p>
        </w:tc>
        <w:tc>
          <w:tcPr/>
          <w:p>
            <w:pPr>
              <w:pStyle w:val="Compact"/>
              <w:jc w:val="left"/>
            </w:pPr>
            <w:r>
              <w:t xml:space="preserve">RECONNECT, 1.267 Frauen: nur geringer Vorteil gegenüber Placebo (PMID 31599840)</w:t>
            </w:r>
          </w:p>
        </w:tc>
        <w:tc>
          <w:tcPr/>
          <w:p>
            <w:pPr>
              <w:pStyle w:val="Compact"/>
              <w:jc w:val="left"/>
            </w:pPr>
            <w:r>
              <w:t xml:space="preserve">Übelkeit bei rund 40 %, kurzer Blutdruckanstieg</w:t>
            </w:r>
          </w:p>
        </w:tc>
      </w:tr>
      <w:tr>
        <w:tc>
          <w:tcPr/>
          <w:p>
            <w:pPr>
              <w:pStyle w:val="Compact"/>
              <w:jc w:val="left"/>
            </w:pPr>
            <w:r>
              <w:t xml:space="preserve">Melanotan II</w:t>
            </w:r>
          </w:p>
        </w:tc>
        <w:tc>
          <w:tcPr/>
          <w:p>
            <w:pPr>
              <w:pStyle w:val="Compact"/>
              <w:jc w:val="left"/>
            </w:pPr>
            <w:r>
              <w:t xml:space="preserve">Kleine Kreuzstudien: Erektionen bei 17 von 20 Männern, häufig Übelkeit (PMID 11035391)</w:t>
            </w:r>
          </w:p>
        </w:tc>
        <w:tc>
          <w:tcPr/>
          <w:p>
            <w:pPr>
              <w:pStyle w:val="Compact"/>
              <w:jc w:val="left"/>
            </w:pPr>
            <w:r>
              <w:t xml:space="preserve">Muttermalveränderungen, Melanom-Fallberichte, Priapismus</w:t>
            </w:r>
          </w:p>
        </w:tc>
      </w:tr>
      <w:tr>
        <w:tc>
          <w:tcPr/>
          <w:p>
            <w:pPr>
              <w:pStyle w:val="Compact"/>
              <w:jc w:val="left"/>
            </w:pPr>
            <w:r>
              <w:t xml:space="preserve">Afamelanotid</w:t>
            </w:r>
          </w:p>
        </w:tc>
        <w:tc>
          <w:tcPr/>
          <w:p>
            <w:pPr>
              <w:pStyle w:val="Compact"/>
              <w:jc w:val="left"/>
            </w:pPr>
            <w:r>
              <w:t xml:space="preserve">Zwei RCTs: längere schmerzfreie Zeit im Sonnenlicht bei EPP (PMID 26132941)</w:t>
            </w:r>
          </w:p>
        </w:tc>
        <w:tc>
          <w:tcPr/>
          <w:p>
            <w:pPr>
              <w:pStyle w:val="Compact"/>
              <w:jc w:val="left"/>
            </w:pPr>
            <w:r>
              <w:t xml:space="preserve">Übelkeit, Kopfschmerz; Hautkontrollen nötig</w:t>
            </w:r>
          </w:p>
        </w:tc>
      </w:tr>
      <w:tr>
        <w:tc>
          <w:tcPr/>
          <w:p>
            <w:pPr>
              <w:pStyle w:val="Compact"/>
              <w:jc w:val="left"/>
            </w:pPr>
            <w:r>
              <w:t xml:space="preserve">Kisspeptin</w:t>
            </w:r>
          </w:p>
        </w:tc>
        <w:tc>
          <w:tcPr/>
          <w:p>
            <w:pPr>
              <w:pStyle w:val="Compact"/>
              <w:jc w:val="left"/>
            </w:pPr>
            <w:r>
              <w:t xml:space="preserve">60 Frauen mit OHSS-Risiko: Eizellreifung bei 95 %, kein schweres OHSS (PMID 26192876)</w:t>
            </w:r>
          </w:p>
        </w:tc>
        <w:tc>
          <w:tcPr/>
          <w:p>
            <w:pPr>
              <w:pStyle w:val="Compact"/>
              <w:jc w:val="left"/>
            </w:pPr>
            <w:r>
              <w:t xml:space="preserve">Gewöhnung bis zur Unterdrückung der Hormonachse</w:t>
            </w:r>
          </w:p>
        </w:tc>
      </w:tr>
      <w:tr>
        <w:tc>
          <w:tcPr/>
          <w:p>
            <w:pPr>
              <w:pStyle w:val="Compact"/>
              <w:jc w:val="left"/>
            </w:pPr>
            <w:r>
              <w:t xml:space="preserve">Oxytocin (Nasenspray)</w:t>
            </w:r>
          </w:p>
        </w:tc>
        <w:tc>
          <w:tcPr/>
          <w:p>
            <w:pPr>
              <w:pStyle w:val="Compact"/>
              <w:jc w:val="left"/>
            </w:pPr>
            <w:r>
              <w:t xml:space="preserve">SOARS-B, 290 Kinder mit Autismus: kein Unterschied zu Placebo (PMID 34644471)</w:t>
            </w:r>
          </w:p>
        </w:tc>
        <w:tc>
          <w:tcPr/>
          <w:p>
            <w:pPr>
              <w:pStyle w:val="Compact"/>
              <w:jc w:val="left"/>
            </w:pPr>
            <w:r>
              <w:t xml:space="preserve">Wasserretention in hohen Dosen, Wehenauslösung</w:t>
            </w:r>
          </w:p>
        </w:tc>
      </w:tr>
      <w:tr>
        <w:tc>
          <w:tcPr/>
          <w:p>
            <w:pPr>
              <w:pStyle w:val="Compact"/>
              <w:jc w:val="left"/>
            </w:pPr>
            <w:r>
              <w:t xml:space="preserve">Gonadorelin</w:t>
            </w:r>
          </w:p>
        </w:tc>
        <w:tc>
          <w:tcPr/>
          <w:p>
            <w:pPr>
              <w:pStyle w:val="Compact"/>
              <w:jc w:val="left"/>
            </w:pPr>
            <w:r>
              <w:t xml:space="preserve">Pulsatile Gabe: Eisprung bei 91 % bzw. 96 % von 109 Frauen (PMID 2122733)</w:t>
            </w:r>
          </w:p>
        </w:tc>
        <w:tc>
          <w:tcPr/>
          <w:p>
            <w:pPr>
              <w:pStyle w:val="Compact"/>
              <w:jc w:val="left"/>
            </w:pPr>
            <w:r>
              <w:t xml:space="preserve">bei falschem Rhythmus Unterdrückung der Hormonachse</w:t>
            </w:r>
          </w:p>
        </w:tc>
      </w:tr>
    </w:tbl>
    <w:bookmarkEnd w:id="2530"/>
    <w:bookmarkStart w:id="2531" w:name="f.-kollagen-ernährung-und-kosmetik"/>
    <w:p>
      <w:pPr>
        <w:pStyle w:val="Heading3"/>
      </w:pPr>
      <w:r>
        <w:t xml:space="preserve">F. Kollagen, Ernährung und Kosmetik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101 / 237 (Anm.)</w:t>
            </w:r>
          </w:p>
        </w:tc>
      </w:tr>
      <w:tr>
        <w:tc>
          <w:tcPr/>
          <w:p>
            <w:pPr>
              <w:pStyle w:val="Compact"/>
              <w:jc w:val="left"/>
            </w:pPr>
            <w:r>
              <w:t xml:space="preserve">Lactotripeptide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21 / 0</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 Kosmetik</w:t>
            </w:r>
          </w:p>
        </w:tc>
        <w:tc>
          <w:tcPr/>
          <w:p>
            <w:pPr>
              <w:pStyle w:val="Compact"/>
              <w:jc w:val="left"/>
            </w:pPr>
            <w:r>
              <w:t xml:space="preserve">1 / 24 (Anm.)</w:t>
            </w:r>
          </w:p>
        </w:tc>
      </w:tr>
      <w:tr>
        <w:tc>
          <w:tcPr/>
          <w:p>
            <w:pPr>
              <w:pStyle w:val="Compact"/>
              <w:jc w:val="left"/>
            </w:pPr>
            <w:r>
              <w:t xml:space="preserve">Palmitoyl-Pentapeptid-4</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1 / 0</w:t>
            </w:r>
          </w:p>
        </w:tc>
      </w:tr>
      <w:tr>
        <w:tc>
          <w:tcPr/>
          <w:p>
            <w:pPr>
              <w:pStyle w:val="Compact"/>
              <w:jc w:val="left"/>
            </w:pPr>
            <w:r>
              <w:t xml:space="preserve">Acetyl-Hexapeptid-8</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3 / 7</w:t>
            </w:r>
          </w:p>
        </w:tc>
      </w:tr>
    </w:tbl>
    <w:p>
      <w:pPr>
        <w:pStyle w:val="BodyText"/>
      </w:pPr>
      <w:r>
        <w:t xml:space="preserve">Anmerkungen zur Tabelle: Bei</w:t>
      </w:r>
      <w:r>
        <w:t xml:space="preserve"> </w:t>
      </w:r>
      <w:r>
        <w:rPr>
          <w:bCs/>
          <w:b/>
        </w:rPr>
        <w:t xml:space="preserve">Kollagenpeptiden</w:t>
      </w:r>
      <w:r>
        <w:t xml:space="preserve"> </w:t>
      </w:r>
      <w:r>
        <w:t xml:space="preserve">betrifft ein erheblicher Teil der Registertreffer andere Themen, etwa Kollagen-Implantate in der Zahnmedizin oder das Krebsmedikament Endostatin. Bei</w:t>
      </w:r>
      <w:r>
        <w:t xml:space="preserve"> </w:t>
      </w:r>
      <w:r>
        <w:rPr>
          <w:bCs/>
          <w:b/>
        </w:rPr>
        <w:t xml:space="preserve">GHK-Cu</w:t>
      </w:r>
      <w:r>
        <w:t xml:space="preserve"> </w:t>
      </w:r>
      <w:r>
        <w:t xml:space="preserve">betreffen fast alle Registertreffer andere Kupferverbindungen, zum Beispiel radioaktives Kupfer-64 für die Bildgebung; nur ein glaubwürdiger Eintrag untersucht tatsächlich GHK. Bei keinem Stoff dieser Gruppe ist ein gesundheitsbezogener Werbeslogan in der EU zugelassen; für Lactotripeptide hat die Europäische Behörde für Lebensmittelsicherheit (EFSA) die beantragte Blutdruck-Aussage abgelehnt.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Kollagenpeptide</w:t>
            </w:r>
          </w:p>
        </w:tc>
        <w:tc>
          <w:tcPr/>
          <w:p>
            <w:pPr>
              <w:pStyle w:val="Compact"/>
              <w:jc w:val="left"/>
            </w:pPr>
            <w:r>
              <w:t xml:space="preserve">Arthrose: kleine bis mäßige Effekte (PMID 38218227); Hautnutzen nicht in unabhängigen Studien (PMID 40324552)</w:t>
            </w:r>
          </w:p>
        </w:tc>
        <w:tc>
          <w:tcPr/>
          <w:p>
            <w:pPr>
              <w:pStyle w:val="Compact"/>
              <w:jc w:val="left"/>
            </w:pPr>
            <w:r>
              <w:t xml:space="preserve">Ersatz wirksamer Maßnahmen; Oxalat bei Nierensteinneigung</w:t>
            </w:r>
          </w:p>
        </w:tc>
      </w:tr>
      <w:tr>
        <w:tc>
          <w:tcPr/>
          <w:p>
            <w:pPr>
              <w:pStyle w:val="Compact"/>
              <w:jc w:val="left"/>
            </w:pPr>
            <w:r>
              <w:t xml:space="preserve">Lactotripeptide</w:t>
            </w:r>
          </w:p>
        </w:tc>
        <w:tc>
          <w:tcPr/>
          <w:p>
            <w:pPr>
              <w:pStyle w:val="Compact"/>
              <w:jc w:val="left"/>
            </w:pPr>
            <w:r>
              <w:t xml:space="preserve">Meta-Analyse, 30 RCTs: systolisch −2,95 mmHg, mit Publikationsverzerrung (PMID 25608938)</w:t>
            </w:r>
          </w:p>
        </w:tc>
        <w:tc>
          <w:tcPr/>
          <w:p>
            <w:pPr>
              <w:pStyle w:val="Compact"/>
              <w:jc w:val="left"/>
            </w:pPr>
            <w:r>
              <w:t xml:space="preserve">Ersatz einer wirksamen Blutdruckbehandlung</w:t>
            </w:r>
          </w:p>
        </w:tc>
      </w:tr>
      <w:tr>
        <w:tc>
          <w:tcPr/>
          <w:p>
            <w:pPr>
              <w:pStyle w:val="Compact"/>
              <w:jc w:val="left"/>
            </w:pPr>
            <w:r>
              <w:t xml:space="preserve">Carnosin</w:t>
            </w:r>
          </w:p>
        </w:tc>
        <w:tc>
          <w:tcPr/>
          <w:p>
            <w:pPr>
              <w:pStyle w:val="Compact"/>
              <w:jc w:val="left"/>
            </w:pPr>
            <w:r>
              <w:t xml:space="preserve">Meta-Analyse, 8 RCTs: etwas niedrigere Zucker- und HbA1c-Werte (PMID 40999397)</w:t>
            </w:r>
          </w:p>
        </w:tc>
        <w:tc>
          <w:tcPr/>
          <w:p>
            <w:pPr>
              <w:pStyle w:val="Compact"/>
              <w:jc w:val="left"/>
            </w:pPr>
            <w:r>
              <w:t xml:space="preserve">keine relevanten; Langzeitdaten fehlen</w:t>
            </w:r>
          </w:p>
        </w:tc>
      </w:tr>
      <w:tr>
        <w:tc>
          <w:tcPr/>
          <w:p>
            <w:pPr>
              <w:pStyle w:val="Compact"/>
              <w:jc w:val="left"/>
            </w:pPr>
            <w:r>
              <w:t xml:space="preserve">GHK-Cu</w:t>
            </w:r>
          </w:p>
        </w:tc>
        <w:tc>
          <w:tcPr/>
          <w:p>
            <w:pPr>
              <w:pStyle w:val="Compact"/>
              <w:jc w:val="left"/>
            </w:pPr>
            <w:r>
              <w:t xml:space="preserve">Fußgeschwüre: Wundfläche median −98,5 % vs. −60,8 % (PMID 17147644)</w:t>
            </w:r>
          </w:p>
        </w:tc>
        <w:tc>
          <w:tcPr/>
          <w:p>
            <w:pPr>
              <w:pStyle w:val="Compact"/>
              <w:jc w:val="left"/>
            </w:pPr>
            <w:r>
              <w:t xml:space="preserve">Injektionen von Graumarkt-Ware ungeprüft</w:t>
            </w:r>
          </w:p>
        </w:tc>
      </w:tr>
      <w:tr>
        <w:tc>
          <w:tcPr/>
          <w:p>
            <w:pPr>
              <w:pStyle w:val="Compact"/>
              <w:jc w:val="left"/>
            </w:pPr>
            <w:r>
              <w:t xml:space="preserve">Palmitoyl-Pentapeptid-4</w:t>
            </w:r>
          </w:p>
        </w:tc>
        <w:tc>
          <w:tcPr/>
          <w:p>
            <w:pPr>
              <w:pStyle w:val="Compact"/>
              <w:jc w:val="left"/>
            </w:pPr>
            <w:r>
              <w:t xml:space="preserve">93 Frauen, Halbseitenstudie: weniger Falten nach 12 Wochen (PMID 18492182)</w:t>
            </w:r>
          </w:p>
        </w:tc>
        <w:tc>
          <w:tcPr/>
          <w:p>
            <w:pPr>
              <w:pStyle w:val="Compact"/>
              <w:jc w:val="left"/>
            </w:pPr>
            <w:r>
              <w:t xml:space="preserve">selten Hautreizung</w:t>
            </w:r>
          </w:p>
        </w:tc>
      </w:tr>
      <w:tr>
        <w:tc>
          <w:tcPr/>
          <w:p>
            <w:pPr>
              <w:pStyle w:val="Compact"/>
              <w:jc w:val="left"/>
            </w:pPr>
            <w:r>
              <w:t xml:space="preserve">Acetyl-Hexapeptid-8</w:t>
            </w:r>
          </w:p>
        </w:tc>
        <w:tc>
          <w:tcPr/>
          <w:p>
            <w:pPr>
              <w:pStyle w:val="Compact"/>
              <w:jc w:val="left"/>
            </w:pPr>
            <w:r>
              <w:t xml:space="preserve">19 Frauen, Halbseitenstudie: kein Unterschied nach 4 Wochen (PMID 38024099)</w:t>
            </w:r>
          </w:p>
        </w:tc>
        <w:tc>
          <w:tcPr/>
          <w:p>
            <w:pPr>
              <w:pStyle w:val="Compact"/>
              <w:jc w:val="left"/>
            </w:pPr>
            <w:r>
              <w:t xml:space="preserve">Injektionen nicht zugelassen, Infektions-Fallbericht</w:t>
            </w:r>
          </w:p>
        </w:tc>
      </w:tr>
    </w:tbl>
    <w:bookmarkEnd w:id="2531"/>
    <w:bookmarkStart w:id="2535" w:name="Xe22c8775aecd4678dba705cd67e3f4b9e465887"/>
    <w:p>
      <w:pPr>
        <w:pStyle w:val="Heading3"/>
      </w:pPr>
      <w:r>
        <w:t xml:space="preserve">Auswertung: Wie gut sind Peptide insgesamt untersucht?</w:t>
      </w:r>
    </w:p>
    <w:bookmarkStart w:id="2532" w:name="verteilung-der-evidenzstufen"/>
    <w:p>
      <w:pPr>
        <w:pStyle w:val="Heading4"/>
      </w:pPr>
      <w:r>
        <w:t xml:space="preserve">Verteilung der Evidenzstufen</w:t>
      </w:r>
    </w:p>
    <w:p>
      <w:pPr>
        <w:pStyle w:val="FirstParagraph"/>
      </w:pPr>
      <w:r>
        <w:t xml:space="preserve">Die 58 Einträge dieses Buches – 56 Peptide und zwei Vergleichssubstanzen, die keine Peptide sind (Orforglipron und Ibutamoren) – verteilen sich wie folgt: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Evidenzstufe</w:t>
            </w:r>
          </w:p>
        </w:tc>
        <w:tc>
          <w:tcPr/>
          <w:p>
            <w:pPr>
              <w:pStyle w:val="Compact"/>
              <w:jc w:val="left"/>
            </w:pPr>
            <w:r>
              <w:t xml:space="preserve">Anzahl</w:t>
            </w:r>
          </w:p>
        </w:tc>
        <w:tc>
          <w:tcPr/>
          <w:p>
            <w:pPr>
              <w:pStyle w:val="Compact"/>
              <w:jc w:val="left"/>
            </w:pPr>
            <w:r>
              <w:t xml:space="preserve">Anteil</w:t>
            </w:r>
          </w:p>
        </w:tc>
        <w:tc>
          <w:tcPr/>
          <w:p>
            <w:pPr>
              <w:pStyle w:val="Compact"/>
              <w:jc w:val="left"/>
            </w:pPr>
            <w:r>
              <w:t xml:space="preserve">Beispiele</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Semaglutid, Tirzepatid, Tesamorelin, Afamelanotid</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Retatrutid, Thymosin Alpha-1, Glutathion, Kollagenpeptide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Anmerkung: TB-500 ist in der Zählung mit der Stufe B für Thymosin Beta-4 erfasst; für das Fragment TB-500 allein gilt Stufe D.</w:t>
      </w:r>
    </w:p>
    <w:p>
      <w:pPr>
        <w:pStyle w:val="BodyText"/>
      </w:pPr>
      <w:r>
        <w:t xml:space="preserve">Drei Muster:</w:t>
      </w:r>
    </w:p>
    <w:p>
      <w:pPr>
        <w:numPr>
          <w:ilvl w:val="0"/>
          <w:numId w:val="1322"/>
        </w:numPr>
        <w:pStyle w:val="Compact"/>
      </w:pPr>
      <w:r>
        <w:rPr>
          <w:bCs/>
          <w:b/>
        </w:rPr>
        <w:t xml:space="preserve">Stufe A erreichen fast nur Wirkstoffe, die ein reguläres Zulassungsprogramm eines Arzneimittelherstellers durchlaufen haben.</w:t>
      </w:r>
      <w:r>
        <w:t xml:space="preserve"> </w:t>
      </w:r>
      <w:r>
        <w:t xml:space="preserve">Neun der 14 Einträge mit Stufe A stammen aus Gruppe A (Stoffwechsel und Gewicht). Die übrigen sind Tesamorelin, Macimorelin und Mecasermin aus der Wachstumshormon-Achse sowie Bremelanotid und Afamelanotid. Keiner der in Gruppe B (Heilung) und Gruppe D (Gehirn und Langlebigkeit) beschriebenen Stoffe erreicht Stufe A.</w:t>
      </w:r>
    </w:p>
    <w:p>
      <w:pPr>
        <w:numPr>
          <w:ilvl w:val="0"/>
          <w:numId w:val="1322"/>
        </w:numPr>
        <w:pStyle w:val="Compact"/>
      </w:pPr>
      <w:r>
        <w:rPr>
          <w:bCs/>
          <w:b/>
        </w:rPr>
        <w:t xml:space="preserve">Stufe B heißt oft „geprüft und nicht bestätigt“.</w:t>
      </w:r>
      <w:r>
        <w:t xml:space="preserve"> </w:t>
      </w:r>
      <w:r>
        <w:t xml:space="preserve">Bei vielen der 25 Einträge verfehlte die größte randomisierte Studie ihr Hauptziel: Thymosin Alpha-1 bei Sepsis, LL-37 bei Beingeschwüren, Ipamorelin nach Darmoperationen, Elamipretid bei Myopathie, Oxytocin bei Autismus, Glutathion gegen Nervenschäden durch Chemotherapie.</w:t>
      </w:r>
    </w:p>
    <w:p>
      <w:pPr>
        <w:numPr>
          <w:ilvl w:val="0"/>
          <w:numId w:val="1322"/>
        </w:numPr>
        <w:pStyle w:val="Compact"/>
      </w:pPr>
      <w:r>
        <w:rPr>
          <w:bCs/>
          <w:b/>
        </w:rPr>
        <w:t xml:space="preserve">Ein Drittel hat Stufe C oder D.</w:t>
      </w:r>
      <w:r>
        <w:t xml:space="preserve"> </w:t>
      </w:r>
      <w:r>
        <w:t xml:space="preserve">19 von 58 Einträgen beruhen auf kleinen, unkontrollierten Humanstudien oder nur auf Tier- und Laborversuchen – darunter viele der im Internet am stärksten beworbenen Stoffe.</w:t>
      </w:r>
    </w:p>
    <w:p>
      <w:pPr>
        <w:pStyle w:val="FirstParagraph"/>
      </w:pPr>
      <w:r>
        <w:t xml:space="preserve">Nach Gruppen betrachtet:</w:t>
      </w:r>
    </w:p>
    <w:p>
      <w:pPr>
        <w:numPr>
          <w:ilvl w:val="0"/>
          <w:numId w:val="1323"/>
        </w:numPr>
        <w:pStyle w:val="Compact"/>
      </w:pPr>
      <w:r>
        <w:t xml:space="preserve">A. Stoffwechsel und Gewicht (15 Einträge): 9 × A, 5 × B, 1 × D</w:t>
      </w:r>
    </w:p>
    <w:p>
      <w:pPr>
        <w:numPr>
          <w:ilvl w:val="0"/>
          <w:numId w:val="1323"/>
        </w:numPr>
        <w:pStyle w:val="Compact"/>
      </w:pPr>
      <w:r>
        <w:t xml:space="preserve">B. Heilung und Immunsystem (8): 5 × B, 2 × C, 1 × D</w:t>
      </w:r>
    </w:p>
    <w:p>
      <w:pPr>
        <w:numPr>
          <w:ilvl w:val="0"/>
          <w:numId w:val="1323"/>
        </w:numPr>
        <w:pStyle w:val="Compact"/>
      </w:pPr>
      <w:r>
        <w:t xml:space="preserve">C. Wachstumshormon-Achse (11): 3 × A, 4 × B, 3 × C, 1 × D</w:t>
      </w:r>
    </w:p>
    <w:p>
      <w:pPr>
        <w:numPr>
          <w:ilvl w:val="0"/>
          <w:numId w:val="1323"/>
        </w:numPr>
        <w:pStyle w:val="Compact"/>
      </w:pPr>
      <w:r>
        <w:t xml:space="preserve">D. Gehirn und Langlebigkeit (12): 3 × B, 5 × C, 4 × D</w:t>
      </w:r>
    </w:p>
    <w:p>
      <w:pPr>
        <w:numPr>
          <w:ilvl w:val="0"/>
          <w:numId w:val="1323"/>
        </w:numPr>
        <w:pStyle w:val="Compact"/>
      </w:pPr>
      <w:r>
        <w:t xml:space="preserve">E. Hormone und Pigmentierung (6): 2 × A, 3 × B, 1 × C</w:t>
      </w:r>
    </w:p>
    <w:p>
      <w:pPr>
        <w:numPr>
          <w:ilvl w:val="0"/>
          <w:numId w:val="1323"/>
        </w:numPr>
        <w:pStyle w:val="Compact"/>
      </w:pPr>
      <w:r>
        <w:t xml:space="preserve">F. Kollagen und Kosmetik (6): 5 × B, 1 × C</w:t>
      </w:r>
    </w:p>
    <w:p>
      <w:pPr>
        <w:pStyle w:val="FirstParagraph"/>
      </w:pPr>
      <w:r>
        <w:t xml:space="preserve">Gruppe D hat die schwächste Datenlage: Vier ihrer zwölf Peptide wurden nie in einer veröffentlichten Studie am Menschen verabreicht, fünf weitere nur in kleinen, meist nicht randomisierten Studien.</w:t>
      </w:r>
    </w:p>
    <w:bookmarkEnd w:id="2532"/>
    <w:bookmarkStart w:id="2533" w:name="zugelassen-oder-nicht"/>
    <w:p>
      <w:pPr>
        <w:pStyle w:val="Heading4"/>
      </w:pPr>
      <w:r>
        <w:t xml:space="preserve">Zugelassen oder nicht?</w:t>
      </w:r>
    </w:p>
    <w:p>
      <w:pPr>
        <w:pStyle w:val="FirstParagraph"/>
      </w:pPr>
      <w:r>
        <w:t xml:space="preserve">„Zugelassen“ bedeutet in diesem Buch: Eine Arzneimittelbehörde hat Wirksamkeit, Unbedenklichkeit und Herstellungsqualität für eine bestimmte Anwendung geprüft. Die 58 Einträge lassen sich danach in fünf Gruppen einteilen (Stand Oktober 2026, bitte aktuell prüfen):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Anzahl</w:t>
            </w:r>
          </w:p>
        </w:tc>
        <w:tc>
          <w:tcPr/>
          <w:p>
            <w:pPr>
              <w:pStyle w:val="Compact"/>
              <w:jc w:val="left"/>
            </w:pPr>
            <w:r>
              <w:t xml:space="preserve">Peptide</w:t>
            </w:r>
          </w:p>
        </w:tc>
      </w:tr>
      <w:tr>
        <w:tc>
          <w:tcPr/>
          <w:p>
            <w:pPr>
              <w:pStyle w:val="Compact"/>
              <w:jc w:val="left"/>
            </w:pPr>
            <w:r>
              <w:t xml:space="preserve">Als Arzneimittel in der EU und/oder den USA zugelassen</w:t>
            </w:r>
          </w:p>
        </w:tc>
        <w:tc>
          <w:tcPr/>
          <w:p>
            <w:pPr>
              <w:pStyle w:val="Compact"/>
              <w:jc w:val="left"/>
            </w:pPr>
            <w:r>
              <w:t xml:space="preserve">14</w:t>
            </w:r>
          </w:p>
        </w:tc>
        <w:tc>
          <w:tcPr/>
          <w:p>
            <w:pPr>
              <w:pStyle w:val="Compact"/>
              <w:jc w:val="left"/>
            </w:pPr>
            <w:r>
              <w:t xml:space="preserve">Exenatid, Liraglutid, Dulaglutid, Semaglutid, Tirzepatid, Setmelanotid, Pramlintid, Tesamorelin, Macimorelin, Mecasermin, Afamelanotid, Bremelanotid, SS-31, Oxytocin (nur Geburtshilfe)</w:t>
            </w:r>
          </w:p>
        </w:tc>
      </w:tr>
      <w:tr>
        <w:tc>
          <w:tcPr/>
          <w:p>
            <w:pPr>
              <w:pStyle w:val="Compact"/>
              <w:jc w:val="left"/>
            </w:pPr>
            <w:r>
              <w:t xml:space="preserve">Nur national in einzelnen EU-Staaten oder nur außerhalb von EU und USA zugelassen</w:t>
            </w:r>
          </w:p>
        </w:tc>
        <w:tc>
          <w:tcPr/>
          <w:p>
            <w:pPr>
              <w:pStyle w:val="Compact"/>
              <w:jc w:val="left"/>
            </w:pPr>
            <w:r>
              <w:t xml:space="preserve">8</w:t>
            </w:r>
          </w:p>
        </w:tc>
        <w:tc>
          <w:tcPr/>
          <w:p>
            <w:pPr>
              <w:pStyle w:val="Compact"/>
              <w:jc w:val="left"/>
            </w:pPr>
            <w:r>
              <w:t xml:space="preserve">Cerebrolysin, Gonadorelin, Mazdutid (China), Thymosin Alpha-1 (u. a. China), Thymalin, Semax, Selank (Russland), GHRP-2 (Japan, Diagnostikum)</w:t>
            </w:r>
          </w:p>
        </w:tc>
      </w:tr>
      <w:tr>
        <w:tc>
          <w:tcPr/>
          <w:p>
            <w:pPr>
              <w:pStyle w:val="Compact"/>
              <w:jc w:val="left"/>
            </w:pPr>
            <w:r>
              <w:t xml:space="preserve">Früher in den USA zugelassen, heute nicht mehr im Handel</w:t>
            </w:r>
          </w:p>
        </w:tc>
        <w:tc>
          <w:tcPr/>
          <w:p>
            <w:pPr>
              <w:pStyle w:val="Compact"/>
              <w:jc w:val="left"/>
            </w:pPr>
            <w:r>
              <w:t xml:space="preserve">1</w:t>
            </w:r>
          </w:p>
        </w:tc>
        <w:tc>
          <w:tcPr/>
          <w:p>
            <w:pPr>
              <w:pStyle w:val="Compact"/>
              <w:jc w:val="left"/>
            </w:pPr>
            <w:r>
              <w:t xml:space="preserve">Sermorelin</w:t>
            </w:r>
          </w:p>
        </w:tc>
      </w:tr>
      <w:tr>
        <w:tc>
          <w:tcPr/>
          <w:p>
            <w:pPr>
              <w:pStyle w:val="Compact"/>
              <w:jc w:val="left"/>
            </w:pPr>
            <w:r>
              <w:t xml:space="preserve">Als Lebensmittel, Nahrungsergänzung oder Kosmetik erlaubt, ohne Arzneimittelzulassung</w:t>
            </w:r>
          </w:p>
        </w:tc>
        <w:tc>
          <w:tcPr/>
          <w:p>
            <w:pPr>
              <w:pStyle w:val="Compact"/>
              <w:jc w:val="left"/>
            </w:pPr>
            <w:r>
              <w:t xml:space="preserve">7</w:t>
            </w:r>
          </w:p>
        </w:tc>
        <w:tc>
          <w:tcPr/>
          <w:p>
            <w:pPr>
              <w:pStyle w:val="Compact"/>
              <w:jc w:val="left"/>
            </w:pPr>
            <w:r>
              <w:t xml:space="preserve">Kollagenpeptide, Lactotripeptide, Carnosin, Glutathion, GHK-Cu, Palmitoyl-Pentapeptid-4, Acetyl-Hexapeptid-8</w:t>
            </w:r>
          </w:p>
        </w:tc>
      </w:tr>
      <w:tr>
        <w:tc>
          <w:tcPr/>
          <w:p>
            <w:pPr>
              <w:pStyle w:val="Compact"/>
              <w:jc w:val="left"/>
            </w:pPr>
            <w:r>
              <w:t xml:space="preserve">Nirgends zugelassen</w:t>
            </w:r>
          </w:p>
        </w:tc>
        <w:tc>
          <w:tcPr/>
          <w:p>
            <w:pPr>
              <w:pStyle w:val="Compact"/>
              <w:jc w:val="left"/>
            </w:pPr>
            <w:r>
              <w:t xml:space="preserve">28</w:t>
            </w:r>
          </w:p>
        </w:tc>
        <w:tc>
          <w:tcPr/>
          <w:p>
            <w:pPr>
              <w:pStyle w:val="Compact"/>
              <w:jc w:val="left"/>
            </w:pPr>
            <w:r>
              <w:t xml:space="preserve">darunter Retatrutid, CagriSema, BPC-157, TB-500, CJC-1295, Ipamorelin, Epitalon, MOTS-c, Melanotan II, IGF-1 LR3, Orforglipron (Antrag gestellt) und Ibutamoren</w:t>
            </w:r>
          </w:p>
        </w:tc>
      </w:tr>
    </w:tbl>
    <w:p>
      <w:pPr>
        <w:pStyle w:val="BodyText"/>
      </w:pPr>
      <w:r>
        <w:t xml:space="preserve">Nur rund ein Viertel der Einträge ist in der EU oder den USA als Arzneimittel zugelassen – meist für eng umrissene Anwendungen: Afamelanotid für eine seltene Lichtunverträglichkeit (erythropoetische Protoporphyrie, EPP), nicht zum Bräunen; Elamipretid nur für das Barth-Syndrom; Oxytocin nur für die Geburtshilfe, nicht als Nasenspray; Tesamorelin nur für eine Fettverteilungsstörung bei HIV. Bei der Aussage „zugelassen“ lohnt daher immer die Frage: wo, wofür und in welcher Form?</w:t>
      </w:r>
    </w:p>
    <w:p>
      <w:pPr>
        <w:pStyle w:val="BodyText"/>
      </w:pPr>
      <w:r>
        <w:t xml:space="preserve">Die 28 nirgends zugelassenen Einträge zerfallen in zwei Gruppen. Retatrutid, Survodutid, CagriSema, Amycretin, Maridebart Cafraglutid und Orforglipron sind in der regulären Entwicklung mit Phase-3-Studien; eine Zulassung ist für sie wahrscheinlich, aber nicht gesichert (Einschätzung). Stoffe wie BPC-157, TB-500, CJC-1295, AOD-9604, Epitalon, MOTS-c, Dihexa oder IGF-1 LR3 haben dagegen keinen erkennbaren Zulassungsweg und werden überwiegend als „Research Peptides“ verkauft. Graumarkt-Angebote der ersten Gruppe sind mit den geprüften Arzneimitteln nicht gleichzusetzen.</w:t>
      </w:r>
    </w:p>
    <w:bookmarkEnd w:id="2533"/>
    <w:bookmarkStart w:id="2534" w:name="dopingstatus-nach-wada"/>
    <w:p>
      <w:pPr>
        <w:pStyle w:val="Heading4"/>
      </w:pPr>
      <w:r>
        <w:t xml:space="preserve">Dopingstatus nach WADA</w:t>
      </w:r>
    </w:p>
    <w:p>
      <w:pPr>
        <w:pStyle w:val="FirstParagraph"/>
      </w:pPr>
      <w:r>
        <w:t xml:space="preserve">Für den Wettkampfsport zählt die Verbotsliste der Welt-Anti-Doping-Agentur (WADA). Die wichtigsten Klassen:</w:t>
      </w:r>
    </w:p>
    <w:p>
      <w:pPr>
        <w:numPr>
          <w:ilvl w:val="0"/>
          <w:numId w:val="1324"/>
        </w:numPr>
        <w:pStyle w:val="Compact"/>
      </w:pPr>
      <w:r>
        <w:rPr>
          <w:bCs/>
          <w:b/>
        </w:rPr>
        <w:t xml:space="preserve">S0</w:t>
      </w:r>
      <w:r>
        <w:t xml:space="preserve"> </w:t>
      </w:r>
      <w:r>
        <w:t xml:space="preserve">– nicht zugelassene Substanzen: alle Stoffe ohne Arzneimittelzulassung für Menschen, auch ohne namentliche Nennung.</w:t>
      </w:r>
    </w:p>
    <w:p>
      <w:pPr>
        <w:numPr>
          <w:ilvl w:val="0"/>
          <w:numId w:val="1324"/>
        </w:numPr>
        <w:pStyle w:val="Compact"/>
      </w:pPr>
      <w:r>
        <w:rPr>
          <w:bCs/>
          <w:b/>
        </w:rPr>
        <w:t xml:space="preserve">S2</w:t>
      </w:r>
      <w:r>
        <w:t xml:space="preserve"> </w:t>
      </w:r>
      <w:r>
        <w:t xml:space="preserve">– Peptidhormone, Wachstumsfaktoren und verwandte Substanzen, darunter Wachstumshormon, seine Freisetzungsfaktoren und Fragmente, IGF-1, Thymosin Beta-4 und bei Männern Freisetzungsfaktoren für das luteinisierende Hormon (LH).</w:t>
      </w:r>
    </w:p>
    <w:p>
      <w:pPr>
        <w:numPr>
          <w:ilvl w:val="0"/>
          <w:numId w:val="1324"/>
        </w:numPr>
        <w:pStyle w:val="Compact"/>
      </w:pPr>
      <w:r>
        <w:rPr>
          <w:bCs/>
          <w:b/>
        </w:rPr>
        <w:t xml:space="preserve">S4</w:t>
      </w:r>
      <w:r>
        <w:t xml:space="preserve"> </w:t>
      </w:r>
      <w:r>
        <w:t xml:space="preserve">– Hormon- und Stoffwechsel-Modulatoren, darunter Aktivatoren des Enzyms AMPK.</w:t>
      </w:r>
    </w:p>
    <w:p>
      <w:pPr>
        <w:numPr>
          <w:ilvl w:val="0"/>
          <w:numId w:val="1324"/>
        </w:numPr>
        <w:pStyle w:val="Compact"/>
      </w:pPr>
      <w:r>
        <w:rPr>
          <w:bCs/>
          <w:b/>
        </w:rPr>
        <w:t xml:space="preserve">M2</w:t>
      </w:r>
      <w:r>
        <w:t xml:space="preserve"> </w:t>
      </w:r>
      <w:r>
        <w:t xml:space="preserve">– verbotene Methoden, darunter Infusionen über 100 ml innerhalb von zwölf Stunden.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WADA-Status</w:t>
            </w:r>
          </w:p>
        </w:tc>
      </w:tr>
      <w:tr>
        <w:tc>
          <w:tcPr/>
          <w:p>
            <w:pPr>
              <w:pStyle w:val="Compact"/>
              <w:jc w:val="left"/>
            </w:pPr>
            <w:r>
              <w:t xml:space="preserve">AOD-9604, TB-500 / Thymosin Beta-4, ARA-290, Sermorelin, Tesamorelin, CJC-1295, Ipamorelin, GHRP-2, GHRP-6, Hexarelin, Macimorelin, Mecasermin, IGF-1 LR3, Ibutamoren</w:t>
            </w:r>
          </w:p>
        </w:tc>
        <w:tc>
          <w:tcPr/>
          <w:p>
            <w:pPr>
              <w:pStyle w:val="Compact"/>
              <w:jc w:val="left"/>
            </w:pPr>
            <w:r>
              <w:t xml:space="preserve">verboten, S2</w:t>
            </w:r>
          </w:p>
        </w:tc>
      </w:tr>
      <w:tr>
        <w:tc>
          <w:tcPr/>
          <w:p>
            <w:pPr>
              <w:pStyle w:val="Compact"/>
              <w:jc w:val="left"/>
            </w:pPr>
            <w:r>
              <w:t xml:space="preserve">Gonadorelin; Kisspeptin</w:t>
            </w:r>
          </w:p>
        </w:tc>
        <w:tc>
          <w:tcPr/>
          <w:p>
            <w:pPr>
              <w:pStyle w:val="Compact"/>
              <w:jc w:val="left"/>
            </w:pPr>
            <w:r>
              <w:t xml:space="preserve">für Männer verboten, S2; Kisspeptin als nicht zugelassener Wirkstoff zusätzlich S0</w:t>
            </w:r>
          </w:p>
        </w:tc>
      </w:tr>
      <w:tr>
        <w:tc>
          <w:tcPr/>
          <w:p>
            <w:pPr>
              <w:pStyle w:val="Compact"/>
              <w:jc w:val="left"/>
            </w:pPr>
            <w:r>
              <w:t xml:space="preserve">MOTS-c</w:t>
            </w:r>
          </w:p>
        </w:tc>
        <w:tc>
          <w:tcPr/>
          <w:p>
            <w:pPr>
              <w:pStyle w:val="Compact"/>
              <w:jc w:val="left"/>
            </w:pPr>
            <w:r>
              <w:t xml:space="preserve">verboten, S4 (AMPK-Aktivator)</w:t>
            </w:r>
          </w:p>
        </w:tc>
      </w:tr>
      <w:tr>
        <w:tc>
          <w:tcPr/>
          <w:p>
            <w:pPr>
              <w:pStyle w:val="Compact"/>
              <w:jc w:val="left"/>
            </w:pPr>
            <w:r>
              <w:t xml:space="preserve">Retatrutid, Survodutid, CagriSema, Amycretin, Maridebart Cafraglutid, BPC-157, Melanotan II</w:t>
            </w:r>
          </w:p>
        </w:tc>
        <w:tc>
          <w:tcPr/>
          <w:p>
            <w:pPr>
              <w:pStyle w:val="Compact"/>
              <w:jc w:val="left"/>
            </w:pPr>
            <w:r>
              <w:t xml:space="preserve">verboten, S0</w:t>
            </w:r>
          </w:p>
        </w:tc>
      </w:tr>
      <w:tr>
        <w:tc>
          <w:tcPr/>
          <w:p>
            <w:pPr>
              <w:pStyle w:val="Compact"/>
              <w:jc w:val="left"/>
            </w:pPr>
            <w:r>
              <w:t xml:space="preserve">KPV, LL-37, Dihexa, Epitalon, Pinealon, Humanin, FOXO4-DRI, Orforglipron (bis zur Zulassung)</w:t>
            </w:r>
          </w:p>
        </w:tc>
        <w:tc>
          <w:tcPr/>
          <w:p>
            <w:pPr>
              <w:pStyle w:val="Compact"/>
              <w:jc w:val="left"/>
            </w:pPr>
            <w:r>
              <w:t xml:space="preserve">nicht namentlich genannt, als nicht zugelassene Substanz vermutlich S0</w:t>
            </w:r>
          </w:p>
        </w:tc>
      </w:tr>
      <w:tr>
        <w:tc>
          <w:tcPr/>
          <w:p>
            <w:pPr>
              <w:pStyle w:val="Compact"/>
              <w:jc w:val="left"/>
            </w:pPr>
            <w:r>
              <w:t xml:space="preserve">Mazdutid</w:t>
            </w:r>
          </w:p>
        </w:tc>
        <w:tc>
          <w:tcPr/>
          <w:p>
            <w:pPr>
              <w:pStyle w:val="Compact"/>
              <w:jc w:val="left"/>
            </w:pPr>
            <w:r>
              <w:t xml:space="preserve">nicht namentlich genannt; S0-Status wegen der Zulassung in China unklar</w:t>
            </w:r>
          </w:p>
        </w:tc>
      </w:tr>
      <w:tr>
        <w:tc>
          <w:tcPr/>
          <w:p>
            <w:pPr>
              <w:pStyle w:val="Compact"/>
              <w:jc w:val="left"/>
            </w:pPr>
            <w:r>
              <w:t xml:space="preserve">GHK-Cu</w:t>
            </w:r>
          </w:p>
        </w:tc>
        <w:tc>
          <w:tcPr/>
          <w:p>
            <w:pPr>
              <w:pStyle w:val="Compact"/>
              <w:jc w:val="left"/>
            </w:pPr>
            <w:r>
              <w:t xml:space="preserve">als Kosmetik nicht verboten; Injektion möglicherweise S0</w:t>
            </w:r>
          </w:p>
        </w:tc>
      </w:tr>
      <w:tr>
        <w:tc>
          <w:tcPr/>
          <w:p>
            <w:pPr>
              <w:pStyle w:val="Compact"/>
              <w:jc w:val="left"/>
            </w:pPr>
            <w:r>
              <w:t xml:space="preserve">Glutathion</w:t>
            </w:r>
          </w:p>
        </w:tc>
        <w:tc>
          <w:tcPr/>
          <w:p>
            <w:pPr>
              <w:pStyle w:val="Compact"/>
              <w:jc w:val="left"/>
            </w:pPr>
            <w:r>
              <w:t xml:space="preserve">Substanz nicht verboten; Infusionen über 100 ml in zwölf Stunden verboten (M2)</w:t>
            </w:r>
          </w:p>
        </w:tc>
      </w:tr>
      <w:tr>
        <w:tc>
          <w:tcPr/>
          <w:p>
            <w:pPr>
              <w:pStyle w:val="Compact"/>
              <w:jc w:val="left"/>
            </w:pPr>
            <w:r>
              <w:t xml:space="preserve">Semax, Selank, DSIP, SS-31, Bremelanotid</w:t>
            </w:r>
          </w:p>
        </w:tc>
        <w:tc>
          <w:tcPr/>
          <w:p>
            <w:pPr>
              <w:pStyle w:val="Compact"/>
              <w:jc w:val="left"/>
            </w:pPr>
            <w:r>
              <w:t xml:space="preserve">nicht namentlich genannt; Einordnung nicht eindeutig</w:t>
            </w:r>
          </w:p>
        </w:tc>
      </w:tr>
      <w:tr>
        <w:tc>
          <w:tcPr/>
          <w:p>
            <w:pPr>
              <w:pStyle w:val="Compact"/>
              <w:jc w:val="left"/>
            </w:pPr>
            <w:r>
              <w:t xml:space="preserve">Exenatid, Liraglutid, Dulaglutid, Semaglutid, Tirzepatid, Pramlintid, Setmelanotid, Thymosin Alpha-1, Larazotid, Thymalin, Cerebrolysin, Afamelanotid, Oxytocin, Kollagenpeptide, Lactotripeptide, Carnosin, Palmitoyl-Pentapeptid-4, Acetyl-Hexapeptid-8</w:t>
            </w:r>
          </w:p>
        </w:tc>
        <w:tc>
          <w:tcPr/>
          <w:p>
            <w:pPr>
              <w:pStyle w:val="Compact"/>
              <w:jc w:val="left"/>
            </w:pPr>
            <w:r>
              <w:t xml:space="preserve">nicht gelistet</w:t>
            </w:r>
          </w:p>
        </w:tc>
      </w:tr>
    </w:tbl>
    <w:p>
      <w:pPr>
        <w:pStyle w:val="BodyText"/>
      </w:pPr>
      <w:r>
        <w:t xml:space="preserve">Die Liste ist nicht abschließend: S0 erfasst jeden Stoff ohne Zulassung, S2 auch „verwandte Substanzen“ mit ähnlicher Wirkung. Nicht namentlich genannt heißt also nicht erlaubt. Gerade die im Kraftsport beliebten Stoffe der Wachstumshormon-Achse sowie BPC-157 und TB-500 sind ausdrücklich verboten. Im Zweifel geben die nationalen Anti-Doping-Agenturen Auskunft.</w:t>
      </w:r>
    </w:p>
    <w:bookmarkEnd w:id="2534"/>
    <w:bookmarkEnd w:id="2535"/>
    <w:bookmarkStart w:id="2536" w:name="was-die-übersicht-zeigt"/>
    <w:p>
      <w:pPr>
        <w:pStyle w:val="Heading3"/>
      </w:pPr>
      <w:r>
        <w:t xml:space="preserve">Was die Übersicht zeigt</w:t>
      </w:r>
    </w:p>
    <w:p>
      <w:pPr>
        <w:pStyle w:val="FirstParagraph"/>
      </w:pPr>
      <w:r>
        <w:t xml:space="preserve">Die gut untersuchten Peptide sind fast ausschließlich zugelassene Arzneimittel aus großen, vorab registrierten Studien. Die meisten im Internet populären Peptide haben Evidenzstufe C oder D, sind nirgends zugelassen und im Sport häufig verboten. Dazwischen liegen Stoffe, die ernsthaft am Menschen untersucht wurden, deren Studien den erhofften Nutzen aber nicht bestätigt haben. Die beiden folgenden Kapitel vertiefen das für die GLP-1-Medikamente und für die populärsten Internet-Peptide.</w:t>
      </w:r>
    </w:p>
    <w:bookmarkEnd w:id="2536"/>
    <w:bookmarkEnd w:id="2537"/>
    <w:bookmarkStart w:id="2579" w:name="glp-1-co.-direkt-verglichen"/>
    <w:p>
      <w:pPr>
        <w:pStyle w:val="Heading2"/>
      </w:pPr>
      <w:r>
        <w:t xml:space="preserve">GLP-1 &amp; Co. direkt verglichen</w:t>
      </w:r>
    </w:p>
    <w:p>
      <w:pPr>
        <w:pStyle w:val="FirstParagraph"/>
      </w:pPr>
      <w:r>
        <w:t xml:space="preserve">Keine andere Gruppe in diesem Buch ist so gut untersucht wie die Inkretin-Medikamente: GLP-1-Rezeptor-Agonisten wie Liraglutid und Semaglutid, der Zweifach-Agonist Tirzepatid und eine Reihe von Nachfolgern, die zusätzlich am Glukagon- oder Amylin-Rezeptor ansetzen. Für sie liegen Zulassungsprogramme mit Zehntausenden Teilnehmenden, große Herz-Kreislauf-Studien und zunehmend auch direkte Vergleichsstudien vor. Dieses Kapitel stellt die wichtigsten Ergebnisse nebeneinander. Alle Zahlen stammen aus den Kapiteln von Teil II, Gruppe A, und den dort zitierten Studien; dort findest du auch die Einschränkungen jeder einzelnen Studie.</w:t>
      </w:r>
    </w:p>
    <w:p>
      <w:pPr>
        <w:pStyle w:val="BodyText"/>
      </w:pPr>
      <w:r>
        <w:t xml:space="preserve">Das Kapitel ist keine Entscheidungshilfe für eine Behandlung. Welches Medikament im Einzelfall in Frage kommt, hängt von Begleiterkrankungen, Verträglichkeit, Zulassung, Kostenübernahme und Verfügbarkeit ab und gehört in ärztliche Hände. Maßgeblich sind die jeweilige Fachinformation und die ärztliche Begleitung.</w:t>
      </w:r>
    </w:p>
    <w:bookmarkStart w:id="2538" w:name="X1d25371101b59b281e29ffb2c095eea03091de0"/>
    <w:p>
      <w:pPr>
        <w:pStyle w:val="Heading3"/>
      </w:pPr>
      <w:r>
        <w:t xml:space="preserve">Vorweg: Warum man Studien nicht einfach nebeneinanderlegen darf</w:t>
      </w:r>
    </w:p>
    <w:p>
      <w:pPr>
        <w:pStyle w:val="FirstParagraph"/>
      </w:pPr>
      <w:r>
        <w:t xml:space="preserve">Die Tabellen dieses Kapitels laden dazu ein, Zahlen aus verschiedenen Studien zu vergleichen – etwa 20,9 % Gewichtsverlust unter Tirzepatid gegen 14,9 % unter Semaglutid. Solche Quervergleiche („cross-trial comparisons“) sind nur eingeschränkt zulässig. Die Gründe:</w:t>
      </w:r>
    </w:p>
    <w:p>
      <w:pPr>
        <w:numPr>
          <w:ilvl w:val="0"/>
          <w:numId w:val="1325"/>
        </w:numPr>
        <w:pStyle w:val="Compact"/>
      </w:pPr>
      <w:r>
        <w:rPr>
          <w:bCs/>
          <w:b/>
        </w:rPr>
        <w:t xml:space="preserve">Unterschiedliche Teilnehmende:</w:t>
      </w:r>
      <w:r>
        <w:t xml:space="preserve"> </w:t>
      </w:r>
      <w:r>
        <w:t xml:space="preserve">Menschen mit Typ-2-Diabetes verlieren unter allen Inkretin-Medikamenten deutlich weniger Gewicht als Menschen ohne Diabetes. Studien in China oder Japan schließen Menschen mit niedrigerem Ausgangsgewicht ein als Studien in Nordamerika und Europa.</w:t>
      </w:r>
    </w:p>
    <w:p>
      <w:pPr>
        <w:numPr>
          <w:ilvl w:val="0"/>
          <w:numId w:val="1325"/>
        </w:numPr>
        <w:pStyle w:val="Compact"/>
      </w:pPr>
      <w:r>
        <w:rPr>
          <w:bCs/>
          <w:b/>
        </w:rPr>
        <w:t xml:space="preserve">Unterschiedliche Dauer:</w:t>
      </w:r>
      <w:r>
        <w:t xml:space="preserve"> </w:t>
      </w:r>
      <w:r>
        <w:t xml:space="preserve">Ein Gewichtsverlust nach 48 Wochen ist nicht dasselbe wie nach 80 Wochen; viele Kurven flachen erst spät ab.</w:t>
      </w:r>
    </w:p>
    <w:p>
      <w:pPr>
        <w:numPr>
          <w:ilvl w:val="0"/>
          <w:numId w:val="1325"/>
        </w:numPr>
        <w:pStyle w:val="Compact"/>
      </w:pPr>
      <w:r>
        <w:rPr>
          <w:bCs/>
          <w:b/>
        </w:rPr>
        <w:t xml:space="preserve">Unterschiedliche Auswertung:</w:t>
      </w:r>
      <w:r>
        <w:t xml:space="preserve"> </w:t>
      </w:r>
      <w:r>
        <w:t xml:space="preserve">Manche Studien werten alle Teilnehmenden aus, auch wenn sie die Behandlung abgebrochen haben (der sogenannte Behandlungsstrategie- oder „Treatment-Policy“-Schätzer). Andere rechnen so, als hätten alle das Medikament wie geplant genommen. Die zweite Variante liefert günstigere Zahlen.</w:t>
      </w:r>
    </w:p>
    <w:p>
      <w:pPr>
        <w:numPr>
          <w:ilvl w:val="0"/>
          <w:numId w:val="1325"/>
        </w:numPr>
        <w:pStyle w:val="Compact"/>
      </w:pPr>
      <w:r>
        <w:rPr>
          <w:bCs/>
          <w:b/>
        </w:rPr>
        <w:t xml:space="preserve">Unterschiedliche Placebogruppen:</w:t>
      </w:r>
      <w:r>
        <w:t xml:space="preserve"> </w:t>
      </w:r>
      <w:r>
        <w:t xml:space="preserve">Unter Placebo verloren die Teilnehmenden je nach Studie zwischen nichts und über 5 % ihres Gewichts, je nachdem, wie intensiv die begleitende Ernährungs- und Bewegungsberatung war.</w:t>
      </w:r>
    </w:p>
    <w:p>
      <w:pPr>
        <w:numPr>
          <w:ilvl w:val="0"/>
          <w:numId w:val="1325"/>
        </w:numPr>
        <w:pStyle w:val="Compact"/>
      </w:pPr>
      <w:r>
        <w:rPr>
          <w:bCs/>
          <w:b/>
        </w:rPr>
        <w:t xml:space="preserve">Unterschiedliche Phasen:</w:t>
      </w:r>
      <w:r>
        <w:t xml:space="preserve"> </w:t>
      </w:r>
      <w:r>
        <w:t xml:space="preserve">Ergebnisse aus kleinen Phase-2-Studien fallen oft günstiger aus als die späteren großen Phase-3-Studien.</w:t>
      </w:r>
    </w:p>
    <w:p>
      <w:pPr>
        <w:pStyle w:val="FirstParagraph"/>
      </w:pPr>
      <w:r>
        <w:t xml:space="preserve">Belastbar ist ein Vergleich nur, wenn zwei Wirkstoffe in</w:t>
      </w:r>
      <w:r>
        <w:t xml:space="preserve"> </w:t>
      </w:r>
      <w:r>
        <w:rPr>
          <w:iCs/>
          <w:i/>
        </w:rPr>
        <w:t xml:space="preserve">derselben</w:t>
      </w:r>
      <w:r>
        <w:t xml:space="preserve"> </w:t>
      </w:r>
      <w:r>
        <w:t xml:space="preserve">Studie zufällig zugeteilt wurden. Solche Direktvergleiche sind am Ende dieses Kapitels zusammengestellt. Die übrigen Tabellen zeigen Größenordnungen, keine Rangliste.</w:t>
      </w:r>
    </w:p>
    <w:bookmarkEnd w:id="2538"/>
    <w:bookmarkStart w:id="2545" w:name="gewichtsverlust-in-den-zulassungsstudien"/>
    <w:p>
      <w:pPr>
        <w:pStyle w:val="Heading3"/>
      </w:pPr>
      <w:r>
        <w:t xml:space="preserve">Gewichtsverlust in den Zulassungsstudien</w:t>
      </w:r>
    </w:p>
    <w:p>
      <w:pPr>
        <w:pStyle w:val="FirstParagraph"/>
      </w:pPr>
      <w:r>
        <w:t xml:space="preserve">Die folgende Tabelle zeigt die jeweils wichtigste placebokontrollierte Studie bei Erwachsenen mit Übergewicht oder Adipositas</w:t>
      </w:r>
      <w:r>
        <w:t xml:space="preserve"> </w:t>
      </w:r>
      <w:r>
        <w:rPr>
          <w:iCs/>
          <w:i/>
        </w:rPr>
        <w:t xml:space="preserve">ohne</w:t>
      </w:r>
      <w:r>
        <w:t xml:space="preserve"> </w:t>
      </w:r>
      <w:r>
        <w:t xml:space="preserve">Diabetes. Angegeben ist die mittlere Veränderung des Körpergewichts in der höchsten geprüften Dosis gegenüber Placebo. Exenatid, Dulaglutid und Pramlintid sind nicht zur Gewichtsreduktion zugelassen und fehlen deshalb.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(Pi-Sunyer 2015), PMID 26132939</w:t>
            </w:r>
          </w:p>
        </w:tc>
        <w:tc>
          <w:tcPr/>
          <w:p>
            <w:pPr>
              <w:pStyle w:val="Compact"/>
              <w:jc w:val="left"/>
            </w:pPr>
            <w:r>
              <w:t xml:space="preserve">56 Wochen</w:t>
            </w:r>
          </w:p>
        </w:tc>
        <w:tc>
          <w:tcPr/>
          <w:p>
            <w:pPr>
              <w:pStyle w:val="Compact"/>
              <w:jc w:val="left"/>
            </w:pPr>
            <w:r>
              <w:t xml:space="preserve">−8,4 kg vs. −2,8 kg</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68 Wochen</w:t>
            </w:r>
          </w:p>
        </w:tc>
        <w:tc>
          <w:tcPr/>
          <w:p>
            <w:pPr>
              <w:pStyle w:val="Compact"/>
              <w:jc w:val="left"/>
            </w:pPr>
            <w:r>
              <w:t xml:space="preserve">−14,9 % vs. −2,4 %</w:t>
            </w:r>
          </w:p>
        </w:tc>
      </w:tr>
      <w:tr>
        <w:tc>
          <w:tcPr/>
          <w:p>
            <w:pPr>
              <w:pStyle w:val="Compact"/>
              <w:jc w:val="left"/>
            </w:pPr>
            <w:r>
              <w:t xml:space="preserve">Semaglutid 7,2 mg</w:t>
            </w:r>
          </w:p>
        </w:tc>
        <w:tc>
          <w:tcPr/>
          <w:p>
            <w:pPr>
              <w:pStyle w:val="Compact"/>
              <w:jc w:val="left"/>
            </w:pPr>
            <w:r>
              <w:t xml:space="preserve">STEP UP (Wharton 2025), PMID 40961952</w:t>
            </w:r>
          </w:p>
        </w:tc>
        <w:tc>
          <w:tcPr/>
          <w:p>
            <w:pPr>
              <w:pStyle w:val="Compact"/>
              <w:jc w:val="left"/>
            </w:pPr>
            <w:r>
              <w:t xml:space="preserve">72 Wochen</w:t>
            </w:r>
          </w:p>
        </w:tc>
        <w:tc>
          <w:tcPr/>
          <w:p>
            <w:pPr>
              <w:pStyle w:val="Compact"/>
              <w:jc w:val="left"/>
            </w:pPr>
            <w:r>
              <w:t xml:space="preserve">−18,7 % vs. −3,9 %</w:t>
            </w:r>
          </w:p>
        </w:tc>
      </w:tr>
      <w:tr>
        <w:tc>
          <w:tcPr/>
          <w:p>
            <w:pPr>
              <w:pStyle w:val="Compact"/>
              <w:jc w:val="left"/>
            </w:pPr>
            <w:r>
              <w:t xml:space="preserve">Semaglutid-Tablette 50 mg</w:t>
            </w:r>
          </w:p>
        </w:tc>
        <w:tc>
          <w:tcPr/>
          <w:p>
            <w:pPr>
              <w:pStyle w:val="Compact"/>
              <w:jc w:val="left"/>
            </w:pPr>
            <w:r>
              <w:t xml:space="preserve">OASIS 1 (Knop 2023), PMID 37385278</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Tirzepatid 15 mg</w:t>
            </w:r>
          </w:p>
        </w:tc>
        <w:tc>
          <w:tcPr/>
          <w:p>
            <w:pPr>
              <w:pStyle w:val="Compact"/>
              <w:jc w:val="left"/>
            </w:pPr>
            <w:r>
              <w:t xml:space="preserve">SURMOUNT-1 (Jastreboff 2022), PMID 35658024</w:t>
            </w:r>
          </w:p>
        </w:tc>
        <w:tc>
          <w:tcPr/>
          <w:p>
            <w:pPr>
              <w:pStyle w:val="Compact"/>
              <w:jc w:val="left"/>
            </w:pPr>
            <w:r>
              <w:t xml:space="preserve">72 Wochen</w:t>
            </w:r>
          </w:p>
        </w:tc>
        <w:tc>
          <w:tcPr/>
          <w:p>
            <w:pPr>
              <w:pStyle w:val="Compact"/>
              <w:jc w:val="left"/>
            </w:pPr>
            <w:r>
              <w:t xml:space="preserve">−20,9 % vs.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Wochen</w:t>
            </w:r>
          </w:p>
        </w:tc>
        <w:tc>
          <w:tcPr/>
          <w:p>
            <w:pPr>
              <w:pStyle w:val="Compact"/>
              <w:jc w:val="left"/>
            </w:pPr>
            <w:r>
              <w:t xml:space="preserve">−20,4 % vs. −3,0 %</w:t>
            </w:r>
          </w:p>
        </w:tc>
      </w:tr>
      <w:tr>
        <w:tc>
          <w:tcPr/>
          <w:p>
            <w:pPr>
              <w:pStyle w:val="Compact"/>
              <w:jc w:val="left"/>
            </w:pPr>
            <w:r>
              <w:t xml:space="preserve">Retatrutid 12 mg</w:t>
            </w:r>
          </w:p>
        </w:tc>
        <w:tc>
          <w:tcPr/>
          <w:p>
            <w:pPr>
              <w:pStyle w:val="Compact"/>
              <w:jc w:val="left"/>
            </w:pPr>
            <w:r>
              <w:t xml:space="preserve">TRIUMPH-1 (Jastreboff 2026), PMID 42814954</w:t>
            </w:r>
          </w:p>
        </w:tc>
        <w:tc>
          <w:tcPr/>
          <w:p>
            <w:pPr>
              <w:pStyle w:val="Compact"/>
              <w:jc w:val="left"/>
            </w:pPr>
            <w:r>
              <w:t xml:space="preserve">80 Wochen</w:t>
            </w:r>
          </w:p>
        </w:tc>
        <w:tc>
          <w:tcPr/>
          <w:p>
            <w:pPr>
              <w:pStyle w:val="Compact"/>
              <w:jc w:val="left"/>
            </w:pPr>
            <w:r>
              <w:t xml:space="preserve">−25,0 % vs. −3,9 %</w:t>
            </w:r>
          </w:p>
        </w:tc>
      </w:tr>
      <w:tr>
        <w:tc>
          <w:tcPr/>
          <w:p>
            <w:pPr>
              <w:pStyle w:val="Compact"/>
              <w:jc w:val="left"/>
            </w:pPr>
            <w:r>
              <w:t xml:space="preserve">Survodutid 6,0 mg</w:t>
            </w:r>
          </w:p>
        </w:tc>
        <w:tc>
          <w:tcPr/>
          <w:p>
            <w:pPr>
              <w:pStyle w:val="Compact"/>
              <w:jc w:val="left"/>
            </w:pPr>
            <w:r>
              <w:t xml:space="preserve">SYNCHRONIZE-1 (le Roux 2026), PMID 42253238</w:t>
            </w:r>
          </w:p>
        </w:tc>
        <w:tc>
          <w:tcPr/>
          <w:p>
            <w:pPr>
              <w:pStyle w:val="Compact"/>
              <w:jc w:val="left"/>
            </w:pPr>
            <w:r>
              <w:t xml:space="preserve">76 Wochen</w:t>
            </w:r>
          </w:p>
        </w:tc>
        <w:tc>
          <w:tcPr/>
          <w:p>
            <w:pPr>
              <w:pStyle w:val="Compact"/>
              <w:jc w:val="left"/>
            </w:pPr>
            <w:r>
              <w:t xml:space="preserve">−13,0 % vs. −5,4 %</w:t>
            </w:r>
          </w:p>
        </w:tc>
      </w:tr>
      <w:tr>
        <w:tc>
          <w:tcPr/>
          <w:p>
            <w:pPr>
              <w:pStyle w:val="Compact"/>
              <w:jc w:val="left"/>
            </w:pPr>
            <w:r>
              <w:t xml:space="preserve">Mazdutid 6 mg</w:t>
            </w:r>
          </w:p>
        </w:tc>
        <w:tc>
          <w:tcPr/>
          <w:p>
            <w:pPr>
              <w:pStyle w:val="Compact"/>
              <w:jc w:val="left"/>
            </w:pPr>
            <w:r>
              <w:t xml:space="preserve">GLORY-1 (Ji 2025), PMID 40421736</w:t>
            </w:r>
          </w:p>
        </w:tc>
        <w:tc>
          <w:tcPr/>
          <w:p>
            <w:pPr>
              <w:pStyle w:val="Compact"/>
              <w:jc w:val="left"/>
            </w:pPr>
            <w:r>
              <w:t xml:space="preserve">48 Wochen</w:t>
            </w:r>
          </w:p>
        </w:tc>
        <w:tc>
          <w:tcPr/>
          <w:p>
            <w:pPr>
              <w:pStyle w:val="Compact"/>
              <w:jc w:val="left"/>
            </w:pPr>
            <w:r>
              <w:t xml:space="preserve">−14,0 % vs. +0,3 %</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−12,3 bis −16,2 % vs. −2,5 %</w:t>
            </w:r>
          </w:p>
        </w:tc>
      </w:tr>
      <w:tr>
        <w:tc>
          <w:tcPr/>
          <w:p>
            <w:pPr>
              <w:pStyle w:val="Compact"/>
              <w:jc w:val="left"/>
            </w:pPr>
            <w:r>
              <w:t xml:space="preserve">Amycretin (Spritze)</w:t>
            </w:r>
          </w:p>
        </w:tc>
        <w:tc>
          <w:tcPr/>
          <w:p>
            <w:pPr>
              <w:pStyle w:val="Compact"/>
              <w:jc w:val="left"/>
            </w:pPr>
            <w:r>
              <w:t xml:space="preserve">Phase 1b/2a (Dahl 2025), PMID 40550231</w:t>
            </w:r>
          </w:p>
        </w:tc>
        <w:tc>
          <w:tcPr/>
          <w:p>
            <w:pPr>
              <w:pStyle w:val="Compact"/>
              <w:jc w:val="left"/>
            </w:pPr>
            <w:r>
              <w:t xml:space="preserve">36 Wochen</w:t>
            </w:r>
          </w:p>
        </w:tc>
        <w:tc>
          <w:tcPr/>
          <w:p>
            <w:pPr>
              <w:pStyle w:val="Compact"/>
              <w:jc w:val="left"/>
            </w:pPr>
            <w:r>
              <w:t xml:space="preserve">bis −24,3 % vs. −1,1 %</w:t>
            </w:r>
          </w:p>
        </w:tc>
      </w:tr>
      <w:tr>
        <w:tc>
          <w:tcPr/>
          <w:p>
            <w:pPr>
              <w:pStyle w:val="Compact"/>
              <w:jc w:val="left"/>
            </w:pPr>
            <w:r>
              <w:t xml:space="preserve">Orforglipron 36 mg (Tablette, kein Peptid)</w:t>
            </w:r>
          </w:p>
        </w:tc>
        <w:tc>
          <w:tcPr/>
          <w:p>
            <w:pPr>
              <w:pStyle w:val="Compact"/>
              <w:jc w:val="left"/>
            </w:pPr>
            <w:r>
              <w:t xml:space="preserve">ATTAIN-1 (Wharton 2025), PMID 40960239</w:t>
            </w:r>
          </w:p>
        </w:tc>
        <w:tc>
          <w:tcPr/>
          <w:p>
            <w:pPr>
              <w:pStyle w:val="Compact"/>
              <w:jc w:val="left"/>
            </w:pPr>
            <w:r>
              <w:t xml:space="preserve">72 Wochen</w:t>
            </w:r>
          </w:p>
        </w:tc>
        <w:tc>
          <w:tcPr/>
          <w:p>
            <w:pPr>
              <w:pStyle w:val="Compact"/>
              <w:jc w:val="left"/>
            </w:pPr>
            <w:r>
              <w:t xml:space="preserve">−11,2 % vs. −2,1 %</w:t>
            </w:r>
          </w:p>
        </w:tc>
      </w:tr>
    </w:tbl>
    <w:p>
      <w:pPr>
        <w:pStyle w:val="BodyText"/>
      </w:pPr>
      <w:r>
        <w:t xml:space="preserve">Zur Einordnung der einzelnen Zeilen:</w:t>
      </w:r>
    </w:p>
    <w:p>
      <w:pPr>
        <w:numPr>
          <w:ilvl w:val="0"/>
          <w:numId w:val="1326"/>
        </w:numPr>
        <w:pStyle w:val="Compact"/>
      </w:pPr>
      <w:r>
        <w:rPr>
          <w:bCs/>
          <w:b/>
        </w:rPr>
        <w:t xml:space="preserve">Liraglutid</w:t>
      </w:r>
      <w:r>
        <w:t xml:space="preserve"> </w:t>
      </w:r>
      <w:r>
        <w:t xml:space="preserve">ist der einzige Wirkstoff, für den die Zulassungsstudie den Verlust in Kilogramm als Hauptergebnis angibt; bei einem Ausgangsgewicht von 106,2 kg entspricht das grob 8 %. In der direkten Vergleichsstudie STEP 8 waren es −6,4 % (siehe unten).</w:t>
      </w:r>
    </w:p>
    <w:p>
      <w:pPr>
        <w:numPr>
          <w:ilvl w:val="0"/>
          <w:numId w:val="1326"/>
        </w:numPr>
        <w:pStyle w:val="Compact"/>
      </w:pPr>
      <w:r>
        <w:rPr>
          <w:bCs/>
          <w:b/>
        </w:rPr>
        <w:t xml:space="preserve">Retatrutid, CagriSema, Survodutid, Maridebart Cafraglutid und Amycretin</w:t>
      </w:r>
      <w:r>
        <w:t xml:space="preserve"> </w:t>
      </w:r>
      <w:r>
        <w:t xml:space="preserve">sind nicht zugelassen (Stand Oktober 2026). Für Maridebart Cafraglutid und Amycretin liegen nur Phase-2-Daten vor; die Amycretin-Studie umfasste 125 Personen, und der Wert gilt für die höchste Dosis einer Dosisfindungsstudie.</w:t>
      </w:r>
    </w:p>
    <w:p>
      <w:pPr>
        <w:numPr>
          <w:ilvl w:val="0"/>
          <w:numId w:val="1326"/>
        </w:numPr>
        <w:pStyle w:val="Compact"/>
      </w:pPr>
      <w:r>
        <w:rPr>
          <w:bCs/>
          <w:b/>
        </w:rPr>
        <w:t xml:space="preserve">Mazdutid</w:t>
      </w:r>
      <w:r>
        <w:t xml:space="preserve"> </w:t>
      </w:r>
      <w:r>
        <w:t xml:space="preserve">ist nur in China zugelassen. GLORY-1 schloss nach chinesischen Kriterien Menschen ab einem BMI von 28 (oder 24 mit Begleiterkrankung) ein, das mittlere Ausgangsgewicht lag bei 87,2 kg. In GLORY-2 mit einer höheren Dosis waren es nach 60 Wochen −16,65 % gegenüber −1,50 %</w:t>
      </w:r>
      <w:r>
        <w:rPr>
          <w:rStyle w:val="FootnoteReference"/>
        </w:rPr>
        <w:footnoteReference w:id="2539"/>
      </w:r>
      <w:r>
        <w:t xml:space="preserve">.</w:t>
      </w:r>
    </w:p>
    <w:p>
      <w:pPr>
        <w:numPr>
          <w:ilvl w:val="0"/>
          <w:numId w:val="1326"/>
        </w:numPr>
        <w:pStyle w:val="Compact"/>
      </w:pPr>
      <w:r>
        <w:rPr>
          <w:bCs/>
          <w:b/>
        </w:rPr>
        <w:t xml:space="preserve">Survodutid</w:t>
      </w:r>
      <w:r>
        <w:t xml:space="preserve"> </w:t>
      </w:r>
      <w:r>
        <w:t xml:space="preserve">fällt durch die hohe Placeboabnahme von 5,4 % auf; die Hauptanalyse berücksichtigte ausdrücklich auch Abbrüche und verlängerte Aufdosierungen.</w:t>
      </w:r>
    </w:p>
    <w:p>
      <w:pPr>
        <w:pStyle w:val="FirstParagraph"/>
      </w:pPr>
      <w:r>
        <w:t xml:space="preserve">Auffällig ist eine Stufenfolge: Reine GLP-1-Agonisten erreichen im Mittel etwa 8 bis 15 %, die höhere Semaglutid-Dosis knapp 19 %, Kombinationen mit GIP oder Amylin rund 20 %, der Dreifach-Agonist Retatrutid 25 %. Diese Reihenfolge wird durch die Direktvergleiche SURMOUNT-5, STEP 8 und REDEFINE 5 gestützt; für Retatrutid steht der direkte Vergleich mit Tirzepatid noch aus</w:t>
      </w:r>
      <w:r>
        <w:rPr>
          <w:rStyle w:val="FootnoteReference"/>
        </w:rPr>
        <w:footnoteReference w:id="2540"/>
      </w:r>
      <w:r>
        <w:t xml:space="preserve">.</w:t>
      </w:r>
    </w:p>
    <w:bookmarkStart w:id="2541" w:name="Xb1b6f8bc1e10884e49547a9c172587372959a43"/>
    <w:p>
      <w:pPr>
        <w:pStyle w:val="Heading4"/>
      </w:pPr>
      <w:r>
        <w:t xml:space="preserve">Mit Typ-2-Diabetes fällt der Gewichtsverlust geringer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Diabetes (Davies 2015), PMID 26284720</w:t>
            </w:r>
          </w:p>
        </w:tc>
        <w:tc>
          <w:tcPr/>
          <w:p>
            <w:pPr>
              <w:pStyle w:val="Compact"/>
              <w:jc w:val="left"/>
            </w:pPr>
            <w:r>
              <w:t xml:space="preserve">56 Wochen</w:t>
            </w:r>
          </w:p>
        </w:tc>
        <w:tc>
          <w:tcPr/>
          <w:p>
            <w:pPr>
              <w:pStyle w:val="Compact"/>
              <w:jc w:val="left"/>
            </w:pPr>
            <w:r>
              <w:t xml:space="preserve">−6,0 % vs. −2,0 %</w:t>
            </w:r>
          </w:p>
        </w:tc>
      </w:tr>
      <w:tr>
        <w:tc>
          <w:tcPr/>
          <w:p>
            <w:pPr>
              <w:pStyle w:val="Compact"/>
              <w:jc w:val="left"/>
            </w:pPr>
            <w:r>
              <w:t xml:space="preserve">Semaglutid 2,4 mg</w:t>
            </w:r>
          </w:p>
        </w:tc>
        <w:tc>
          <w:tcPr/>
          <w:p>
            <w:pPr>
              <w:pStyle w:val="Compact"/>
              <w:jc w:val="left"/>
            </w:pPr>
            <w:r>
              <w:t xml:space="preserve">STEP 2 (Davies 2021), PMID 33667417</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Tirzepatid 10/15 mg</w:t>
            </w:r>
          </w:p>
        </w:tc>
        <w:tc>
          <w:tcPr/>
          <w:p>
            <w:pPr>
              <w:pStyle w:val="Compact"/>
              <w:jc w:val="left"/>
            </w:pPr>
            <w:r>
              <w:t xml:space="preserve">SURMOUNT-2 (Garvey 2023), PMID 37385275</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Retatrutid 12 mg</w:t>
            </w:r>
          </w:p>
        </w:tc>
        <w:tc>
          <w:tcPr/>
          <w:p>
            <w:pPr>
              <w:pStyle w:val="Compact"/>
              <w:jc w:val="left"/>
            </w:pPr>
            <w:r>
              <w:t xml:space="preserve">TRIUMPH-2 (Bellido 2026), PMID 42810372</w:t>
            </w:r>
          </w:p>
        </w:tc>
        <w:tc>
          <w:tcPr/>
          <w:p>
            <w:pPr>
              <w:pStyle w:val="Compact"/>
              <w:jc w:val="left"/>
            </w:pPr>
            <w:r>
              <w:t xml:space="preserve">80 Wochen</w:t>
            </w:r>
          </w:p>
        </w:tc>
        <w:tc>
          <w:tcPr/>
          <w:p>
            <w:pPr>
              <w:pStyle w:val="Compact"/>
              <w:jc w:val="left"/>
            </w:pPr>
            <w:r>
              <w:t xml:space="preserve">−18,8 % vs. −5,1 %</w:t>
            </w:r>
          </w:p>
        </w:tc>
      </w:tr>
      <w:tr>
        <w:tc>
          <w:tcPr/>
          <w:p>
            <w:pPr>
              <w:pStyle w:val="Compact"/>
              <w:jc w:val="left"/>
            </w:pPr>
            <w:r>
              <w:t xml:space="preserve">Survodutid</w:t>
            </w:r>
          </w:p>
        </w:tc>
        <w:tc>
          <w:tcPr/>
          <w:p>
            <w:pPr>
              <w:pStyle w:val="Compact"/>
              <w:jc w:val="left"/>
            </w:pPr>
            <w:r>
              <w:t xml:space="preserve">SYNCHRONIZE-2 (Wharton 2026), PMID 42820639</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Wochen</w:t>
            </w:r>
          </w:p>
        </w:tc>
        <w:tc>
          <w:tcPr/>
          <w:p>
            <w:pPr>
              <w:pStyle w:val="Compact"/>
              <w:jc w:val="left"/>
            </w:pPr>
            <w:r>
              <w:t xml:space="preserve">−5,1 bis −9,6 % vs. −2,5 %</w:t>
            </w:r>
          </w:p>
        </w:tc>
      </w:tr>
    </w:tbl>
    <w:p>
      <w:pPr>
        <w:pStyle w:val="BodyText"/>
      </w:pPr>
      <w:r>
        <w:t xml:space="preserve">Bei jedem Wirkstoff liegt der Wert mit Diabetes deutlich niedriger als ohne, meist um ein Viertel bis ein Drittel. Dieses Muster ist so konstant, dass ein Vergleich einer Diabetesstudie mit einer Adipositasstudie ohne Diabetes immer in die Irre führt.</w:t>
      </w:r>
    </w:p>
    <w:bookmarkEnd w:id="2541"/>
    <w:bookmarkStart w:id="2544" w:name="nach-dem-absetzen"/>
    <w:p>
      <w:pPr>
        <w:pStyle w:val="Heading4"/>
      </w:pPr>
      <w:r>
        <w:t xml:space="preserve">Nach dem Absetzen</w:t>
      </w:r>
    </w:p>
    <w:p>
      <w:pPr>
        <w:pStyle w:val="FirstParagraph"/>
      </w:pPr>
      <w:r>
        <w:t xml:space="preserve">Zwei Studien haben gezielt untersucht, was nach dem Absetzen geschieht. In STEP 4 erhielten alle Teilnehmenden zunächst 20 Wochen Semaglutid; danach nahm die Gruppe, die auf Placebo wechselte, in 48 Wochen um 6,9 % wieder zu, während die Gruppe mit Semaglutid weitere 7,9 % verlor</w:t>
      </w:r>
      <w:r>
        <w:rPr>
          <w:rStyle w:val="FootnoteReference"/>
        </w:rPr>
        <w:footnoteReference w:id="2542"/>
      </w:r>
      <w:r>
        <w:t xml:space="preserve">. In SURMOUNT-4 nahm die Placebogruppe nach 36 Wochen Tirzepatid in den folgenden 52 Wochen um 14,0 % wieder zu</w:t>
      </w:r>
      <w:r>
        <w:rPr>
          <w:rStyle w:val="FootnoteReference"/>
        </w:rPr>
        <w:footnoteReference w:id="2543"/>
      </w:r>
      <w:r>
        <w:t xml:space="preserve">. Für beide Wirkstoffe gilt: Die Wirkung hält nur an, solange behandelt wird. Für die neueren Wirkstoffe gibt es dazu noch keine veröffentlichten Daten.</w:t>
      </w:r>
    </w:p>
    <w:bookmarkEnd w:id="2544"/>
    <w:bookmarkEnd w:id="2545"/>
    <w:bookmarkStart w:id="2547" w:name="blutzucker-hba1c"/>
    <w:p>
      <w:pPr>
        <w:pStyle w:val="Heading3"/>
      </w:pPr>
      <w:r>
        <w:t xml:space="preserve">Blutzucker: HbA1c</w:t>
      </w:r>
    </w:p>
    <w:p>
      <w:pPr>
        <w:pStyle w:val="FirstParagraph"/>
      </w:pPr>
      <w:r>
        <w:t xml:space="preserve">Der HbA1c-Wert („Langzeitzucker“) gibt an, welcher Anteil des roten Blutfarbstoffs mit Zucker beladen ist, und spiegelt den mittleren Blutzucker der letzten zwei bis drei Monate wider. Eine Senkung um einen Prozentpunkt gilt als klinisch bedeutsam. Wie stark der Wert sinkt, hängt stark vom Ausgangswert ab: Wer mit 9 % beginnt, kann mehr verlieren als jemand mit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HbA1c-Veränderung (Prozentpunkte)</w:t>
            </w:r>
          </w:p>
        </w:tc>
      </w:tr>
      <w:tr>
        <w:tc>
          <w:tcPr/>
          <w:p>
            <w:pPr>
              <w:pStyle w:val="Compact"/>
              <w:jc w:val="left"/>
            </w:pPr>
            <w:r>
              <w:t xml:space="preserve">Exenatid zweimal täglich</w:t>
            </w:r>
          </w:p>
        </w:tc>
        <w:tc>
          <w:tcPr/>
          <w:p>
            <w:pPr>
              <w:pStyle w:val="Compact"/>
              <w:jc w:val="left"/>
            </w:pPr>
            <w:r>
              <w:t xml:space="preserve">DeFronzo 2005, PMID 15855572</w:t>
            </w:r>
          </w:p>
        </w:tc>
        <w:tc>
          <w:tcPr/>
          <w:p>
            <w:pPr>
              <w:pStyle w:val="Compact"/>
              <w:jc w:val="left"/>
            </w:pPr>
            <w:r>
              <w:t xml:space="preserve">30 Wochen</w:t>
            </w:r>
          </w:p>
        </w:tc>
        <w:tc>
          <w:tcPr/>
          <w:p>
            <w:pPr>
              <w:pStyle w:val="Compact"/>
              <w:jc w:val="left"/>
            </w:pPr>
            <w:r>
              <w:t xml:space="preserve">−0,78 vs. +0,08 (Placebo)</w:t>
            </w:r>
          </w:p>
        </w:tc>
      </w:tr>
      <w:tr>
        <w:tc>
          <w:tcPr/>
          <w:p>
            <w:pPr>
              <w:pStyle w:val="Compact"/>
              <w:jc w:val="left"/>
            </w:pPr>
            <w:r>
              <w:t xml:space="preserve">Pramlintid</w:t>
            </w:r>
          </w:p>
        </w:tc>
        <w:tc>
          <w:tcPr/>
          <w:p>
            <w:pPr>
              <w:pStyle w:val="Compact"/>
              <w:jc w:val="left"/>
            </w:pPr>
            <w:r>
              <w:t xml:space="preserve">Hollander 2003, PMID 12610038</w:t>
            </w:r>
          </w:p>
        </w:tc>
        <w:tc>
          <w:tcPr/>
          <w:p>
            <w:pPr>
              <w:pStyle w:val="Compact"/>
              <w:jc w:val="left"/>
            </w:pPr>
            <w:r>
              <w:t xml:space="preserve">52 Wochen</w:t>
            </w:r>
          </w:p>
        </w:tc>
        <w:tc>
          <w:tcPr/>
          <w:p>
            <w:pPr>
              <w:pStyle w:val="Compact"/>
              <w:jc w:val="left"/>
            </w:pPr>
            <w:r>
              <w:t xml:space="preserve">−0,62 (zusätzlich zu Insulin)</w:t>
            </w:r>
          </w:p>
        </w:tc>
      </w:tr>
      <w:tr>
        <w:tc>
          <w:tcPr/>
          <w:p>
            <w:pPr>
              <w:pStyle w:val="Compact"/>
              <w:jc w:val="left"/>
            </w:pPr>
            <w:r>
              <w:t xml:space="preserve">Liraglutid 1,8 mg</w:t>
            </w:r>
          </w:p>
        </w:tc>
        <w:tc>
          <w:tcPr/>
          <w:p>
            <w:pPr>
              <w:pStyle w:val="Compact"/>
              <w:jc w:val="left"/>
            </w:pPr>
            <w:r>
              <w:t xml:space="preserve">LEAD-3 (Garber 2009), PMID 18819705</w:t>
            </w:r>
          </w:p>
        </w:tc>
        <w:tc>
          <w:tcPr/>
          <w:p>
            <w:pPr>
              <w:pStyle w:val="Compact"/>
              <w:jc w:val="left"/>
            </w:pPr>
            <w:r>
              <w:t xml:space="preserve">52 Wochen</w:t>
            </w:r>
          </w:p>
        </w:tc>
        <w:tc>
          <w:tcPr/>
          <w:p>
            <w:pPr>
              <w:pStyle w:val="Compact"/>
              <w:jc w:val="left"/>
            </w:pPr>
            <w:r>
              <w:t xml:space="preserve">−1,14 vs. −0,51 (Glimepirid)</w:t>
            </w:r>
          </w:p>
        </w:tc>
      </w:tr>
      <w:tr>
        <w:tc>
          <w:tcPr/>
          <w:p>
            <w:pPr>
              <w:pStyle w:val="Compact"/>
              <w:jc w:val="left"/>
            </w:pPr>
            <w:r>
              <w:t xml:space="preserve">Dulaglutid 4,5 mg</w:t>
            </w:r>
          </w:p>
        </w:tc>
        <w:tc>
          <w:tcPr/>
          <w:p>
            <w:pPr>
              <w:pStyle w:val="Compact"/>
              <w:jc w:val="left"/>
            </w:pPr>
            <w:r>
              <w:t xml:space="preserve">AWARD-11 (Frias 2021), PMID 33397768</w:t>
            </w:r>
          </w:p>
        </w:tc>
        <w:tc>
          <w:tcPr/>
          <w:p>
            <w:pPr>
              <w:pStyle w:val="Compact"/>
              <w:jc w:val="left"/>
            </w:pPr>
            <w:r>
              <w:t xml:space="preserve">36 Wochen</w:t>
            </w:r>
          </w:p>
        </w:tc>
        <w:tc>
          <w:tcPr/>
          <w:p>
            <w:pPr>
              <w:pStyle w:val="Compact"/>
              <w:jc w:val="left"/>
            </w:pPr>
            <w:r>
              <w:t xml:space="preserve">−1,77 vs. −1,54 (1,5 mg)</w:t>
            </w:r>
          </w:p>
        </w:tc>
      </w:tr>
      <w:tr>
        <w:tc>
          <w:tcPr/>
          <w:p>
            <w:pPr>
              <w:pStyle w:val="Compact"/>
              <w:jc w:val="left"/>
            </w:pPr>
            <w:r>
              <w:t xml:space="preserve">Semaglutid 1,0 mg</w:t>
            </w:r>
          </w:p>
        </w:tc>
        <w:tc>
          <w:tcPr/>
          <w:p>
            <w:pPr>
              <w:pStyle w:val="Compact"/>
              <w:jc w:val="left"/>
            </w:pPr>
            <w:r>
              <w:t xml:space="preserve">SUSTAIN 1 (Sorli 2017), PMID 28110911</w:t>
            </w:r>
          </w:p>
        </w:tc>
        <w:tc>
          <w:tcPr/>
          <w:p>
            <w:pPr>
              <w:pStyle w:val="Compact"/>
              <w:jc w:val="left"/>
            </w:pPr>
            <w:r>
              <w:t xml:space="preserve">30 Wochen</w:t>
            </w:r>
          </w:p>
        </w:tc>
        <w:tc>
          <w:tcPr/>
          <w:p>
            <w:pPr>
              <w:pStyle w:val="Compact"/>
              <w:jc w:val="left"/>
            </w:pPr>
            <w:r>
              <w:t xml:space="preserve">−1,55 vs. −0,02 (Placebo)</w:t>
            </w:r>
          </w:p>
        </w:tc>
      </w:tr>
      <w:tr>
        <w:tc>
          <w:tcPr/>
          <w:p>
            <w:pPr>
              <w:pStyle w:val="Compact"/>
              <w:jc w:val="left"/>
            </w:pPr>
            <w:r>
              <w:t xml:space="preserve">Semaglutid 2,0 mg</w:t>
            </w:r>
          </w:p>
        </w:tc>
        <w:tc>
          <w:tcPr/>
          <w:p>
            <w:pPr>
              <w:pStyle w:val="Compact"/>
              <w:jc w:val="left"/>
            </w:pPr>
            <w:r>
              <w:t xml:space="preserve">SUSTAIN FORTE (Frías 2021), PMID 34293304</w:t>
            </w:r>
          </w:p>
        </w:tc>
        <w:tc>
          <w:tcPr/>
          <w:p>
            <w:pPr>
              <w:pStyle w:val="Compact"/>
              <w:jc w:val="left"/>
            </w:pPr>
            <w:r>
              <w:t xml:space="preserve">40 Wochen</w:t>
            </w:r>
          </w:p>
        </w:tc>
        <w:tc>
          <w:tcPr/>
          <w:p>
            <w:pPr>
              <w:pStyle w:val="Compact"/>
              <w:jc w:val="left"/>
            </w:pPr>
            <w:r>
              <w:t xml:space="preserve">−2,2 vs. −1,9 (1,0 mg)</w:t>
            </w:r>
          </w:p>
        </w:tc>
      </w:tr>
      <w:tr>
        <w:tc>
          <w:tcPr/>
          <w:p>
            <w:pPr>
              <w:pStyle w:val="Compact"/>
              <w:jc w:val="left"/>
            </w:pPr>
            <w:r>
              <w:t xml:space="preserve">Tirzepatid 5–15 mg</w:t>
            </w:r>
          </w:p>
        </w:tc>
        <w:tc>
          <w:tcPr/>
          <w:p>
            <w:pPr>
              <w:pStyle w:val="Compact"/>
              <w:jc w:val="left"/>
            </w:pPr>
            <w:r>
              <w:t xml:space="preserve">SURPASS-1 (Rosenstock 2021), PMID 34186022</w:t>
            </w:r>
          </w:p>
        </w:tc>
        <w:tc>
          <w:tcPr/>
          <w:p>
            <w:pPr>
              <w:pStyle w:val="Compact"/>
              <w:jc w:val="left"/>
            </w:pPr>
            <w:r>
              <w:t xml:space="preserve">40 Wochen</w:t>
            </w:r>
          </w:p>
        </w:tc>
        <w:tc>
          <w:tcPr/>
          <w:p>
            <w:pPr>
              <w:pStyle w:val="Compact"/>
              <w:jc w:val="left"/>
            </w:pPr>
            <w:r>
              <w:t xml:space="preserve">−1,87 bis −2,07 vs. +0,04 (Placebo)</w:t>
            </w:r>
          </w:p>
        </w:tc>
      </w:tr>
      <w:tr>
        <w:tc>
          <w:tcPr/>
          <w:p>
            <w:pPr>
              <w:pStyle w:val="Compact"/>
              <w:jc w:val="left"/>
            </w:pPr>
            <w:r>
              <w:t xml:space="preserve">Retatrutid</w:t>
            </w:r>
          </w:p>
        </w:tc>
        <w:tc>
          <w:tcPr/>
          <w:p>
            <w:pPr>
              <w:pStyle w:val="Compact"/>
              <w:jc w:val="left"/>
            </w:pPr>
            <w:r>
              <w:t xml:space="preserve">TRANSCEND-T2D-1 (Bajaj 2026), PMID 42250575</w:t>
            </w:r>
          </w:p>
        </w:tc>
        <w:tc>
          <w:tcPr/>
          <w:p>
            <w:pPr>
              <w:pStyle w:val="Compact"/>
              <w:jc w:val="left"/>
            </w:pPr>
            <w:r>
              <w:t xml:space="preserve">40 Wochen</w:t>
            </w:r>
          </w:p>
        </w:tc>
        <w:tc>
          <w:tcPr/>
          <w:p>
            <w:pPr>
              <w:pStyle w:val="Compact"/>
              <w:jc w:val="left"/>
            </w:pPr>
            <w:r>
              <w:t xml:space="preserve">−1,69 bis −1,94 vs. −0,81 (Placebo)</w:t>
            </w:r>
          </w:p>
        </w:tc>
      </w:tr>
      <w:tr>
        <w:tc>
          <w:tcPr/>
          <w:p>
            <w:pPr>
              <w:pStyle w:val="Compact"/>
              <w:jc w:val="left"/>
            </w:pPr>
            <w:r>
              <w:t xml:space="preserve">Mazdutid</w:t>
            </w:r>
          </w:p>
        </w:tc>
        <w:tc>
          <w:tcPr/>
          <w:p>
            <w:pPr>
              <w:pStyle w:val="Compact"/>
              <w:jc w:val="left"/>
            </w:pPr>
            <w:r>
              <w:t xml:space="preserve">DREAMS-1 (Zhu 2026), PMID 41407859</w:t>
            </w:r>
          </w:p>
        </w:tc>
        <w:tc>
          <w:tcPr/>
          <w:p>
            <w:pPr>
              <w:pStyle w:val="Compact"/>
              <w:jc w:val="left"/>
            </w:pPr>
            <w:r>
              <w:t xml:space="preserve">24 Wochen</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Wochen</w:t>
            </w:r>
          </w:p>
        </w:tc>
        <w:tc>
          <w:tcPr/>
          <w:p>
            <w:pPr>
              <w:pStyle w:val="Compact"/>
              <w:jc w:val="left"/>
            </w:pPr>
            <w:r>
              <w:t xml:space="preserve">−1,8 vs. −0,1 (Placebo)</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 bis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Wochen</w:t>
            </w:r>
          </w:p>
        </w:tc>
        <w:tc>
          <w:tcPr/>
          <w:p>
            <w:pPr>
              <w:pStyle w:val="Compact"/>
              <w:jc w:val="left"/>
            </w:pPr>
            <w:r>
              <w:t xml:space="preserve">−1,24 bis −1,48 vs. −0,41 (Placebo)</w:t>
            </w:r>
          </w:p>
        </w:tc>
      </w:tr>
    </w:tbl>
    <w:p>
      <w:pPr>
        <w:pStyle w:val="BodyText"/>
      </w:pPr>
      <w:r>
        <w:t xml:space="preserve">Die älteren Wirkstoffe Exenatid und Pramlintid senken den HbA1c-Wert um weniger als einen Prozentpunkt, die wöchentlichen GLP-1-Agonisten um etwa 1,5 Punkte, Tirzepatid und die neueren Mehrfach-Agonisten um rund 2 Punkte. Beim Blutzucker sind die Unterschiede zwischen den neueren Wirkstoffen kleiner als beim Gewicht. Besonders deutlich zeigt das REIMAGINE 2: Dort senkte CagriSema den HbA1c-Wert nur um 0,16 Prozentpunkte stärker als Semaglutid 2,4 mg allein (−1,91 vs. −1,75; Buse 2026, PMID 42251859). Der Zusatz von Amylin wirkt also vor allem auf das Gewicht.</w:t>
      </w:r>
    </w:p>
    <w:p>
      <w:pPr>
        <w:pStyle w:val="BodyText"/>
      </w:pPr>
      <w:r>
        <w:t xml:space="preserve">Ein wichtiger Unterschied betrifft die Unterzuckerung. Weil GLP-1 die Insulinausschüttung nur bei erhöhtem Blutzucker verstärkt, sind Unterzuckerungen unter diesen Medikamenten allein selten. Sie werden häufiger, wenn gleichzeitig Insulin oder Sulfonylharnstoffe eingenommen werden. Bei Pramlintid, das nur zusätzlich zu Mahlzeiteninsulin verwendet wird, ist schwere Unterzuckerung das wichtigste Risiko</w:t>
      </w:r>
      <w:r>
        <w:rPr>
          <w:rStyle w:val="FootnoteReference"/>
        </w:rPr>
        <w:footnoteReference w:id="2546"/>
      </w:r>
      <w:r>
        <w:t xml:space="preserve">.</w:t>
      </w:r>
    </w:p>
    <w:bookmarkEnd w:id="2547"/>
    <w:bookmarkStart w:id="2555" w:name="herz-kreislauf-endpunktstudien"/>
    <w:p>
      <w:pPr>
        <w:pStyle w:val="Heading3"/>
      </w:pPr>
      <w:r>
        <w:t xml:space="preserve">Herz-Kreislauf-Endpunktstudien</w:t>
      </w:r>
    </w:p>
    <w:p>
      <w:pPr>
        <w:pStyle w:val="FirstParagraph"/>
      </w:pPr>
      <w:r>
        <w:t xml:space="preserve">Endpunktstudien messen nicht Laborwerte, sondern Ereignisse, die für Patientinnen und Patienten zählen: Herz-Kreislauf-Tod, Herzinfarkt und Schlaganfall, zusammengefasst als „MACE“ (major adverse cardiovascular events). Das Hazard Ratio (HR) gibt an, wie hoch das Risiko im Vergleich zur Kontrollgruppe war; 0,80 bedeutet ein um 20 % niedrigeres relatives 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(Wirkstoff)</w:t>
            </w:r>
          </w:p>
        </w:tc>
        <w:tc>
          <w:tcPr/>
          <w:p>
            <w:pPr>
              <w:pStyle w:val="Compact"/>
              <w:jc w:val="left"/>
            </w:pPr>
            <w:r>
              <w:t xml:space="preserve">Teilnehmende</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(Liraglutid; Marso 2016), PMID 27295427</w:t>
            </w:r>
          </w:p>
        </w:tc>
        <w:tc>
          <w:tcPr/>
          <w:p>
            <w:pPr>
              <w:pStyle w:val="Compact"/>
              <w:jc w:val="left"/>
            </w:pPr>
            <w:r>
              <w:t xml:space="preserve">9.340 mit Typ-2-Diabetes und hohem Risiko</w:t>
            </w:r>
          </w:p>
        </w:tc>
        <w:tc>
          <w:tcPr/>
          <w:p>
            <w:pPr>
              <w:pStyle w:val="Compact"/>
              <w:jc w:val="left"/>
            </w:pPr>
            <w:r>
              <w:t xml:space="preserve">median 3,8 Jahre</w:t>
            </w:r>
          </w:p>
        </w:tc>
        <w:tc>
          <w:tcPr/>
          <w:p>
            <w:pPr>
              <w:pStyle w:val="Compact"/>
              <w:jc w:val="left"/>
            </w:pPr>
            <w:r>
              <w:t xml:space="preserve">13,0 % vs. 14,9 %; HR 0,87</w:t>
            </w:r>
          </w:p>
        </w:tc>
      </w:tr>
      <w:tr>
        <w:tc>
          <w:tcPr/>
          <w:p>
            <w:pPr>
              <w:pStyle w:val="Compact"/>
              <w:jc w:val="left"/>
            </w:pPr>
            <w:r>
              <w:t xml:space="preserve">SUSTAIN 6 (Semaglutid; Marso 2016), PMID 27633186</w:t>
            </w:r>
          </w:p>
        </w:tc>
        <w:tc>
          <w:tcPr/>
          <w:p>
            <w:pPr>
              <w:pStyle w:val="Compact"/>
              <w:jc w:val="left"/>
            </w:pPr>
            <w:r>
              <w:t xml:space="preserve">3.297 mit Typ-2-Diabetes und hohem Risiko</w:t>
            </w:r>
          </w:p>
        </w:tc>
        <w:tc>
          <w:tcPr/>
          <w:p>
            <w:pPr>
              <w:pStyle w:val="Compact"/>
              <w:jc w:val="left"/>
            </w:pPr>
            <w:r>
              <w:t xml:space="preserve">104 Wochen</w:t>
            </w:r>
          </w:p>
        </w:tc>
        <w:tc>
          <w:tcPr/>
          <w:p>
            <w:pPr>
              <w:pStyle w:val="Compact"/>
              <w:jc w:val="left"/>
            </w:pPr>
            <w:r>
              <w:t xml:space="preserve">6,6 % vs. 8,9 %; HR 0,74</w:t>
            </w:r>
          </w:p>
        </w:tc>
      </w:tr>
      <w:tr>
        <w:tc>
          <w:tcPr/>
          <w:p>
            <w:pPr>
              <w:pStyle w:val="Compact"/>
              <w:jc w:val="left"/>
            </w:pPr>
            <w:r>
              <w:t xml:space="preserve">PIONEER 6 (Semaglutid-Tablette; Husain 2019), PMID 31185157</w:t>
            </w:r>
          </w:p>
        </w:tc>
        <w:tc>
          <w:tcPr/>
          <w:p>
            <w:pPr>
              <w:pStyle w:val="Compact"/>
              <w:jc w:val="left"/>
            </w:pPr>
            <w:r>
              <w:t xml:space="preserve">3.183 mit Typ-2-Diabetes und hohem Risiko</w:t>
            </w:r>
          </w:p>
        </w:tc>
        <w:tc>
          <w:tcPr/>
          <w:p>
            <w:pPr>
              <w:pStyle w:val="Compact"/>
              <w:jc w:val="left"/>
            </w:pPr>
            <w:r>
              <w:t xml:space="preserve">median 15,9 Monate</w:t>
            </w:r>
          </w:p>
        </w:tc>
        <w:tc>
          <w:tcPr/>
          <w:p>
            <w:pPr>
              <w:pStyle w:val="Compact"/>
              <w:jc w:val="left"/>
            </w:pPr>
            <w:r>
              <w:t xml:space="preserve">3,8 % vs. 4,8 %; HR 0,79, nur Nicht-Unterlegenheit gezeigt</w:t>
            </w:r>
          </w:p>
        </w:tc>
      </w:tr>
      <w:tr>
        <w:tc>
          <w:tcPr/>
          <w:p>
            <w:pPr>
              <w:pStyle w:val="Compact"/>
              <w:jc w:val="left"/>
            </w:pPr>
            <w:r>
              <w:t xml:space="preserve">SOUL (Semaglutid-Tablette; McGuire 2025), PMID 40162642</w:t>
            </w:r>
          </w:p>
        </w:tc>
        <w:tc>
          <w:tcPr/>
          <w:p>
            <w:pPr>
              <w:pStyle w:val="Compact"/>
              <w:jc w:val="left"/>
            </w:pPr>
            <w:r>
              <w:t xml:space="preserve">9.650 mit Typ-2-Diabetes und Gefäß- oder Nierenerkrankung</w:t>
            </w:r>
          </w:p>
        </w:tc>
        <w:tc>
          <w:tcPr/>
          <w:p>
            <w:pPr>
              <w:pStyle w:val="Compact"/>
              <w:jc w:val="left"/>
            </w:pPr>
            <w:r>
              <w:t xml:space="preserve">median 49,5 Monate</w:t>
            </w:r>
          </w:p>
        </w:tc>
        <w:tc>
          <w:tcPr/>
          <w:p>
            <w:pPr>
              <w:pStyle w:val="Compact"/>
              <w:jc w:val="left"/>
            </w:pPr>
            <w:r>
              <w:t xml:space="preserve">12,0 % vs. 13,8 %; HR 0,86</w:t>
            </w:r>
          </w:p>
        </w:tc>
      </w:tr>
      <w:tr>
        <w:tc>
          <w:tcPr/>
          <w:p>
            <w:pPr>
              <w:pStyle w:val="Compact"/>
              <w:jc w:val="left"/>
            </w:pPr>
            <w:r>
              <w:t xml:space="preserve">SELECT (Semaglutid 2,4 mg; Lincoff 2023), PMID 37952131</w:t>
            </w:r>
          </w:p>
        </w:tc>
        <w:tc>
          <w:tcPr/>
          <w:p>
            <w:pPr>
              <w:pStyle w:val="Compact"/>
              <w:jc w:val="left"/>
            </w:pPr>
            <w:r>
              <w:t xml:space="preserve">17.604 mit Übergewicht und Herz-Kreislauf-Erkrankung, ohne Diabetes</w:t>
            </w:r>
          </w:p>
        </w:tc>
        <w:tc>
          <w:tcPr/>
          <w:p>
            <w:pPr>
              <w:pStyle w:val="Compact"/>
              <w:jc w:val="left"/>
            </w:pPr>
            <w:r>
              <w:t xml:space="preserve">im Mittel 39,8 Monate</w:t>
            </w:r>
          </w:p>
        </w:tc>
        <w:tc>
          <w:tcPr/>
          <w:p>
            <w:pPr>
              <w:pStyle w:val="Compact"/>
              <w:jc w:val="left"/>
            </w:pPr>
            <w:r>
              <w:t xml:space="preserve">6,5 % vs. 8,0 %; HR 0,80</w:t>
            </w:r>
          </w:p>
        </w:tc>
      </w:tr>
      <w:tr>
        <w:tc>
          <w:tcPr/>
          <w:p>
            <w:pPr>
              <w:pStyle w:val="Compact"/>
              <w:jc w:val="left"/>
            </w:pPr>
            <w:r>
              <w:t xml:space="preserve">REWIND (Dulaglutid; Gerstein 2019), PMID 31189511</w:t>
            </w:r>
          </w:p>
        </w:tc>
        <w:tc>
          <w:tcPr/>
          <w:p>
            <w:pPr>
              <w:pStyle w:val="Compact"/>
              <w:jc w:val="left"/>
            </w:pPr>
            <w:r>
              <w:t xml:space="preserve">9.901 mit Typ-2-Diabetes, mit oder ohne Herz-Kreislauf-Vorerkrankung</w:t>
            </w:r>
          </w:p>
        </w:tc>
        <w:tc>
          <w:tcPr/>
          <w:p>
            <w:pPr>
              <w:pStyle w:val="Compact"/>
              <w:jc w:val="left"/>
            </w:pPr>
            <w:r>
              <w:t xml:space="preserve">median 5,4 Jahre</w:t>
            </w:r>
          </w:p>
        </w:tc>
        <w:tc>
          <w:tcPr/>
          <w:p>
            <w:pPr>
              <w:pStyle w:val="Compact"/>
              <w:jc w:val="left"/>
            </w:pPr>
            <w:r>
              <w:t xml:space="preserve">12,0 % vs. 13,4 %; HR 0,88</w:t>
            </w:r>
          </w:p>
        </w:tc>
      </w:tr>
      <w:tr>
        <w:tc>
          <w:tcPr/>
          <w:p>
            <w:pPr>
              <w:pStyle w:val="Compact"/>
              <w:jc w:val="left"/>
            </w:pPr>
            <w:r>
              <w:t xml:space="preserve">EXSCEL (Exenatid wöchentlich; Holman 2017), PMID 28910237</w:t>
            </w:r>
          </w:p>
        </w:tc>
        <w:tc>
          <w:tcPr/>
          <w:p>
            <w:pPr>
              <w:pStyle w:val="Compact"/>
              <w:jc w:val="left"/>
            </w:pPr>
            <w:r>
              <w:t xml:space="preserve">14.752 mit Typ-2-Diabetes</w:t>
            </w:r>
          </w:p>
        </w:tc>
        <w:tc>
          <w:tcPr/>
          <w:p>
            <w:pPr>
              <w:pStyle w:val="Compact"/>
              <w:jc w:val="left"/>
            </w:pPr>
            <w:r>
              <w:t xml:space="preserve">median 3,2 Jahre</w:t>
            </w:r>
          </w:p>
        </w:tc>
        <w:tc>
          <w:tcPr/>
          <w:p>
            <w:pPr>
              <w:pStyle w:val="Compact"/>
              <w:jc w:val="left"/>
            </w:pPr>
            <w:r>
              <w:t xml:space="preserve">11,4 % vs. 12,2 %; HR 0,91, Überlegenheit knapp verfehlt</w:t>
            </w:r>
          </w:p>
        </w:tc>
      </w:tr>
      <w:tr>
        <w:tc>
          <w:tcPr/>
          <w:p>
            <w:pPr>
              <w:pStyle w:val="Compact"/>
              <w:jc w:val="left"/>
            </w:pPr>
            <w:r>
              <w:t xml:space="preserve">SURPASS-CVOT (Tirzepatid gegen Dulaglutid; Nicholls 2025), PMID 41406444</w:t>
            </w:r>
          </w:p>
        </w:tc>
        <w:tc>
          <w:tcPr/>
          <w:p>
            <w:pPr>
              <w:pStyle w:val="Compact"/>
              <w:jc w:val="left"/>
            </w:pPr>
            <w:r>
              <w:t xml:space="preserve">13.165 mit Typ-2-Diabetes und Gefäßerkrankung</w:t>
            </w:r>
          </w:p>
        </w:tc>
        <w:tc>
          <w:tcPr/>
          <w:p>
            <w:pPr>
              <w:pStyle w:val="Compact"/>
              <w:jc w:val="left"/>
            </w:pPr>
            <w:r>
              <w:t xml:space="preserve">mehrere Jahre</w:t>
            </w:r>
          </w:p>
        </w:tc>
        <w:tc>
          <w:tcPr/>
          <w:p>
            <w:pPr>
              <w:pStyle w:val="Compact"/>
              <w:jc w:val="left"/>
            </w:pPr>
            <w:r>
              <w:t xml:space="preserve">12,2 % vs. 13,1 %; HR 0,92, nicht unterlegen</w:t>
            </w:r>
          </w:p>
        </w:tc>
      </w:tr>
      <w:tr>
        <w:tc>
          <w:tcPr/>
          <w:p>
            <w:pPr>
              <w:pStyle w:val="Compact"/>
              <w:jc w:val="left"/>
            </w:pPr>
            <w:r>
              <w:t xml:space="preserve">ACHIEVE-4 (Orforglipron gegen Insulin glargin; Klein 2026), PMID 42815506</w:t>
            </w:r>
          </w:p>
        </w:tc>
        <w:tc>
          <w:tcPr/>
          <w:p>
            <w:pPr>
              <w:pStyle w:val="Compact"/>
              <w:jc w:val="left"/>
            </w:pPr>
            <w:r>
              <w:t xml:space="preserve">2.749 mit Typ-2-Diabetes und hohem Risiko</w:t>
            </w:r>
          </w:p>
        </w:tc>
        <w:tc>
          <w:tcPr/>
          <w:p>
            <w:pPr>
              <w:pStyle w:val="Compact"/>
              <w:jc w:val="left"/>
            </w:pPr>
            <w:r>
              <w:t xml:space="preserve">median 2 Jahre</w:t>
            </w:r>
          </w:p>
        </w:tc>
        <w:tc>
          <w:tcPr/>
          <w:p>
            <w:pPr>
              <w:pStyle w:val="Compact"/>
              <w:jc w:val="left"/>
            </w:pPr>
            <w:r>
              <w:t xml:space="preserve">4,2 % vs. 5,0 % (MACE-4), nicht unterlegen</w:t>
            </w:r>
          </w:p>
        </w:tc>
      </w:tr>
    </w:tbl>
    <w:p>
      <w:pPr>
        <w:pStyle w:val="BodyText"/>
      </w:pPr>
      <w:r>
        <w:t xml:space="preserve">Was diese Tabelle zeigt:</w:t>
      </w:r>
    </w:p>
    <w:p>
      <w:pPr>
        <w:numPr>
          <w:ilvl w:val="0"/>
          <w:numId w:val="1327"/>
        </w:numPr>
        <w:pStyle w:val="Compact"/>
      </w:pPr>
      <w:r>
        <w:rPr>
          <w:bCs/>
          <w:b/>
        </w:rPr>
        <w:t xml:space="preserve">Die Klasse senkt das Risiko.</w:t>
      </w:r>
      <w:r>
        <w:t xml:space="preserve"> </w:t>
      </w:r>
      <w:r>
        <w:t xml:space="preserve">Eine Meta-Analyse von sieben placebokontrollierten Endpunktstudien mit zusammen 56.004 Teilnehmenden fand für GLP-1-Rezeptor-Agonisten bei Typ-2-Diabetes 12 % weniger schwere Herz-Kreislauf-Ereignisse (HR 0,88), 12 % weniger Todesfälle jeder Ursache und 9 % weniger Krankenhausaufnahmen wegen Herzschwäche, ohne bedeutsame Unterschiede zwischen den Untergruppen</w:t>
      </w:r>
      <w:r>
        <w:rPr>
          <w:rStyle w:val="FootnoteReference"/>
        </w:rPr>
        <w:footnoteReference w:id="2548"/>
      </w:r>
      <w:r>
        <w:t xml:space="preserve">. In diese Meta-Analyse gingen auch zwei Wirkstoffe ein, die in diesem Buch nicht behandelt werden.</w:t>
      </w:r>
    </w:p>
    <w:p>
      <w:pPr>
        <w:numPr>
          <w:ilvl w:val="0"/>
          <w:numId w:val="1327"/>
        </w:numPr>
        <w:pStyle w:val="Compact"/>
      </w:pPr>
      <w:r>
        <w:rPr>
          <w:bCs/>
          <w:b/>
        </w:rPr>
        <w:t xml:space="preserve">Unterschiede zwischen den Wirkstoffen sind unsicher.</w:t>
      </w:r>
      <w:r>
        <w:t xml:space="preserve"> </w:t>
      </w:r>
      <w:r>
        <w:t xml:space="preserve">Exenatid lag in EXSCEL am schwächeren Rand; diskutiert werden das Molekül selbst, die hohe Abbruchrate und das pragmatische Studiendesign. Ein Exenatid-Pumpenimplantat (FREEDOM-CVO) erfüllte nur das Sicherheitskriterium (HR 1,21; Ruff 2022, PMID 34873344).</w:t>
      </w:r>
    </w:p>
    <w:p>
      <w:pPr>
        <w:numPr>
          <w:ilvl w:val="0"/>
          <w:numId w:val="1327"/>
        </w:numPr>
        <w:pStyle w:val="Compact"/>
      </w:pPr>
      <w:r>
        <w:rPr>
          <w:bCs/>
          <w:b/>
        </w:rPr>
        <w:t xml:space="preserve">SELECT ist ein Sonderfall.</w:t>
      </w:r>
      <w:r>
        <w:t xml:space="preserve"> </w:t>
      </w:r>
      <w:r>
        <w:t xml:space="preserve">Es ist in dieser Übersicht die einzige große Endpunktstudie ausschließlich bei Menschen</w:t>
      </w:r>
      <w:r>
        <w:t xml:space="preserve"> </w:t>
      </w:r>
      <w:r>
        <w:rPr>
          <w:iCs/>
          <w:i/>
        </w:rPr>
        <w:t xml:space="preserve">ohne</w:t>
      </w:r>
      <w:r>
        <w:t xml:space="preserve"> </w:t>
      </w:r>
      <w:r>
        <w:t xml:space="preserve">Diabetes. In absoluten Zahlen hatten über gut drei Jahre etwa 1,5 von hundert Behandelten weniger ein schweres Ereignis.</w:t>
      </w:r>
    </w:p>
    <w:p>
      <w:pPr>
        <w:numPr>
          <w:ilvl w:val="0"/>
          <w:numId w:val="1327"/>
        </w:numPr>
        <w:pStyle w:val="Compact"/>
      </w:pPr>
      <w:r>
        <w:rPr>
          <w:bCs/>
          <w:b/>
        </w:rPr>
        <w:t xml:space="preserve">Tirzepatid wurde gegen ein wirksames Medikament geprüft.</w:t>
      </w:r>
      <w:r>
        <w:t xml:space="preserve"> </w:t>
      </w:r>
      <w:r>
        <w:t xml:space="preserve">SURPASS-CVOT verglich Tirzepatid nicht mit Placebo, sondern mit Dulaglutid, das in REWIND selbst das Risiko gesenkt hatte. Tirzepatid war nicht unterlegen, die formale Überlegenheit wurde knapp verfehlt. Wie groß der Nutzen gegenüber keiner Behandlung wäre, lässt sich daraus nur über Modellrechnungen schätzen.</w:t>
      </w:r>
    </w:p>
    <w:p>
      <w:pPr>
        <w:numPr>
          <w:ilvl w:val="0"/>
          <w:numId w:val="1327"/>
        </w:numPr>
        <w:pStyle w:val="Compact"/>
      </w:pPr>
      <w:r>
        <w:rPr>
          <w:bCs/>
          <w:b/>
        </w:rPr>
        <w:t xml:space="preserve">Herzschwäche:</w:t>
      </w:r>
      <w:r>
        <w:t xml:space="preserve"> </w:t>
      </w:r>
      <w:r>
        <w:t xml:space="preserve">Bei Herzinsuffizienz mit erhaltener Pumpfunktion und Adipositas verringerte Tirzepatid in SUMMIT mit 731 Personen den kombinierten Endpunkt aus Herz-Kreislauf-Tod oder Verschlechterung der Herzschwäche (9,9 % vs. 15,3 %; HR 0,62; Packer 2025, PMID 39555826). Der Unterschied beruhte auf weniger Verschlechterungsereignissen; Todesfälle waren selten. In STEP-HFpEF verbesserte Semaglutid Beschwerden und Gehstrecke</w:t>
      </w:r>
      <w:r>
        <w:rPr>
          <w:rStyle w:val="FootnoteReference"/>
        </w:rPr>
        <w:footnoteReference w:id="2549"/>
      </w:r>
      <w:r>
        <w:t xml:space="preserve">, war aber nicht auf harte Endpunkte ausgelegt.</w:t>
      </w:r>
    </w:p>
    <w:p>
      <w:pPr>
        <w:pStyle w:val="FirstParagraph"/>
      </w:pPr>
      <w:r>
        <w:rPr>
          <w:bCs/>
          <w:b/>
        </w:rPr>
        <w:t xml:space="preserve">Noch ausstehend (registrierte Studien):</w:t>
      </w:r>
      <w:r>
        <w:t xml:space="preserve"> </w:t>
      </w:r>
      <w:r>
        <w:t xml:space="preserve">Für die neueren Wirkstoffe fehlen Endpunktdaten. Laufende Studien sind SURMOUNT-MMO zu Tirzepatid bei Adipositas ohne Diabetes</w:t>
      </w:r>
      <w:r>
        <w:rPr>
          <w:rStyle w:val="FootnoteReference"/>
        </w:rPr>
        <w:footnoteReference w:id="2550"/>
      </w:r>
      <w:r>
        <w:t xml:space="preserve">, TRIUMPH-Outcomes zu Retatrutid</w:t>
      </w:r>
      <w:r>
        <w:rPr>
          <w:rStyle w:val="FootnoteReference"/>
        </w:rPr>
        <w:footnoteReference w:id="2551"/>
      </w:r>
      <w:r>
        <w:t xml:space="preserve">, REDEFINE 3 zu CagriSema</w:t>
      </w:r>
      <w:r>
        <w:rPr>
          <w:rStyle w:val="FootnoteReference"/>
        </w:rPr>
        <w:footnoteReference w:id="2552"/>
      </w:r>
      <w:r>
        <w:t xml:space="preserve">, eine Studie zu Maridebart Cafraglutid</w:t>
      </w:r>
      <w:r>
        <w:rPr>
          <w:rStyle w:val="FootnoteReference"/>
        </w:rPr>
        <w:footnoteReference w:id="2553"/>
      </w:r>
      <w:r>
        <w:t xml:space="preserve"> </w:t>
      </w:r>
      <w:r>
        <w:t xml:space="preserve">und eine zu Orforglipron</w:t>
      </w:r>
      <w:r>
        <w:rPr>
          <w:rStyle w:val="FootnoteReference"/>
        </w:rPr>
        <w:footnoteReference w:id="2554"/>
      </w:r>
      <w:r>
        <w:t xml:space="preserve">. Bis diese Ergebnisse vorliegen, ist offen, ob ein stärkerer Gewichtsverlust auch zu weniger Herzinfarkten und Schlaganfällen führt. Das ist eine plausible Erwartung, aber kein Ergebnis.</w:t>
      </w:r>
    </w:p>
    <w:bookmarkEnd w:id="2555"/>
    <w:bookmarkStart w:id="2563" w:name="niere-und-leber"/>
    <w:p>
      <w:pPr>
        <w:pStyle w:val="Heading3"/>
      </w:pPr>
      <w:r>
        <w:t xml:space="preserve">Niere und Leber</w:t>
      </w:r>
    </w:p>
    <w:p>
      <w:pPr>
        <w:pStyle w:val="FirstParagraph"/>
      </w:pPr>
      <w:r>
        <w:rPr>
          <w:bCs/>
          <w:b/>
        </w:rPr>
        <w:t xml:space="preserve">Niere:</w:t>
      </w:r>
      <w:r>
        <w:t xml:space="preserve"> </w:t>
      </w:r>
      <w:r>
        <w:t xml:space="preserve">Unter den in diesem Buch besprochenen Studien hat nur FLOW ein Nierenereignis als Hauptendpunkt. Bei 3.533 Menschen mit Typ-2-Diabetes und chronischer Nierenerkrankung verringerte Semaglutid 1,0 mg schwere Nierenereignisse und Tod aus Nieren- oder Herz-Kreislauf-Ursache um 24 % (331 vs. 410 Ereignisse; HR 0,76). Die Studie wurde wegen Wirksamkeit vorzeitig beendet; die Gesamtsterblichkeit war um 20 % niedriger</w:t>
      </w:r>
      <w:r>
        <w:rPr>
          <w:rStyle w:val="FootnoteReference"/>
        </w:rPr>
        <w:footnoteReference w:id="2556"/>
      </w:r>
      <w:r>
        <w:t xml:space="preserve">. In den älteren Endpunktstudien beruhte der Nierennutzen dagegen vor allem auf weniger Eiweiß im Urin: in LEADER HR 0,78</w:t>
      </w:r>
      <w:r>
        <w:rPr>
          <w:rStyle w:val="FootnoteReference"/>
        </w:rPr>
        <w:footnoteReference w:id="2557"/>
      </w:r>
      <w:r>
        <w:t xml:space="preserve">, in REWIND HR 0,85</w:t>
      </w:r>
      <w:r>
        <w:rPr>
          <w:rStyle w:val="FootnoteReference"/>
        </w:rPr>
        <w:footnoteReference w:id="2558"/>
      </w:r>
      <w:r>
        <w:t xml:space="preserve">, über alle sieben Studien HR 0,83</w:t>
      </w:r>
      <w:r>
        <w:rPr>
          <w:rStyle w:val="FootnoteReference"/>
        </w:rPr>
        <w:footnoteReference w:id="2559"/>
      </w:r>
      <w:r>
        <w:t xml:space="preserve">. In SOUL unterschieden sich die bestätigenden sekundären Endpunkte, darunter Nierenereignisse, nicht signifikant</w:t>
      </w:r>
      <w:r>
        <w:rPr>
          <w:rStyle w:val="FootnoteReference"/>
        </w:rPr>
        <w:footnoteReference w:id="2560"/>
      </w:r>
      <w:r>
        <w:t xml:space="preserve">. Bei mittel- bis schwergradiger Nierenerkrankung blieb die Nierenfunktion unter Dulaglutid besser erhalten als unter Insulin glargin (AWARD-7, Tuttle 2018, PMID 29910024). Für Tirzepatid und die neueren Wirkstoffe liegen noch keine Studien mit Nierenereignissen als Hauptendpunkt vor.</w:t>
      </w:r>
    </w:p>
    <w:p>
      <w:pPr>
        <w:pStyle w:val="BodyText"/>
      </w:pPr>
      <w:r>
        <w:rPr>
          <w:bCs/>
          <w:b/>
        </w:rPr>
        <w:t xml:space="preserve">Leber:</w:t>
      </w:r>
      <w:r>
        <w:t xml:space="preserve"> </w:t>
      </w:r>
      <w:r>
        <w:t xml:space="preserve">Bei der entzündlichen Fettleber MASH (früher NASH) gibt es Gewebeproben-Studien für drei Wirkstoffe: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Rückbildung der MASH ohne Fibrose-Verschlechterung</w:t>
            </w:r>
          </w:p>
        </w:tc>
      </w:tr>
      <w:tr>
        <w:tc>
          <w:tcPr/>
          <w:p>
            <w:pPr>
              <w:pStyle w:val="Compact"/>
              <w:jc w:val="left"/>
            </w:pPr>
            <w:r>
              <w:t xml:space="preserve">Semaglutid 2,4 mg</w:t>
            </w:r>
          </w:p>
        </w:tc>
        <w:tc>
          <w:tcPr/>
          <w:p>
            <w:pPr>
              <w:pStyle w:val="Compact"/>
              <w:jc w:val="left"/>
            </w:pPr>
            <w:r>
              <w:t xml:space="preserve">ESSENCE, Phase 3 (Sanyal 2025), PMID 40305708</w:t>
            </w:r>
          </w:p>
        </w:tc>
        <w:tc>
          <w:tcPr/>
          <w:p>
            <w:pPr>
              <w:pStyle w:val="Compact"/>
              <w:jc w:val="left"/>
            </w:pPr>
            <w:r>
              <w:t xml:space="preserve">72 Wochen (Zwischenauswertung, 800 Personen)</w:t>
            </w:r>
          </w:p>
        </w:tc>
        <w:tc>
          <w:tcPr/>
          <w:p>
            <w:pPr>
              <w:pStyle w:val="Compact"/>
              <w:jc w:val="left"/>
            </w:pPr>
            <w:r>
              <w:t xml:space="preserve">62,9 % vs. 34,3 %; weniger Fibrose 36,8 % vs. 22,4 %</w:t>
            </w:r>
          </w:p>
        </w:tc>
      </w:tr>
      <w:tr>
        <w:tc>
          <w:tcPr/>
          <w:p>
            <w:pPr>
              <w:pStyle w:val="Compact"/>
              <w:jc w:val="left"/>
            </w:pPr>
            <w:r>
              <w:t xml:space="preserve">Tirzepatid</w:t>
            </w:r>
          </w:p>
        </w:tc>
        <w:tc>
          <w:tcPr/>
          <w:p>
            <w:pPr>
              <w:pStyle w:val="Compact"/>
              <w:jc w:val="left"/>
            </w:pPr>
            <w:r>
              <w:t xml:space="preserve">SYNERGY-NASH, Phase 2 (Loomba 2024), PMID 38856224</w:t>
            </w:r>
          </w:p>
        </w:tc>
        <w:tc>
          <w:tcPr/>
          <w:p>
            <w:pPr>
              <w:pStyle w:val="Compact"/>
              <w:jc w:val="left"/>
            </w:pPr>
            <w:r>
              <w:t xml:space="preserve">52 Wochen, 190 Personen</w:t>
            </w:r>
          </w:p>
        </w:tc>
        <w:tc>
          <w:tcPr/>
          <w:p>
            <w:pPr>
              <w:pStyle w:val="Compact"/>
              <w:jc w:val="left"/>
            </w:pPr>
            <w:r>
              <w:t xml:space="preserve">44–62 % vs. 10 %; weniger Fibrose 51–55 % vs. 30 %</w:t>
            </w:r>
          </w:p>
        </w:tc>
      </w:tr>
      <w:tr>
        <w:tc>
          <w:tcPr/>
          <w:p>
            <w:pPr>
              <w:pStyle w:val="Compact"/>
              <w:jc w:val="left"/>
            </w:pPr>
            <w:r>
              <w:t xml:space="preserve">Survodutid</w:t>
            </w:r>
          </w:p>
        </w:tc>
        <w:tc>
          <w:tcPr/>
          <w:p>
            <w:pPr>
              <w:pStyle w:val="Compact"/>
              <w:jc w:val="left"/>
            </w:pPr>
            <w:r>
              <w:t xml:space="preserve">Phase 2 (Sanyal 2024), PMID 38847460</w:t>
            </w:r>
          </w:p>
        </w:tc>
        <w:tc>
          <w:tcPr/>
          <w:p>
            <w:pPr>
              <w:pStyle w:val="Compact"/>
              <w:jc w:val="left"/>
            </w:pPr>
            <w:r>
              <w:t xml:space="preserve">48 Wochen, 293 Personen</w:t>
            </w:r>
          </w:p>
        </w:tc>
        <w:tc>
          <w:tcPr/>
          <w:p>
            <w:pPr>
              <w:pStyle w:val="Compact"/>
              <w:jc w:val="left"/>
            </w:pPr>
            <w:r>
              <w:t xml:space="preserve">MASH-Besserung 43–62 % vs. 14 %</w:t>
            </w:r>
          </w:p>
        </w:tc>
      </w:tr>
    </w:tbl>
    <w:p>
      <w:pPr>
        <w:pStyle w:val="BodyText"/>
      </w:pPr>
      <w:r>
        <w:t xml:space="preserve">Nur ESSENCE ist eine Phase-3-Studie; ob die Behandlung auch Zirrhose, Leberversagen und Todesfälle verhindert, soll ihr zweiter Teil über 240 Wochen zeigen. Für Survodutid laufen die Phase-3-Studien LIVERAGE</w:t>
      </w:r>
      <w:r>
        <w:rPr>
          <w:rStyle w:val="FootnoteReference"/>
        </w:rPr>
        <w:footnoteReference w:id="2561"/>
      </w:r>
      <w:r>
        <w:t xml:space="preserve"> </w:t>
      </w:r>
      <w:r>
        <w:t xml:space="preserve">und LIVERAGE-Cirrhosis</w:t>
      </w:r>
      <w:r>
        <w:rPr>
          <w:rStyle w:val="FootnoteReference"/>
        </w:rPr>
        <w:footnoteReference w:id="2562"/>
      </w:r>
      <w:r>
        <w:t xml:space="preserve">. Die höheren Prozentwerte der Phase-2-Studien sind wegen der kleinen Gruppen und der kürzeren Dauer nicht direkt mit ESSENCE vergleichbar.</w:t>
      </w:r>
    </w:p>
    <w:bookmarkEnd w:id="2563"/>
    <w:bookmarkStart w:id="2574" w:name="nebenwirkungen-und-abbruchraten"/>
    <w:p>
      <w:pPr>
        <w:pStyle w:val="Heading3"/>
      </w:pPr>
      <w:r>
        <w:t xml:space="preserve">Nebenwirkungen und Abbruchraten</w:t>
      </w:r>
    </w:p>
    <w:p>
      <w:pPr>
        <w:pStyle w:val="FirstParagraph"/>
      </w:pPr>
      <w:r>
        <w:t xml:space="preserve">Das Nebenwirkungsprofil ist in der ganzen Klasse ähnlich: Übelkeit, Durchfall, Erbrechen und Verstopfung, vor allem während der schrittweisen Dosissteigerung, meist leicht bis mittelschwer und vorübergehend. Sie sind der häufigste Grund für Therapieabbrüche. Die Raten hängen stark von Dosis und Tempo der Aufdosierung ab und sind zwischen Studien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Magen-Darm-Beschwerden</w:t>
            </w:r>
          </w:p>
        </w:tc>
        <w:tc>
          <w:tcPr/>
          <w:p>
            <w:pPr>
              <w:pStyle w:val="Compact"/>
              <w:jc w:val="left"/>
            </w:pPr>
            <w:r>
              <w:t xml:space="preserve">Abbruch wegen Nebenwirkungen</w:t>
            </w:r>
          </w:p>
        </w:tc>
      </w:tr>
      <w:tr>
        <w:tc>
          <w:tcPr/>
          <w:p>
            <w:pPr>
              <w:pStyle w:val="Compact"/>
              <w:jc w:val="left"/>
            </w:pPr>
            <w:r>
              <w:t xml:space="preserve">Exenatid zweimal täglich</w:t>
            </w:r>
          </w:p>
        </w:tc>
        <w:tc>
          <w:tcPr/>
          <w:p>
            <w:pPr>
              <w:pStyle w:val="Compact"/>
              <w:jc w:val="left"/>
            </w:pPr>
            <w:r>
              <w:t xml:space="preserve">Heine 2005, PMID 16230722</w:t>
            </w:r>
          </w:p>
        </w:tc>
        <w:tc>
          <w:tcPr/>
          <w:p>
            <w:pPr>
              <w:pStyle w:val="Compact"/>
              <w:jc w:val="left"/>
            </w:pPr>
            <w:r>
              <w:t xml:space="preserve">Übelkeit 57,1 %</w:t>
            </w:r>
          </w:p>
        </w:tc>
        <w:tc>
          <w:tcPr/>
          <w:p>
            <w:pPr>
              <w:pStyle w:val="Compact"/>
              <w:jc w:val="left"/>
            </w:pPr>
            <w:r>
              <w:t xml:space="preserve">keine Angabe im Abstract</w:t>
            </w:r>
          </w:p>
        </w:tc>
      </w:tr>
      <w:tr>
        <w:tc>
          <w:tcPr/>
          <w:p>
            <w:pPr>
              <w:pStyle w:val="Compact"/>
              <w:jc w:val="left"/>
            </w:pPr>
            <w:r>
              <w:t xml:space="preserve">Dulaglutid</w:t>
            </w:r>
          </w:p>
        </w:tc>
        <w:tc>
          <w:tcPr/>
          <w:p>
            <w:pPr>
              <w:pStyle w:val="Compact"/>
              <w:jc w:val="left"/>
            </w:pPr>
            <w:r>
              <w:t xml:space="preserve">REWIND (Gerstein 2019), PMID 31189511</w:t>
            </w:r>
          </w:p>
        </w:tc>
        <w:tc>
          <w:tcPr/>
          <w:p>
            <w:pPr>
              <w:pStyle w:val="Compact"/>
              <w:jc w:val="left"/>
            </w:pPr>
            <w:r>
              <w:t xml:space="preserve">47,4 % vs. 34,1 %</w:t>
            </w:r>
          </w:p>
        </w:tc>
        <w:tc>
          <w:tcPr/>
          <w:p>
            <w:pPr>
              <w:pStyle w:val="Compact"/>
              <w:jc w:val="left"/>
            </w:pPr>
            <w:r>
              <w:t xml:space="preserve">keine Angabe im Abstract</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am häufigsten Übelkeit und Durchfall</w:t>
            </w:r>
          </w:p>
        </w:tc>
        <w:tc>
          <w:tcPr/>
          <w:p>
            <w:pPr>
              <w:pStyle w:val="Compact"/>
              <w:jc w:val="left"/>
            </w:pPr>
            <w:r>
              <w:t xml:space="preserve">wegen Magen-Darm-Beschwerden 4,5 % vs. 0,8 %</w:t>
            </w:r>
          </w:p>
        </w:tc>
      </w:tr>
      <w:tr>
        <w:tc>
          <w:tcPr/>
          <w:p>
            <w:pPr>
              <w:pStyle w:val="Compact"/>
              <w:jc w:val="left"/>
            </w:pPr>
            <w:r>
              <w:t xml:space="preserve">Semaglutid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vs. 8,2 % (über gut drei Jahre)</w:t>
            </w:r>
          </w:p>
        </w:tc>
      </w:tr>
      <w:tr>
        <w:tc>
          <w:tcPr/>
          <w:p>
            <w:pPr>
              <w:pStyle w:val="Compact"/>
              <w:jc w:val="left"/>
            </w:pPr>
            <w:r>
              <w:t xml:space="preserve">Tirzepatid</w:t>
            </w:r>
          </w:p>
        </w:tc>
        <w:tc>
          <w:tcPr/>
          <w:p>
            <w:pPr>
              <w:pStyle w:val="Compact"/>
              <w:jc w:val="left"/>
            </w:pPr>
            <w:r>
              <w:t xml:space="preserve">SURMOUNT-1 (Jastreboff 2022), PMID 35658024</w:t>
            </w:r>
          </w:p>
        </w:tc>
        <w:tc>
          <w:tcPr/>
          <w:p>
            <w:pPr>
              <w:pStyle w:val="Compact"/>
              <w:jc w:val="left"/>
            </w:pPr>
            <w:r>
              <w:t xml:space="preserve">am häufigsten, meist in der Aufdosierung</w:t>
            </w:r>
          </w:p>
        </w:tc>
        <w:tc>
          <w:tcPr/>
          <w:p>
            <w:pPr>
              <w:pStyle w:val="Compact"/>
              <w:jc w:val="left"/>
            </w:pPr>
            <w:r>
              <w:t xml:space="preserve">4,3–7,1 % vs.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vs. 39,9 %</w:t>
            </w:r>
          </w:p>
        </w:tc>
        <w:tc>
          <w:tcPr/>
          <w:p>
            <w:pPr>
              <w:pStyle w:val="Compact"/>
              <w:jc w:val="left"/>
            </w:pPr>
            <w:r>
              <w:t xml:space="preserve">keine Angabe im Abstract</w:t>
            </w:r>
          </w:p>
        </w:tc>
      </w:tr>
      <w:tr>
        <w:tc>
          <w:tcPr/>
          <w:p>
            <w:pPr>
              <w:pStyle w:val="Compact"/>
              <w:jc w:val="left"/>
            </w:pPr>
            <w:r>
              <w:t xml:space="preserve">Retatrutid</w:t>
            </w:r>
          </w:p>
        </w:tc>
        <w:tc>
          <w:tcPr/>
          <w:p>
            <w:pPr>
              <w:pStyle w:val="Compact"/>
              <w:jc w:val="left"/>
            </w:pPr>
            <w:r>
              <w:t xml:space="preserve">TRIUMPH-2 (Bellido 2026), PMID 42810372</w:t>
            </w:r>
          </w:p>
        </w:tc>
        <w:tc>
          <w:tcPr/>
          <w:p>
            <w:pPr>
              <w:pStyle w:val="Compact"/>
              <w:jc w:val="left"/>
            </w:pPr>
            <w:r>
              <w:t xml:space="preserve">Durchfall 27–34 %, Übelkeit 14–28 % (Placebo 13 % bzw. 8 %)</w:t>
            </w:r>
          </w:p>
        </w:tc>
        <w:tc>
          <w:tcPr/>
          <w:p>
            <w:pPr>
              <w:pStyle w:val="Compact"/>
              <w:jc w:val="left"/>
            </w:pPr>
            <w:r>
              <w:t xml:space="preserve">4–12 % vs. 5 % (inkl. Todesfälle)</w:t>
            </w:r>
          </w:p>
        </w:tc>
      </w:tr>
      <w:tr>
        <w:tc>
          <w:tcPr/>
          <w:p>
            <w:pPr>
              <w:pStyle w:val="Compact"/>
              <w:jc w:val="left"/>
            </w:pPr>
            <w:r>
              <w:t xml:space="preserve">Survodutid</w:t>
            </w:r>
          </w:p>
        </w:tc>
        <w:tc>
          <w:tcPr/>
          <w:p>
            <w:pPr>
              <w:pStyle w:val="Compact"/>
              <w:jc w:val="left"/>
            </w:pPr>
            <w:r>
              <w:t xml:space="preserve">SYNCHRONIZE-1 (le Roux 2026), PMID 42253238</w:t>
            </w:r>
          </w:p>
        </w:tc>
        <w:tc>
          <w:tcPr/>
          <w:p>
            <w:pPr>
              <w:pStyle w:val="Compact"/>
              <w:jc w:val="left"/>
            </w:pPr>
            <w:r>
              <w:t xml:space="preserve">80,9 / 89,7 % vs. 47,9 %</w:t>
            </w:r>
          </w:p>
        </w:tc>
        <w:tc>
          <w:tcPr/>
          <w:p>
            <w:pPr>
              <w:pStyle w:val="Compact"/>
              <w:jc w:val="left"/>
            </w:pPr>
            <w:r>
              <w:t xml:space="preserve">keine Angabe im Abstract</w:t>
            </w:r>
          </w:p>
        </w:tc>
      </w:tr>
      <w:tr>
        <w:tc>
          <w:tcPr/>
          <w:p>
            <w:pPr>
              <w:pStyle w:val="Compact"/>
              <w:jc w:val="left"/>
            </w:pPr>
            <w:r>
              <w:t xml:space="preserve">Mazdutid</w:t>
            </w:r>
          </w:p>
        </w:tc>
        <w:tc>
          <w:tcPr/>
          <w:p>
            <w:pPr>
              <w:pStyle w:val="Compact"/>
              <w:jc w:val="left"/>
            </w:pPr>
            <w:r>
              <w:t xml:space="preserve">GLORY-1 (Ji 2025), PMID 40421736</w:t>
            </w:r>
          </w:p>
        </w:tc>
        <w:tc>
          <w:tcPr/>
          <w:p>
            <w:pPr>
              <w:pStyle w:val="Compact"/>
              <w:jc w:val="left"/>
            </w:pPr>
            <w:r>
              <w:t xml:space="preserve">häufigste Nebenwirkung</w:t>
            </w:r>
          </w:p>
        </w:tc>
        <w:tc>
          <w:tcPr/>
          <w:p>
            <w:pPr>
              <w:pStyle w:val="Compact"/>
              <w:jc w:val="left"/>
            </w:pPr>
            <w:r>
              <w:t xml:space="preserve">0,5–1,5 % vs.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häufigste Nebenwirkung</w:t>
            </w:r>
          </w:p>
        </w:tc>
        <w:tc>
          <w:tcPr/>
          <w:p>
            <w:pPr>
              <w:pStyle w:val="Compact"/>
              <w:jc w:val="left"/>
            </w:pPr>
            <w:r>
              <w:t xml:space="preserve">5,3–10,3 % vs. 2,7 %</w:t>
            </w:r>
          </w:p>
        </w:tc>
      </w:tr>
    </w:tbl>
    <w:p>
      <w:pPr>
        <w:pStyle w:val="BodyText"/>
      </w:pPr>
      <w:r>
        <w:t xml:space="preserve">Einige Beobachtungen:</w:t>
      </w:r>
    </w:p>
    <w:p>
      <w:pPr>
        <w:numPr>
          <w:ilvl w:val="0"/>
          <w:numId w:val="1328"/>
        </w:numPr>
        <w:pStyle w:val="Compact"/>
      </w:pPr>
      <w:r>
        <w:rPr>
          <w:bCs/>
          <w:b/>
        </w:rPr>
        <w:t xml:space="preserve">Wochenpräparate werden meist besser vertragen als ältere Formen.</w:t>
      </w:r>
      <w:r>
        <w:t xml:space="preserve"> </w:t>
      </w:r>
      <w:r>
        <w:t xml:space="preserve">In DURATION-6 hatten 9 % unter wöchentlichem Exenatid Übelkeit, 21 % unter täglichem Liraglutid</w:t>
      </w:r>
      <w:r>
        <w:rPr>
          <w:rStyle w:val="FootnoteReference"/>
        </w:rPr>
        <w:footnoteReference w:id="2564"/>
      </w:r>
      <w:r>
        <w:t xml:space="preserve">. In STEP 8 beendeten 27,6 % die Behandlung mit Liraglutid vorzeitig, aus welchem Grund auch immer, gegenüber 13,5 % mit Semaglutid; Magen-Darm-Beschwerden waren in beiden Gruppen ähnlich häufig (82,7 % vs. 84,1 %)</w:t>
      </w:r>
      <w:r>
        <w:rPr>
          <w:rStyle w:val="FootnoteReference"/>
        </w:rPr>
        <w:footnoteReference w:id="2565"/>
      </w:r>
      <w:r>
        <w:t xml:space="preserve">.</w:t>
      </w:r>
    </w:p>
    <w:p>
      <w:pPr>
        <w:numPr>
          <w:ilvl w:val="0"/>
          <w:numId w:val="1328"/>
        </w:numPr>
        <w:pStyle w:val="Compact"/>
      </w:pPr>
      <w:r>
        <w:rPr>
          <w:bCs/>
          <w:b/>
        </w:rPr>
        <w:t xml:space="preserve">Höhere Wirksamkeit geht nicht zwingend mit mehr Beschwerden einher.</w:t>
      </w:r>
      <w:r>
        <w:t xml:space="preserve"> </w:t>
      </w:r>
      <w:r>
        <w:t xml:space="preserve">In SURPASS-2 waren Übelkeit (17–22 % vs. 18 %) und Erbrechen (6–10 % vs. 8 %) unter Tirzepatid und Semaglutid ähnlich häufig; schwere unerwünschte Ereignisse traten unter Tirzepatid bei 5–7 % gegenüber 3 % auf</w:t>
      </w:r>
      <w:r>
        <w:rPr>
          <w:rStyle w:val="FootnoteReference"/>
        </w:rPr>
        <w:footnoteReference w:id="2566"/>
      </w:r>
      <w:r>
        <w:t xml:space="preserve">. In REDEFINE 5 hatten 53 % unter CagriSema und 51 % unter Semaglutid Magen-Darm-Beschwerden</w:t>
      </w:r>
      <w:r>
        <w:rPr>
          <w:rStyle w:val="FootnoteReference"/>
        </w:rPr>
        <w:footnoteReference w:id="2567"/>
      </w:r>
      <w:r>
        <w:t xml:space="preserve">.</w:t>
      </w:r>
    </w:p>
    <w:p>
      <w:pPr>
        <w:numPr>
          <w:ilvl w:val="0"/>
          <w:numId w:val="1328"/>
        </w:numPr>
        <w:pStyle w:val="Compact"/>
      </w:pPr>
      <w:r>
        <w:rPr>
          <w:bCs/>
          <w:b/>
        </w:rPr>
        <w:t xml:space="preserve">Bei den Mehrfach-Agonisten steigen die Abbrüche in hohen Dosen.</w:t>
      </w:r>
      <w:r>
        <w:t xml:space="preserve"> </w:t>
      </w:r>
      <w:r>
        <w:t xml:space="preserve">Unter Retatrutid traten außerdem Missempfindungen der Haut (Dysästhesie) bei 4–7 % gegenüber 1 % unter Placebo auf – ein für diese Klasse neues Signal. In einer US-amerikanischen Phase-2-Studie mit Mazdutid brachen in der höchsten Dosis 20 % wegen Nebenwirkungen ab</w:t>
      </w:r>
      <w:r>
        <w:rPr>
          <w:rStyle w:val="FootnoteReference"/>
        </w:rPr>
        <w:footnoteReference w:id="2568"/>
      </w:r>
      <w:r>
        <w:t xml:space="preserve">.</w:t>
      </w:r>
    </w:p>
    <w:p>
      <w:pPr>
        <w:numPr>
          <w:ilvl w:val="0"/>
          <w:numId w:val="1328"/>
        </w:numPr>
        <w:pStyle w:val="Compact"/>
      </w:pPr>
      <w:r>
        <w:rPr>
          <w:bCs/>
          <w:b/>
        </w:rPr>
        <w:t xml:space="preserve">Langzeitstudien zeigen höhere Abbruchraten als kurze Studien.</w:t>
      </w:r>
      <w:r>
        <w:t xml:space="preserve"> </w:t>
      </w:r>
      <w:r>
        <w:t xml:space="preserve">Die 16,6 % in SELECT über mehr als drei Jahre sind ein realistischerer Anhaltspunkt für die Dauerbehandlung als die Werte aus 68- oder 72-wöchigen Zulassungsstudien.</w:t>
      </w:r>
    </w:p>
    <w:p>
      <w:pPr>
        <w:pStyle w:val="FirstParagraph"/>
      </w:pPr>
      <w:r>
        <w:rPr>
          <w:bCs/>
          <w:b/>
        </w:rPr>
        <w:t xml:space="preserve">Klassenrisiken, die alle Wirkstoffe betreffen:</w:t>
      </w:r>
    </w:p>
    <w:p>
      <w:pPr>
        <w:numPr>
          <w:ilvl w:val="0"/>
          <w:numId w:val="1329"/>
        </w:numPr>
        <w:pStyle w:val="Compact"/>
      </w:pPr>
      <w:r>
        <w:rPr>
          <w:bCs/>
          <w:b/>
        </w:rPr>
        <w:t xml:space="preserve">Gallenblase:</w:t>
      </w:r>
      <w:r>
        <w:t xml:space="preserve"> </w:t>
      </w:r>
      <w:r>
        <w:t xml:space="preserve">Eine Meta-Analyse von 76 randomisierten Studien mit 103.371 Teilnehmenden fand ein um 37 % erhöhtes Risiko für Gallenblasen- und Gallenwegserkrankungen, in Studien zur Gewichtsabnahme ein mehr als doppelt so hohes (relatives Risiko 2,29; He 2022, PMID 35344001).</w:t>
      </w:r>
    </w:p>
    <w:p>
      <w:pPr>
        <w:numPr>
          <w:ilvl w:val="0"/>
          <w:numId w:val="1329"/>
        </w:numPr>
        <w:pStyle w:val="Compact"/>
      </w:pPr>
      <w:r>
        <w:rPr>
          <w:bCs/>
          <w:b/>
        </w:rPr>
        <w:t xml:space="preserve">Bauchspeicheldrüse:</w:t>
      </w:r>
      <w:r>
        <w:t xml:space="preserve"> </w:t>
      </w:r>
      <w:r>
        <w:t xml:space="preserve">In der Meta-Analyse der Endpunktstudien kein erhöhtes Risiko für Pankreatitis oder Bauchspeicheldrüsenkrebs</w:t>
      </w:r>
      <w:r>
        <w:rPr>
          <w:rStyle w:val="FootnoteReference"/>
        </w:rPr>
        <w:footnoteReference w:id="2569"/>
      </w:r>
      <w:r>
        <w:t xml:space="preserve">; in Versicherungsdaten ein Signal bei Anwendung zur Gewichtsabnahme</w:t>
      </w:r>
      <w:r>
        <w:rPr>
          <w:rStyle w:val="FootnoteReference"/>
        </w:rPr>
        <w:footnoteReference w:id="2570"/>
      </w:r>
      <w:r>
        <w:t xml:space="preserve">.</w:t>
      </w:r>
    </w:p>
    <w:p>
      <w:pPr>
        <w:numPr>
          <w:ilvl w:val="0"/>
          <w:numId w:val="1329"/>
        </w:numPr>
        <w:pStyle w:val="Compact"/>
      </w:pPr>
      <w:r>
        <w:rPr>
          <w:bCs/>
          <w:b/>
        </w:rPr>
        <w:t xml:space="preserve">Schilddrüse:</w:t>
      </w:r>
      <w:r>
        <w:t xml:space="preserve"> </w:t>
      </w:r>
      <w:r>
        <w:t xml:space="preserve">C-Zell-Tumoren bei Nagetieren; beim Menschen ein Signal in Meta-Analysen und Beobachtungsstudien</w:t>
      </w:r>
      <w:r>
        <w:rPr>
          <w:rStyle w:val="FootnoteReference"/>
        </w:rPr>
        <w:footnoteReference w:id="2571"/>
      </w:r>
      <w:r>
        <w:t xml:space="preserve">, dessen Bedeutung umstritten ist.</w:t>
      </w:r>
    </w:p>
    <w:p>
      <w:pPr>
        <w:numPr>
          <w:ilvl w:val="0"/>
          <w:numId w:val="1329"/>
        </w:numPr>
        <w:pStyle w:val="Compact"/>
      </w:pPr>
      <w:r>
        <w:rPr>
          <w:bCs/>
          <w:b/>
        </w:rPr>
        <w:t xml:space="preserve">Augen:</w:t>
      </w:r>
      <w:r>
        <w:t xml:space="preserve"> </w:t>
      </w:r>
      <w:r>
        <w:t xml:space="preserve">Verschlechterung einer bestehenden diabetischen Netzhauterkrankung in SUSTAIN 6 (HR 1,76; Marso 2016, PMID 27633186); seltenes Signal für eine Durchblutungsstörung des Sehnervs (NAION) in Beobachtungsstudien</w:t>
      </w:r>
      <w:r>
        <w:rPr>
          <w:rStyle w:val="FootnoteReference"/>
        </w:rPr>
        <w:footnoteReference w:id="2572"/>
      </w:r>
      <w:r>
        <w:t xml:space="preserve">.</w:t>
      </w:r>
    </w:p>
    <w:p>
      <w:pPr>
        <w:numPr>
          <w:ilvl w:val="0"/>
          <w:numId w:val="1329"/>
        </w:numPr>
        <w:pStyle w:val="Compact"/>
      </w:pPr>
      <w:r>
        <w:rPr>
          <w:bCs/>
          <w:b/>
        </w:rPr>
        <w:t xml:space="preserve">Muskelmasse:</w:t>
      </w:r>
      <w:r>
        <w:t xml:space="preserve"> </w:t>
      </w:r>
      <w:r>
        <w:t xml:space="preserve">Etwa ein Viertel des verlorenen Gewichts ist fettfreie Masse, im gleichen Verhältnis wie bei anderer Gewichtsabnahme</w:t>
      </w:r>
      <w:r>
        <w:rPr>
          <w:rStyle w:val="FootnoteReference"/>
        </w:rPr>
        <w:footnoteReference w:id="2573"/>
      </w:r>
      <w:r>
        <w:t xml:space="preserve">.</w:t>
      </w:r>
    </w:p>
    <w:bookmarkEnd w:id="2574"/>
    <w:bookmarkStart w:id="2577" w:name="direktvergleichsstudien"/>
    <w:p>
      <w:pPr>
        <w:pStyle w:val="Heading3"/>
      </w:pPr>
      <w:r>
        <w:t xml:space="preserve">Direktvergleichsstudien</w:t>
      </w:r>
    </w:p>
    <w:p>
      <w:pPr>
        <w:pStyle w:val="FirstParagraph"/>
      </w:pPr>
      <w:r>
        <w:t xml:space="preserve">Die folgende Tabelle enthält randomisierte Studien, in denen zwei Wirkstoffe der Klasse unmittelbar gegeneinander antraten. Nur hier sind Unterschiede zwischen den Wirkstoffen methodisch sauber belegt. Viele dieser Studien waren offen (nicht verblindet) und vom Hersteller des neueren Wirkstoffs finanziert, und nicht immer wurde die höchste zugelassene Dosis des Vergleichspräparats verwendet.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Vergleich</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SURMOUNT-5 (Aronne 2025), PMID 40353578</w:t>
            </w:r>
          </w:p>
        </w:tc>
        <w:tc>
          <w:tcPr/>
          <w:p>
            <w:pPr>
              <w:pStyle w:val="Compact"/>
              <w:jc w:val="left"/>
            </w:pPr>
            <w:r>
              <w:t xml:space="preserve">Tirzepatid vs. Semaglutid 2,4 mg, Adipositas, offen</w:t>
            </w:r>
          </w:p>
        </w:tc>
        <w:tc>
          <w:tcPr/>
          <w:p>
            <w:pPr>
              <w:pStyle w:val="Compact"/>
              <w:jc w:val="left"/>
            </w:pPr>
            <w:r>
              <w:t xml:space="preserve">72 Wochen</w:t>
            </w:r>
          </w:p>
        </w:tc>
        <w:tc>
          <w:tcPr/>
          <w:p>
            <w:pPr>
              <w:pStyle w:val="Compact"/>
              <w:jc w:val="left"/>
            </w:pPr>
            <w:r>
              <w:t xml:space="preserve">Gewicht −20,2 % vs. −13,7 %</w:t>
            </w:r>
          </w:p>
        </w:tc>
      </w:tr>
      <w:tr>
        <w:tc>
          <w:tcPr/>
          <w:p>
            <w:pPr>
              <w:pStyle w:val="Compact"/>
              <w:jc w:val="left"/>
            </w:pPr>
            <w:r>
              <w:t xml:space="preserve">STEP 8 (Rubino 2022), PMID 35015037</w:t>
            </w:r>
          </w:p>
        </w:tc>
        <w:tc>
          <w:tcPr/>
          <w:p>
            <w:pPr>
              <w:pStyle w:val="Compact"/>
              <w:jc w:val="left"/>
            </w:pPr>
            <w:r>
              <w:t xml:space="preserve">Semaglutid 2,4 mg vs. Liraglutid 3,0 mg, Adipositas</w:t>
            </w:r>
          </w:p>
        </w:tc>
        <w:tc>
          <w:tcPr/>
          <w:p>
            <w:pPr>
              <w:pStyle w:val="Compact"/>
              <w:jc w:val="left"/>
            </w:pPr>
            <w:r>
              <w:t xml:space="preserve">68 Wochen</w:t>
            </w:r>
          </w:p>
        </w:tc>
        <w:tc>
          <w:tcPr/>
          <w:p>
            <w:pPr>
              <w:pStyle w:val="Compact"/>
              <w:jc w:val="left"/>
            </w:pPr>
            <w:r>
              <w:t xml:space="preserve">Gewicht −15,8 % vs. −6,4 %</w:t>
            </w:r>
          </w:p>
        </w:tc>
      </w:tr>
      <w:tr>
        <w:tc>
          <w:tcPr/>
          <w:p>
            <w:pPr>
              <w:pStyle w:val="Compact"/>
              <w:jc w:val="left"/>
            </w:pPr>
            <w:r>
              <w:t xml:space="preserve">REDEFINE 5 (Yamauchi 2026), PMID 42009015</w:t>
            </w:r>
          </w:p>
        </w:tc>
        <w:tc>
          <w:tcPr/>
          <w:p>
            <w:pPr>
              <w:pStyle w:val="Compact"/>
              <w:jc w:val="left"/>
            </w:pPr>
            <w:r>
              <w:t xml:space="preserve">CagriSema vs. Semaglutid 2,4 mg, Japan und Taiwan, verblindet</w:t>
            </w:r>
          </w:p>
        </w:tc>
        <w:tc>
          <w:tcPr/>
          <w:p>
            <w:pPr>
              <w:pStyle w:val="Compact"/>
              <w:jc w:val="left"/>
            </w:pPr>
            <w:r>
              <w:t xml:space="preserve">68 Wochen</w:t>
            </w:r>
          </w:p>
        </w:tc>
        <w:tc>
          <w:tcPr/>
          <w:p>
            <w:pPr>
              <w:pStyle w:val="Compact"/>
              <w:jc w:val="left"/>
            </w:pPr>
            <w:r>
              <w:t xml:space="preserve">Gewicht −18,4 % vs. −11,9 %</w:t>
            </w:r>
          </w:p>
        </w:tc>
      </w:tr>
      <w:tr>
        <w:tc>
          <w:tcPr/>
          <w:p>
            <w:pPr>
              <w:pStyle w:val="Compact"/>
              <w:jc w:val="left"/>
            </w:pPr>
            <w:r>
              <w:t xml:space="preserve">SURPASS-2 (Frías 2021), PMID 34170647</w:t>
            </w:r>
          </w:p>
        </w:tc>
        <w:tc>
          <w:tcPr/>
          <w:p>
            <w:pPr>
              <w:pStyle w:val="Compact"/>
              <w:jc w:val="left"/>
            </w:pPr>
            <w:r>
              <w:t xml:space="preserve">Tirzepatid vs. Semaglutid 1 mg, Typ-2-Diabetes, offen</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REIMAGINE 2 (Buse 2026), PMID 42251859</w:t>
            </w:r>
          </w:p>
        </w:tc>
        <w:tc>
          <w:tcPr/>
          <w:p>
            <w:pPr>
              <w:pStyle w:val="Compact"/>
              <w:jc w:val="left"/>
            </w:pPr>
            <w:r>
              <w:t xml:space="preserve">CagriSema vs. Semaglutid 2,4 mg, Typ-2-Diabetes</w:t>
            </w:r>
          </w:p>
        </w:tc>
        <w:tc>
          <w:tcPr/>
          <w:p>
            <w:pPr>
              <w:pStyle w:val="Compact"/>
              <w:jc w:val="left"/>
            </w:pPr>
            <w:r>
              <w:t xml:space="preserve">68 Wochen</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Semaglutid-Tablette, offen</w:t>
            </w:r>
          </w:p>
        </w:tc>
        <w:tc>
          <w:tcPr/>
          <w:p>
            <w:pPr>
              <w:pStyle w:val="Compact"/>
              <w:jc w:val="left"/>
            </w:pPr>
            <w:r>
              <w:t xml:space="preserve">52 Wochen</w:t>
            </w:r>
          </w:p>
        </w:tc>
        <w:tc>
          <w:tcPr/>
          <w:p>
            <w:pPr>
              <w:pStyle w:val="Compact"/>
              <w:jc w:val="left"/>
            </w:pPr>
            <w:r>
              <w:t xml:space="preserve">HbA1c −1,91 vs. −1,47 (jeweils höhere Dosis)</w:t>
            </w:r>
          </w:p>
        </w:tc>
      </w:tr>
      <w:tr>
        <w:tc>
          <w:tcPr/>
          <w:p>
            <w:pPr>
              <w:pStyle w:val="Compact"/>
              <w:jc w:val="left"/>
            </w:pPr>
            <w:r>
              <w:t xml:space="preserve">SUSTAIN 7 (Pratley 2018), PMID 29397376</w:t>
            </w:r>
          </w:p>
        </w:tc>
        <w:tc>
          <w:tcPr/>
          <w:p>
            <w:pPr>
              <w:pStyle w:val="Compact"/>
              <w:jc w:val="left"/>
            </w:pPr>
            <w:r>
              <w:t xml:space="preserve">Semaglutid vs. Dulaglutid</w:t>
            </w:r>
          </w:p>
        </w:tc>
        <w:tc>
          <w:tcPr/>
          <w:p>
            <w:pPr>
              <w:pStyle w:val="Compact"/>
              <w:jc w:val="left"/>
            </w:pPr>
            <w:r>
              <w:t xml:space="preserve">40 Wochen</w:t>
            </w:r>
          </w:p>
        </w:tc>
        <w:tc>
          <w:tcPr/>
          <w:p>
            <w:pPr>
              <w:pStyle w:val="Compact"/>
              <w:jc w:val="left"/>
            </w:pPr>
            <w:r>
              <w:t xml:space="preserve">HbA1c −1,8 vs. −1,4; Gewicht −6,5 vs. −3,0 kg</w:t>
            </w:r>
          </w:p>
        </w:tc>
      </w:tr>
      <w:tr>
        <w:tc>
          <w:tcPr/>
          <w:p>
            <w:pPr>
              <w:pStyle w:val="Compact"/>
              <w:jc w:val="left"/>
            </w:pPr>
            <w:r>
              <w:t xml:space="preserve">SUSTAIN 10 (Capehorn 2020), PMID 31539622</w:t>
            </w:r>
          </w:p>
        </w:tc>
        <w:tc>
          <w:tcPr/>
          <w:p>
            <w:pPr>
              <w:pStyle w:val="Compact"/>
              <w:jc w:val="left"/>
            </w:pPr>
            <w:r>
              <w:t xml:space="preserve">Semaglutid 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SUSTAIN 3 (Ahmann 2018), PMID 29246950</w:t>
            </w:r>
          </w:p>
        </w:tc>
        <w:tc>
          <w:tcPr/>
          <w:p>
            <w:pPr>
              <w:pStyle w:val="Compact"/>
              <w:jc w:val="left"/>
            </w:pPr>
            <w:r>
              <w:t xml:space="preserve">Semaglutid 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PIONEER 4 (Pratley 2019), PMID 31186120</w:t>
            </w:r>
          </w:p>
        </w:tc>
        <w:tc>
          <w:tcPr/>
          <w:p>
            <w:pPr>
              <w:pStyle w:val="Compact"/>
              <w:jc w:val="left"/>
            </w:pPr>
            <w:r>
              <w:t xml:space="preserve">Semaglutid-Tablette vs. Liraglutid-Spritze</w:t>
            </w:r>
          </w:p>
        </w:tc>
        <w:tc>
          <w:tcPr/>
          <w:p>
            <w:pPr>
              <w:pStyle w:val="Compact"/>
              <w:jc w:val="left"/>
            </w:pPr>
            <w:r>
              <w:t xml:space="preserve">26 Wochen (Studie 52)</w:t>
            </w:r>
          </w:p>
        </w:tc>
        <w:tc>
          <w:tcPr/>
          <w:p>
            <w:pPr>
              <w:pStyle w:val="Compact"/>
              <w:jc w:val="left"/>
            </w:pPr>
            <w:r>
              <w:t xml:space="preserve">HbA1c −1,2 vs. −1,1 (nicht unterlegen)</w:t>
            </w:r>
          </w:p>
        </w:tc>
      </w:tr>
      <w:tr>
        <w:tc>
          <w:tcPr/>
          <w:p>
            <w:pPr>
              <w:pStyle w:val="Compact"/>
              <w:jc w:val="left"/>
            </w:pPr>
            <w:r>
              <w:t xml:space="preserve">AWARD-6 (Dungan 2014), PMID 25018121</w:t>
            </w:r>
          </w:p>
        </w:tc>
        <w:tc>
          <w:tcPr/>
          <w:p>
            <w:pPr>
              <w:pStyle w:val="Compact"/>
              <w:jc w:val="left"/>
            </w:pPr>
            <w:r>
              <w:t xml:space="preserve">Dulaglutid vs. Liraglutid 1,8 mg, offen</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DURATION-6 (Buse 2013), PMID 23141817</w:t>
            </w:r>
          </w:p>
        </w:tc>
        <w:tc>
          <w:tcPr/>
          <w:p>
            <w:pPr>
              <w:pStyle w:val="Compact"/>
              <w:jc w:val="left"/>
            </w:pPr>
            <w:r>
              <w:t xml:space="preserve">Exenatid wöchentlich vs. Liraglutid, offen</w:t>
            </w:r>
          </w:p>
        </w:tc>
        <w:tc>
          <w:tcPr/>
          <w:p>
            <w:pPr>
              <w:pStyle w:val="Compact"/>
              <w:jc w:val="left"/>
            </w:pPr>
            <w:r>
              <w:t xml:space="preserve">26 Wochen</w:t>
            </w:r>
          </w:p>
        </w:tc>
        <w:tc>
          <w:tcPr/>
          <w:p>
            <w:pPr>
              <w:pStyle w:val="Compact"/>
              <w:jc w:val="left"/>
            </w:pPr>
            <w:r>
              <w:t xml:space="preserve">HbA1c −1,28 vs. −1,48; Nicht-Unterlegenheit verfehlt</w:t>
            </w:r>
          </w:p>
        </w:tc>
      </w:tr>
      <w:tr>
        <w:tc>
          <w:tcPr/>
          <w:p>
            <w:pPr>
              <w:pStyle w:val="Compact"/>
              <w:jc w:val="left"/>
            </w:pPr>
            <w:r>
              <w:t xml:space="preserve">DREAMS-2 (Guo 2026), PMID 41407860</w:t>
            </w:r>
          </w:p>
        </w:tc>
        <w:tc>
          <w:tcPr/>
          <w:p>
            <w:pPr>
              <w:pStyle w:val="Compact"/>
              <w:jc w:val="left"/>
            </w:pPr>
            <w:r>
              <w:t xml:space="preserve">Mazdutid vs. Dulaglutid 1,5 mg, China</w:t>
            </w:r>
          </w:p>
        </w:tc>
        <w:tc>
          <w:tcPr/>
          <w:p>
            <w:pPr>
              <w:pStyle w:val="Compact"/>
              <w:jc w:val="left"/>
            </w:pPr>
            <w:r>
              <w:t xml:space="preserve">28 Wochen</w:t>
            </w:r>
          </w:p>
        </w:tc>
        <w:tc>
          <w:tcPr/>
          <w:p>
            <w:pPr>
              <w:pStyle w:val="Compact"/>
              <w:jc w:val="left"/>
            </w:pPr>
            <w:r>
              <w:t xml:space="preserve">HbA1c zusätzlich −0,24 / −0,30</w:t>
            </w:r>
          </w:p>
        </w:tc>
      </w:tr>
      <w:tr>
        <w:tc>
          <w:tcPr/>
          <w:p>
            <w:pPr>
              <w:pStyle w:val="Compact"/>
              <w:jc w:val="left"/>
            </w:pPr>
            <w:r>
              <w:t xml:space="preserve">SURPASS-CVOT (Nicholls 2025), PMID 41406444</w:t>
            </w:r>
          </w:p>
        </w:tc>
        <w:tc>
          <w:tcPr/>
          <w:p>
            <w:pPr>
              <w:pStyle w:val="Compact"/>
              <w:jc w:val="left"/>
            </w:pPr>
            <w:r>
              <w:t xml:space="preserve">Tirzepatid vs. Dulaglutid, Herz-Kreislauf-Ereignisse</w:t>
            </w:r>
          </w:p>
        </w:tc>
        <w:tc>
          <w:tcPr/>
          <w:p>
            <w:pPr>
              <w:pStyle w:val="Compact"/>
              <w:jc w:val="left"/>
            </w:pPr>
            <w:r>
              <w:t xml:space="preserve">mehrere Jahre</w:t>
            </w:r>
          </w:p>
        </w:tc>
        <w:tc>
          <w:tcPr/>
          <w:p>
            <w:pPr>
              <w:pStyle w:val="Compact"/>
              <w:jc w:val="left"/>
            </w:pPr>
            <w:r>
              <w:t xml:space="preserve">HR 0,92, nicht unterlegen</w:t>
            </w:r>
          </w:p>
        </w:tc>
      </w:tr>
    </w:tbl>
    <w:p>
      <w:pPr>
        <w:pStyle w:val="BodyText"/>
      </w:pPr>
      <w:r>
        <w:rPr>
          <w:bCs/>
          <w:b/>
        </w:rPr>
        <w:t xml:space="preserve">Was die Direktvergleiche zeigen:</w:t>
      </w:r>
    </w:p>
    <w:p>
      <w:pPr>
        <w:numPr>
          <w:ilvl w:val="0"/>
          <w:numId w:val="1330"/>
        </w:numPr>
        <w:pStyle w:val="Compact"/>
      </w:pPr>
      <w:r>
        <w:rPr>
          <w:bCs/>
          <w:b/>
        </w:rPr>
        <w:t xml:space="preserve">Beim Gewicht ist die Rangfolge klar.</w:t>
      </w:r>
      <w:r>
        <w:t xml:space="preserve"> </w:t>
      </w:r>
      <w:r>
        <w:t xml:space="preserve">Semaglutid 2,4 mg übertraf Liraglutid 3,0 mg um 9,4 Prozentpunkte (STEP 8), Tirzepatid übertraf Semaglutid 2,4 mg um 6,5 Prozentpunkte (SURMOUNT-5), CagriSema übertraf Semaglutid 2,4 mg in Ostasien ebenfalls um 6,5 Prozentpunkte (REDEFINE 5). In SURMOUNT-5 erreichten unter Tirzepatid mehr Teilnehmende jede der Schwellen von 10, 15, 20 und 25 %, und der Taillenumfang sank um 18,4 cm gegenüber 13,0 cm.</w:t>
      </w:r>
    </w:p>
    <w:p>
      <w:pPr>
        <w:numPr>
          <w:ilvl w:val="0"/>
          <w:numId w:val="1330"/>
        </w:numPr>
        <w:pStyle w:val="Compact"/>
      </w:pPr>
      <w:r>
        <w:rPr>
          <w:bCs/>
          <w:b/>
        </w:rPr>
        <w:t xml:space="preserve">Beim Blutzucker sind die Abstände kleiner.</w:t>
      </w:r>
      <w:r>
        <w:t xml:space="preserve"> </w:t>
      </w:r>
      <w:r>
        <w:t xml:space="preserve">Zwischen den wöchentlichen GLP-1-Agonisten liegen meist nur Zehntelpunkte; Tirzepatid senkte den HbA1c-Wert in SURPASS-2 um 0,15 bis 0,45 Prozentpunkte stärker als Semaglutid 1 mg.</w:t>
      </w:r>
    </w:p>
    <w:p>
      <w:pPr>
        <w:numPr>
          <w:ilvl w:val="0"/>
          <w:numId w:val="1330"/>
        </w:numPr>
        <w:pStyle w:val="Compact"/>
      </w:pPr>
      <w:r>
        <w:rPr>
          <w:bCs/>
          <w:b/>
        </w:rPr>
        <w:t xml:space="preserve">Bei harten Endpunkten gibt es bisher nur einen Direktvergleich.</w:t>
      </w:r>
      <w:r>
        <w:t xml:space="preserve"> </w:t>
      </w:r>
      <w:r>
        <w:t xml:space="preserve">SURPASS-CVOT zeigte, dass Tirzepatid Dulaglutid nicht unterlegen ist; eine Überlegenheit wurde nicht nachgewiesen.</w:t>
      </w:r>
    </w:p>
    <w:p>
      <w:pPr>
        <w:numPr>
          <w:ilvl w:val="0"/>
          <w:numId w:val="1330"/>
        </w:numPr>
        <w:pStyle w:val="Compact"/>
      </w:pPr>
      <w:r>
        <w:rPr>
          <w:bCs/>
          <w:b/>
        </w:rPr>
        <w:t xml:space="preserve">Die Einschränkungen sind erheblich.</w:t>
      </w:r>
      <w:r>
        <w:t xml:space="preserve"> </w:t>
      </w:r>
      <w:r>
        <w:t xml:space="preserve">SURMOUNT-5 und SURPASS-2 waren offen und vom Hersteller des Tirzepatids finanziert; SURPASS-2 verwendete Semaglutid nur in der Dosis von 1 mg. REDEFINE 5 wurde ausschließlich in Japan und Taiwan durchgeführt. Die Unterschiede in SURMOUNT-5 sind allerdings so groß, dass sie sich kaum allein durch diese Schwächen erklären lassen.</w:t>
      </w:r>
    </w:p>
    <w:p>
      <w:pPr>
        <w:pStyle w:val="FirstParagraph"/>
      </w:pPr>
      <w:r>
        <w:rPr>
          <w:bCs/>
          <w:b/>
        </w:rPr>
        <w:t xml:space="preserve">Noch ausstehend (registrierte Studien):</w:t>
      </w:r>
      <w:r>
        <w:t xml:space="preserve"> </w:t>
      </w:r>
      <w:r>
        <w:t xml:space="preserve">Der direkte Vergleich von Retatrutid mit Tirzepatid bei 800 Erwachsenen mit Adipositas</w:t>
      </w:r>
      <w:r>
        <w:rPr>
          <w:rStyle w:val="FootnoteReference"/>
        </w:rPr>
        <w:footnoteReference w:id="2575"/>
      </w:r>
      <w:r>
        <w:t xml:space="preserve"> </w:t>
      </w:r>
      <w:r>
        <w:t xml:space="preserve">soll Ende 2026 abgeschlossen sein. Die Vergleichsstudie von CagriSema gegen Tirzepatid bei Adipositas (REDEFINE 4, NCT06131437) ist laut Register abgeschlossen, eine begutachtete Veröffentlichung lag bei Redaktionsschluss nicht vor. Mazdutid wird in China gegen Semaglutid geprüft</w:t>
      </w:r>
      <w:r>
        <w:rPr>
          <w:rStyle w:val="FootnoteReference"/>
        </w:rPr>
        <w:footnoteReference w:id="2576"/>
      </w:r>
      <w:r>
        <w:t xml:space="preserve">.</w:t>
      </w:r>
    </w:p>
    <w:bookmarkEnd w:id="2577"/>
    <w:bookmarkStart w:id="2578" w:name="fazit-58"/>
    <w:p>
      <w:pPr>
        <w:pStyle w:val="Heading3"/>
      </w:pPr>
      <w:r>
        <w:t xml:space="preserve">Fazit</w:t>
      </w:r>
    </w:p>
    <w:p>
      <w:pPr>
        <w:pStyle w:val="FirstParagraph"/>
      </w:pPr>
      <w:r>
        <w:t xml:space="preserve">Die Inkretin-Medikamente bilden eine klare Stufenfolge: Beim Gewichtsverlust reichen die Mittelwerte der Zulassungsstudien von rund 8 % (Liraglutid) über knapp 15 % (Semaglutid 2,4 mg) und rund 20 % (Tirzepatid, CagriSema) bis 25 % (Retatrutid), wobei die Direktvergleiche diese Reihenfolge für die bisher verglichenen Paare bestätigen. Für Herz und Niere ist der Nutzen bisher nur für die älteren GLP-1-Agonisten und Semaglutid in placebokontrollierten Studien belegt; ob die stärkeren Nachfolger hier mehr leisten, ist offen. Die Nebenwirkungen sind in der ganzen Klasse ähnlich und betreffen vor allem den Magen-Darm-Trakt; die Abbruchraten steigen mit Dosis und Behandlungsdauer. Quervergleiche zwischen einzelnen Studien bleiben eine grobe Orientierung – für die Wahl eines Medikaments im Einzelfall sind Fachinformation und ärztliche Beratung maßgeblich.</w:t>
      </w:r>
    </w:p>
    <w:bookmarkEnd w:id="2578"/>
    <w:bookmarkEnd w:id="2579"/>
    <w:bookmarkStart w:id="2602" w:name="versprechen-gegen-beweislage"/>
    <w:p>
      <w:pPr>
        <w:pStyle w:val="Heading2"/>
      </w:pPr>
      <w:r>
        <w:t xml:space="preserve">Versprechen gegen Beweislage</w:t>
      </w:r>
    </w:p>
    <w:p>
      <w:pPr>
        <w:pStyle w:val="FirstParagraph"/>
      </w:pPr>
      <w:r>
        <w:t xml:space="preserve">Wer im Internet nach Peptiden sucht, stößt schnell auf Shops, Videos und Foren, in denen bestimmte Stoffe mit großen Worten beschrieben werden: Sie sollen Sehnen reparieren, das Altern bremsen, Fett schmelzen lassen oder das Gedächtnis schärfen. Dieses Kapitel stellt solchen typischen Werbeversprechen gegenüber, was Studien am Menschen tatsächlich gezeigt haben.</w:t>
      </w:r>
    </w:p>
    <w:p>
      <w:pPr>
        <w:pStyle w:val="BodyText"/>
      </w:pPr>
      <w:r>
        <w:t xml:space="preserve">Ausgewählt wurden die Peptide, die im deutsch- und englischsprachigen Internet im Jahr 2026 am häufigsten beworben werden. Die Versprechen sind allgemein formuliert und fassen wiederkehrende Aussagen zusammen; sie stammen nicht von einem bestimmten Anbieter. Die Spalte „Was die Studien am Menschen zeigen“ beruht auf den Kapiteln in Teil II, in denen die Quellen ausführlich besprochen werden. Tierversuche und Laborergebnisse sind ausdrücklich als solche gekennzeichnet.</w:t>
      </w:r>
    </w:p>
    <w:p>
      <w:pPr>
        <w:pStyle w:val="BodyText"/>
      </w:pPr>
      <w:r>
        <w:t xml:space="preserve">Eine Vorbemerkung: Dass ein Nutzen nicht belegt ist, heißt nicht automatisch, dass ein Stoff unwirksam ist. Es heißt, dass niemand es weiß – auch nicht die Anbieter, die ihn verkaufen. Genauso gilt: Dass keine Nebenwirkungen veröffentlicht sind, heißt bei kaum untersuchten Stoffen nicht, dass sie sicher sind, sondern nur, dass niemand systematisch danach gesucht hat.</w:t>
      </w:r>
    </w:p>
    <w:bookmarkStart w:id="2580" w:name="die-populärsten-peptide-im-faktencheck"/>
    <w:p>
      <w:pPr>
        <w:pStyle w:val="Heading3"/>
      </w:pPr>
      <w:r>
        <w:t xml:space="preserve">Die populärsten Peptide im Faktencheck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Typisches Werbeversprechen</w:t>
            </w:r>
          </w:p>
        </w:tc>
        <w:tc>
          <w:tcPr/>
          <w:p>
            <w:pPr>
              <w:pStyle w:val="Compact"/>
              <w:jc w:val="left"/>
            </w:pPr>
            <w:r>
              <w:t xml:space="preserve">Was die Studien am Menschen zeigen</w:t>
            </w:r>
          </w:p>
        </w:tc>
        <w:tc>
          <w:tcPr/>
          <w:p>
            <w:pPr>
              <w:pStyle w:val="Compact"/>
              <w:jc w:val="left"/>
            </w:pPr>
            <w:r>
              <w:t xml:space="preserve">Evidenz</w:t>
            </w:r>
          </w:p>
        </w:tc>
      </w:tr>
      <w:tr>
        <w:tc>
          <w:tcPr/>
          <w:p>
            <w:pPr>
              <w:pStyle w:val="Compact"/>
              <w:jc w:val="left"/>
            </w:pPr>
            <w:r>
              <w:t xml:space="preserve">BPC-157</w:t>
            </w:r>
          </w:p>
        </w:tc>
        <w:tc>
          <w:tcPr/>
          <w:p>
            <w:pPr>
              <w:pStyle w:val="Compact"/>
              <w:jc w:val="left"/>
            </w:pPr>
            <w:r>
              <w:t xml:space="preserve">Beschleunigt die Heilung von Sehnen, Bändern, Muskeln und Darm</w:t>
            </w:r>
          </w:p>
        </w:tc>
        <w:tc>
          <w:tcPr/>
          <w:p>
            <w:pPr>
              <w:pStyle w:val="Compact"/>
              <w:jc w:val="left"/>
            </w:pPr>
            <w:r>
              <w:t xml:space="preserve">Drei unkontrollierte Untersuchungen mit zusammen 30 Personen (Knie, Harnblase, Verträglichkeit); Aussagekraft laut systematischer Übersicht sehr niedrig (Poolton 2026, PMID 42885452). Die vielen positiven Ergebnisse stammen aus Tierversuchen, überwiegend einer einzigen Forschungsgruppe.</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Repariert Gewebe, Sehnen und Muskeln, macht beweglicher</w:t>
            </w:r>
          </w:p>
        </w:tc>
        <w:tc>
          <w:tcPr/>
          <w:p>
            <w:pPr>
              <w:pStyle w:val="Compact"/>
              <w:jc w:val="left"/>
            </w:pPr>
            <w:r>
              <w:t xml:space="preserve">TB-500 wurde nie in einer veröffentlichten Humanstudie geprüft. Das ganze Eiweiß Thymosin Beta-4 verkleinerte nach Herzinfarkt die Infarktgröße insgesamt nicht signifikant (Zhang 2025, PMID 41229390). Graumarkt-Produkte enthielten nicht durchgehend das Angegebene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Steigert das Wachstumshormon für Muskelaufbau, Fettabbau und Schlaf</w:t>
            </w:r>
          </w:p>
        </w:tc>
        <w:tc>
          <w:tcPr/>
          <w:p>
            <w:pPr>
              <w:pStyle w:val="Compact"/>
              <w:jc w:val="left"/>
            </w:pPr>
            <w:r>
              <w:t xml:space="preserve">Bei Gesunden stiegen Wachstumshormon und IGF-1 nach einer Einzelinjektion für etwa sechs bis elf Tage an (Teichman 2006, PMID 16352683). Ob daraus ein Nutzen folgt, wurde nie untersucht. Für die meist verkaufte Variante ohne „DAC“ gibt es keine Humanstudie.</w:t>
            </w:r>
          </w:p>
        </w:tc>
        <w:tc>
          <w:tcPr/>
          <w:p>
            <w:pPr>
              <w:pStyle w:val="Compact"/>
              <w:jc w:val="left"/>
            </w:pPr>
            <w:r>
              <w:t xml:space="preserve">C</w:t>
            </w:r>
          </w:p>
        </w:tc>
      </w:tr>
      <w:tr>
        <w:tc>
          <w:tcPr/>
          <w:p>
            <w:pPr>
              <w:pStyle w:val="Compact"/>
              <w:jc w:val="left"/>
            </w:pPr>
            <w:r>
              <w:t xml:space="preserve">Ipamorelin</w:t>
            </w:r>
          </w:p>
        </w:tc>
        <w:tc>
          <w:tcPr/>
          <w:p>
            <w:pPr>
              <w:pStyle w:val="Compact"/>
              <w:jc w:val="left"/>
            </w:pPr>
            <w:r>
              <w:t xml:space="preserve">Sanfter Wachstumshormon-Booster ohne Nebenwirkungen</w:t>
            </w:r>
          </w:p>
        </w:tc>
        <w:tc>
          <w:tcPr/>
          <w:p>
            <w:pPr>
              <w:pStyle w:val="Compact"/>
              <w:jc w:val="left"/>
            </w:pPr>
            <w:r>
              <w:t xml:space="preserve">Einzige veröffentlichte Wirksamkeitsstudie: 117 Personen nach Darmoperation, kein signifikanter Nutzen (Beck 2014, PMID 25331030). Zu Muskeln, Fett, Schlaf oder Alterung keine Humanstudie.</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Verlängert die Telomere und dreht die biologische Uhr zurück</w:t>
            </w:r>
          </w:p>
        </w:tc>
        <w:tc>
          <w:tcPr/>
          <w:p>
            <w:pPr>
              <w:pStyle w:val="Compact"/>
              <w:jc w:val="left"/>
            </w:pPr>
            <w:r>
              <w:t xml:space="preserve">Telomerverlängerung nur in Zellkulturen (Khavinson 2003, PMID 12937682). Bei Mäusen keine längere mittlere Lebensdauer (Anisimov 2003, PMID 14501183). Keine ausreichend große randomisierte Studie am Menschen.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aus der Spritze“: mehr Ausdauer, weniger Fett, bessere Insulinwirkung</w:t>
            </w:r>
          </w:p>
        </w:tc>
        <w:tc>
          <w:tcPr/>
          <w:p>
            <w:pPr>
              <w:pStyle w:val="Compact"/>
              <w:jc w:val="left"/>
            </w:pPr>
            <w:r>
              <w:t xml:space="preserve">Diese Effekte zeigten sich bei Mäusen (Lee 2015, PMID 25738459). Beim Menschen gibt es nur Messungen der körpereigenen Spiegel, keine veröffentlichte Studie mit Gabe von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Steigert Konzentration, Gedächtnis und Leistungsfähigkeit</w:t>
            </w:r>
          </w:p>
        </w:tc>
        <w:tc>
          <w:tcPr/>
          <w:p>
            <w:pPr>
              <w:pStyle w:val="Compact"/>
              <w:jc w:val="left"/>
            </w:pPr>
            <w:r>
              <w:t xml:space="preserve">Kleine, überwiegend nicht randomisierte russische Studien bei Schlaganfall, etwa eine Studie mit 110 Personen (Gusev 2018, PMID 29798983). Für Gesunde keine aussagekräftigen Daten.</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Löst Angst ohne Müdigkeit und Abhängigkeit</w:t>
            </w:r>
          </w:p>
        </w:tc>
        <w:tc>
          <w:tcPr/>
          <w:p>
            <w:pPr>
              <w:pStyle w:val="Compact"/>
              <w:jc w:val="left"/>
            </w:pPr>
            <w:r>
              <w:t xml:space="preserve">Drei kleine russische Studien ohne Placebogruppe, darunter 62 Personen im Vergleich mit einem Benzodiazepin (Zozulia 2008, PMID 18454096). Studien zu Konzentration bei Gesunden gibt es nicht.</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Bräune ohne Sonnenbrand, mehr Lust</w:t>
            </w:r>
          </w:p>
        </w:tc>
        <w:tc>
          <w:tcPr/>
          <w:p>
            <w:pPr>
              <w:pStyle w:val="Compact"/>
              <w:jc w:val="left"/>
            </w:pPr>
            <w:r>
              <w:t xml:space="preserve">Kleine Pilotstudien aus den 1990er-Jahren mit rund zwei Dutzend Personen, häufig Übelkeit (Wessells 2000, PMID 11035391). Fallberichte über neue Muttermale, Melanome und Priapismus. Fläschchen aus Online-Shops enthielten 4,32 bis 8,84 statt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Strafft die Haut, baut Kollagen auf, fördert Haarwuchs</w:t>
            </w:r>
          </w:p>
        </w:tc>
        <w:tc>
          <w:tcPr/>
          <w:p>
            <w:pPr>
              <w:pStyle w:val="Compact"/>
              <w:jc w:val="left"/>
            </w:pPr>
            <w:r>
              <w:t xml:space="preserve">Eine ältere randomisierte Studie an diabetischen Fußgeschwüren mit positivem Ergebnis (Mulder 1994, PMID 17147644). Eine kleine Hautstudie nach Laserbehandlung fand keinen messbaren Unterschied (Miller 2006, PMID 16847171). Zu Injektionen keine Daten.</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Fettverbrennendes Fragment des Wachstumshormons</w:t>
            </w:r>
          </w:p>
        </w:tc>
        <w:tc>
          <w:tcPr/>
          <w:p>
            <w:pPr>
              <w:pStyle w:val="Compact"/>
              <w:jc w:val="left"/>
            </w:pPr>
            <w:r>
              <w:t xml:space="preserve">Bei Mäusen weniger Gewichtszunahme (Heffernan 2001, PMID 11673763). Humanstudien wurden durchgeführt, aber nie in begutachteten Fachzeitschriften veröffentlicht; die Entwicklung wurde eingestellt.</w:t>
            </w:r>
          </w:p>
        </w:tc>
        <w:tc>
          <w:tcPr/>
          <w:p>
            <w:pPr>
              <w:pStyle w:val="Compact"/>
              <w:jc w:val="left"/>
            </w:pPr>
            <w:r>
              <w:t xml:space="preserve">D</w:t>
            </w:r>
          </w:p>
        </w:tc>
      </w:tr>
      <w:tr>
        <w:tc>
          <w:tcPr/>
          <w:p>
            <w:pPr>
              <w:pStyle w:val="Compact"/>
              <w:jc w:val="left"/>
            </w:pPr>
            <w:r>
              <w:t xml:space="preserve">Kollagenpeptide</w:t>
            </w:r>
          </w:p>
        </w:tc>
        <w:tc>
          <w:tcPr/>
          <w:p>
            <w:pPr>
              <w:pStyle w:val="Compact"/>
              <w:jc w:val="left"/>
            </w:pPr>
            <w:r>
              <w:t xml:space="preserve">Straffere Haut, gesunde Gelenke, mehr Muskeln</w:t>
            </w:r>
          </w:p>
        </w:tc>
        <w:tc>
          <w:tcPr/>
          <w:p>
            <w:pPr>
              <w:pStyle w:val="Compact"/>
              <w:jc w:val="left"/>
            </w:pPr>
            <w:r>
              <w:t xml:space="preserve">Arthrose: in 35 randomisierten Studien kleine bis mittlere Effekte (PMID 38218227). Haut: ohne Industriefinanzierung kein Effekt (Myung 2025, PMID 40324552). Muskel: Molkenprotein wirkte besser als Kollagen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Entgiftet, hellt die Haut auf, stärkt das Immunsystem</w:t>
            </w:r>
          </w:p>
        </w:tc>
        <w:tc>
          <w:tcPr/>
          <w:p>
            <w:pPr>
              <w:pStyle w:val="Compact"/>
              <w:jc w:val="left"/>
            </w:pPr>
            <w:r>
              <w:t xml:space="preserve">Als Kapsel erhöhte es nach sechs Monaten die Blutspiegel (Richie 2015, PMID 24791752). Als Infusion schützte es 185 Krebspatientinnen und -patienten nicht vor Nervenschäden (Leal 2014, PMID 24619793). Infusionen zur Hautaufhellung: kein belegter Nutzen, laut Übersicht nicht vertretbar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Bildet neue Synapsen, stärker als körpereigene Wachstumsfaktoren</w:t>
            </w:r>
          </w:p>
        </w:tc>
        <w:tc>
          <w:tcPr/>
          <w:p>
            <w:pPr>
              <w:pStyle w:val="Compact"/>
              <w:jc w:val="left"/>
            </w:pPr>
            <w:r>
              <w:t xml:space="preserve">Nie am Menschen untersucht; Effekte nur bei Ratten und Mäusen, eine zentrale Arbeit dazu wurde 2025 zurückgezogen (PMID 25187433). Der verwandte Wirkstoff Fosgonimeton verfehlte bei 287 Menschen mit Alzheimer alle Haupt- und Nebenziele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Stärkeres, länger wirkendes IGF-1 für Muskelwachstum</w:t>
            </w:r>
          </w:p>
        </w:tc>
        <w:tc>
          <w:tcPr/>
          <w:p>
            <w:pPr>
              <w:pStyle w:val="Compact"/>
              <w:jc w:val="left"/>
            </w:pPr>
            <w:r>
              <w:t xml:space="preserve">Keine einzige Humanstudie. Ein Schwarzmarkt-Fläschchen enthielt eine Laborvariante, die nie für Injektionen gedacht war (PMID 20675162).</w:t>
            </w:r>
          </w:p>
        </w:tc>
        <w:tc>
          <w:tcPr/>
          <w:p>
            <w:pPr>
              <w:pStyle w:val="Compact"/>
              <w:jc w:val="left"/>
            </w:pPr>
            <w:r>
              <w:t xml:space="preserve">D</w:t>
            </w:r>
          </w:p>
        </w:tc>
      </w:tr>
      <w:tr>
        <w:tc>
          <w:tcPr/>
          <w:p>
            <w:pPr>
              <w:pStyle w:val="Compact"/>
              <w:jc w:val="left"/>
            </w:pPr>
            <w:r>
              <w:t xml:space="preserve">Retatrutid vom Graumarkt</w:t>
            </w:r>
          </w:p>
        </w:tc>
        <w:tc>
          <w:tcPr/>
          <w:p>
            <w:pPr>
              <w:pStyle w:val="Compact"/>
              <w:jc w:val="left"/>
            </w:pPr>
            <w:r>
              <w:t xml:space="preserve">Das stärkste Abnehmmittel, schon heute verfügbar</w:t>
            </w:r>
          </w:p>
        </w:tc>
        <w:tc>
          <w:tcPr/>
          <w:p>
            <w:pPr>
              <w:pStyle w:val="Compact"/>
              <w:jc w:val="left"/>
            </w:pPr>
            <w:r>
              <w:t xml:space="preserve">Das Arzneimittel ist gut untersucht: In TRIUMPH-1 −25,0 % Gewicht nach 80 Wochen in der höchsten Dosis (Jastreboff 2026, PMID 42814954). Für Graumarkt-Ware gilt das nicht: nicht zugelassen, Inhalt und Reinheit ungeprüft (Rubin 2026, PMID 42853576).</w:t>
            </w:r>
          </w:p>
        </w:tc>
        <w:tc>
          <w:tcPr/>
          <w:p>
            <w:pPr>
              <w:pStyle w:val="Compact"/>
              <w:jc w:val="left"/>
            </w:pPr>
            <w:r>
              <w:t xml:space="preserve">B (Arzneimittel)</w:t>
            </w:r>
          </w:p>
        </w:tc>
      </w:tr>
    </w:tbl>
    <w:p>
      <w:pPr>
        <w:pStyle w:val="BodyText"/>
      </w:pPr>
      <w:r>
        <w:t xml:space="preserve">Anmerkung zur Tabelle: Die Evidenzstufe bezieht sich auf die beworbene Anwendung bzw. auf den Stoff, wie er verkauft wird. Für TB-500 gilt Stufe D, für das ganze Eiweiß Thymosin Beta-4 Stufe B. Bei Retatrutid bezieht sich Stufe B auf das in Studien geprüfte Arzneimittel; für Graumarkt-Produkte, deren Inhalt niemand kennt, lässt sich keine Evidenzstufe angeben.</w:t>
      </w:r>
    </w:p>
    <w:p>
      <w:pPr>
        <w:pStyle w:val="BodyText"/>
      </w:pPr>
      <w:r>
        <w:t xml:space="preserve">Das Gesamtbild: Von den 16 Stoffen hat keiner die Evidenzstufe A. Fünf haben Stufe D, sind also am Menschen gar nicht untersucht. Bei den Stoffen mit Stufe B – Ipamorelin, Kollagen, Glutathion – haben die besten Studien die Werbeversprechen nicht bestätigt oder nur kleine Effekte gefunden. Die einzige Ausnahme ist Retatrutid, dessen starke Wirkung belegt ist – aber nicht für das Produkt, das auf dem Graumarkt verkauft wird.</w:t>
      </w:r>
    </w:p>
    <w:bookmarkEnd w:id="2580"/>
    <w:bookmarkStart w:id="2594" w:name="sechs-muster-hinter-den-versprechen"/>
    <w:p>
      <w:pPr>
        <w:pStyle w:val="Heading3"/>
      </w:pPr>
      <w:r>
        <w:t xml:space="preserve">Sechs Muster hinter den Versprechen</w:t>
      </w:r>
    </w:p>
    <w:p>
      <w:pPr>
        <w:pStyle w:val="FirstParagraph"/>
      </w:pPr>
      <w:r>
        <w:t xml:space="preserve">Wer die Tabelle Zeile für Zeile liest, erkennt wiederkehrende Muster. Sie helfen, auch Aussagen zu Peptiden einzuordnen, die in diesem Buch nicht vorkommen.</w:t>
      </w:r>
    </w:p>
    <w:bookmarkStart w:id="2582" w:name="vom-tier-auf-den-menschen"/>
    <w:p>
      <w:pPr>
        <w:pStyle w:val="Heading4"/>
      </w:pPr>
      <w:r>
        <w:t xml:space="preserve">1. Vom Tier auf den Menschen</w:t>
      </w:r>
    </w:p>
    <w:p>
      <w:pPr>
        <w:pStyle w:val="FirstParagraph"/>
      </w:pPr>
      <w:r>
        <w:t xml:space="preserve">Fast alle Versprechen zu BPC-157, TB-500, MOTS-c, Dihexa, AOD-9604 und Epitalon stützen sich auf Versuche an Ratten, Mäusen oder Zellkulturen. Solche Studien sind wichtig, um Wirkmechanismen zu verstehen. Ob ein Stoff beim Menschen genauso wirkt, sagen sie nicht voraus: Ein großer Teil der Wirkstoffe, die im Tierversuch erfolgreich sind, scheitert in Studien am Menschen. Ein aktuelles Beispiel aus diesem Buch ist das Gedächtnis-Peptid Dihexa. Bei Ratten förderte es Lernen und Synapsenbildung; der verwandte Wirkstoff Fosgonimeton, der über dasselbe Wachstumsfaktor-System wirken sollte, verfehlte in einer Studie mit 287 Menschen mit Alzheimer alle Haupt- und Nebenziele</w:t>
      </w:r>
      <w:r>
        <w:rPr>
          <w:rStyle w:val="FootnoteReference"/>
        </w:rPr>
        <w:footnoteReference w:id="2581"/>
      </w:r>
      <w:r>
        <w:t xml:space="preserve">.</w:t>
      </w:r>
    </w:p>
    <w:p>
      <w:pPr>
        <w:pStyle w:val="BodyText"/>
      </w:pPr>
      <w:r>
        <w:t xml:space="preserve">Hinzu kommt bei BPC-157 ein zweites Problem: Die positiven Tierstudien stammen überwiegend von einer einzigen Forschungsgruppe und wurden kaum unabhängig wiederholt.</w:t>
      </w:r>
    </w:p>
    <w:bookmarkEnd w:id="2582"/>
    <w:bookmarkStart w:id="2584" w:name="ein-messwert-ist-noch-kein-nutzen"/>
    <w:p>
      <w:pPr>
        <w:pStyle w:val="Heading4"/>
      </w:pPr>
      <w:r>
        <w:t xml:space="preserve">2. Ein Messwert ist noch kein Nutzen</w:t>
      </w:r>
    </w:p>
    <w:p>
      <w:pPr>
        <w:pStyle w:val="FirstParagraph"/>
      </w:pPr>
      <w:r>
        <w:t xml:space="preserve">CJC-1295 erhöht das Wachstumshormon, Epitalon aktiviert in Zellkulturen die Telomerase, Glutathion-Kapseln erhöhen den Glutathion-Spiegel im Blut. Das sind Ersatzmesswerte („Surrogat-Endpunkte“, siehe Teil I). Ob daraus etwas folgt, das für Menschen zählt – mehr Muskelkraft, längeres Leben, weniger Krankheiten –, ist eine eigene Frage, die eigene Studien braucht. Beim Wachstumshormon zeigt das Beispiel Ibutamoren, wie groß die Lücke sein kann: Bei 65 gesunden älteren Menschen stieg die fettfreie Masse über ein Jahr um 1,1 kg, Kraft und körperliche Funktion verbesserten sich aber nicht</w:t>
      </w:r>
      <w:r>
        <w:rPr>
          <w:rStyle w:val="FootnoteReference"/>
        </w:rPr>
        <w:footnoteReference w:id="2583"/>
      </w:r>
      <w:r>
        <w:t xml:space="preserve">.</w:t>
      </w:r>
    </w:p>
    <w:bookmarkEnd w:id="2584"/>
    <w:bookmarkStart w:id="2586" w:name="verwechslung-von-stoffen"/>
    <w:p>
      <w:pPr>
        <w:pStyle w:val="Heading4"/>
      </w:pPr>
      <w:r>
        <w:t xml:space="preserve">3. Verwechslung von Stoffen</w:t>
      </w:r>
    </w:p>
    <w:p>
      <w:pPr>
        <w:pStyle w:val="FirstParagraph"/>
      </w:pPr>
      <w:r>
        <w:t xml:space="preserve">Mehrere Versprechen beruhen auf Studien mit einem anderen Stoff als dem, der verkauft wird:</w:t>
      </w:r>
    </w:p>
    <w:p>
      <w:pPr>
        <w:numPr>
          <w:ilvl w:val="0"/>
          <w:numId w:val="1331"/>
        </w:numPr>
        <w:pStyle w:val="Compact"/>
      </w:pPr>
      <w:r>
        <w:rPr>
          <w:bCs/>
          <w:b/>
        </w:rPr>
        <w:t xml:space="preserve">TB-500</w:t>
      </w:r>
      <w:r>
        <w:t xml:space="preserve"> </w:t>
      </w:r>
      <w:r>
        <w:t xml:space="preserve">ist ein verändertes Bruchstück. Die Humanstudien betreffen das ganze Eiweiß Thymosin Beta-4 – und auch diese kaum Sehnen, Bänder oder Muskeln.</w:t>
      </w:r>
    </w:p>
    <w:p>
      <w:pPr>
        <w:numPr>
          <w:ilvl w:val="0"/>
          <w:numId w:val="1331"/>
        </w:numPr>
        <w:pStyle w:val="Compact"/>
      </w:pPr>
      <w:r>
        <w:rPr>
          <w:bCs/>
          <w:b/>
        </w:rPr>
        <w:t xml:space="preserve">Epitalon</w:t>
      </w:r>
      <w:r>
        <w:t xml:space="preserve"> </w:t>
      </w:r>
      <w:r>
        <w:t xml:space="preserve">ist ein synthetisches Tetrapeptid. Die oft zitierte Studie zu längerem Leben betraf den Rinder-Extrakt Epithalamin, war nicht randomisiert und wurde nie unabhängig wiederholt.</w:t>
      </w:r>
    </w:p>
    <w:p>
      <w:pPr>
        <w:numPr>
          <w:ilvl w:val="0"/>
          <w:numId w:val="1331"/>
        </w:numPr>
        <w:pStyle w:val="Compact"/>
      </w:pPr>
      <w:r>
        <w:rPr>
          <w:bCs/>
          <w:b/>
        </w:rPr>
        <w:t xml:space="preserve">CJC-1295</w:t>
      </w:r>
      <w:r>
        <w:t xml:space="preserve"> </w:t>
      </w:r>
      <w:r>
        <w:t xml:space="preserve">wird überwiegend ohne die „DAC“-Gruppe verkauft, die in den Humanstudien verwendet wurde.</w:t>
      </w:r>
    </w:p>
    <w:p>
      <w:pPr>
        <w:numPr>
          <w:ilvl w:val="0"/>
          <w:numId w:val="1331"/>
        </w:numPr>
        <w:pStyle w:val="Compact"/>
      </w:pPr>
      <w:r>
        <w:rPr>
          <w:bCs/>
          <w:b/>
        </w:rPr>
        <w:t xml:space="preserve">Retatrutid</w:t>
      </w:r>
      <w:r>
        <w:t xml:space="preserve"> </w:t>
      </w:r>
      <w:r>
        <w:t xml:space="preserve">vom Graumarkt ist nicht das Arzneimittel aus den Studien. Laboranalysen anderer Graumarkt-Peptide zeigen, dass Fläschchen oft weniger, mehr oder anderen Wirkstoff enthalten als angegeben; bei Ipamorelin und CJC-1295 fanden Labore abgewandelte, nicht deklarierte Moleküle</w:t>
      </w:r>
      <w:r>
        <w:rPr>
          <w:rStyle w:val="FootnoteReference"/>
        </w:rPr>
        <w:footnoteReference w:id="2585"/>
      </w:r>
      <w:r>
        <w:t xml:space="preserve">.</w:t>
      </w:r>
    </w:p>
    <w:bookmarkEnd w:id="2586"/>
    <w:bookmarkStart w:id="2590" w:name="negative-studien-werden-nicht-erwähnt"/>
    <w:p>
      <w:pPr>
        <w:pStyle w:val="Heading4"/>
      </w:pPr>
      <w:r>
        <w:t xml:space="preserve">4. Negative Studien werden nicht erwähnt</w:t>
      </w:r>
    </w:p>
    <w:p>
      <w:pPr>
        <w:pStyle w:val="FirstParagraph"/>
      </w:pPr>
      <w:r>
        <w:t xml:space="preserve">Bei mehreren Peptiden gibt es durchaus randomisierte Studien – nur fanden sie keinen Nutzen. Ipamorelin verkürzte nach Darmoperationen die Zeit bis zur ersten Mahlzeit nicht signifikant</w:t>
      </w:r>
      <w:r>
        <w:rPr>
          <w:rStyle w:val="FootnoteReference"/>
        </w:rPr>
        <w:footnoteReference w:id="2587"/>
      </w:r>
      <w:r>
        <w:t xml:space="preserve">. Glutathion-Infusionen schützten nicht vor Nervenschäden durch Chemotherapie</w:t>
      </w:r>
      <w:r>
        <w:rPr>
          <w:rStyle w:val="FootnoteReference"/>
        </w:rPr>
        <w:footnoteReference w:id="2588"/>
      </w:r>
      <w:r>
        <w:t xml:space="preserve">. Bei Kollagen verschwand der Hautnutzen, sobald nur unabhängig finanzierte Studien betrachtet wurden</w:t>
      </w:r>
      <w:r>
        <w:rPr>
          <w:rStyle w:val="FootnoteReference"/>
        </w:rPr>
        <w:footnoteReference w:id="2589"/>
      </w:r>
      <w:r>
        <w:t xml:space="preserve">. Solche Ergebnisse tauchen in Werbetexten praktisch nie auf. Eine seriöse Darstellung nennt positive</w:t>
      </w:r>
      <w:r>
        <w:t xml:space="preserve"> </w:t>
      </w:r>
      <w:r>
        <w:rPr>
          <w:iCs/>
          <w:i/>
        </w:rPr>
        <w:t xml:space="preserve">und</w:t>
      </w:r>
      <w:r>
        <w:t xml:space="preserve"> </w:t>
      </w:r>
      <w:r>
        <w:t xml:space="preserve">negative Studien.</w:t>
      </w:r>
    </w:p>
    <w:bookmarkEnd w:id="2590"/>
    <w:bookmarkStart w:id="2591" w:name="kleine-studien-aus-einem-engen-umfeld"/>
    <w:p>
      <w:pPr>
        <w:pStyle w:val="Heading4"/>
      </w:pPr>
      <w:r>
        <w:t xml:space="preserve">5. Kleine Studien aus einem engen Umfeld</w:t>
      </w:r>
    </w:p>
    <w:p>
      <w:pPr>
        <w:pStyle w:val="FirstParagraph"/>
      </w:pPr>
      <w:r>
        <w:t xml:space="preserve">Semax, Selank, Epitalon und Pinealon wurden fast ausschließlich in Russland untersucht, meist von den Entwicklern selbst, in kleinen Gruppen und häufig ohne Placebovergleich. Das macht die Ergebnisse nicht automatisch falsch. Es heißt aber, dass sie nie unter den Bedingungen geprüft wurden, die heute für eine Zulassung verlangt werden: vorab registriert, verblindet, ausreichend groß und von unabhängigen Gruppen bestätigt.</w:t>
      </w:r>
    </w:p>
    <w:bookmarkEnd w:id="2591"/>
    <w:bookmarkStart w:id="2593" w:name="Xdb413d5c6345207551d61234198aabd4302ea29"/>
    <w:p>
      <w:pPr>
        <w:pStyle w:val="Heading4"/>
      </w:pPr>
      <w:r>
        <w:t xml:space="preserve">6. „Keine Nebenwirkungen“ heißt meist „nicht untersucht“</w:t>
      </w:r>
    </w:p>
    <w:p>
      <w:pPr>
        <w:pStyle w:val="FirstParagraph"/>
      </w:pPr>
      <w:r>
        <w:t xml:space="preserve">Die Aussage, ein Peptid sei „gut verträglich“ oder „ohne Nebenwirkungen“, stützt sich bei BPC-157 auf zusammen 30 Personen. Mit so wenigen Teilnehmenden lassen sich nur häufige, unmittelbar auftretende Probleme erkennen; eine Nebenwirkung, die eine von tausend Personen betrifft, bliebe unsichtbar. Bei Stoffen, die Wachstumssignale verstärken – Wachstumshormon-Freisetzer, IGF-1 LR3, Peptide, die Gefäßneubildung fördern –, gibt es zudem eine theoretische, aber ungeprüfte Sorge um Tumorwachstum. Bei Melanotan II beschreiben Fallberichte neue und veränderte Muttermale und Melanome; ein ursächlicher Zusammenhang ist nicht bewiesen, aber auch nicht ausgeschlossen. Dazu kommen die Risiken der Produkte selbst: In Graumarkt-Fläschchen mit Melanotan II fanden sich weniger Wirkstoff als angegeben und unbekannte Verunreinigungen</w:t>
      </w:r>
      <w:r>
        <w:rPr>
          <w:rStyle w:val="FootnoteReference"/>
        </w:rPr>
        <w:footnoteReference w:id="2592"/>
      </w:r>
      <w:r>
        <w:t xml:space="preserve">. Mehr dazu in Teil IV.</w:t>
      </w:r>
    </w:p>
    <w:bookmarkEnd w:id="2593"/>
    <w:bookmarkEnd w:id="2594"/>
    <w:bookmarkStart w:id="2600" w:name="X1e85bdd99b6131aadc92907546d47519a98e6f9"/>
    <w:p>
      <w:pPr>
        <w:pStyle w:val="Heading3"/>
      </w:pPr>
      <w:r>
        <w:t xml:space="preserve">Woran du seriöse von unseriösen Aussagen unterscheidest</w:t>
      </w:r>
    </w:p>
    <w:p>
      <w:pPr>
        <w:pStyle w:val="FirstParagraph"/>
      </w:pPr>
      <w:r>
        <w:t xml:space="preserve">Die folgende Checkliste hilft, Aussagen über Peptide – in Shops, Videos, Foren oder Zeitschriften – einzuordnen. Sie ersetzt keine fachliche Beratung, schärft aber den Blick dafür, wie viel hinter einer Behauptung steckt.</w:t>
      </w:r>
    </w:p>
    <w:bookmarkStart w:id="2595" w:name="fragen-zur-quelle"/>
    <w:p>
      <w:pPr>
        <w:pStyle w:val="Heading4"/>
      </w:pPr>
      <w:r>
        <w:t xml:space="preserve">Fragen zur Quelle</w:t>
      </w:r>
    </w:p>
    <w:p>
      <w:pPr>
        <w:numPr>
          <w:ilvl w:val="0"/>
          <w:numId w:val="1332"/>
        </w:numPr>
        <w:pStyle w:val="Compact"/>
      </w:pPr>
      <w:r>
        <w:rPr>
          <w:bCs/>
          <w:b/>
        </w:rPr>
        <w:t xml:space="preserve">Wer spricht?</w:t>
      </w:r>
      <w:r>
        <w:t xml:space="preserve"> </w:t>
      </w:r>
      <w:r>
        <w:t xml:space="preserve">Verkauft die Person oder Seite den Stoff selbst, bietet sie Kurse, Beratungen oder Rabattcodes an? Ein finanzielles Interesse macht eine Aussage nicht falsch, ist aber ein Grund, genauer hinzusehen.</w:t>
      </w:r>
    </w:p>
    <w:p>
      <w:pPr>
        <w:numPr>
          <w:ilvl w:val="0"/>
          <w:numId w:val="1332"/>
        </w:numPr>
        <w:pStyle w:val="Compact"/>
      </w:pPr>
      <w:r>
        <w:rPr>
          <w:bCs/>
          <w:b/>
        </w:rPr>
        <w:t xml:space="preserve">Werden Studien genannt – und lassen sie sich finden?</w:t>
      </w:r>
      <w:r>
        <w:t xml:space="preserve"> </w:t>
      </w:r>
      <w:r>
        <w:t xml:space="preserve">Seriöse Aussagen nennen eine überprüfbare Quelle: eine PMID, einen DOI oder eine Registernummer (NCT). Du kannst jede PMID kostenlos bei PubMed eingeben und den Abstract selbst lesen. Formulierungen wie „Studien zeigen“ ohne konkrete Angabe sind ein Warnsignal.</w:t>
      </w:r>
    </w:p>
    <w:p>
      <w:pPr>
        <w:numPr>
          <w:ilvl w:val="0"/>
          <w:numId w:val="1332"/>
        </w:numPr>
        <w:pStyle w:val="Compact"/>
      </w:pPr>
      <w:r>
        <w:rPr>
          <w:bCs/>
          <w:b/>
        </w:rPr>
        <w:t xml:space="preserve">Passt die zitierte Studie zur Aussage?</w:t>
      </w:r>
      <w:r>
        <w:t xml:space="preserve"> </w:t>
      </w:r>
      <w:r>
        <w:t xml:space="preserve">Prüfe, ob die Studie wirklich den verkauften Stoff, die beworbene Anwendung und Menschen untersucht hat – oder ob es um ein verwandtes Molekül, eine andere Erkrankung oder Ratten ging.</w:t>
      </w:r>
    </w:p>
    <w:bookmarkEnd w:id="2595"/>
    <w:bookmarkStart w:id="2596" w:name="fragen-zur-studie"/>
    <w:p>
      <w:pPr>
        <w:pStyle w:val="Heading4"/>
      </w:pPr>
      <w:r>
        <w:t xml:space="preserve">Fragen zur Studie</w:t>
      </w:r>
    </w:p>
    <w:p>
      <w:pPr>
        <w:numPr>
          <w:ilvl w:val="0"/>
          <w:numId w:val="1333"/>
        </w:numPr>
        <w:pStyle w:val="Compact"/>
      </w:pPr>
      <w:r>
        <w:rPr>
          <w:bCs/>
          <w:b/>
        </w:rPr>
        <w:t xml:space="preserve">Mensch, Tier oder Zellkultur?</w:t>
      </w:r>
      <w:r>
        <w:t xml:space="preserve"> </w:t>
      </w:r>
      <w:r>
        <w:t xml:space="preserve">Steht im Abstract „rats“, „mice“, „in vitro“ oder „cell culture“, ist über die Wirkung beim Menschen nichts gesagt.</w:t>
      </w:r>
    </w:p>
    <w:p>
      <w:pPr>
        <w:numPr>
          <w:ilvl w:val="0"/>
          <w:numId w:val="1333"/>
        </w:numPr>
        <w:pStyle w:val="Compact"/>
      </w:pPr>
      <w:r>
        <w:rPr>
          <w:bCs/>
          <w:b/>
        </w:rPr>
        <w:t xml:space="preserve">Gab es eine Vergleichsgruppe?</w:t>
      </w:r>
      <w:r>
        <w:t xml:space="preserve"> </w:t>
      </w:r>
      <w:r>
        <w:t xml:space="preserve">Ohne Placebo- oder Kontrollgruppe lässt sich nicht unterscheiden, ob eine Besserung vom Stoff, von der Zeit, von anderen Behandlungen oder von der Erwartung kommt. Gerade bei Schmerz, Stimmung oder Schlaf ist der Placeboeffekt groß.</w:t>
      </w:r>
    </w:p>
    <w:p>
      <w:pPr>
        <w:numPr>
          <w:ilvl w:val="0"/>
          <w:numId w:val="1333"/>
        </w:numPr>
        <w:pStyle w:val="Compact"/>
      </w:pPr>
      <w:r>
        <w:rPr>
          <w:bCs/>
          <w:b/>
        </w:rPr>
        <w:t xml:space="preserve">Wie viele Teilnehmende?</w:t>
      </w:r>
      <w:r>
        <w:t xml:space="preserve"> </w:t>
      </w:r>
      <w:r>
        <w:t xml:space="preserve">Studien mit 10 oder 20 Personen können Hinweise geben, aber keinen Nutzen belegen und seltene Nebenwirkungen nicht erkennen.</w:t>
      </w:r>
    </w:p>
    <w:p>
      <w:pPr>
        <w:numPr>
          <w:ilvl w:val="0"/>
          <w:numId w:val="1333"/>
        </w:numPr>
        <w:pStyle w:val="Compact"/>
      </w:pPr>
      <w:r>
        <w:rPr>
          <w:bCs/>
          <w:b/>
        </w:rPr>
        <w:t xml:space="preserve">Was wurde gemessen?</w:t>
      </w:r>
      <w:r>
        <w:t xml:space="preserve"> </w:t>
      </w:r>
      <w:r>
        <w:t xml:space="preserve">Ein Laborwert, der steigt, ist kein spürbarer Nutzen. Frag: Wurde gemessen, was für Betroffene zählt – Schmerz, Funktion, Krankheitsereignisse, Lebensqualität?</w:t>
      </w:r>
    </w:p>
    <w:p>
      <w:pPr>
        <w:numPr>
          <w:ilvl w:val="0"/>
          <w:numId w:val="1333"/>
        </w:numPr>
        <w:pStyle w:val="Compact"/>
      </w:pPr>
      <w:r>
        <w:rPr>
          <w:bCs/>
          <w:b/>
        </w:rPr>
        <w:t xml:space="preserve">Wurde die Studie vorab registriert?</w:t>
      </w:r>
      <w:r>
        <w:t xml:space="preserve"> </w:t>
      </w:r>
      <w:r>
        <w:t xml:space="preserve">Eine Registrierung bei ClinicalTrials.gov oder im EU-Register vor Studienbeginn verhindert, dass Ziele nachträglich passend gewählt werden.</w:t>
      </w:r>
    </w:p>
    <w:p>
      <w:pPr>
        <w:numPr>
          <w:ilvl w:val="0"/>
          <w:numId w:val="1333"/>
        </w:numPr>
        <w:pStyle w:val="Compact"/>
      </w:pPr>
      <w:r>
        <w:rPr>
          <w:bCs/>
          <w:b/>
        </w:rPr>
        <w:t xml:space="preserve">Wurde das Ergebnis wiederholt?</w:t>
      </w:r>
      <w:r>
        <w:t xml:space="preserve"> </w:t>
      </w:r>
      <w:r>
        <w:t xml:space="preserve">Ein einzelnes positives Ergebnis einer einzigen Forschungsgruppe ist ein Anfang, kein Beweis.</w:t>
      </w:r>
    </w:p>
    <w:bookmarkEnd w:id="2596"/>
    <w:bookmarkStart w:id="2597" w:name="warnsignale-in-der-sprache"/>
    <w:p>
      <w:pPr>
        <w:pStyle w:val="Heading4"/>
      </w:pPr>
      <w:r>
        <w:t xml:space="preserve">Warnsignale in der Sprache</w:t>
      </w:r>
    </w:p>
    <w:p>
      <w:pPr>
        <w:numPr>
          <w:ilvl w:val="0"/>
          <w:numId w:val="1334"/>
        </w:numPr>
        <w:pStyle w:val="Compact"/>
      </w:pPr>
      <w:r>
        <w:t xml:space="preserve">Versprechen, die sehr viele unterschiedliche Beschwerden zugleich betreffen („für Gelenke, Darm, Haut, Gehirn und Immunsystem“).</w:t>
      </w:r>
    </w:p>
    <w:p>
      <w:pPr>
        <w:numPr>
          <w:ilvl w:val="0"/>
          <w:numId w:val="1334"/>
        </w:numPr>
        <w:pStyle w:val="Compact"/>
      </w:pPr>
      <w:r>
        <w:t xml:space="preserve">Begriffe wie „Wundermittel“, „Geheimtipp“, „was Ärzte dir nicht sagen“ oder „von der Pharmaindustrie unterdrückt“.</w:t>
      </w:r>
    </w:p>
    <w:p>
      <w:pPr>
        <w:numPr>
          <w:ilvl w:val="0"/>
          <w:numId w:val="1334"/>
        </w:numPr>
        <w:pStyle w:val="Compact"/>
      </w:pPr>
      <w:r>
        <w:t xml:space="preserve">Die Behauptung „keine Nebenwirkungen“ bei einem Stoff, der kaum am Menschen untersucht ist.</w:t>
      </w:r>
    </w:p>
    <w:p>
      <w:pPr>
        <w:numPr>
          <w:ilvl w:val="0"/>
          <w:numId w:val="1334"/>
        </w:numPr>
        <w:pStyle w:val="Compact"/>
      </w:pPr>
      <w:r>
        <w:t xml:space="preserve">Erfahrungsberichte und Vorher-nachher-Bilder statt Studiendaten.</w:t>
      </w:r>
    </w:p>
    <w:p>
      <w:pPr>
        <w:numPr>
          <w:ilvl w:val="0"/>
          <w:numId w:val="1334"/>
        </w:numPr>
        <w:pStyle w:val="Compact"/>
      </w:pPr>
      <w:r>
        <w:t xml:space="preserve">Der Hinweis „nur für Forschungszwecke“ oder „nicht zum menschlichen Verzehr“ auf einem Produkt, das gleichzeitig mit Wirkungen am Menschen beworben wird. Dieser Widerspruch zeigt, dass der Anbieter die Arzneimittelregeln umgehen will (siehe Teil I).</w:t>
      </w:r>
    </w:p>
    <w:p>
      <w:pPr>
        <w:numPr>
          <w:ilvl w:val="0"/>
          <w:numId w:val="1334"/>
        </w:numPr>
        <w:pStyle w:val="Compact"/>
      </w:pPr>
      <w:r>
        <w:t xml:space="preserve">Vorschläge zu Dosierungen, Kuren oder Kombinationspaketen mehrerer Peptide für Stoffe ohne Zulassung. Für solche Schemata gibt es keine Studiengrundlage.</w:t>
      </w:r>
    </w:p>
    <w:bookmarkEnd w:id="2597"/>
    <w:bookmarkStart w:id="2598" w:name="zeichen-für-eine-seriöse-darstellung"/>
    <w:p>
      <w:pPr>
        <w:pStyle w:val="Heading4"/>
      </w:pPr>
      <w:r>
        <w:t xml:space="preserve">Zeichen für eine seriöse Darstellung</w:t>
      </w:r>
    </w:p>
    <w:p>
      <w:pPr>
        <w:numPr>
          <w:ilvl w:val="0"/>
          <w:numId w:val="1335"/>
        </w:numPr>
        <w:pStyle w:val="Compact"/>
      </w:pPr>
      <w:r>
        <w:t xml:space="preserve">Tier- und Laborergebnisse werden ausdrücklich als solche bezeichnet.</w:t>
      </w:r>
    </w:p>
    <w:p>
      <w:pPr>
        <w:numPr>
          <w:ilvl w:val="0"/>
          <w:numId w:val="1335"/>
        </w:numPr>
        <w:pStyle w:val="Compact"/>
      </w:pPr>
      <w:r>
        <w:t xml:space="preserve">Negative und widersprüchliche Studien werden genannt, nicht nur die positiven.</w:t>
      </w:r>
    </w:p>
    <w:p>
      <w:pPr>
        <w:numPr>
          <w:ilvl w:val="0"/>
          <w:numId w:val="1335"/>
        </w:numPr>
        <w:pStyle w:val="Compact"/>
      </w:pPr>
      <w:r>
        <w:t xml:space="preserve">Unsicherheit wird offen benannt („Die Daten reichen nicht aus, um … zu beurteilen“).</w:t>
      </w:r>
    </w:p>
    <w:p>
      <w:pPr>
        <w:numPr>
          <w:ilvl w:val="0"/>
          <w:numId w:val="1335"/>
        </w:numPr>
        <w:pStyle w:val="Compact"/>
      </w:pPr>
      <w:r>
        <w:t xml:space="preserve">Rechtslage und Dopingstatus werden erwähnt.</w:t>
      </w:r>
    </w:p>
    <w:p>
      <w:pPr>
        <w:numPr>
          <w:ilvl w:val="0"/>
          <w:numId w:val="1335"/>
        </w:numPr>
        <w:pStyle w:val="Compact"/>
      </w:pPr>
      <w:r>
        <w:t xml:space="preserve">Es gibt einen klaren Hinweis, dass Arzneimittel in ärztliche Hände gehören und Graumarkt-Produkte nicht geprüft sind.</w:t>
      </w:r>
    </w:p>
    <w:bookmarkEnd w:id="2598"/>
    <w:bookmarkStart w:id="2599" w:name="drei-fragen-für-den-alltag"/>
    <w:p>
      <w:pPr>
        <w:pStyle w:val="Heading4"/>
      </w:pPr>
      <w:r>
        <w:t xml:space="preserve">Drei Fragen für den Alltag</w:t>
      </w:r>
    </w:p>
    <w:p>
      <w:pPr>
        <w:pStyle w:val="FirstParagraph"/>
      </w:pPr>
      <w:r>
        <w:t xml:space="preserve">Wenn du wenig Zeit hast, reichen oft drei Fragen:</w:t>
      </w:r>
    </w:p>
    <w:p>
      <w:pPr>
        <w:numPr>
          <w:ilvl w:val="0"/>
          <w:numId w:val="1336"/>
        </w:numPr>
        <w:pStyle w:val="Compact"/>
      </w:pPr>
      <w:r>
        <w:t xml:space="preserve">Ist der Stoff in der EU oder den USA als Arzneimittel für genau diese Anwendung zugelassen?</w:t>
      </w:r>
    </w:p>
    <w:p>
      <w:pPr>
        <w:numPr>
          <w:ilvl w:val="0"/>
          <w:numId w:val="1336"/>
        </w:numPr>
        <w:pStyle w:val="Compact"/>
      </w:pPr>
      <w:r>
        <w:t xml:space="preserve">Gibt es mindestens eine randomisierte, placebokontrollierte Studie am Menschen, die den behaupteten Nutzen gezeigt hat?</w:t>
      </w:r>
    </w:p>
    <w:p>
      <w:pPr>
        <w:numPr>
          <w:ilvl w:val="0"/>
          <w:numId w:val="1336"/>
        </w:numPr>
        <w:pStyle w:val="Compact"/>
      </w:pPr>
      <w:r>
        <w:t xml:space="preserve">Stammt das Produkt aus der Apotheke – oder aus einer Quelle, deren Inhalt niemand prüft?</w:t>
      </w:r>
    </w:p>
    <w:p>
      <w:pPr>
        <w:pStyle w:val="FirstParagraph"/>
      </w:pPr>
      <w:r>
        <w:t xml:space="preserve">Lautet die Antwort auf alle drei Fragen „nein“, beruht das Versprechen auf Hoffnung, nicht auf Belegen.</w:t>
      </w:r>
    </w:p>
    <w:bookmarkEnd w:id="2599"/>
    <w:bookmarkEnd w:id="2600"/>
    <w:bookmarkStart w:id="2601" w:name="fazit-59"/>
    <w:p>
      <w:pPr>
        <w:pStyle w:val="Heading3"/>
      </w:pPr>
      <w:r>
        <w:t xml:space="preserve">Fazit</w:t>
      </w:r>
    </w:p>
    <w:p>
      <w:pPr>
        <w:pStyle w:val="FirstParagraph"/>
      </w:pPr>
      <w:r>
        <w:t xml:space="preserve">Die im Internet populärsten Peptide sind fast durchweg die am schlechtesten untersuchten. Ihre Versprechen stützen sich überwiegend auf Tierversuche, auf Ersatzmesswerte oder auf Studien mit einem anderen Stoff; wo es randomisierte Studien am Menschen gibt, haben sie den beworbenen Nutzen meist nicht bestätigt. Das bedeutet nicht, dass keiner dieser Stoffe je einen Nutzen haben könnte – aber die Daten reichen bei keinem aus, um ihn zu belegen. Wer eine Aussage über ein Peptid hört, sollte nach der Quelle fragen, die Studie prüfen und den Unterschied zwischen einem geprüften Arzneimittel und einem Fläschchen vom Graumarkt im Blick behalten.</w:t>
      </w:r>
    </w:p>
    <w:bookmarkEnd w:id="2601"/>
    <w:bookmarkEnd w:id="2602"/>
    <w:bookmarkEnd w:id="2603"/>
    <w:bookmarkStart w:id="2824" w:name="teil-iv-risiken"/>
    <w:p>
      <w:pPr>
        <w:pStyle w:val="Heading1"/>
      </w:pPr>
      <w:r>
        <w:t xml:space="preserve">Teil IV – Risiken</w:t>
      </w:r>
    </w:p>
    <w:p>
      <w:pPr>
        <w:pStyle w:val="FirstParagraph"/>
      </w:pPr>
      <w:r>
        <w:t xml:space="preserve">In Teil II steht bei jedem Peptid ein eigener Abschnitt „Risiken und Nebenwirkungen“. Dieser Teil wiederholt diese Abschnitte nicht. Er legt sie nebeneinander und fragt quer durch alle Wirkstoffe: Welche Organe sind betroffen? Welche Warnsignale tauchen bei mehreren Peptiden auf? Wie belastbar ist das, was man weiß? Wer Einzelheiten zu einem bestimmten Stoff sucht, findet bei jedem Punkt einen Verweis auf das passende Kapitel.</w:t>
      </w:r>
    </w:p>
    <w:p>
      <w:pPr>
        <w:pStyle w:val="BodyText"/>
      </w:pPr>
      <w:r>
        <w:t xml:space="preserve">Bevor es losgeht, lohnt sich ein kurzer Blick darauf, wie man Risiken überhaupt einordnet. Drei Unterscheidungen ziehen sich durch alle folgenden Kapitel.</w:t>
      </w:r>
    </w:p>
    <w:p>
      <w:pPr>
        <w:pStyle w:val="BodyText"/>
      </w:pPr>
      <w:r>
        <w:rPr>
          <w:bCs/>
          <w:b/>
        </w:rPr>
        <w:t xml:space="preserve">Belegt, beobachtet oder theoretisch.</w:t>
      </w:r>
      <w:r>
        <w:t xml:space="preserve"> </w:t>
      </w:r>
      <w:r>
        <w:t xml:space="preserve">Ein Risiko ist am besten belegt, wenn es in randomisierten Studien (RCTs) häufiger unter dem Wirkstoff als unter Placebo auftrat. Beobachtungsstudien mit Versicherungs- oder Registerdaten erfassen dagegen sehr viele Menschen und seltene Ereignisse, können aber Ursache und Begleitumstand nicht sicher trennen. Meldedatenbanken für Nebenwirkungen zeigen nur Signale: Was bekannt und viel diskutiert ist, wird häufiger gemeldet. Theoretische Risiken schließlich leiten sich aus dem Wirkmechanismus, aus Tierversuchen oder Zellkulturen ab. Sie sind kein Beweis für einen Schaden – aber bei Stoffen, die nie systematisch am Menschen untersucht wurden, oft die einzige Information, die es gibt.</w:t>
      </w:r>
    </w:p>
    <w:p>
      <w:pPr>
        <w:pStyle w:val="BodyText"/>
      </w:pPr>
      <w:r>
        <w:rPr>
          <w:bCs/>
          <w:b/>
        </w:rPr>
        <w:t xml:space="preserve">Fehlende Daten sind keine Sicherheit.</w:t>
      </w:r>
      <w:r>
        <w:t xml:space="preserve"> </w:t>
      </w:r>
      <w:r>
        <w:t xml:space="preserve">Wenn in drei kleinen Untersuchungen mit zusammen 30 Personen keine behandlungsbedingten Nebenwirkungen auffielen (so bei BPC-157, Poolton 2026, PMID 42885452), heißt das nur, dass keine sehr häufigen, sofort auftretenden Probleme aufgetreten sind. Eine Nebenwirkung, die eine von tausend Personen trifft, kann eine so kleine Studie gar nicht erkennen. Bei vielen Peptiden der Gruppen B, C und D ist das die Ausgangslage.</w:t>
      </w:r>
    </w:p>
    <w:p>
      <w:pPr>
        <w:pStyle w:val="BodyText"/>
      </w:pPr>
      <w:r>
        <w:rPr>
          <w:bCs/>
          <w:b/>
        </w:rPr>
        <w:t xml:space="preserve">Relatives und absolutes Risiko.</w:t>
      </w:r>
      <w:r>
        <w:t xml:space="preserve"> </w:t>
      </w:r>
      <w:r>
        <w:t xml:space="preserve">Schlagzeilen nennen meist relative Zahlen: „dreimal so häufig“. Entscheidend für die eigene Abwägung ist aber, wie viele Menschen tatsächlich betroffen sind. Ein Beispiel aus diesem Teil: In einer dänisch-norwegischen Registerstudie war eine bestimmte Durchblutungsstörung des Sehnervs unter Semaglutid fast dreimal so häufig wie unter einem Vergleichsmedikament (Hazard Ratio 2,81). In absoluten Zahlen bedeutete das rund 1,4 zusätzliche Fälle pro 10.000 Personenjahre</w:t>
      </w:r>
      <w:r>
        <w:rPr>
          <w:rStyle w:val="FootnoteReference"/>
        </w:rPr>
        <w:footnoteReference w:id="2604"/>
      </w:r>
      <w:r>
        <w:t xml:space="preserve">. Beides ist richtig – und beides gehört zur Information.</w:t>
      </w:r>
    </w:p>
    <w:p>
      <w:pPr>
        <w:pStyle w:val="BodyText"/>
      </w:pPr>
      <w:r>
        <w:t xml:space="preserve">Schließlich zählt das Verhältnis von Nutzen und Risiko. Ein Medikament gegen Typ-2-Diabetes, das in großen Studien Herzinfarkte und Schlaganfälle verringert, darf seltene Nebenwirkungen haben, die bei einem Bräunungsmittel oder einem „Longevity-Peptid“ ohne belegten Nutzen nicht hinnehmbar wären. Wer ein zugelassenes Medikament mit ärztlicher Begleitung und klarer Indikation verwendet, ist in einer völlig anderen Lage als jemand, der ein ungeprüftes Pulver aus dem Internet spritzt. Wie man Studien liest, erklärt Teil I im Kapitel „Studien richtig lesen“.</w:t>
      </w:r>
    </w:p>
    <w:p>
      <w:pPr>
        <w:pStyle w:val="BodyText"/>
      </w:pPr>
      <w:r>
        <w:t xml:space="preserve">Teil IV ist so aufgebaut: Dieses Kapitel ordnet die Nebenwirkungen nach Organsystemen. Danach folgen Kapitel zum Krebsrisiko und zu Wachstumssignalen, zu Immunreaktionen, zu Laboranalysen von Graumarkt-Produkten und zu Wechselwirkungen und besonders gefährdeten Personengruppen.</w:t>
      </w:r>
    </w:p>
    <w:bookmarkStart w:id="2662" w:name="nebenwirkungen-nach-organsystemen"/>
    <w:p>
      <w:pPr>
        <w:pStyle w:val="Heading2"/>
      </w:pPr>
      <w:r>
        <w:t xml:space="preserve">Nebenwirkungen nach Organsystemen</w:t>
      </w:r>
    </w:p>
    <w:p>
      <w:pPr>
        <w:pStyle w:val="FirstParagraph"/>
      </w:pPr>
      <w:r>
        <w:t xml:space="preserve">Die folgende Übersicht fasst zusammen, welche Organsysteme bei welchen Peptiden am häufigsten betroffen sind. Die Spalte „Häufigkeit/Belege“ nennt eine typische Größenordnung aus einer der Studien, die in diesem Kapitel oder im angegebenen Peptid-Kapitel besprochen werden. Die Zahlen stammen aus unterschiedlichen Studien und Bevölkerungsgruppen und sind deshalb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Organsystem</w:t>
            </w:r>
          </w:p>
        </w:tc>
        <w:tc>
          <w:tcPr/>
          <w:p>
            <w:pPr>
              <w:pStyle w:val="Compact"/>
              <w:jc w:val="left"/>
            </w:pPr>
            <w:r>
              <w:t xml:space="preserve">Betroffene Peptide</w:t>
            </w:r>
          </w:p>
        </w:tc>
        <w:tc>
          <w:tcPr/>
          <w:p>
            <w:pPr>
              <w:pStyle w:val="Compact"/>
              <w:jc w:val="left"/>
            </w:pPr>
            <w:r>
              <w:t xml:space="preserve">Häufigkeit/Belege</w:t>
            </w:r>
          </w:p>
        </w:tc>
        <w:tc>
          <w:tcPr/>
          <w:p>
            <w:pPr>
              <w:pStyle w:val="Compact"/>
              <w:jc w:val="left"/>
            </w:pPr>
            <w:r>
              <w:t xml:space="preserve">Kapitel</w:t>
            </w:r>
          </w:p>
        </w:tc>
      </w:tr>
      <w:tr>
        <w:tc>
          <w:tcPr/>
          <w:p>
            <w:pPr>
              <w:pStyle w:val="Compact"/>
              <w:jc w:val="left"/>
            </w:pPr>
            <w:r>
              <w:t xml:space="preserve">Magen-Darm</w:t>
            </w:r>
          </w:p>
        </w:tc>
        <w:tc>
          <w:tcPr/>
          <w:p>
            <w:pPr>
              <w:pStyle w:val="Compact"/>
              <w:jc w:val="left"/>
            </w:pPr>
            <w:r>
              <w:t xml:space="preserve">alle GLP-1-Medikamente, Pramlintid, Bremelanotid, Setmelanotid</w:t>
            </w:r>
          </w:p>
        </w:tc>
        <w:tc>
          <w:tcPr/>
          <w:p>
            <w:pPr>
              <w:pStyle w:val="Compact"/>
              <w:jc w:val="left"/>
            </w:pPr>
            <w:r>
              <w:t xml:space="preserve">sehr häufig; CagriSema 79,6 % vs. 39,9 % unter Placebo (Garvey 2025, PMID 40544433)</w:t>
            </w:r>
          </w:p>
        </w:tc>
        <w:tc>
          <w:tcPr/>
          <w:p>
            <w:pPr>
              <w:pStyle w:val="Compact"/>
              <w:jc w:val="left"/>
            </w:pPr>
            <w:r>
              <w:t xml:space="preserve">Semaglutid, Survodutid, Cagrilintid</w:t>
            </w:r>
          </w:p>
        </w:tc>
      </w:tr>
      <w:tr>
        <w:tc>
          <w:tcPr/>
          <w:p>
            <w:pPr>
              <w:pStyle w:val="Compact"/>
              <w:jc w:val="left"/>
            </w:pPr>
            <w:r>
              <w:t xml:space="preserve">Gallenblase</w:t>
            </w:r>
          </w:p>
        </w:tc>
        <w:tc>
          <w:tcPr/>
          <w:p>
            <w:pPr>
              <w:pStyle w:val="Compact"/>
              <w:jc w:val="left"/>
            </w:pPr>
            <w:r>
              <w:t xml:space="preserve">GLP-1-Klasse, v. a. bei Gewichtsabnahme</w:t>
            </w:r>
          </w:p>
        </w:tc>
        <w:tc>
          <w:tcPr/>
          <w:p>
            <w:pPr>
              <w:pStyle w:val="Compact"/>
              <w:jc w:val="left"/>
            </w:pPr>
            <w:r>
              <w:t xml:space="preserve">relatives Risiko 1,37 (alle Studien), 2,29 (Abnehmstudien)</w:t>
            </w:r>
          </w:p>
        </w:tc>
        <w:tc>
          <w:tcPr/>
          <w:p>
            <w:pPr>
              <w:pStyle w:val="Compact"/>
              <w:jc w:val="left"/>
            </w:pPr>
            <w:r>
              <w:t xml:space="preserve">Liraglutid, Tirzepatid</w:t>
            </w:r>
          </w:p>
        </w:tc>
      </w:tr>
      <w:tr>
        <w:tc>
          <w:tcPr/>
          <w:p>
            <w:pPr>
              <w:pStyle w:val="Compact"/>
              <w:jc w:val="left"/>
            </w:pPr>
            <w:r>
              <w:t xml:space="preserve">Bauchspeicheldrüse</w:t>
            </w:r>
          </w:p>
        </w:tc>
        <w:tc>
          <w:tcPr/>
          <w:p>
            <w:pPr>
              <w:pStyle w:val="Compact"/>
              <w:jc w:val="left"/>
            </w:pPr>
            <w:r>
              <w:t xml:space="preserve">GLP-1-Klasse</w:t>
            </w:r>
          </w:p>
        </w:tc>
        <w:tc>
          <w:tcPr/>
          <w:p>
            <w:pPr>
              <w:pStyle w:val="Compact"/>
              <w:jc w:val="left"/>
            </w:pPr>
            <w:r>
              <w:t xml:space="preserve">Signal in Meta-Analysen, absolut selten</w:t>
            </w:r>
          </w:p>
        </w:tc>
        <w:tc>
          <w:tcPr/>
          <w:p>
            <w:pPr>
              <w:pStyle w:val="Compact"/>
              <w:jc w:val="left"/>
            </w:pPr>
            <w:r>
              <w:t xml:space="preserve">Exenatid, Semaglutid</w:t>
            </w:r>
          </w:p>
        </w:tc>
      </w:tr>
      <w:tr>
        <w:tc>
          <w:tcPr/>
          <w:p>
            <w:pPr>
              <w:pStyle w:val="Compact"/>
              <w:jc w:val="left"/>
            </w:pPr>
            <w:r>
              <w:t xml:space="preserve">Schilddrüse</w:t>
            </w:r>
          </w:p>
        </w:tc>
        <w:tc>
          <w:tcPr/>
          <w:p>
            <w:pPr>
              <w:pStyle w:val="Compact"/>
              <w:jc w:val="left"/>
            </w:pPr>
            <w:r>
              <w:t xml:space="preserve">GLP-1-Klasse</w:t>
            </w:r>
          </w:p>
        </w:tc>
        <w:tc>
          <w:tcPr/>
          <w:p>
            <w:pPr>
              <w:pStyle w:val="Compact"/>
              <w:jc w:val="left"/>
            </w:pPr>
            <w:r>
              <w:t xml:space="preserve">Tierbefund gesichert, beim Menschen uneinheitlich</w:t>
            </w:r>
          </w:p>
        </w:tc>
        <w:tc>
          <w:tcPr/>
          <w:p>
            <w:pPr>
              <w:pStyle w:val="Compact"/>
              <w:jc w:val="left"/>
            </w:pPr>
            <w:r>
              <w:t xml:space="preserve">Liraglutid, Kapitel Krebsrisiko</w:t>
            </w:r>
          </w:p>
        </w:tc>
      </w:tr>
      <w:tr>
        <w:tc>
          <w:tcPr/>
          <w:p>
            <w:pPr>
              <w:pStyle w:val="Compact"/>
              <w:jc w:val="left"/>
            </w:pPr>
            <w:r>
              <w:t xml:space="preserve">Augen</w:t>
            </w:r>
          </w:p>
        </w:tc>
        <w:tc>
          <w:tcPr/>
          <w:p>
            <w:pPr>
              <w:pStyle w:val="Compact"/>
              <w:jc w:val="left"/>
            </w:pPr>
            <w:r>
              <w:t xml:space="preserve">Semaglutid (NAION, Retinopathie)</w:t>
            </w:r>
          </w:p>
        </w:tc>
        <w:tc>
          <w:tcPr/>
          <w:p>
            <w:pPr>
              <w:pStyle w:val="Compact"/>
              <w:jc w:val="left"/>
            </w:pPr>
            <w:r>
              <w:t xml:space="preserve">sehr selten; rund 1,4 Fälle pro 10.000 Personenjahre zusätzlich</w:t>
            </w:r>
          </w:p>
        </w:tc>
        <w:tc>
          <w:tcPr/>
          <w:p>
            <w:pPr>
              <w:pStyle w:val="Compact"/>
              <w:jc w:val="left"/>
            </w:pPr>
            <w:r>
              <w:t xml:space="preserve">Semaglutid</w:t>
            </w:r>
          </w:p>
        </w:tc>
      </w:tr>
      <w:tr>
        <w:tc>
          <w:tcPr/>
          <w:p>
            <w:pPr>
              <w:pStyle w:val="Compact"/>
              <w:jc w:val="left"/>
            </w:pPr>
            <w:r>
              <w:t xml:space="preserve">Herz-Kreislauf, Wasser</w:t>
            </w:r>
          </w:p>
        </w:tc>
        <w:tc>
          <w:tcPr/>
          <w:p>
            <w:pPr>
              <w:pStyle w:val="Compact"/>
              <w:jc w:val="left"/>
            </w:pPr>
            <w:r>
              <w:t xml:space="preserve">GH-Freisetzer, Ibutamoren, Bremelanotid, Macimorelin, Oxytocin</w:t>
            </w:r>
          </w:p>
        </w:tc>
        <w:tc>
          <w:tcPr/>
          <w:p>
            <w:pPr>
              <w:pStyle w:val="Compact"/>
              <w:jc w:val="left"/>
            </w:pPr>
            <w:r>
              <w:t xml:space="preserve">Herzinsuffizienz-Signal, Blutdruckspitzen, QT-Verlängerung</w:t>
            </w:r>
          </w:p>
        </w:tc>
        <w:tc>
          <w:tcPr/>
          <w:p>
            <w:pPr>
              <w:pStyle w:val="Compact"/>
              <w:jc w:val="left"/>
            </w:pPr>
            <w:r>
              <w:t xml:space="preserve">Ibutamoren, Bremelanotid, Macimorelin</w:t>
            </w:r>
          </w:p>
        </w:tc>
      </w:tr>
      <w:tr>
        <w:tc>
          <w:tcPr/>
          <w:p>
            <w:pPr>
              <w:pStyle w:val="Compact"/>
              <w:jc w:val="left"/>
            </w:pPr>
            <w:r>
              <w:t xml:space="preserve">Psyche</w:t>
            </w:r>
          </w:p>
        </w:tc>
        <w:tc>
          <w:tcPr/>
          <w:p>
            <w:pPr>
              <w:pStyle w:val="Compact"/>
              <w:jc w:val="left"/>
            </w:pPr>
            <w:r>
              <w:t xml:space="preserve">GLP-1-Klasse (geprüft), Setmelanotid, Semax</w:t>
            </w:r>
          </w:p>
        </w:tc>
        <w:tc>
          <w:tcPr/>
          <w:p>
            <w:pPr>
              <w:pStyle w:val="Compact"/>
              <w:jc w:val="left"/>
            </w:pPr>
            <w:r>
              <w:t xml:space="preserve">kein erhöhtes Risiko in 86 RCTs</w:t>
            </w:r>
          </w:p>
        </w:tc>
        <w:tc>
          <w:tcPr/>
          <w:p>
            <w:pPr>
              <w:pStyle w:val="Compact"/>
              <w:jc w:val="left"/>
            </w:pPr>
            <w:r>
              <w:t xml:space="preserve">Semaglutid, Tirzepatid, Setmelanotid</w:t>
            </w:r>
          </w:p>
        </w:tc>
      </w:tr>
      <w:tr>
        <w:tc>
          <w:tcPr/>
          <w:p>
            <w:pPr>
              <w:pStyle w:val="Compact"/>
              <w:jc w:val="left"/>
            </w:pPr>
            <w:r>
              <w:t xml:space="preserve">Haut, Pigment</w:t>
            </w:r>
          </w:p>
        </w:tc>
        <w:tc>
          <w:tcPr/>
          <w:p>
            <w:pPr>
              <w:pStyle w:val="Compact"/>
              <w:jc w:val="left"/>
            </w:pPr>
            <w:r>
              <w:t xml:space="preserve">Melanotan II, Setmelanotid, Afamelanotid, Bremelanotid, LL-37</w:t>
            </w:r>
          </w:p>
        </w:tc>
        <w:tc>
          <w:tcPr/>
          <w:p>
            <w:pPr>
              <w:pStyle w:val="Compact"/>
              <w:jc w:val="left"/>
            </w:pPr>
            <w:r>
              <w:t xml:space="preserve">Pigmentierung bei Setmelanotid 62 %; Melanom-Fallberichte bei Melanotan II</w:t>
            </w:r>
          </w:p>
        </w:tc>
        <w:tc>
          <w:tcPr/>
          <w:p>
            <w:pPr>
              <w:pStyle w:val="Compact"/>
              <w:jc w:val="left"/>
            </w:pPr>
            <w:r>
              <w:t xml:space="preserve">Melanotan II, Setmelanotid</w:t>
            </w:r>
          </w:p>
        </w:tc>
      </w:tr>
      <w:tr>
        <w:tc>
          <w:tcPr/>
          <w:p>
            <w:pPr>
              <w:pStyle w:val="Compact"/>
              <w:jc w:val="left"/>
            </w:pPr>
            <w:r>
              <w:t xml:space="preserve">Hormonsystem</w:t>
            </w:r>
          </w:p>
        </w:tc>
        <w:tc>
          <w:tcPr/>
          <w:p>
            <w:pPr>
              <w:pStyle w:val="Compact"/>
              <w:jc w:val="left"/>
            </w:pPr>
            <w:r>
              <w:t xml:space="preserve">GHRP-2, GHRP-6, Hexarelin, Kisspeptin, Gonadorelin</w:t>
            </w:r>
          </w:p>
        </w:tc>
        <w:tc>
          <w:tcPr/>
          <w:p>
            <w:pPr>
              <w:pStyle w:val="Compact"/>
              <w:jc w:val="left"/>
            </w:pPr>
            <w:r>
              <w:t xml:space="preserve">Cortisol- und Prolaktinanstieg; Unterdrückung der Achse bei Dauergabe</w:t>
            </w:r>
          </w:p>
        </w:tc>
        <w:tc>
          <w:tcPr/>
          <w:p>
            <w:pPr>
              <w:pStyle w:val="Compact"/>
              <w:jc w:val="left"/>
            </w:pPr>
            <w:r>
              <w:t xml:space="preserve">Gruppe C, Kisspeptin</w:t>
            </w:r>
          </w:p>
        </w:tc>
      </w:tr>
      <w:tr>
        <w:tc>
          <w:tcPr/>
          <w:p>
            <w:pPr>
              <w:pStyle w:val="Compact"/>
              <w:jc w:val="left"/>
            </w:pPr>
            <w:r>
              <w:t xml:space="preserve">Blutzucker</w:t>
            </w:r>
          </w:p>
        </w:tc>
        <w:tc>
          <w:tcPr/>
          <w:p>
            <w:pPr>
              <w:pStyle w:val="Compact"/>
              <w:jc w:val="left"/>
            </w:pPr>
            <w:r>
              <w:t xml:space="preserve">Mecasermin, Pramlintid, GLP-1 mit Insulin/Sulfonylharnstoff; GH-Achse</w:t>
            </w:r>
          </w:p>
        </w:tc>
        <w:tc>
          <w:tcPr/>
          <w:p>
            <w:pPr>
              <w:pStyle w:val="Compact"/>
              <w:jc w:val="left"/>
            </w:pPr>
            <w:r>
              <w:t xml:space="preserve">Unterzuckerung bei 49 % unter Mecasermin; höherer Blutzucker unter Ibutamoren</w:t>
            </w:r>
          </w:p>
        </w:tc>
        <w:tc>
          <w:tcPr/>
          <w:p>
            <w:pPr>
              <w:pStyle w:val="Compact"/>
              <w:jc w:val="left"/>
            </w:pPr>
            <w:r>
              <w:t xml:space="preserve">Mecasermin, Pramlintid, Ibutamoren</w:t>
            </w:r>
          </w:p>
        </w:tc>
      </w:tr>
    </w:tbl>
    <w:bookmarkStart w:id="2614" w:name="magen-darm-trakt"/>
    <w:p>
      <w:pPr>
        <w:pStyle w:val="Heading3"/>
      </w:pPr>
      <w:r>
        <w:t xml:space="preserve">Magen-Darm-Trakt</w:t>
      </w:r>
    </w:p>
    <w:p>
      <w:pPr>
        <w:pStyle w:val="FirstParagraph"/>
      </w:pPr>
      <w:r>
        <w:t xml:space="preserve">Kein anderes Organsystem ist so häufig betroffen. Übelkeit, Erbrechen, Durchfall und Verstopfung sind die typischen Nebenwirkungen aller Medikamente, die am GLP-1-Rezeptor ansetzen – vom älteren Exenatid über Semaglutid und Tirzepatid bis zu den neuen Mehrfach-Agonisten. Eine Übersichtsarbeit, die 60 Meta-Analysen mit zusammen 1.751 randomisierten Studien zusammenfasste, fand die sichersten Signale genau hier: Die Chance (Odds) für Übelkeit war unter GLP-1-Rezeptor-Agonisten etwa zweieinhalbmal so hoch wie in den Vergleichsgruppen (Odds Ratio 2,47), für Erbrechen knapp dreimal (2,78) und für Durchfall etwa doppelt so hoch (1,94)</w:t>
      </w:r>
      <w:r>
        <w:rPr>
          <w:rStyle w:val="FootnoteReference"/>
        </w:rPr>
        <w:footnoteReference w:id="2605"/>
      </w:r>
      <w:r>
        <w:t xml:space="preserve">.</w:t>
      </w:r>
    </w:p>
    <w:p>
      <w:pPr>
        <w:pStyle w:val="BodyText"/>
      </w:pPr>
      <w:r>
        <w:t xml:space="preserve">Wie häufig die Beschwerden sind, hängt stark vom Wirkstoff, von der Dosis und vom Tempo der Dosissteigerung ab. Eine Netzwerk-Meta-Analyse von 39 Studien mit 33.354 Menschen mit Übergewicht ohne Diabetes fand für alle untersuchten Wirkstoffe ein erhöhtes Übelkeitsrisiko, am stärksten für Orforglipron, gefolgt von Exenatid, Tirzepatid, Semaglutid und Liraglutid</w:t>
      </w:r>
      <w:r>
        <w:rPr>
          <w:rStyle w:val="FootnoteReference"/>
        </w:rPr>
        <w:footnoteReference w:id="2606"/>
      </w:r>
      <w:r>
        <w:t xml:space="preserve">. Bei den Wirkstoffen mit zusätzlichem Glukagon-Anteil liegen die Raten besonders hoch: In der Fettleberstudie mit Survodutid hatten 66 % Übelkeit gegenüber 23 % unter Placebo</w:t>
      </w:r>
      <w:r>
        <w:rPr>
          <w:rStyle w:val="FootnoteReference"/>
        </w:rPr>
        <w:footnoteReference w:id="2607"/>
      </w:r>
      <w:r>
        <w:t xml:space="preserve">. Einzelheiten stehen in den Kapiteln Survodutid, Mazdutid und Retatrutid.</w:t>
      </w:r>
    </w:p>
    <w:p>
      <w:pPr>
        <w:pStyle w:val="BodyText"/>
      </w:pPr>
      <w:r>
        <w:t xml:space="preserve">Auch außerhalb der GLP-1-Gruppe ist Übelkeit häufig. Unter Bremelanotid trat sie in den Phase-3-Studien bei 40,0 % gegenüber 1,3 % unter Placebo auf und war der häufigste Abbruchgrund</w:t>
      </w:r>
      <w:r>
        <w:rPr>
          <w:rStyle w:val="FootnoteReference"/>
        </w:rPr>
        <w:footnoteReference w:id="2608"/>
      </w:r>
      <w:r>
        <w:t xml:space="preserve">. Unter Pramlintid berichteten 63 % über Übelkeit, unter Placebo 36 %</w:t>
      </w:r>
      <w:r>
        <w:rPr>
          <w:rStyle w:val="FootnoteReference"/>
        </w:rPr>
        <w:footnoteReference w:id="2609"/>
      </w:r>
      <w:r>
        <w:t xml:space="preserve">. Unter Setmelanotid waren es in einer Meta-Analyse von sieben Studien 36 %</w:t>
      </w:r>
      <w:r>
        <w:rPr>
          <w:rStyle w:val="FootnoteReference"/>
        </w:rPr>
        <w:footnoteReference w:id="2610"/>
      </w:r>
      <w:r>
        <w:t xml:space="preserve">.</w:t>
      </w:r>
    </w:p>
    <w:p>
      <w:pPr>
        <w:pStyle w:val="BodyText"/>
      </w:pPr>
      <w:r>
        <w:t xml:space="preserve">Wichtiger als die Häufigkeit der Übelkeit ist die Frage nach</w:t>
      </w:r>
      <w:r>
        <w:t xml:space="preserve"> </w:t>
      </w:r>
      <w:r>
        <w:rPr>
          <w:bCs/>
          <w:b/>
        </w:rPr>
        <w:t xml:space="preserve">schweren</w:t>
      </w:r>
      <w:r>
        <w:t xml:space="preserve"> </w:t>
      </w:r>
      <w:r>
        <w:t xml:space="preserve">Magen-Darm-Ereignissen. Eine Datenbankauswertung aus dem Jahr 2023 hatte für GLP-1-Rezeptor-Agonisten zur Gewichtsabnahme ein erhöhtes Risiko für Bauchspeicheldrüsenentzündung, Darmverschluss und Magenlähmung gemeldet</w:t>
      </w:r>
      <w:r>
        <w:rPr>
          <w:rStyle w:val="FootnoteReference"/>
        </w:rPr>
        <w:footnoteReference w:id="2611"/>
      </w:r>
      <w:r>
        <w:t xml:space="preserve">. Eine Meta-Analyse von 55 placebokontrollierten Studien mit 106.395 Teilnehmenden bestätigte das für die meisten dieser Ereignisse nicht. Erhöht waren Gallensteine (relatives Risiko 1,46; zwei zusätzliche Fälle pro 1.000 Behandelte) und wahrscheinlich die Refluxkrankheit (relatives Risiko 2,19; vier zusätzliche Fälle pro 1.000). Für Darmverschluss, Magenlähmung, Geschwüre oder Blutungen fand sich kein klarer Unterschied</w:t>
      </w:r>
      <w:r>
        <w:rPr>
          <w:rStyle w:val="FootnoteReference"/>
        </w:rPr>
        <w:footnoteReference w:id="2612"/>
      </w:r>
      <w:r>
        <w:t xml:space="preserve">. In einer Kohortenstudie mit Routinedaten unterschieden sich Tirzepatid und Semaglutid bei schweren Magen-Darm-Ereignissen kaum</w:t>
      </w:r>
      <w:r>
        <w:rPr>
          <w:rStyle w:val="FootnoteReference"/>
        </w:rPr>
        <w:footnoteReference w:id="2613"/>
      </w:r>
      <w:r>
        <w:t xml:space="preserve">.</w:t>
      </w:r>
    </w:p>
    <w:p>
      <w:pPr>
        <w:pStyle w:val="BodyText"/>
      </w:pPr>
      <w:r>
        <w:t xml:space="preserve">Praktisch bedeutsam ist, dass anhaltendes Erbrechen und Durchfall zu Flüssigkeitsverlust führen können. Die Beschwerden treten in den Studien vor allem in der Phase der Dosissteigerung auf; deshalb sehen die Fachinformationen der zugelassenen Mittel ein schrittweises Vorgehen vor, das ärztlich begleitet werden soll. Mit Graumarkt-Produkten, deren Inhalt nicht bekannt ist, lässt sich ein solches Schema nicht verlässlich einhalten (siehe Kapitel „Graumarkt-Produkte“).</w:t>
      </w:r>
    </w:p>
    <w:bookmarkEnd w:id="2614"/>
    <w:bookmarkStart w:id="2618" w:name="gallenblase-und-bauchspeicheldrüse"/>
    <w:p>
      <w:pPr>
        <w:pStyle w:val="Heading3"/>
      </w:pPr>
      <w:r>
        <w:t xml:space="preserve">Gallenblase und Bauchspeicheldrüse</w:t>
      </w:r>
    </w:p>
    <w:p>
      <w:pPr>
        <w:pStyle w:val="FirstParagraph"/>
      </w:pPr>
      <w:r>
        <w:t xml:space="preserve">Für die Gallenblase ist das Risiko inzwischen gut belegt. Eine Meta-Analyse von 76 randomisierten Studien mit 103.371 Teilnehmenden fand unter GLP-1-Rezeptor-Agonisten ein um 37 % erhöhtes relatives Risiko für Gallenblasen- und Gallenwegserkrankungen. In Studien zur Gewichtsabnahme war das relative Risiko mit 2,29 deutlich höher als in Diabetesstudien</w:t>
      </w:r>
      <w:r>
        <w:rPr>
          <w:rStyle w:val="FootnoteReference"/>
        </w:rPr>
        <w:footnoteReference w:id="2615"/>
      </w:r>
      <w:r>
        <w:t xml:space="preserve">. Ein Teil des Effekts dürfte auf die rasche Gewichtsabnahme selbst zurückgehen, die bekanntermaßen Gallensteine begünstigt. In STEP TEENS bekamen 5 von 133 Jugendlichen unter Semaglutid Gallensteine, unter Placebo niemand</w:t>
      </w:r>
      <w:r>
        <w:rPr>
          <w:rStyle w:val="FootnoteReference"/>
        </w:rPr>
        <w:footnoteReference w:id="2616"/>
      </w:r>
      <w:r>
        <w:t xml:space="preserve">.</w:t>
      </w:r>
    </w:p>
    <w:p>
      <w:pPr>
        <w:pStyle w:val="BodyText"/>
      </w:pPr>
      <w:r>
        <w:t xml:space="preserve">Bei der Bauchspeicheldrüse ist die Lage weniger eindeutig. Eine Meta-Analyse von 62 Studien mit 66.232 Teilnehmenden fand insgesamt ein leicht erhöhtes Risiko für eine Bauchspeicheldrüsenentzündung (relatives Risiko 1,44). Wurden die Studien danach getrennt, ob die Teilnehmenden zusätzlich andere Medikamente einnahmen, war der Unterschied in keiner der beiden Gruppen mehr statistisch gesichert</w:t>
      </w:r>
      <w:r>
        <w:rPr>
          <w:rStyle w:val="FootnoteReference"/>
        </w:rPr>
        <w:footnoteReference w:id="2617"/>
      </w:r>
      <w:r>
        <w:t xml:space="preserve">. Die absolute Häufigkeit ist gering; in den großen Endpunktstudien trat eine Pankreatitis selten auf. Die Fachinformationen führen sie als seltene Nebenwirkung. Starke, anhaltende Oberbauchschmerzen, oft in den Rücken ausstrahlend, gehören unter diesen Medikamenten immer ärztlich abgeklärt. Zur Frage nach Bauchspeicheldrüsenkrebs siehe das folgende Kapitel.</w:t>
      </w:r>
    </w:p>
    <w:bookmarkEnd w:id="2618"/>
    <w:bookmarkStart w:id="2620" w:name="schilddrüse"/>
    <w:p>
      <w:pPr>
        <w:pStyle w:val="Heading3"/>
      </w:pPr>
      <w:r>
        <w:t xml:space="preserve">Schilddrüse</w:t>
      </w:r>
    </w:p>
    <w:p>
      <w:pPr>
        <w:pStyle w:val="FirstParagraph"/>
      </w:pPr>
      <w:r>
        <w:t xml:space="preserve">Die Sorge um die Schilddrüse stammt aus Tierversuchen: Bei Ratten und Mäusen führten GLP-1-Rezeptor-Agonisten zu Wucherungen und Tumoren der C-Zellen, die das Hormon Calcitonin bilden. Beim Menschen sind die Daten uneinheitlich. Ein direkter Hinweis auf eine Reizung der C-Zellen wäre ein Anstieg des Calcitonins im Blut. In der Studie LEADER mit 9.340 Teilnehmenden unterschieden sich die Calcitoninwerte nach 36 Monaten zwischen Liraglutid und Placebo nicht, und unter Liraglutid trat kein medulläres Schilddrüsenkarzinom auf</w:t>
      </w:r>
      <w:r>
        <w:rPr>
          <w:rStyle w:val="FootnoteReference"/>
        </w:rPr>
        <w:footnoteReference w:id="2619"/>
      </w:r>
      <w:r>
        <w:t xml:space="preserve">. Wie die Krebsfrage insgesamt zu bewerten ist, behandelt das Kapitel „Krebsrisiko und Wachstumssignale“. Unabhängig davon sehen die Fachinformationen eine Gegenanzeige bei medullärem Schilddrüsenkarzinom in der eigenen oder familiären Vorgeschichte und beim MEN-2-Syndrom vor.</w:t>
      </w:r>
    </w:p>
    <w:bookmarkEnd w:id="2620"/>
    <w:bookmarkStart w:id="2628" w:name="augen-netzhaut-und-sehnerv"/>
    <w:p>
      <w:pPr>
        <w:pStyle w:val="Heading3"/>
      </w:pPr>
      <w:r>
        <w:t xml:space="preserve">Augen: Netzhaut und Sehnerv</w:t>
      </w:r>
    </w:p>
    <w:p>
      <w:pPr>
        <w:pStyle w:val="FirstParagraph"/>
      </w:pPr>
      <w:r>
        <w:t xml:space="preserve">Hier gibt es zwei unterschiedliche Fragen.</w:t>
      </w:r>
    </w:p>
    <w:p>
      <w:pPr>
        <w:pStyle w:val="BodyText"/>
      </w:pPr>
      <w:r>
        <w:rPr>
          <w:bCs/>
          <w:b/>
        </w:rPr>
        <w:t xml:space="preserve">Diabetische Retinopathie.</w:t>
      </w:r>
      <w:r>
        <w:t xml:space="preserve"> </w:t>
      </w:r>
      <w:r>
        <w:t xml:space="preserve">In SUSTAIN 6, einer Herz-Kreislauf-Studie mit 3.297 Menschen mit Typ-2-Diabetes, traten Komplikationen einer diabetischen Netzhauterkrankung unter Semaglutid häufiger auf als unter Placebo (Hazard Ratio 1,76)</w:t>
      </w:r>
      <w:r>
        <w:rPr>
          <w:rStyle w:val="FootnoteReference"/>
        </w:rPr>
        <w:footnoteReference w:id="2621"/>
      </w:r>
      <w:r>
        <w:t xml:space="preserve">. Vermutet wird, dass eine sehr rasche Senkung des Blutzuckers eine bereits bestehende Retinopathie vorübergehend verschlechtert – ein Phänomen, das auch von Insulin bekannt ist. Eine Meta-Analyse von 78 Studien mit 73.640 Teilnehmenden fand insgesamt kein erhöhtes Risiko für diabetische Retinopathie (Odds Ratio 1,04) oder Augenerkrankungen allgemein</w:t>
      </w:r>
      <w:r>
        <w:rPr>
          <w:rStyle w:val="FootnoteReference"/>
        </w:rPr>
        <w:footnoteReference w:id="2622"/>
      </w:r>
      <w:r>
        <w:t xml:space="preserve">. Für Menschen mit bekannter Retinopathie bleibt die augenärztliche Begleitung trotzdem sinnvoll.</w:t>
      </w:r>
    </w:p>
    <w:p>
      <w:pPr>
        <w:pStyle w:val="BodyText"/>
      </w:pPr>
      <w:r>
        <w:rPr>
          <w:bCs/>
          <w:b/>
        </w:rPr>
        <w:t xml:space="preserve">NAION.</w:t>
      </w:r>
      <w:r>
        <w:t xml:space="preserve"> </w:t>
      </w:r>
      <w:r>
        <w:t xml:space="preserve">Die nicht-arteriitische anteriore ischämische Optikusneuropathie ist eine Durchblutungsstörung am Sehnervenkopf, die meist schmerzlos zu plötzlichem Sehverlust auf einem Auge führt. Seit einer ersten Studie aus einer neuroophthalmologischen Klinik</w:t>
      </w:r>
      <w:r>
        <w:rPr>
          <w:rStyle w:val="FootnoteReference"/>
        </w:rPr>
        <w:footnoteReference w:id="2623"/>
      </w:r>
      <w:r>
        <w:t xml:space="preserve"> </w:t>
      </w:r>
      <w:r>
        <w:t xml:space="preserve">sind viele weitere Untersuchungen erschienen, mit unterschiedlichen Ergebnissen:</w:t>
      </w:r>
    </w:p>
    <w:p>
      <w:pPr>
        <w:numPr>
          <w:ilvl w:val="0"/>
          <w:numId w:val="1337"/>
        </w:numPr>
        <w:pStyle w:val="Compact"/>
      </w:pPr>
      <w:r>
        <w:t xml:space="preserve">Die dänisch-norwegische Registerstudie fand ein erhöhtes relatives Risiko (Hazard Ratio 2,81), absolut rund 1,4 zusätzliche Fälle pro 10.000 Personenjahre</w:t>
      </w:r>
      <w:r>
        <w:rPr>
          <w:rStyle w:val="FootnoteReference"/>
        </w:rPr>
        <w:footnoteReference w:id="2624"/>
      </w:r>
      <w:r>
        <w:t xml:space="preserve">.</w:t>
      </w:r>
    </w:p>
    <w:p>
      <w:pPr>
        <w:numPr>
          <w:ilvl w:val="0"/>
          <w:numId w:val="1337"/>
        </w:numPr>
        <w:pStyle w:val="Compact"/>
      </w:pPr>
      <w:r>
        <w:t xml:space="preserve">In einer US-Kohorte mit 159.398 Menschen mit Typ-2-Diabetes erkrankten in zwei Jahren 0,04 % unter Semaglutid oder Tirzepatid und 0,02 % in der Vergleichsgruppe (Hazard Ratio 1,76)</w:t>
      </w:r>
      <w:r>
        <w:rPr>
          <w:rStyle w:val="FootnoteReference"/>
        </w:rPr>
        <w:footnoteReference w:id="2625"/>
      </w:r>
      <w:r>
        <w:t xml:space="preserve">.</w:t>
      </w:r>
    </w:p>
    <w:p>
      <w:pPr>
        <w:numPr>
          <w:ilvl w:val="0"/>
          <w:numId w:val="1337"/>
        </w:numPr>
        <w:pStyle w:val="Compact"/>
      </w:pPr>
      <w:r>
        <w:t xml:space="preserve">Eine internationale Datenbankstudie mit fast 300.000 Personen fand keinen gesicherten Zusammenhang</w:t>
      </w:r>
      <w:r>
        <w:rPr>
          <w:rStyle w:val="FootnoteReference"/>
        </w:rPr>
        <w:footnoteReference w:id="2626"/>
      </w:r>
      <w:r>
        <w:t xml:space="preserve">.</w:t>
      </w:r>
    </w:p>
    <w:p>
      <w:pPr>
        <w:numPr>
          <w:ilvl w:val="0"/>
          <w:numId w:val="1337"/>
        </w:numPr>
        <w:pStyle w:val="Compact"/>
      </w:pPr>
      <w:r>
        <w:t xml:space="preserve">Eine Meta-Analyse sah das Signal nur in Beobachtungsstudien bei Diabetes, nicht in randomisierten Studien und nicht bei Adipositas</w:t>
      </w:r>
      <w:r>
        <w:rPr>
          <w:rStyle w:val="FootnoteReference"/>
        </w:rPr>
        <w:footnoteReference w:id="2627"/>
      </w:r>
      <w:r>
        <w:t xml:space="preserve">.</w:t>
      </w:r>
    </w:p>
    <w:p>
      <w:pPr>
        <w:pStyle w:val="FirstParagraph"/>
      </w:pPr>
      <w:r>
        <w:t xml:space="preserve">Zusammengefasst: Ein kleines erhöhtes Risiko ist möglich, die absolute Häufigkeit sehr gering. Die Europäische Arzneimittel-Agentur hat NAION 2025 als sehr seltene Nebenwirkung von Semaglutid in die Fachinformation aufgenommen. Plötzlicher Sehverlust ist in jedem Fall ein Notfall. Details im Kapitel Semaglutid.</w:t>
      </w:r>
    </w:p>
    <w:bookmarkEnd w:id="2628"/>
    <w:bookmarkStart w:id="2637" w:name="herz-kreislauf-und-wassereinlagerung"/>
    <w:p>
      <w:pPr>
        <w:pStyle w:val="Heading3"/>
      </w:pPr>
      <w:r>
        <w:t xml:space="preserve">Herz-Kreislauf und Wassereinlagerung</w:t>
      </w:r>
    </w:p>
    <w:p>
      <w:pPr>
        <w:pStyle w:val="FirstParagraph"/>
      </w:pPr>
      <w:r>
        <w:t xml:space="preserve">Bei den GLP-1-Medikamenten überwiegt nach heutigem Wissen der Nutzen für Herz und Gefäße: In SUSTAIN 6 traten schwere Herz-Kreislauf-Ereignisse unter Semaglutid seltener auf (6,6 % gegenüber 8,9 %)</w:t>
      </w:r>
      <w:r>
        <w:rPr>
          <w:rStyle w:val="FootnoteReference"/>
        </w:rPr>
        <w:footnoteReference w:id="2629"/>
      </w:r>
      <w:r>
        <w:t xml:space="preserve">. Ein leichter Anstieg des Ruhepulses ist aber eine Klasseneigenschaft und bei den neuen Mehrfach-Agonisten teils stärker ausgeprägt. Unter Retatrutid trat in TRIUMPH-2 außerdem niedriger Blutdruck bei 1 bis 6 % auf, unter Placebo bei unter 1 %</w:t>
      </w:r>
      <w:r>
        <w:rPr>
          <w:rStyle w:val="FootnoteReference"/>
        </w:rPr>
        <w:footnoteReference w:id="2630"/>
      </w:r>
      <w:r>
        <w:t xml:space="preserve">. Siehe Kapitel Retatrutid und Survodutid.</w:t>
      </w:r>
    </w:p>
    <w:p>
      <w:pPr>
        <w:pStyle w:val="BodyText"/>
      </w:pPr>
      <w:r>
        <w:t xml:space="preserve">Ein ganz anderes Muster zeigt die</w:t>
      </w:r>
      <w:r>
        <w:t xml:space="preserve"> </w:t>
      </w:r>
      <w:r>
        <w:rPr>
          <w:bCs/>
          <w:b/>
        </w:rPr>
        <w:t xml:space="preserve">Wachstumshormon-Achse</w:t>
      </w:r>
      <w:r>
        <w:t xml:space="preserve">. Wachstumshormon hält Wasser im Körper zurück. In einer Übersicht über Studien mit gesunden älteren Menschen traten unter Wachstumshormon häufiger Gewebeschwellungen, Gelenkschmerzen, Karpaltunnelsyndrom und Brustvergrößerung bei Männern auf</w:t>
      </w:r>
      <w:r>
        <w:rPr>
          <w:rStyle w:val="FootnoteReference"/>
        </w:rPr>
        <w:footnoteReference w:id="2631"/>
      </w:r>
      <w:r>
        <w:t xml:space="preserve">. Für die Freisetzer, die die körpereigene Ausschüttung anregen, ist ein ähnliches Muster zu erwarten. Am deutlichsten wurde es beim oralen Ibutamoren: Eine Studie bei älteren Menschen nach Hüftbruch wurde wegen eines Signals für Herzschwäche vorzeitig beendet</w:t>
      </w:r>
      <w:r>
        <w:rPr>
          <w:rStyle w:val="FootnoteReference"/>
        </w:rPr>
        <w:footnoteReference w:id="2632"/>
      </w:r>
      <w:r>
        <w:t xml:space="preserve">. Ein Herz, das bereits geschwächt ist, verkraftet zusätzliche Flüssigkeit schlecht.</w:t>
      </w:r>
    </w:p>
    <w:p>
      <w:pPr>
        <w:pStyle w:val="BodyText"/>
      </w:pPr>
      <w:r>
        <w:t xml:space="preserve">Weitere Einzelbefunde:</w:t>
      </w:r>
    </w:p>
    <w:p>
      <w:pPr>
        <w:numPr>
          <w:ilvl w:val="0"/>
          <w:numId w:val="1338"/>
        </w:numPr>
        <w:pStyle w:val="Compact"/>
      </w:pPr>
      <w:r>
        <w:rPr>
          <w:bCs/>
          <w:b/>
        </w:rPr>
        <w:t xml:space="preserve">Bremelanotid</w:t>
      </w:r>
      <w:r>
        <w:t xml:space="preserve"> </w:t>
      </w:r>
      <w:r>
        <w:t xml:space="preserve">erhöhte den oberen Blutdruckwert nach der Gabe vorübergehend um 2,4 bis 3,2 mmHg; die Spitzen dauerten meist weniger als 15 Minuten, gleichzeitig sank der Puls</w:t>
      </w:r>
      <w:r>
        <w:rPr>
          <w:rStyle w:val="FootnoteReference"/>
        </w:rPr>
        <w:footnoteReference w:id="2633"/>
      </w:r>
      <w:r>
        <w:t xml:space="preserve">.</w:t>
      </w:r>
    </w:p>
    <w:p>
      <w:pPr>
        <w:numPr>
          <w:ilvl w:val="0"/>
          <w:numId w:val="1338"/>
        </w:numPr>
        <w:pStyle w:val="Compact"/>
      </w:pPr>
      <w:r>
        <w:rPr>
          <w:bCs/>
          <w:b/>
        </w:rPr>
        <w:t xml:space="preserve">Macimorelin</w:t>
      </w:r>
      <w:r>
        <w:t xml:space="preserve"> </w:t>
      </w:r>
      <w:r>
        <w:t xml:space="preserve">verlängerte in einer bewusst überhöhten Einzeldosis die QT-Zeit im EKG im Mittel um bis zu 9,61 Millisekunden</w:t>
      </w:r>
      <w:r>
        <w:rPr>
          <w:rStyle w:val="FootnoteReference"/>
        </w:rPr>
        <w:footnoteReference w:id="2634"/>
      </w:r>
      <w:r>
        <w:t xml:space="preserve"> </w:t>
      </w:r>
      <w:r>
        <w:t xml:space="preserve">– relevant für Menschen, die andere QT-verlängernde Medikamente einnehmen.</w:t>
      </w:r>
    </w:p>
    <w:p>
      <w:pPr>
        <w:numPr>
          <w:ilvl w:val="0"/>
          <w:numId w:val="1338"/>
        </w:numPr>
        <w:pStyle w:val="Compact"/>
      </w:pPr>
      <w:r>
        <w:rPr>
          <w:bCs/>
          <w:b/>
        </w:rPr>
        <w:t xml:space="preserve">Oxytocin</w:t>
      </w:r>
      <w:r>
        <w:t xml:space="preserve"> </w:t>
      </w:r>
      <w:r>
        <w:t xml:space="preserve">ähnelt chemisch dem Wasserhaushalts-Hormon Vasopressin. Beschrieben ist ein Fall erhöhten Hirndrucks unter Oxytocin-Nasenspray bei gleichzeitig sehr hoher Trinkmenge</w:t>
      </w:r>
      <w:r>
        <w:rPr>
          <w:rStyle w:val="FootnoteReference"/>
        </w:rPr>
        <w:footnoteReference w:id="2635"/>
      </w:r>
      <w:r>
        <w:t xml:space="preserve">.</w:t>
      </w:r>
    </w:p>
    <w:p>
      <w:pPr>
        <w:numPr>
          <w:ilvl w:val="0"/>
          <w:numId w:val="1338"/>
        </w:numPr>
        <w:pStyle w:val="Compact"/>
      </w:pPr>
      <w:r>
        <w:rPr>
          <w:bCs/>
          <w:b/>
        </w:rPr>
        <w:t xml:space="preserve">Melanotan II:</w:t>
      </w:r>
      <w:r>
        <w:t xml:space="preserve"> </w:t>
      </w:r>
      <w:r>
        <w:t xml:space="preserve">Fallberichte über Muskelzerfall mit Nierenschädigung</w:t>
      </w:r>
      <w:r>
        <w:rPr>
          <w:rStyle w:val="FootnoteReference"/>
        </w:rPr>
        <w:footnoteReference w:id="2636"/>
      </w:r>
      <w:r>
        <w:t xml:space="preserve"> </w:t>
      </w:r>
      <w:r>
        <w:t xml:space="preserve">und einen Niereninfarkt; siehe Kapitel Melanotan II.</w:t>
      </w:r>
    </w:p>
    <w:bookmarkEnd w:id="2637"/>
    <w:bookmarkStart w:id="2642" w:name="psyche-und-suizidalität"/>
    <w:p>
      <w:pPr>
        <w:pStyle w:val="Heading3"/>
      </w:pPr>
      <w:r>
        <w:t xml:space="preserve">Psyche und Suizidalität</w:t>
      </w:r>
    </w:p>
    <w:p>
      <w:pPr>
        <w:pStyle w:val="FirstParagraph"/>
      </w:pPr>
      <w:r>
        <w:t xml:space="preserve">2023 lösten Einzelmeldungen über Suizidgedanken unter Semaglutid und Liraglutid behördliche Prüfungen in Europa und den USA aus. Die Datenlage ist inzwischen deutlich besser und überwiegend beruhigend. Eine Meta-Analyse von 86 randomisierten Studien mit 133.378 Teilnehmenden fand unter GLP-1-Rezeptor-Agonisten kein erhöhtes Risiko für psychische Erkrankungen insgesamt (relatives Risiko 0,96), für Depression (0,88), Suizid (0,90) oder Angststörungen (0,92)</w:t>
      </w:r>
      <w:r>
        <w:rPr>
          <w:rStyle w:val="FootnoteReference"/>
        </w:rPr>
        <w:footnoteReference w:id="2638"/>
      </w:r>
      <w:r>
        <w:t xml:space="preserve">. In einer skandinavischen Registerstudie mit 124.517 Personen unter GLP-1-Rezeptor-Agonisten war das Risiko für Suizid gegenüber einem anderen Diabetesmittel nicht erhöht; die Obergrenze des Vertrauensbereichs entsprach höchstens 0,16 zusätzlichen Todesfällen pro 1.000 Personenjahre</w:t>
      </w:r>
      <w:r>
        <w:rPr>
          <w:rStyle w:val="FootnoteReference"/>
        </w:rPr>
        <w:footnoteReference w:id="2639"/>
      </w:r>
      <w:r>
        <w:t xml:space="preserve">. In den SURMOUNT-Studien gaben unter Tirzepatid und Placebo jeweils 0,6 % Suizidgedanken an</w:t>
      </w:r>
      <w:r>
        <w:rPr>
          <w:rStyle w:val="FootnoteReference"/>
        </w:rPr>
        <w:footnoteReference w:id="2640"/>
      </w:r>
      <w:r>
        <w:t xml:space="preserve">. Auch bei Jugendlichen fand eine Meta-Analyse keine Zunahme von Suizidverhalten oder Depression</w:t>
      </w:r>
      <w:r>
        <w:rPr>
          <w:rStyle w:val="FootnoteReference"/>
        </w:rPr>
        <w:footnoteReference w:id="2641"/>
      </w:r>
      <w:r>
        <w:t xml:space="preserve">.</w:t>
      </w:r>
    </w:p>
    <w:p>
      <w:pPr>
        <w:pStyle w:val="BodyText"/>
      </w:pPr>
      <w:r>
        <w:t xml:space="preserve">Eine Einschränkung bleibt: Menschen mit schweren psychischen Erkrankungen waren in vielen Studien ausgeschlossen. Für sie und für Menschen mit Essstörungen gelten eigene Überlegungen (siehe Kapitel „Wechselwirkungen und besondere Risikogruppen“).</w:t>
      </w:r>
    </w:p>
    <w:p>
      <w:pPr>
        <w:pStyle w:val="BodyText"/>
      </w:pPr>
      <w:r>
        <w:t xml:space="preserve">Andere Peptide wirken direkter auf das Gehirn. Die Fachinformation von Setmelanotid enthält Hinweise auf Depression und Suizidgedanken (Kapitel Setmelanotid). Für Semax ist bei einzelnen Personen mit vorgeschädigtem Gehirn eine anfallsartige EEG-Veränderung beschrieben (Kapitel Semax). Bei den meisten „Nootropika-Peptiden“ aus Gruppe D gibt es schlicht keine systematischen Daten zu psychischen Nebenwirkungen.</w:t>
      </w:r>
    </w:p>
    <w:bookmarkEnd w:id="2642"/>
    <w:bookmarkStart w:id="2650" w:name="haut-und-pigment"/>
    <w:p>
      <w:pPr>
        <w:pStyle w:val="Heading3"/>
      </w:pPr>
      <w:r>
        <w:t xml:space="preserve">Haut und Pigment</w:t>
      </w:r>
    </w:p>
    <w:p>
      <w:pPr>
        <w:pStyle w:val="FirstParagraph"/>
      </w:pPr>
      <w:r>
        <w:t xml:space="preserve">Die auffälligsten Hautveränderungen verursachen Peptide, die am</w:t>
      </w:r>
      <w:r>
        <w:t xml:space="preserve"> </w:t>
      </w:r>
      <w:r>
        <w:rPr>
          <w:bCs/>
          <w:b/>
        </w:rPr>
        <w:t xml:space="preserve">Melanocortin-1-Rezeptor</w:t>
      </w:r>
      <w:r>
        <w:t xml:space="preserve"> </w:t>
      </w:r>
      <w:r>
        <w:t xml:space="preserve">der Pigmentzellen wirken. Bei Setmelanotid, das eigentlich am Melanocortin-4-Rezeptor im Gehirn ansetzen soll, wurde die Haut in einer Meta-Analyse bei 62 % der Behandelten dunkler</w:t>
      </w:r>
      <w:r>
        <w:rPr>
          <w:rStyle w:val="FootnoteReference"/>
        </w:rPr>
        <w:footnoteReference w:id="2643"/>
      </w:r>
      <w:r>
        <w:t xml:space="preserve">. In einer Beobachtung über bis zu 46 Monate dunkelten auch Lippen und Muttermale nach, rote Haare wurden braun; bösartige Hautveränderungen traten nicht auf</w:t>
      </w:r>
      <w:r>
        <w:rPr>
          <w:rStyle w:val="FootnoteReference"/>
        </w:rPr>
        <w:footnoteReference w:id="2644"/>
      </w:r>
      <w:r>
        <w:t xml:space="preserve">. Bremelanotid verursachte bei Gabe an bis zu 16 aufeinanderfolgenden Tagen bei mehr als einem Drittel der Teilnehmenden umschriebene dunkle Flecken</w:t>
      </w:r>
      <w:r>
        <w:rPr>
          <w:rStyle w:val="FootnoteReference"/>
        </w:rPr>
        <w:footnoteReference w:id="2645"/>
      </w:r>
      <w:r>
        <w:t xml:space="preserve">.</w:t>
      </w:r>
    </w:p>
    <w:p>
      <w:pPr>
        <w:pStyle w:val="BodyText"/>
      </w:pPr>
      <w:r>
        <w:t xml:space="preserve">Beim nicht zugelassenen Melanotan II kommen neu auftretende, teils auffällige Muttermale hinzu. Eine Übersicht über alle veröffentlichten Fälle plötzlich auftretender Muttermale mit 179 Betroffenen nannte Melanotan unter den Auslösern; 16 % aller Fälle hatten mindestens ein feingeweblich auffälliges (dysplastisches) Muttermal</w:t>
      </w:r>
      <w:r>
        <w:rPr>
          <w:rStyle w:val="FootnoteReference"/>
        </w:rPr>
        <w:footnoteReference w:id="2646"/>
      </w:r>
      <w:r>
        <w:t xml:space="preserve">. Ob daraus ein höheres Melanomrisiko folgt, behandelt das nächste Kapitel.</w:t>
      </w:r>
    </w:p>
    <w:p>
      <w:pPr>
        <w:pStyle w:val="BodyText"/>
      </w:pPr>
      <w:r>
        <w:t xml:space="preserve">Bei den GLP-1-Medikamenten stehen andere Hautbefunde im Vordergrund. Eine systematische Übersicht nennt Reaktionen an der Einstichstelle am häufigsten unter Tirzepatid (2 bis 7 %) und Missempfindungen der Haut (Dysästhesie) vor allem unter Semaglutid: bei Standarddosen bei etwa 5 %, bei den hohen Adipositas-Dosen bei bis zu 20 %</w:t>
      </w:r>
      <w:r>
        <w:rPr>
          <w:rStyle w:val="FootnoteReference"/>
        </w:rPr>
        <w:footnoteReference w:id="2647"/>
      </w:r>
      <w:r>
        <w:t xml:space="preserve">. Unter Retatrutid trat Dysästhesie in TRIUMPH-2 dosisabhängig bei 4 bis 7 % auf, unter Placebo bei 1 %</w:t>
      </w:r>
      <w:r>
        <w:rPr>
          <w:rStyle w:val="FootnoteReference"/>
        </w:rPr>
        <w:footnoteReference w:id="2648"/>
      </w:r>
      <w:r>
        <w:t xml:space="preserve">. Reaktionen an der Einstichstelle und Allergien werden im Kapitel „Immunreaktionen und Antikörper“ zusammengefasst.</w:t>
      </w:r>
    </w:p>
    <w:p>
      <w:pPr>
        <w:pStyle w:val="BodyText"/>
      </w:pPr>
      <w:r>
        <w:t xml:space="preserve">Ein Sonderfall ist LL-37: Nach Injektionen in Hautmetastasen traten bei einer Patientin zahlreiche warzenartige, zunächst für Krebs gehaltene Hautveränderungen auf, die sich nach dem Absetzen zurückbildeten</w:t>
      </w:r>
      <w:r>
        <w:rPr>
          <w:rStyle w:val="FootnoteReference"/>
        </w:rPr>
        <w:footnoteReference w:id="2649"/>
      </w:r>
      <w:r>
        <w:t xml:space="preserve">. Zu Glutathion-Injektionen zur Hautaufhellung haben Behörden mehrfach gewarnt (Kapitel Glutathion).</w:t>
      </w:r>
    </w:p>
    <w:bookmarkEnd w:id="2650"/>
    <w:bookmarkStart w:id="2654" w:name="hormonsystem"/>
    <w:p>
      <w:pPr>
        <w:pStyle w:val="Heading3"/>
      </w:pPr>
      <w:r>
        <w:t xml:space="preserve">Hormonsystem</w:t>
      </w:r>
    </w:p>
    <w:p>
      <w:pPr>
        <w:pStyle w:val="FirstParagraph"/>
      </w:pPr>
      <w:r>
        <w:t xml:space="preserve">Viele Peptide sind selbst Hormone oder ahmen Hormone nach. Es überrascht daher nicht, dass sie in Regelkreise eingreifen, die über das eigentliche Ziel hinausgehen.</w:t>
      </w:r>
    </w:p>
    <w:p>
      <w:pPr>
        <w:numPr>
          <w:ilvl w:val="0"/>
          <w:numId w:val="1339"/>
        </w:numPr>
        <w:pStyle w:val="Compact"/>
      </w:pPr>
      <w:r>
        <w:rPr>
          <w:bCs/>
          <w:b/>
        </w:rPr>
        <w:t xml:space="preserve">Stresshormone und Prolaktin:</w:t>
      </w:r>
      <w:r>
        <w:t xml:space="preserve"> </w:t>
      </w:r>
      <w:r>
        <w:t xml:space="preserve">Die Ghrelin-Mimetika GHRP-2, GHRP-6, Hexarelin und Macimorelin setzen neben Wachstumshormon auch ACTH und Cortisol frei, einige zusätzlich Prolaktin. Beim GHRP-2 ist dieser Effekt so verlässlich, dass er als Test für die Nebennierenachse untersucht wurde</w:t>
      </w:r>
      <w:r>
        <w:rPr>
          <w:rStyle w:val="FootnoteReference"/>
        </w:rPr>
        <w:footnoteReference w:id="2651"/>
      </w:r>
      <w:r>
        <w:t xml:space="preserve">. Was eine wiederholte Stimulation über Monate bewirkt, ist nicht untersucht (Kapitel GHRP-2, GHRP-6, Hexarelin).</w:t>
      </w:r>
    </w:p>
    <w:p>
      <w:pPr>
        <w:numPr>
          <w:ilvl w:val="0"/>
          <w:numId w:val="1339"/>
        </w:numPr>
        <w:pStyle w:val="Compact"/>
      </w:pPr>
      <w:r>
        <w:rPr>
          <w:bCs/>
          <w:b/>
        </w:rPr>
        <w:t xml:space="preserve">Unterdrückung statt Anregung:</w:t>
      </w:r>
      <w:r>
        <w:t xml:space="preserve"> </w:t>
      </w:r>
      <w:r>
        <w:t xml:space="preserve">Hormone, die im Körper in Stößen ausgeschüttet werden, wirken bei Dauergabe oft gegenteilig. Beim Kisspeptin-Analogon TAK-448 fiel Testosteron bei gesunden Männern unter einer 14-tägigen Dauerinfusion bis in den Kastrationsbereich</w:t>
      </w:r>
      <w:r>
        <w:rPr>
          <w:rStyle w:val="FootnoteReference"/>
        </w:rPr>
        <w:footnoteReference w:id="2652"/>
      </w:r>
      <w:r>
        <w:t xml:space="preserve">. Dasselbe Prinzip gilt für Gonadorelin, wenn es nicht im richtigen Rhythmus gegeben wird (Kapitel Kisspeptin, Gonadorelin).</w:t>
      </w:r>
    </w:p>
    <w:p>
      <w:pPr>
        <w:numPr>
          <w:ilvl w:val="0"/>
          <w:numId w:val="1339"/>
        </w:numPr>
        <w:pStyle w:val="Compact"/>
      </w:pPr>
      <w:r>
        <w:rPr>
          <w:bCs/>
          <w:b/>
        </w:rPr>
        <w:t xml:space="preserve">Brustvergrößerung bei Männern</w:t>
      </w:r>
      <w:r>
        <w:t xml:space="preserve"> </w:t>
      </w:r>
      <w:r>
        <w:t xml:space="preserve">ist eine bekannte Folge einer erhöhten Wachstumshormon-Wirkung</w:t>
      </w:r>
      <w:r>
        <w:rPr>
          <w:rStyle w:val="FootnoteReference"/>
        </w:rPr>
        <w:footnoteReference w:id="2653"/>
      </w:r>
      <w:r>
        <w:t xml:space="preserve">.</w:t>
      </w:r>
    </w:p>
    <w:p>
      <w:pPr>
        <w:numPr>
          <w:ilvl w:val="0"/>
          <w:numId w:val="1339"/>
        </w:numPr>
        <w:pStyle w:val="Compact"/>
      </w:pPr>
      <w:r>
        <w:rPr>
          <w:bCs/>
          <w:b/>
        </w:rPr>
        <w:t xml:space="preserve">Sexualfunktion:</w:t>
      </w:r>
      <w:r>
        <w:t xml:space="preserve"> </w:t>
      </w:r>
      <w:r>
        <w:t xml:space="preserve">Melanocortin-Agonisten können spontane Erektionen auslösen; bei Melanotan II sind Fälle von Priapismus, einer schmerzhaften Dauererektion, beschrieben (Kapitel Melanotan II, Setmelanotid).</w:t>
      </w:r>
    </w:p>
    <w:bookmarkEnd w:id="2654"/>
    <w:bookmarkStart w:id="2660" w:name="blutzucker"/>
    <w:p>
      <w:pPr>
        <w:pStyle w:val="Heading3"/>
      </w:pPr>
      <w:r>
        <w:t xml:space="preserve">Blutzucker</w:t>
      </w:r>
    </w:p>
    <w:p>
      <w:pPr>
        <w:pStyle w:val="FirstParagraph"/>
      </w:pPr>
      <w:r>
        <w:t xml:space="preserve">Peptide können den Blutzucker in beide Richtungen verschieben – und beide Richtungen sind relevant.</w:t>
      </w:r>
    </w:p>
    <w:p>
      <w:pPr>
        <w:pStyle w:val="BodyText"/>
      </w:pPr>
      <w:r>
        <w:rPr>
          <w:bCs/>
          <w:b/>
        </w:rPr>
        <w:t xml:space="preserve">Unterzuckerung (Hypoglykämie).</w:t>
      </w:r>
      <w:r>
        <w:t xml:space="preserve"> </w:t>
      </w:r>
      <w:r>
        <w:t xml:space="preserve">Das größte Risiko hat Mecasermin, also IGF-1 als Medikament: In einer Langzeitstudie mit 76 Kindern war Unterzuckerung mit 49 % die häufigste Nebenwirkung</w:t>
      </w:r>
      <w:r>
        <w:rPr>
          <w:rStyle w:val="FootnoteReference"/>
        </w:rPr>
        <w:footnoteReference w:id="2655"/>
      </w:r>
      <w:r>
        <w:t xml:space="preserve">. Für das Laborpräparat IGF-1 LR3 ist ein ähnliches oder stärkeres Risiko biologisch plausibel, aber nie gemessen worden (Kapitel IGF-1 LR3). Pramlintid verstärkt die Wirkung von gleichzeitig gespritztem Insulin; schwere Unterzuckerungen waren in einer Studie häufiger als unter Placebo (0,57 gegenüber 0,30 Ereignisse pro Patientenjahr)</w:t>
      </w:r>
      <w:r>
        <w:rPr>
          <w:rStyle w:val="FootnoteReference"/>
        </w:rPr>
        <w:footnoteReference w:id="2656"/>
      </w:r>
      <w:r>
        <w:t xml:space="preserve">. GLP-1-Medikamente allein senken den Blutzucker kaum bis in den gefährlichen Bereich, weil ihre Wirkung an den Blutzucker gekoppelt ist. In Kombination mit Sulfonylharnstoffen oder Insulin steigt das Risiko aber: Unter Exenatid zusätzlich zu Metformin und einem Sulfonylharnstoff traten leichte bis mittelschwere Unterzuckerungen bei 28 % beziehungsweise 19 % auf, unter Placebo bei 13 %</w:t>
      </w:r>
      <w:r>
        <w:rPr>
          <w:rStyle w:val="FootnoteReference"/>
        </w:rPr>
        <w:footnoteReference w:id="2657"/>
      </w:r>
      <w:r>
        <w:t xml:space="preserve">. Mehr dazu im Kapitel „Wechselwirkungen und besondere Risikogruppen“.</w:t>
      </w:r>
    </w:p>
    <w:p>
      <w:pPr>
        <w:pStyle w:val="BodyText"/>
      </w:pPr>
      <w:r>
        <w:t xml:space="preserve">Eine schwere Unterzuckerung nach einer vermeintlichen „Abnehmspritze“ bei einem Menschen ohne Diabetes ist ein Warnsignal für eine Fälschung mit Insulin. Die Fälle sind in Teil I im Kapitel „Der Graumarkt“ beschrieben.</w:t>
      </w:r>
    </w:p>
    <w:p>
      <w:pPr>
        <w:pStyle w:val="BodyText"/>
      </w:pPr>
      <w:r>
        <w:rPr>
          <w:bCs/>
          <w:b/>
        </w:rPr>
        <w:t xml:space="preserve">Höherer Blutzucker.</w:t>
      </w:r>
      <w:r>
        <w:t xml:space="preserve"> </w:t>
      </w:r>
      <w:r>
        <w:t xml:space="preserve">Wachstumshormon wirkt dem Insulin entgegen. Unter Ibutamoren stieg der Nüchternblutzucker bei gesunden älteren Menschen im Mittel um 0,3 mmol/l, das Körpergewicht um 2,7 kg gegenüber 0,8 kg unter Placebo</w:t>
      </w:r>
      <w:r>
        <w:rPr>
          <w:rStyle w:val="FootnoteReference"/>
        </w:rPr>
        <w:footnoteReference w:id="2658"/>
      </w:r>
      <w:r>
        <w:t xml:space="preserve">. In der Übersicht zu Wachstumshormon bei älteren Menschen traten etwas häufiger ein neuer Diabetes und ein gestörter Nüchternzucker auf</w:t>
      </w:r>
      <w:r>
        <w:rPr>
          <w:rStyle w:val="FootnoteReference"/>
        </w:rPr>
        <w:footnoteReference w:id="2659"/>
      </w:r>
      <w:r>
        <w:t xml:space="preserve">. Unter Tesamorelin stieg der Nüchternzucker in den ersten Wochen vorübergehend an (Kapitel Tesamorelin). Für Menschen mit Diabetes oder Vorstufen davon ist die Wachstumshormon-Achse deshalb besonders heikel.</w:t>
      </w:r>
    </w:p>
    <w:bookmarkEnd w:id="2660"/>
    <w:bookmarkStart w:id="2661" w:name="was-sich-aus-dem-vergleich-ergibt"/>
    <w:p>
      <w:pPr>
        <w:pStyle w:val="Heading3"/>
      </w:pPr>
      <w:r>
        <w:t xml:space="preserve">Was sich aus dem Vergleich ergibt</w:t>
      </w:r>
    </w:p>
    <w:p>
      <w:pPr>
        <w:pStyle w:val="FirstParagraph"/>
      </w:pPr>
      <w:r>
        <w:t xml:space="preserve">Über alle Organsysteme hinweg zeigen sich drei Muster.</w:t>
      </w:r>
    </w:p>
    <w:p>
      <w:pPr>
        <w:pStyle w:val="BodyText"/>
      </w:pPr>
      <w:r>
        <w:t xml:space="preserve">Erstens: Die am besten untersuchten Peptide – die zugelassenen GLP-1-Medikamente – haben die am besten bekannten Nebenwirkungen. Das liegt nicht daran, dass sie besonders gefährlich wären, sondern daran, dass Hunderttausende Menschen in Studien und Registern beobachtet wurden. Häufige Beschwerden betreffen den Magen-Darm-Trakt und sind meist vorübergehend; ernstere Risiken wie Gallensteine sind belegt, aber in absoluten Zahlen selten; Signale wie NAION sind sehr selten und werden weiter untersucht.</w:t>
      </w:r>
    </w:p>
    <w:p>
      <w:pPr>
        <w:pStyle w:val="BodyText"/>
      </w:pPr>
      <w:r>
        <w:t xml:space="preserve">Zweitens: Die Peptide der Wachstumshormon-Achse teilen ein gemeinsames Profil aus Wassereinlagerung, höherem Blutzucker und Stresshormon-Anstieg. Für eine Anwendung über Monate oder Jahre bei Gesunden gibt es so gut wie keine Daten.</w:t>
      </w:r>
    </w:p>
    <w:p>
      <w:pPr>
        <w:pStyle w:val="BodyText"/>
      </w:pPr>
      <w:r>
        <w:t xml:space="preserve">Drittens: Für die Mehrzahl der Peptide aus den Gruppen B und D lassen sich Organrisiken gar nicht beschreiben, weil niemand systematisch danach gesucht hat. Dort liegt das größte praktische Risiko nicht im Wirkstoff, sondern im Produkt – mehr dazu im Kapitel „Graumarkt-Produkte“.</w:t>
      </w:r>
    </w:p>
    <w:bookmarkEnd w:id="2661"/>
    <w:bookmarkEnd w:id="2662"/>
    <w:bookmarkStart w:id="2703" w:name="krebsrisiko-und-wachstumssignale"/>
    <w:p>
      <w:pPr>
        <w:pStyle w:val="Heading2"/>
      </w:pPr>
      <w:r>
        <w:t xml:space="preserve">Krebsrisiko und Wachstumssignale</w:t>
      </w:r>
    </w:p>
    <w:p>
      <w:pPr>
        <w:pStyle w:val="FirstParagraph"/>
      </w:pPr>
      <w:r>
        <w:t xml:space="preserve">Viele Peptide werden gerade deshalb beworben, weil sie Wachstum anregen sollen: von Muskeln, Sehnen, Blutgefäßen, Nervenzellen oder Haaren. Wachstum ist aber nicht wählerisch. Die Signalwege, über die Gewebe heilen und sich erneuern, nutzen auch Krebszellen. Deshalb taucht bei fast jedem „Heilungs-“, „Anti-Aging-“ oder Wachstumshormon-Peptid dieselbe Frage auf: Kann es Krebs fördern?</w:t>
      </w:r>
    </w:p>
    <w:p>
      <w:pPr>
        <w:pStyle w:val="BodyText"/>
      </w:pPr>
      <w:r>
        <w:t xml:space="preserve">Dieses Kapitel fasst zusammen, was dazu bekannt ist – getrennt nach den vier Mechanismen, die in Teil II immer wieder vorkommen: die Wachstumshormon-IGF-1-Achse, die Neubildung von Blutgefäßen, die Anregung der Pigmentzellen und die Wirkung der GLP-1-Medikamente auf Schilddrüse und Bauchspeicheldrüse. Am Ende steht ein Überblick über die neuesten großen Auswertungen zu GLP-1-Medikamenten und Krebs.</w:t>
      </w:r>
    </w:p>
    <w:bookmarkStart w:id="2664" w:name="wie-man-die-krebsfrage-einordnet"/>
    <w:p>
      <w:pPr>
        <w:pStyle w:val="Heading3"/>
      </w:pPr>
      <w:r>
        <w:t xml:space="preserve">Wie man die Krebsfrage einordnet</w:t>
      </w:r>
    </w:p>
    <w:p>
      <w:pPr>
        <w:pStyle w:val="FirstParagraph"/>
      </w:pPr>
      <w:r>
        <w:t xml:space="preserve">Vier Punkte helfen, die folgenden Daten zu lesen.</w:t>
      </w:r>
    </w:p>
    <w:p>
      <w:pPr>
        <w:pStyle w:val="BodyText"/>
      </w:pPr>
      <w:r>
        <w:rPr>
          <w:bCs/>
          <w:b/>
        </w:rPr>
        <w:t xml:space="preserve">Auslösen oder fördern.</w:t>
      </w:r>
      <w:r>
        <w:t xml:space="preserve"> </w:t>
      </w:r>
      <w:r>
        <w:t xml:space="preserve">Ein Stoff kann Krebs auslösen, indem er das Erbgut schädigt. Häufiger diskutiert wird bei Peptiden eine andere Möglichkeit: Ein Wachstumssignal könnte einen bereits vorhandenen, noch unentdeckten Tumor schneller wachsen lassen – ähnlich wie Dünger eine Pflanze, die schon im Boden steckt. Für diese zweite Möglichkeit reicht es, wenn der Stoff Zellteilung, Zellüberleben oder Gefäßneubildung anregt.</w:t>
      </w:r>
    </w:p>
    <w:p>
      <w:pPr>
        <w:pStyle w:val="BodyText"/>
      </w:pPr>
      <w:r>
        <w:rPr>
          <w:bCs/>
          <w:b/>
        </w:rPr>
        <w:t xml:space="preserve">Zeit.</w:t>
      </w:r>
      <w:r>
        <w:t xml:space="preserve"> </w:t>
      </w:r>
      <w:r>
        <w:t xml:space="preserve">Krebs entwickelt sich über Jahre bis Jahrzehnte. Die meisten Peptid-Studien laufen Wochen bis wenige Jahre. Selbst große Zulassungsstudien können ein langsam entstehendes Risiko kaum erfassen. Dafür braucht es Register und Beobachtungsstudien über lange Zeiträume – die wiederum anfällig für Verzerrungen sind.</w:t>
      </w:r>
    </w:p>
    <w:p>
      <w:pPr>
        <w:pStyle w:val="BodyText"/>
      </w:pPr>
      <w:r>
        <w:rPr>
          <w:bCs/>
          <w:b/>
        </w:rPr>
        <w:t xml:space="preserve">Diagnose-Verzerrung.</w:t>
      </w:r>
      <w:r>
        <w:t xml:space="preserve"> </w:t>
      </w:r>
      <w:r>
        <w:t xml:space="preserve">Wer wegen eines Medikaments häufiger untersucht wird, bei dem werden auch häufiger Tumoren gefunden. Ein Beispiel: Eine Meta-Analyse fand in kürzeren GLP-1-Studien etwas mehr Darmkrebs-Diagnosen und vermutete als Erklärung, dass Magen-Darm-Beschwerden zu mehr Darmspiegelungen führten</w:t>
      </w:r>
      <w:r>
        <w:rPr>
          <w:rStyle w:val="FootnoteReference"/>
        </w:rPr>
        <w:footnoteReference w:id="2663"/>
      </w:r>
      <w:r>
        <w:t xml:space="preserve">.</w:t>
      </w:r>
    </w:p>
    <w:p>
      <w:pPr>
        <w:pStyle w:val="BodyText"/>
      </w:pPr>
      <w:r>
        <w:rPr>
          <w:bCs/>
          <w:b/>
        </w:rPr>
        <w:t xml:space="preserve">Die Gegenrichtung.</w:t>
      </w:r>
      <w:r>
        <w:t xml:space="preserve"> </w:t>
      </w:r>
      <w:r>
        <w:t xml:space="preserve">Übergewicht erhöht das Risiko für mindestens 13 Krebsarten. Ein Medikament, das stark Gewicht reduziert, könnte deshalb das Krebsrisiko insgesamt senken, auch wenn es an einem einzelnen Organ ein kleines Signal gibt. Beides lässt sich nur getrennt betrachten.</w:t>
      </w:r>
    </w:p>
    <w:bookmarkEnd w:id="2664"/>
    <w:bookmarkStart w:id="2674" w:name="wachstumshormon-und-igf-1"/>
    <w:p>
      <w:pPr>
        <w:pStyle w:val="Heading3"/>
      </w:pPr>
      <w:r>
        <w:t xml:space="preserve">Wachstumshormon und IGF-1</w:t>
      </w:r>
    </w:p>
    <w:p>
      <w:pPr>
        <w:pStyle w:val="FirstParagraph"/>
      </w:pPr>
      <w:r>
        <w:t xml:space="preserve">Wachstumshormon wirkt zu einem großen Teil über IGF-1, den insulinähnlichen Wachstumsfaktor 1. IGF-1 regt Zellen zur Teilung an und schützt sie vor dem programmierten Zelltod. Alle Peptide der Gruppe C – Sermorelin, Tesamorelin, CJC-1295, Ipamorelin, die GHRP-Familie, Mecasermin und IGF-1 LR3 – sowie das zum Vergleich besprochene Ibutamoren erhöhen IGF-1 direkt oder indirekt. Die Belege zur Krebsfrage stammen aus fünf Quellen.</w:t>
      </w:r>
    </w:p>
    <w:p>
      <w:pPr>
        <w:pStyle w:val="BodyText"/>
      </w:pPr>
      <w:r>
        <w:rPr>
          <w:bCs/>
          <w:b/>
        </w:rPr>
        <w:t xml:space="preserve">Natürlich höhere IGF-1-Spiegel.</w:t>
      </w:r>
      <w:r>
        <w:t xml:space="preserve"> </w:t>
      </w:r>
      <w:r>
        <w:t xml:space="preserve">Eine Meta-Analyse von 21 Studien fand bei Menschen mit hohen IGF-1-Werten ein höheres Risiko für Prostatakrebs (Odds Ratio 1,49 beim Vergleich eines IGF-1-Werts an der 75. mit einem an der 25. Perzentile) und für Brustkrebs vor den Wechseljahren (1,65); die Autoren nannten die Zusammenhänge ausdrücklich „mäßig“</w:t>
      </w:r>
      <w:r>
        <w:rPr>
          <w:rStyle w:val="FootnoteReference"/>
        </w:rPr>
        <w:footnoteReference w:id="2665"/>
      </w:r>
      <w:r>
        <w:t xml:space="preserve">. In der UK Biobank mit 206.263 Frauen stieg das Brustkrebsrisiko pro 5 nmol/l mehr IGF-1 um 11 %</w:t>
      </w:r>
      <w:r>
        <w:rPr>
          <w:rStyle w:val="FootnoteReference"/>
        </w:rPr>
        <w:footnoteReference w:id="2666"/>
      </w:r>
      <w:r>
        <w:t xml:space="preserve">; für Darmkrebs fand dieselbe Gruppe bei fast 400.000 Teilnehmenden einen ähnlichen Zusammenhang</w:t>
      </w:r>
      <w:r>
        <w:rPr>
          <w:rStyle w:val="FootnoteReference"/>
        </w:rPr>
        <w:footnoteReference w:id="2667"/>
      </w:r>
      <w:r>
        <w:t xml:space="preserve">.</w:t>
      </w:r>
    </w:p>
    <w:p>
      <w:pPr>
        <w:pStyle w:val="BodyText"/>
      </w:pPr>
      <w:r>
        <w:rPr>
          <w:bCs/>
          <w:b/>
        </w:rPr>
        <w:t xml:space="preserve">Genetische Analysen.</w:t>
      </w:r>
      <w:r>
        <w:t xml:space="preserve"> </w:t>
      </w:r>
      <w:r>
        <w:t xml:space="preserve">Die sogenannte Mendelsche Randomisierung nutzt Genvarianten, die den IGF-1-Spiegel lebenslang leicht anheben, als natürliches Experiment. Auch hier war ein genetisch höheres IGF-1 mit etwas mehr Brustkrebs verbunden (Odds Ratio 1,05 pro 5 nmol/l)</w:t>
      </w:r>
      <w:r>
        <w:rPr>
          <w:rStyle w:val="FootnoteReference"/>
        </w:rPr>
        <w:footnoteReference w:id="2668"/>
      </w:r>
      <w:r>
        <w:t xml:space="preserve">. Das spricht dafür, dass der Zusammenhang nicht nur auf Begleitumständen beruht.</w:t>
      </w:r>
    </w:p>
    <w:p>
      <w:pPr>
        <w:pStyle w:val="BodyText"/>
      </w:pPr>
      <w:r>
        <w:rPr>
          <w:bCs/>
          <w:b/>
        </w:rPr>
        <w:t xml:space="preserve">Zu viel Wachstumshormon durch Krankheit.</w:t>
      </w:r>
      <w:r>
        <w:t xml:space="preserve"> </w:t>
      </w:r>
      <w:r>
        <w:t xml:space="preserve">Bei Akromegalie, einer Überproduktion von Wachstumshormon durch einen Tumor der Hirnanhangdrüse, ergab eine Meta-Analyse von 23 Studien eine um etwa die Hälfte erhöhte Krebsrate (standardisiertes Verhältnis 1,5), mit besonders hohen Werten für Darm- und Schilddrüsenkrebs. Kleinere und ältere Studien zeigten allerdings höhere Werte als große, was auf Auswahlverzerrungen hindeutet</w:t>
      </w:r>
      <w:r>
        <w:rPr>
          <w:rStyle w:val="FootnoteReference"/>
        </w:rPr>
        <w:footnoteReference w:id="2669"/>
      </w:r>
      <w:r>
        <w:t xml:space="preserve">.</w:t>
      </w:r>
    </w:p>
    <w:p>
      <w:pPr>
        <w:pStyle w:val="BodyText"/>
      </w:pPr>
      <w:r>
        <w:rPr>
          <w:bCs/>
          <w:b/>
        </w:rPr>
        <w:t xml:space="preserve">Zu wenig IGF-1 durch Krankheit.</w:t>
      </w:r>
      <w:r>
        <w:t xml:space="preserve"> </w:t>
      </w:r>
      <w:r>
        <w:t xml:space="preserve">Bei Menschen mit Laron-Syndrom, die wegen eines Gendefekts kaum IGF-1 bilden, trat in Ecuador über 22 Jahre Beobachtung nur eine einzige, nicht tödliche Krebserkrankung auf; bei nicht betroffenen Verwandten lag der Anteil bei 17 %</w:t>
      </w:r>
      <w:r>
        <w:rPr>
          <w:rStyle w:val="FootnoteReference"/>
        </w:rPr>
        <w:footnoteReference w:id="2670"/>
      </w:r>
      <w:r>
        <w:t xml:space="preserve">.</w:t>
      </w:r>
    </w:p>
    <w:p>
      <w:pPr>
        <w:pStyle w:val="BodyText"/>
      </w:pPr>
      <w:r>
        <w:rPr>
          <w:bCs/>
          <w:b/>
        </w:rPr>
        <w:t xml:space="preserve">Wachstumshormon als Arzneimittel.</w:t>
      </w:r>
      <w:r>
        <w:t xml:space="preserve"> </w:t>
      </w:r>
      <w:r>
        <w:t xml:space="preserve">Bei 23.984 Kindern, die in acht europäischen Ländern mit Wachstumshormon behandelt wurden, fand sich ohne schwere Vorerkrankung kein klar erhöhtes Krebsrisiko. Auffällig waren einzelne Krebsarten (Knochen, Blase) und ein Anstieg der Krebssterblichkeit mit höherer Tagesdosis bei Kindern, die zuvor schon Krebs gehabt hatten</w:t>
      </w:r>
      <w:r>
        <w:rPr>
          <w:rStyle w:val="FootnoteReference"/>
        </w:rPr>
        <w:footnoteReference w:id="2671"/>
      </w:r>
      <w:r>
        <w:t xml:space="preserve">. Bei 8.418 behandelten Erwachsenen mit Hypophysenunterfunktion war das Krebsrisiko nicht erhöht; die Krebsrate lag sogar unter dem Bevölkerungsdurchschnitt</w:t>
      </w:r>
      <w:r>
        <w:rPr>
          <w:rStyle w:val="FootnoteReference"/>
        </w:rPr>
        <w:footnoteReference w:id="2672"/>
      </w:r>
      <w:r>
        <w:t xml:space="preserve">.</w:t>
      </w:r>
    </w:p>
    <w:p>
      <w:pPr>
        <w:pStyle w:val="BodyText"/>
      </w:pPr>
      <w:r>
        <w:t xml:space="preserve">Was folgt daraus? Wer einen echten Mangel hat und ein fehlendes Hormon ersetzt bekommt, trägt nach heutigem Wissen kein deutlich erhöhtes Krebsrisiko. Wer dagegen einen normalen Spiegel über Jahre anhebt, bewegt sich in den Bereich, in dem die Beobachtungs- und Genstudien ein mäßig höheres Risiko zeigen. Für genau diese Situation – gesunde Erwachsene, die Freisetzer zur Leistungssteigerung oder „Verjüngung“ verwenden – gibt es keine Langzeitstudien. Ibutamoren etwa hob IGF-1 bei gesunden älteren Menschen auf das Niveau junger Erwachsener</w:t>
      </w:r>
      <w:r>
        <w:rPr>
          <w:rStyle w:val="FootnoteReference"/>
        </w:rPr>
        <w:footnoteReference w:id="2673"/>
      </w:r>
      <w:r>
        <w:t xml:space="preserve">; ein Krebssignal wurde nicht berichtet, aber dafür war die Studie weder groß noch lang genug.</w:t>
      </w:r>
    </w:p>
    <w:p>
      <w:pPr>
        <w:pStyle w:val="BodyText"/>
      </w:pPr>
      <w:r>
        <w:t xml:space="preserve">Zwei Sonderfälle verdienen Erwähnung. Beim zugelassenen Mecasermin wurden nach der Markteinführung gut- und bösartige Neubildungen bei behandelten Kindern gemeldet; die Fachinformationen enthalten entsprechende Warnhinweise, und bei aktiver Krebserkrankung ist es nicht anzuwenden (Stand 2026, bitte aktuell prüfen; Kapitel Mecasermin). Das Laborpräparat IGF-1 LR3 wurde so verändert, dass es nicht mehr an die Bindungseiweiße im Blut gebunden wird, die IGF-1 normalerweise abpuffern. Es wirkt dadurch stärker und länger am Rezeptor – theoretisch genau die ungünstige Richtung. Am Menschen wurde das nie untersucht (Kapitel IGF-1 LR3).</w:t>
      </w:r>
    </w:p>
    <w:bookmarkEnd w:id="2674"/>
    <w:bookmarkStart w:id="2684" w:name="X0920160f275edd168100465496ffd094b061592"/>
    <w:p>
      <w:pPr>
        <w:pStyle w:val="Heading3"/>
      </w:pPr>
      <w:r>
        <w:t xml:space="preserve">Gefäßneubildung und andere Wachstumssignale</w:t>
      </w:r>
    </w:p>
    <w:p>
      <w:pPr>
        <w:pStyle w:val="FirstParagraph"/>
      </w:pPr>
      <w:r>
        <w:t xml:space="preserve">Ein Tumor, der größer als wenige Millimeter werden will, braucht eigene Blutgefäße. Diesen Vorgang nennt man Angiogenese. Einige zugelassene Krebsmedikamente wirken gerade dadurch, dass sie den wichtigsten Signalweg der Gefäßneubildung blockieren, das VEGF-System. Umgekehrt stehen Stoffe, die Gefäßneubildung fördern, unter dem Verdacht, Tumoren zu begünstigen.</w:t>
      </w:r>
    </w:p>
    <w:p>
      <w:pPr>
        <w:pStyle w:val="BodyText"/>
      </w:pPr>
      <w:r>
        <w:rPr>
          <w:bCs/>
          <w:b/>
        </w:rPr>
        <w:t xml:space="preserve">BPC-157.</w:t>
      </w:r>
      <w:r>
        <w:t xml:space="preserve"> </w:t>
      </w:r>
      <w:r>
        <w:t xml:space="preserve">In Laborversuchen erhöhte BPC-157 die Gefäßdichte in Hühnerei-Membranen, beschleunigte bei Ratten die Durchblutung eines minderversorgten Beins und steigerte in menschlichen Gefäßzellen die Menge des VEGF-Rezeptors 2</w:t>
      </w:r>
      <w:r>
        <w:rPr>
          <w:rStyle w:val="FootnoteReference"/>
        </w:rPr>
        <w:footnoteReference w:id="2675"/>
      </w:r>
      <w:r>
        <w:t xml:space="preserve">. Die Zagreber Arbeitsgruppe, von der die meisten BPC-157-Studien stammen, hält dagegen: BPC-157 steuere die Gefäßbildung, statt sie blind anzukurbeln, und habe in Tier- und Zellversuchen sogar Wirkungen gegen Tumoren gezeigt</w:t>
      </w:r>
      <w:r>
        <w:rPr>
          <w:rStyle w:val="FootnoteReference"/>
        </w:rPr>
        <w:footnoteReference w:id="2676"/>
      </w:r>
      <w:r>
        <w:t xml:space="preserve">. Langzeitstudien zur Krebsentstehung, wie sie für Arzneimittel vorgeschrieben sind, wurden für BPC-157 nicht veröffentlicht. Die Frage ist offen. Siehe Kapitel BPC-157.</w:t>
      </w:r>
    </w:p>
    <w:p>
      <w:pPr>
        <w:pStyle w:val="BodyText"/>
      </w:pPr>
      <w:r>
        <w:rPr>
          <w:bCs/>
          <w:b/>
        </w:rPr>
        <w:t xml:space="preserve">TB-500 und Thymosin Beta-4.</w:t>
      </w:r>
      <w:r>
        <w:t xml:space="preserve"> </w:t>
      </w:r>
      <w:r>
        <w:t xml:space="preserve">Thymosin Beta-4 fördert Zellwanderung und Gefäßneubildung. In Gewebeproben von 138 Menschen mit Blasenkrebs war eine starke Thymosin-Beta-4-Bildung mit fortgeschrittenem Stadium, Lymphknotenbefall und kürzerem Überleben verbunden</w:t>
      </w:r>
      <w:r>
        <w:rPr>
          <w:rStyle w:val="FootnoteReference"/>
        </w:rPr>
        <w:footnoteReference w:id="2677"/>
      </w:r>
      <w:r>
        <w:t xml:space="preserve">. In Kulturen von Brustkrebszellen erhöhte zugesetztes Thymosin Beta-4 die Zellzahl</w:t>
      </w:r>
      <w:r>
        <w:rPr>
          <w:rStyle w:val="FootnoteReference"/>
        </w:rPr>
        <w:footnoteReference w:id="2678"/>
      </w:r>
      <w:r>
        <w:t xml:space="preserve">. Das beweist nicht, dass von außen zugeführtes TB-500 Krebs fördert, ist aber ein Grund zur Vorsicht bei Menschen mit Krebserkrankung oder hohem Krebsrisiko. Siehe Kapitel TB-500.</w:t>
      </w:r>
    </w:p>
    <w:p>
      <w:pPr>
        <w:pStyle w:val="BodyText"/>
      </w:pPr>
      <w:r>
        <w:rPr>
          <w:bCs/>
          <w:b/>
        </w:rPr>
        <w:t xml:space="preserve">Weitere Peptide mit Wachstumssignalen.</w:t>
      </w:r>
      <w:r>
        <w:t xml:space="preserve"> </w:t>
      </w:r>
      <w:r>
        <w:t xml:space="preserve">Bei mehreren Peptiden aus Teil II ergeben sich ähnliche Fragen aus dem Wirkmechanismus oder aus Labordaten: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Mechanismus</w:t>
            </w:r>
          </w:p>
        </w:tc>
        <w:tc>
          <w:tcPr/>
          <w:p>
            <w:pPr>
              <w:pStyle w:val="Compact"/>
              <w:jc w:val="left"/>
            </w:pPr>
            <w:r>
              <w:t xml:space="preserve">Art des Hinweises</w:t>
            </w:r>
          </w:p>
        </w:tc>
        <w:tc>
          <w:tcPr/>
          <w:p>
            <w:pPr>
              <w:pStyle w:val="Compact"/>
              <w:jc w:val="left"/>
            </w:pPr>
            <w:r>
              <w:t xml:space="preserve">Kapitel</w:t>
            </w:r>
          </w:p>
        </w:tc>
      </w:tr>
      <w:tr>
        <w:tc>
          <w:tcPr/>
          <w:p>
            <w:pPr>
              <w:pStyle w:val="Compact"/>
              <w:jc w:val="left"/>
            </w:pPr>
            <w:r>
              <w:t xml:space="preserve">Dihexa</w:t>
            </w:r>
          </w:p>
        </w:tc>
        <w:tc>
          <w:tcPr/>
          <w:p>
            <w:pPr>
              <w:pStyle w:val="Compact"/>
              <w:jc w:val="left"/>
            </w:pPr>
            <w:r>
              <w:t xml:space="preserve">verstärkt das c-Met-Signal, einen bekannten Krebstreiber</w:t>
            </w:r>
          </w:p>
        </w:tc>
        <w:tc>
          <w:tcPr/>
          <w:p>
            <w:pPr>
              <w:pStyle w:val="Compact"/>
              <w:jc w:val="left"/>
            </w:pPr>
            <w:r>
              <w:t xml:space="preserve">nur theoretisch, keine Humandaten</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soll Telomerase aktivieren</w:t>
            </w:r>
          </w:p>
        </w:tc>
        <w:tc>
          <w:tcPr/>
          <w:p>
            <w:pPr>
              <w:pStyle w:val="Compact"/>
              <w:jc w:val="left"/>
            </w:pPr>
            <w:r>
              <w:t xml:space="preserve">Zellkultur: auch Telomere von Brustkrebszellen verlängert</w:t>
            </w:r>
          </w:p>
        </w:tc>
        <w:tc>
          <w:tcPr/>
          <w:p>
            <w:pPr>
              <w:pStyle w:val="Compact"/>
              <w:jc w:val="left"/>
            </w:pPr>
            <w:r>
              <w:t xml:space="preserve">Epitalon</w:t>
            </w:r>
          </w:p>
        </w:tc>
      </w:tr>
      <w:tr>
        <w:tc>
          <w:tcPr/>
          <w:p>
            <w:pPr>
              <w:pStyle w:val="Compact"/>
              <w:jc w:val="left"/>
            </w:pPr>
            <w:r>
              <w:t xml:space="preserve">Humanin</w:t>
            </w:r>
          </w:p>
        </w:tc>
        <w:tc>
          <w:tcPr/>
          <w:p>
            <w:pPr>
              <w:pStyle w:val="Compact"/>
              <w:jc w:val="left"/>
            </w:pPr>
            <w:r>
              <w:t xml:space="preserve">schützt Zellen vor dem Zelltod</w:t>
            </w:r>
          </w:p>
        </w:tc>
        <w:tc>
          <w:tcPr/>
          <w:p>
            <w:pPr>
              <w:pStyle w:val="Compact"/>
              <w:jc w:val="left"/>
            </w:pPr>
            <w:r>
              <w:t xml:space="preserve">Mäuse: schnelleres Tumorwachstum, mehr Metastasen</w:t>
            </w:r>
          </w:p>
        </w:tc>
        <w:tc>
          <w:tcPr/>
          <w:p>
            <w:pPr>
              <w:pStyle w:val="Compact"/>
              <w:jc w:val="left"/>
            </w:pPr>
            <w:r>
              <w:t xml:space="preserve">Humanin</w:t>
            </w:r>
          </w:p>
        </w:tc>
      </w:tr>
      <w:tr>
        <w:tc>
          <w:tcPr/>
          <w:p>
            <w:pPr>
              <w:pStyle w:val="Compact"/>
              <w:jc w:val="left"/>
            </w:pPr>
            <w:r>
              <w:t xml:space="preserve">LL-37</w:t>
            </w:r>
          </w:p>
        </w:tc>
        <w:tc>
          <w:tcPr/>
          <w:p>
            <w:pPr>
              <w:pStyle w:val="Compact"/>
              <w:jc w:val="left"/>
            </w:pPr>
            <w:r>
              <w:t xml:space="preserve">Entzündungs- und Wachstumssignale</w:t>
            </w:r>
          </w:p>
        </w:tc>
        <w:tc>
          <w:tcPr/>
          <w:p>
            <w:pPr>
              <w:pStyle w:val="Compact"/>
              <w:jc w:val="left"/>
            </w:pPr>
            <w:r>
              <w:t xml:space="preserve">Labor: je nach Krebsart fördernd oder hemmend</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Gefäßneubildung im Tierversuch</w:t>
            </w:r>
          </w:p>
        </w:tc>
        <w:tc>
          <w:tcPr/>
          <w:p>
            <w:pPr>
              <w:pStyle w:val="Compact"/>
              <w:jc w:val="left"/>
            </w:pPr>
            <w:r>
              <w:t xml:space="preserve">nur theoretisch</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wirkt am EPO-Rezeptor</w:t>
            </w:r>
          </w:p>
        </w:tc>
        <w:tc>
          <w:tcPr/>
          <w:p>
            <w:pPr>
              <w:pStyle w:val="Compact"/>
              <w:jc w:val="left"/>
            </w:pPr>
            <w:r>
              <w:t xml:space="preserve">theoretisch, analog zu EPO</w:t>
            </w:r>
          </w:p>
        </w:tc>
        <w:tc>
          <w:tcPr/>
          <w:p>
            <w:pPr>
              <w:pStyle w:val="Compact"/>
              <w:jc w:val="left"/>
            </w:pPr>
            <w:r>
              <w:t xml:space="preserve">ARA-290</w:t>
            </w:r>
          </w:p>
        </w:tc>
      </w:tr>
    </w:tbl>
    <w:p>
      <w:pPr>
        <w:pStyle w:val="BodyText"/>
      </w:pPr>
      <w:r>
        <w:t xml:space="preserve">Einige dieser Hinweise sind konkret. Bei Mäusen mit dreifach-negativem Brustkrebs verringerte zugeführtes Humanin den Zelltod im Tumor, schwächte die Chemotherapie ab und beschleunigte Tumorwachstum und Lungenmetastasen</w:t>
      </w:r>
      <w:r>
        <w:rPr>
          <w:rStyle w:val="FootnoteReference"/>
        </w:rPr>
        <w:footnoteReference w:id="2679"/>
      </w:r>
      <w:r>
        <w:t xml:space="preserve">. Epitalon verlängerte in Zellkulturen die Telomere gesunder Zellen über das Enzym Telomerase, in Brustkrebszellen über einen anderen Weg</w:t>
      </w:r>
      <w:r>
        <w:rPr>
          <w:rStyle w:val="FootnoteReference"/>
        </w:rPr>
        <w:footnoteReference w:id="2680"/>
      </w:r>
      <w:r>
        <w:t xml:space="preserve">; in einer Mäusestudie nahm die Zahl spontaner Tumoren dagegen nicht zu</w:t>
      </w:r>
      <w:r>
        <w:rPr>
          <w:rStyle w:val="FootnoteReference"/>
        </w:rPr>
        <w:footnoteReference w:id="2681"/>
      </w:r>
      <w:r>
        <w:t xml:space="preserve">. Für LL-37 beschreibt eine Übersicht fördernde Wirkungen auf Tumoren von Eierstock, Lunge, Brust, Prostata, Bauchspeicheldrüse und Haut, aber hemmende auf Darm- und Magenkrebs</w:t>
      </w:r>
      <w:r>
        <w:rPr>
          <w:rStyle w:val="FootnoteReference"/>
        </w:rPr>
        <w:footnoteReference w:id="2682"/>
      </w:r>
      <w:r>
        <w:t xml:space="preserve">. Für Dihexa ist die Verbindung zum c-Met-System beschrieben</w:t>
      </w:r>
      <w:r>
        <w:rPr>
          <w:rStyle w:val="FootnoteReference"/>
        </w:rPr>
        <w:footnoteReference w:id="2683"/>
      </w:r>
      <w:r>
        <w:t xml:space="preserve">; Untersuchungen zur Krebsentstehung gibt es nicht.</w:t>
      </w:r>
    </w:p>
    <w:p>
      <w:pPr>
        <w:pStyle w:val="BodyText"/>
      </w:pPr>
      <w:r>
        <w:t xml:space="preserve">Alle diese Befunde stammen aus Tierversuchen, Zellkulturen oder aus dem Wirkmechanismus. Keiner beweist ein Krebsrisiko beim Menschen. Sie zeigen aber, dass „natürlich“, „körpereigen“ oder „regenerativ“ nicht automatisch „harmlos“ bedeutet – und dass für keinen dieser Stoffe die Langzeitdaten existieren, mit denen sich die Frage beantworten ließe.</w:t>
      </w:r>
    </w:p>
    <w:bookmarkEnd w:id="2684"/>
    <w:bookmarkStart w:id="2689" w:name="Xb9db96736005e7fe249386efdbf999d5717de14"/>
    <w:p>
      <w:pPr>
        <w:pStyle w:val="Heading3"/>
      </w:pPr>
      <w:r>
        <w:t xml:space="preserve">Pigmentzellen: Melanotan, Setmelanotid und Afamelanotid</w:t>
      </w:r>
    </w:p>
    <w:p>
      <w:pPr>
        <w:pStyle w:val="FirstParagraph"/>
      </w:pPr>
      <w:r>
        <w:t xml:space="preserve">Die Melanocortin-Peptide regen die Pigmentzellen (Melanozyten) der Haut an. Das ist bei Afamelanotid die gewünschte Wirkung, bei Setmelanotid und Bremelanotid eine Nebenwirkung und bei Melanotan II der eigentliche Verkaufsgrund. Da das Melanom aus Pigmentzellen entsteht, liegt die Frage nach Hautkrebs nahe.</w:t>
      </w:r>
    </w:p>
    <w:p>
      <w:pPr>
        <w:pStyle w:val="BodyText"/>
      </w:pPr>
      <w:r>
        <w:t xml:space="preserve">Für das nicht zugelassene</w:t>
      </w:r>
      <w:r>
        <w:t xml:space="preserve"> </w:t>
      </w:r>
      <w:r>
        <w:rPr>
          <w:bCs/>
          <w:b/>
        </w:rPr>
        <w:t xml:space="preserve">Melanotan II</w:t>
      </w:r>
      <w:r>
        <w:t xml:space="preserve"> </w:t>
      </w:r>
      <w:r>
        <w:t xml:space="preserve">gibt es mehrere Fallberichte über Melanome, die während oder kurz nach der Anwendung entdeckt wurden. Eine Übersicht zählte vier Fälle, in denen Melanome aus bestehenden Muttermalen hervorgingen, und betont zugleich, dass ein schlüssiger Beweis für einen Zusammenhang fehlt</w:t>
      </w:r>
      <w:r>
        <w:rPr>
          <w:rStyle w:val="FootnoteReference"/>
        </w:rPr>
        <w:footnoteReference w:id="2685"/>
      </w:r>
      <w:r>
        <w:t xml:space="preserve">. Unter 179 veröffentlichten Fällen plötzlich auftretender Muttermale, von denen ein Teil auf Melanotan zurückgeführt wurde, waren fünf mit einem Melanom verbunden</w:t>
      </w:r>
      <w:r>
        <w:rPr>
          <w:rStyle w:val="FootnoteReference"/>
        </w:rPr>
        <w:footnoteReference w:id="2686"/>
      </w:r>
      <w:r>
        <w:t xml:space="preserve">. Die Deutung ist schwierig: Viele Betroffene nutzten gleichzeitig Solarien oder sonnten sich intensiv, was das Melanomrisiko unabhängig erhöht. Und Fallberichte können keine Häufigkeit liefern. Siehe Kapitel Melanotan II.</w:t>
      </w:r>
    </w:p>
    <w:p>
      <w:pPr>
        <w:pStyle w:val="BodyText"/>
      </w:pPr>
      <w:r>
        <w:t xml:space="preserve">Für das zugelassene</w:t>
      </w:r>
      <w:r>
        <w:t xml:space="preserve"> </w:t>
      </w:r>
      <w:r>
        <w:rPr>
          <w:bCs/>
          <w:b/>
        </w:rPr>
        <w:t xml:space="preserve">Afamelanotid</w:t>
      </w:r>
      <w:r>
        <w:t xml:space="preserve"> </w:t>
      </w:r>
      <w:r>
        <w:t xml:space="preserve">liegen systematischere Daten vor. In einer Studie mit 15 Behandelten und 103 Muttermalen zeigten sich unter dem Auflichtmikroskop vorübergehende Veränderungen, die nach einem Jahr zurückgegangen waren; Hinweise auf Bösartigkeit oder neue Muttermale fanden sich nicht</w:t>
      </w:r>
      <w:r>
        <w:rPr>
          <w:rStyle w:val="FootnoteReference"/>
        </w:rPr>
        <w:footnoteReference w:id="2687"/>
      </w:r>
      <w:r>
        <w:t xml:space="preserve">. Unter</w:t>
      </w:r>
      <w:r>
        <w:t xml:space="preserve"> </w:t>
      </w:r>
      <w:r>
        <w:rPr>
          <w:bCs/>
          <w:b/>
        </w:rPr>
        <w:t xml:space="preserve">Setmelanotid</w:t>
      </w:r>
      <w:r>
        <w:t xml:space="preserve"> </w:t>
      </w:r>
      <w:r>
        <w:t xml:space="preserve">traten in einer Beobachtung über bis zu 46 Monate keine bösartigen Hautveränderungen auf</w:t>
      </w:r>
      <w:r>
        <w:rPr>
          <w:rStyle w:val="FootnoteReference"/>
        </w:rPr>
        <w:footnoteReference w:id="2688"/>
      </w:r>
      <w:r>
        <w:t xml:space="preserve">. Diese Daten sind beruhigend, aber klein und kurz im Verhältnis zur Entstehungszeit eines Melanoms. Die Fachinformationen sehen regelmäßige Hautkontrollen vor. Auf Melanotan II lassen sie sich nicht übertragen: andere Substanz, ungeprüfte Produkte, oft kombiniert mit UV-Strahlung.</w:t>
      </w:r>
    </w:p>
    <w:bookmarkEnd w:id="2689"/>
    <w:bookmarkStart w:id="2696" w:name="glp-1-und-die-schilddrüsen-c-zellen"/>
    <w:p>
      <w:pPr>
        <w:pStyle w:val="Heading3"/>
      </w:pPr>
      <w:r>
        <w:t xml:space="preserve">GLP-1 und die Schilddrüsen-C-Zellen</w:t>
      </w:r>
    </w:p>
    <w:p>
      <w:pPr>
        <w:pStyle w:val="FirstParagraph"/>
      </w:pPr>
      <w:r>
        <w:t xml:space="preserve">Bei Ratten und Mäusen führten GLP-1-Rezeptor-Agonisten in Langzeitversuchen zu Wucherungen und Tumoren der C-Zellen der Schilddrüse. Der Mechanismus ist gut verstanden: Die C-Zellen von Nagetieren tragen den GLP-1-Rezeptor; seine Aktivierung steigert die Ausschüttung von Calcitonin und die Zellteilung. Bei Menschen und Affen ist der Rezeptor auf den C-Zellen deutlich seltener. Affen, die 20 Monate lang Liraglutid in mehr als 60-fach höherer Konzentration als beim Menschen erhielten, entwickelten keine C-Zell-Wucherung</w:t>
      </w:r>
      <w:r>
        <w:rPr>
          <w:rStyle w:val="FootnoteReference"/>
        </w:rPr>
        <w:footnoteReference w:id="2690"/>
      </w:r>
      <w:r>
        <w:t xml:space="preserve">.</w:t>
      </w:r>
    </w:p>
    <w:p>
      <w:pPr>
        <w:pStyle w:val="BodyText"/>
      </w:pPr>
      <w:r>
        <w:t xml:space="preserve">Ganz ausgeschlossen ist eine Wirkung beim Menschen damit nicht. In menschlichem Schilddrüsengewebe fand eine Untersuchung den GLP-1-Rezeptor in allen Proben medullärer Schilddrüsenkarzinome und C-Zell-Wucherungen, in 18 % der papillären Karzinome und in einem Teil der C-Zellen gesunder Schilddrüsen</w:t>
      </w:r>
      <w:r>
        <w:rPr>
          <w:rStyle w:val="FootnoteReference"/>
        </w:rPr>
        <w:footnoteReference w:id="2691"/>
      </w:r>
      <w:r>
        <w:t xml:space="preserve">.</w:t>
      </w:r>
    </w:p>
    <w:p>
      <w:pPr>
        <w:pStyle w:val="BodyText"/>
      </w:pPr>
      <w:r>
        <w:t xml:space="preserve">Die Studien am Menschen ergeben kein einheitliches Bild:</w:t>
      </w:r>
    </w:p>
    <w:p>
      <w:pPr>
        <w:numPr>
          <w:ilvl w:val="0"/>
          <w:numId w:val="1340"/>
        </w:numPr>
        <w:pStyle w:val="Compact"/>
      </w:pPr>
      <w:r>
        <w:t xml:space="preserve">In der Studie LEADER stieg Calcitonin unter Liraglutid über bis zu fünf Jahre nicht an, und es traten keine medullären Karzinome auf</w:t>
      </w:r>
      <w:r>
        <w:rPr>
          <w:rStyle w:val="FootnoteReference"/>
        </w:rPr>
        <w:footnoteReference w:id="2692"/>
      </w:r>
      <w:r>
        <w:t xml:space="preserve">.</w:t>
      </w:r>
    </w:p>
    <w:p>
      <w:pPr>
        <w:numPr>
          <w:ilvl w:val="0"/>
          <w:numId w:val="1340"/>
        </w:numPr>
        <w:pStyle w:val="Compact"/>
      </w:pPr>
      <w:r>
        <w:t xml:space="preserve">Eine französische Fall-Kontroll-Studie mit 2.562 Fällen fand nach ein bis drei Jahren Behandlung ein erhöhtes Risiko für Schilddrüsenkrebs insgesamt (Hazard Ratio 1,58) und für das medulläre Karzinom (1,78)</w:t>
      </w:r>
      <w:r>
        <w:rPr>
          <w:rStyle w:val="FootnoteReference"/>
        </w:rPr>
        <w:footnoteReference w:id="2693"/>
      </w:r>
      <w:r>
        <w:t xml:space="preserve">.</w:t>
      </w:r>
    </w:p>
    <w:p>
      <w:pPr>
        <w:numPr>
          <w:ilvl w:val="0"/>
          <w:numId w:val="1340"/>
        </w:numPr>
        <w:pStyle w:val="Compact"/>
      </w:pPr>
      <w:r>
        <w:t xml:space="preserve">Eine skandinavische Kohortenstudie mit 145.410 Personen unter GLP-1-Rezeptor-Agonisten fand kein erhöhtes Risiko (Hazard Ratio 0,93; 1,33 gegenüber 1,46 Fällen pro 10.000 Personenjahre). Für das seltene medulläre Karzinom war die Schätzung sehr unsicher (Hazard Ratio 1,19; Vertrauensbereich 0,37 bis 3,86)</w:t>
      </w:r>
      <w:r>
        <w:rPr>
          <w:rStyle w:val="FootnoteReference"/>
        </w:rPr>
        <w:footnoteReference w:id="2694"/>
      </w:r>
      <w:r>
        <w:t xml:space="preserve">.</w:t>
      </w:r>
    </w:p>
    <w:p>
      <w:pPr>
        <w:numPr>
          <w:ilvl w:val="0"/>
          <w:numId w:val="1340"/>
        </w:numPr>
        <w:pStyle w:val="Compact"/>
      </w:pPr>
      <w:r>
        <w:t xml:space="preserve">Eine Meta-Analyse von 50 randomisierten Studien mit mindestens einem Jahr Dauer zeigte ein Signal für Schilddrüsenkrebs (Odds Ratio 1,55), das in längeren Studien deutlicher war</w:t>
      </w:r>
      <w:r>
        <w:rPr>
          <w:rStyle w:val="FootnoteReference"/>
        </w:rPr>
        <w:footnoteReference w:id="2695"/>
      </w:r>
      <w:r>
        <w:t xml:space="preserve">.</w:t>
      </w:r>
    </w:p>
    <w:p>
      <w:pPr>
        <w:pStyle w:val="FirstParagraph"/>
      </w:pPr>
      <w:r>
        <w:t xml:space="preserve">Wie passt das zusammen? Ein Teil des Signals könnte auf häufigere Untersuchungen zurückgehen: Wer wegen Diabetes oder Adipositas eng betreut wird, bekommt häufiger einen Ultraschall, bei dem kleine, harmlose papilläre Karzinome entdeckt werden. Ein kleines echtes Risiko lässt sich aber nicht ausschließen. Für Menschen mit medullärem Schilddrüsenkarzinom in der eigenen oder familiären Vorgeschichte oder mit MEN-2-Syndrom gilt deshalb weiterhin eine Gegenanzeige. Siehe Kapitel Liraglutid.</w:t>
      </w:r>
    </w:p>
    <w:bookmarkEnd w:id="2696"/>
    <w:bookmarkStart w:id="2700" w:name="bauchspeicheldrüse"/>
    <w:p>
      <w:pPr>
        <w:pStyle w:val="Heading3"/>
      </w:pPr>
      <w:r>
        <w:t xml:space="preserve">Bauchspeicheldrüse</w:t>
      </w:r>
    </w:p>
    <w:p>
      <w:pPr>
        <w:pStyle w:val="FirstParagraph"/>
      </w:pPr>
      <w:r>
        <w:t xml:space="preserve">Nach den frühen Meldungen über Bauchspeicheldrüsenentzündungen unter Exenatid und Liraglutid wurde auch ein erhöhtes Risiko für Bauchspeicheldrüsenkrebs befürchtet. Die Daten haben das bisher nicht bestätigt. Eine Meta-Analyse von 62 randomisierten Studien fand kein gesichert erhöhtes Risiko (relatives Risiko 1,30; Vertrauensbereich 0,86 bis 1,97); in einer Untergruppe von Studien mit zusätzlichen Medikamenten war es erhöht, ohne zusätzliche Medikamente nicht</w:t>
      </w:r>
      <w:r>
        <w:rPr>
          <w:rStyle w:val="FootnoteReference"/>
        </w:rPr>
        <w:footnoteReference w:id="2697"/>
      </w:r>
      <w:r>
        <w:t xml:space="preserve">. Die Autorinnen und Autoren weisen darauf hin, dass viele Studien ohne einziges Ereignis gar nicht in die Berechnung eingingen. In einer großen US-Kohortenstudie war Bauchspeicheldrüsenkrebs unter GLP-1-Rezeptor-Agonisten sogar seltener als unter Insulin (Hazard Ratio 0,41)</w:t>
      </w:r>
      <w:r>
        <w:rPr>
          <w:rStyle w:val="FootnoteReference"/>
        </w:rPr>
        <w:footnoteReference w:id="2698"/>
      </w:r>
      <w:r>
        <w:t xml:space="preserve"> </w:t>
      </w:r>
      <w:r>
        <w:t xml:space="preserve">– wobei Insulin oft bei länger bestehendem, schwererem Diabetes eingesetzt wird.</w:t>
      </w:r>
    </w:p>
    <w:p>
      <w:pPr>
        <w:pStyle w:val="BodyText"/>
      </w:pPr>
      <w:r>
        <w:t xml:space="preserve">Für neuroendokrine Tumoren, eine seltene Gruppe von Tumoren, die unter anderem in der Bauchspeicheldrüse entstehen und teils den GLP-1-Rezeptor tragen, kommt eine Übersichtsarbeit zu dem Schluss, dass die vorhandenen Daten keinen allgemeinen Anstieg zeigen, aber wichtige Lücken bestehen, etwa bei erblicher Veranlagung</w:t>
      </w:r>
      <w:r>
        <w:rPr>
          <w:rStyle w:val="FootnoteReference"/>
        </w:rPr>
        <w:footnoteReference w:id="2699"/>
      </w:r>
      <w:r>
        <w:t xml:space="preserve">.</w:t>
      </w:r>
    </w:p>
    <w:bookmarkEnd w:id="2700"/>
    <w:bookmarkStart w:id="2701" w:name="Xf9ecde3c925a25b6b7c122e1f3205262586ddd6"/>
    <w:p>
      <w:pPr>
        <w:pStyle w:val="Heading3"/>
      </w:pPr>
      <w:r>
        <w:t xml:space="preserve">Was neue Meta-Analysen und große Kohorten zu GLP-1 und Krebs zeigen</w:t>
      </w:r>
    </w:p>
    <w:p>
      <w:pPr>
        <w:pStyle w:val="FirstParagraph"/>
      </w:pPr>
      <w:r>
        <w:t xml:space="preserve">Mit der weiten Verbreitung der GLP-1-Medikamente sind seit 2024 mehrere sehr große Auswertungen erschienen. Sie zeichnen ein überwiegend beruhigendes, in Einzelpunkten aber unklares Bild.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Daten</w:t>
            </w:r>
          </w:p>
        </w:tc>
        <w:tc>
          <w:tcPr/>
          <w:p>
            <w:pPr>
              <w:pStyle w:val="Compact"/>
              <w:jc w:val="left"/>
            </w:pPr>
            <w:r>
              <w:t xml:space="preserve">Ergebnis Krebs insgesamt</w:t>
            </w:r>
          </w:p>
        </w:tc>
        <w:tc>
          <w:tcPr/>
          <w:p>
            <w:pPr>
              <w:pStyle w:val="Compact"/>
              <w:jc w:val="left"/>
            </w:pPr>
            <w:r>
              <w:t xml:space="preserve">Auffälligkeiten</w:t>
            </w:r>
          </w:p>
        </w:tc>
      </w:tr>
      <w:tr>
        <w:tc>
          <w:tcPr/>
          <w:p>
            <w:pPr>
              <w:pStyle w:val="Compact"/>
              <w:jc w:val="left"/>
            </w:pPr>
            <w:r>
              <w:t xml:space="preserve">Silverii 2025, PMID 40437949</w:t>
            </w:r>
          </w:p>
        </w:tc>
        <w:tc>
          <w:tcPr/>
          <w:p>
            <w:pPr>
              <w:pStyle w:val="Compact"/>
              <w:jc w:val="left"/>
            </w:pPr>
            <w:r>
              <w:t xml:space="preserve">50 RCTs, mind. 52 Wochen</w:t>
            </w:r>
          </w:p>
        </w:tc>
        <w:tc>
          <w:tcPr/>
          <w:p>
            <w:pPr>
              <w:pStyle w:val="Compact"/>
              <w:jc w:val="left"/>
            </w:pPr>
            <w:r>
              <w:t xml:space="preserve">kein Unterschied (Odds Ratio 1,05)</w:t>
            </w:r>
          </w:p>
        </w:tc>
        <w:tc>
          <w:tcPr/>
          <w:p>
            <w:pPr>
              <w:pStyle w:val="Compact"/>
              <w:jc w:val="left"/>
            </w:pPr>
            <w:r>
              <w:t xml:space="preserve">Schilddrüse 1,55; Gebärmutter bei Adipositas 0,24</w:t>
            </w:r>
          </w:p>
        </w:tc>
      </w:tr>
      <w:tr>
        <w:tc>
          <w:tcPr/>
          <w:p>
            <w:pPr>
              <w:pStyle w:val="Compact"/>
              <w:jc w:val="left"/>
            </w:pPr>
            <w:r>
              <w:t xml:space="preserve">Wang 2024, PMID 38967919</w:t>
            </w:r>
          </w:p>
        </w:tc>
        <w:tc>
          <w:tcPr/>
          <w:p>
            <w:pPr>
              <w:pStyle w:val="Compact"/>
              <w:jc w:val="left"/>
            </w:pPr>
            <w:r>
              <w:t xml:space="preserve">1.651.452 Menschen mit Typ-2-Diabetes</w:t>
            </w:r>
          </w:p>
        </w:tc>
        <w:tc>
          <w:tcPr/>
          <w:p>
            <w:pPr>
              <w:pStyle w:val="Compact"/>
              <w:jc w:val="left"/>
            </w:pPr>
            <w:r>
              <w:t xml:space="preserve">vs. Insulin weniger bei 10 von 13 Krebsarten</w:t>
            </w:r>
          </w:p>
        </w:tc>
        <w:tc>
          <w:tcPr/>
          <w:p>
            <w:pPr>
              <w:pStyle w:val="Compact"/>
              <w:jc w:val="left"/>
            </w:pPr>
            <w:r>
              <w:t xml:space="preserve">vs. Metformin mehr Nierenkrebs (1,54)</w:t>
            </w:r>
          </w:p>
        </w:tc>
      </w:tr>
      <w:tr>
        <w:tc>
          <w:tcPr/>
          <w:p>
            <w:pPr>
              <w:pStyle w:val="Compact"/>
              <w:jc w:val="left"/>
            </w:pPr>
            <w:r>
              <w:t xml:space="preserve">Dai 2025, PMID 40839273</w:t>
            </w:r>
          </w:p>
        </w:tc>
        <w:tc>
          <w:tcPr/>
          <w:p>
            <w:pPr>
              <w:pStyle w:val="Compact"/>
              <w:jc w:val="left"/>
            </w:pPr>
            <w:r>
              <w:t xml:space="preserve">86.632 Erwachsene mit Adipositas</w:t>
            </w:r>
          </w:p>
        </w:tc>
        <w:tc>
          <w:tcPr/>
          <w:p>
            <w:pPr>
              <w:pStyle w:val="Compact"/>
              <w:jc w:val="left"/>
            </w:pPr>
            <w:r>
              <w:t xml:space="preserve">weniger Krebs (Hazard Ratio 0,83)</w:t>
            </w:r>
          </w:p>
        </w:tc>
        <w:tc>
          <w:tcPr/>
          <w:p>
            <w:pPr>
              <w:pStyle w:val="Compact"/>
              <w:jc w:val="left"/>
            </w:pPr>
            <w:r>
              <w:t xml:space="preserve">Nierenkrebs grenzwertig erhöht (1,38)</w:t>
            </w:r>
          </w:p>
        </w:tc>
      </w:tr>
      <w:tr>
        <w:tc>
          <w:tcPr/>
          <w:p>
            <w:pPr>
              <w:pStyle w:val="Compact"/>
              <w:jc w:val="left"/>
            </w:pPr>
            <w:r>
              <w:t xml:space="preserve">Hsu 2026, PMID 42252247</w:t>
            </w:r>
          </w:p>
        </w:tc>
        <w:tc>
          <w:tcPr/>
          <w:p>
            <w:pPr>
              <w:pStyle w:val="Compact"/>
              <w:jc w:val="left"/>
            </w:pPr>
            <w:r>
              <w:t xml:space="preserve">161.798 Erwachsene mit Adipositas ohne Diabetes</w:t>
            </w:r>
          </w:p>
        </w:tc>
        <w:tc>
          <w:tcPr/>
          <w:p>
            <w:pPr>
              <w:pStyle w:val="Compact"/>
              <w:jc w:val="left"/>
            </w:pPr>
            <w:r>
              <w:t xml:space="preserve">weniger übergewichtsbedingte Krebsarten (0,59)</w:t>
            </w:r>
          </w:p>
        </w:tc>
        <w:tc>
          <w:tcPr/>
          <w:p>
            <w:pPr>
              <w:pStyle w:val="Compact"/>
              <w:jc w:val="left"/>
            </w:pPr>
            <w:r>
              <w:t xml:space="preserve">Nachbeobachtung im Median 2 Jahre</w:t>
            </w:r>
          </w:p>
        </w:tc>
      </w:tr>
    </w:tbl>
    <w:p>
      <w:pPr>
        <w:pStyle w:val="BodyText"/>
      </w:pPr>
      <w:r>
        <w:t xml:space="preserve">Wie sind diese Zahlen zu lesen?</w:t>
      </w:r>
    </w:p>
    <w:p>
      <w:pPr>
        <w:numPr>
          <w:ilvl w:val="0"/>
          <w:numId w:val="1341"/>
        </w:numPr>
        <w:pStyle w:val="Compact"/>
      </w:pPr>
      <w:r>
        <w:rPr>
          <w:bCs/>
          <w:b/>
        </w:rPr>
        <w:t xml:space="preserve">Die randomisierten Studien</w:t>
      </w:r>
      <w:r>
        <w:t xml:space="preserve"> </w:t>
      </w:r>
      <w:r>
        <w:t xml:space="preserve">zeigen insgesamt keinen Einfluss auf das Krebsrisiko. Das ist das verlässlichste Ergebnis, aber die Studien sind für Krebs zu kurz.</w:t>
      </w:r>
    </w:p>
    <w:p>
      <w:pPr>
        <w:numPr>
          <w:ilvl w:val="0"/>
          <w:numId w:val="1341"/>
        </w:numPr>
        <w:pStyle w:val="Compact"/>
      </w:pPr>
      <w:r>
        <w:rPr>
          <w:bCs/>
          <w:b/>
        </w:rPr>
        <w:t xml:space="preserve">Die großen Beobachtungsstudien</w:t>
      </w:r>
      <w:r>
        <w:t xml:space="preserve"> </w:t>
      </w:r>
      <w:r>
        <w:t xml:space="preserve">zeigen eher weniger Krebs unter GLP-1-Medikamenten. Das passt zur Vorstellung, dass Gewichtsabnahme übergewichtsbedingte Krebsarten verringert. Es kann aber auch daran liegen, dass Menschen, die solche Medikamente erhalten, sich in vielem von den Vergleichsgruppen unterscheiden. Eine Nachbeobachtung von zwei Jahren ist für eine Aussage über Krebsvorbeugung sehr kurz.</w:t>
      </w:r>
    </w:p>
    <w:p>
      <w:pPr>
        <w:numPr>
          <w:ilvl w:val="0"/>
          <w:numId w:val="1341"/>
        </w:numPr>
        <w:pStyle w:val="Compact"/>
      </w:pPr>
      <w:r>
        <w:rPr>
          <w:bCs/>
          <w:b/>
        </w:rPr>
        <w:t xml:space="preserve">Nierenkrebs</w:t>
      </w:r>
      <w:r>
        <w:t xml:space="preserve"> </w:t>
      </w:r>
      <w:r>
        <w:t xml:space="preserve">taucht in zwei Kohortenstudien als mögliches Signal auf. Ob das ein echter Effekt ist, muss sich zeigen.</w:t>
      </w:r>
    </w:p>
    <w:p>
      <w:pPr>
        <w:numPr>
          <w:ilvl w:val="0"/>
          <w:numId w:val="1341"/>
        </w:numPr>
        <w:pStyle w:val="Compact"/>
      </w:pPr>
      <w:r>
        <w:rPr>
          <w:bCs/>
          <w:b/>
        </w:rPr>
        <w:t xml:space="preserve">Schilddrüsenkrebs</w:t>
      </w:r>
      <w:r>
        <w:t xml:space="preserve"> </w:t>
      </w:r>
      <w:r>
        <w:t xml:space="preserve">bleibt die offene Frage, wie oben beschrieben.</w:t>
      </w:r>
    </w:p>
    <w:p>
      <w:pPr>
        <w:pStyle w:val="FirstParagraph"/>
      </w:pPr>
      <w:r>
        <w:t xml:space="preserve">Ob GLP-1-Medikamente tatsächlich vor Krebs schützen, lässt sich mit den vorhandenen Daten nicht sagen. Für die Frage, ob sie Krebs verursachen, gilt nach heutigem Wissen: Für die meisten Krebsarten nein, für Schilddrüse und Niere nicht abschließend geklärt. Für die neuen Mehrfach-Agonisten wie Retatrutid, Survodutid oder Mazdutid gibt es noch zu wenige Behandlungsjahre, um eigene Aussagen zu treffen.</w:t>
      </w:r>
    </w:p>
    <w:bookmarkEnd w:id="2701"/>
    <w:bookmarkStart w:id="2702" w:name="das-wichtigste-in-kürze-5"/>
    <w:p>
      <w:pPr>
        <w:pStyle w:val="Heading3"/>
      </w:pPr>
      <w:r>
        <w:t xml:space="preserve">Das Wichtigste in Kürze</w:t>
      </w:r>
    </w:p>
    <w:p>
      <w:pPr>
        <w:numPr>
          <w:ilvl w:val="0"/>
          <w:numId w:val="1342"/>
        </w:numPr>
        <w:pStyle w:val="Compact"/>
      </w:pPr>
      <w:r>
        <w:t xml:space="preserve">Die beste Datenlage zum Krebsrisiko haben ausgerechnet die Peptide, bei denen die Sorge am wenigsten begründet scheint: die zugelassenen GLP-1-Medikamente. Für die meisten Krebsarten zeigen sie kein erhöhtes Risiko; das Schilddrüsen-Signal ist ungeklärt.</w:t>
      </w:r>
    </w:p>
    <w:p>
      <w:pPr>
        <w:numPr>
          <w:ilvl w:val="0"/>
          <w:numId w:val="1342"/>
        </w:numPr>
        <w:pStyle w:val="Compact"/>
      </w:pPr>
      <w:r>
        <w:t xml:space="preserve">Bei der Wachstumshormon-IGF-1-Achse ist ein mäßiger Zusammenhang zwischen dauerhaft höheren IGF-1-Spiegeln und einigen Krebsarten gut belegt. Für Gesunde, die IGF-1 über Jahre künstlich anheben, fehlen Studien.</w:t>
      </w:r>
    </w:p>
    <w:p>
      <w:pPr>
        <w:numPr>
          <w:ilvl w:val="0"/>
          <w:numId w:val="1342"/>
        </w:numPr>
        <w:pStyle w:val="Compact"/>
      </w:pPr>
      <w:r>
        <w:t xml:space="preserve">Für BPC-157, TB-500, Epitalon, Humanin, Dihexa und ähnliche Stoffe gibt es nur theoretische und tierexperimentelle Hinweise – in beide Richtungen. Langzeitdaten zur Krebsentstehung existieren nicht.</w:t>
      </w:r>
    </w:p>
    <w:p>
      <w:pPr>
        <w:numPr>
          <w:ilvl w:val="0"/>
          <w:numId w:val="1342"/>
        </w:numPr>
        <w:pStyle w:val="Compact"/>
      </w:pPr>
      <w:r>
        <w:t xml:space="preserve">Bei Melanotan II gibt es Melanom-Fallberichte, aber keine Häufigkeitsdaten. Beim zugelassenen Afamelanotid fanden kleine Studien keine bösartigen Veränderungen.</w:t>
      </w:r>
    </w:p>
    <w:p>
      <w:pPr>
        <w:numPr>
          <w:ilvl w:val="0"/>
          <w:numId w:val="1342"/>
        </w:numPr>
        <w:pStyle w:val="Compact"/>
      </w:pPr>
      <w:r>
        <w:t xml:space="preserve">Für Menschen mit aktiver oder früherer Krebserkrankung sind alle wachstumsfördernden Peptide ohne ärztliche Begleitung besonders problematisch.</w:t>
      </w:r>
    </w:p>
    <w:bookmarkEnd w:id="2702"/>
    <w:bookmarkEnd w:id="2703"/>
    <w:bookmarkStart w:id="2734" w:name="immunreaktionen-und-antikörper"/>
    <w:p>
      <w:pPr>
        <w:pStyle w:val="Heading2"/>
      </w:pPr>
      <w:r>
        <w:t xml:space="preserve">Immunreaktionen und Antikörper</w:t>
      </w:r>
    </w:p>
    <w:p>
      <w:pPr>
        <w:pStyle w:val="FirstParagraph"/>
      </w:pPr>
      <w:r>
        <w:t xml:space="preserve">Das Immunsystem hat die Aufgabe, Fremdes zu erkennen. Peptide stehen dabei an einer Grenze: Viele sind körpereigenen Botenstoffen nachgebaut, aber chemisch verändert, damit sie länger wirken. Andere stammen aus Tieren, aus Bakterien oder aus dem Labor. Hinzu kommt, dass die meisten Peptide unter die Haut gespritzt werden – an eine Stelle, an der besonders viele Abwehrzellen auf Eindringlinge warten.</w:t>
      </w:r>
    </w:p>
    <w:p>
      <w:pPr>
        <w:pStyle w:val="BodyText"/>
      </w:pPr>
      <w:r>
        <w:t xml:space="preserve">Immunreaktionen auf Peptide reichen von harmlosen Rötungen an der Einstichstelle über Antikörper, die man nur im Labor bemerkt, bis zu seltenen lebensbedrohlichen allergischen Reaktionen. Dieses Kapitel ordnet diese Reaktionen, vergleicht die Peptide und zeigt, welche Rolle Verunreinigungen spielen.</w:t>
      </w:r>
    </w:p>
    <w:bookmarkStart w:id="2705" w:name="Xce2454e788f08aae2840c5a3c9f04cb5075971d"/>
    <w:p>
      <w:pPr>
        <w:pStyle w:val="Heading3"/>
      </w:pPr>
      <w:r>
        <w:t xml:space="preserve">Warum Peptide eine Immunreaktion auslösen können</w:t>
      </w:r>
    </w:p>
    <w:p>
      <w:pPr>
        <w:pStyle w:val="FirstParagraph"/>
      </w:pPr>
      <w:r>
        <w:t xml:space="preserve">Ob das Immunsystem ein Peptid als fremd einstuft, hängt von mehreren Faktoren ab:</w:t>
      </w:r>
    </w:p>
    <w:p>
      <w:pPr>
        <w:numPr>
          <w:ilvl w:val="0"/>
          <w:numId w:val="1343"/>
        </w:numPr>
        <w:pStyle w:val="Compact"/>
      </w:pPr>
      <w:r>
        <w:rPr>
          <w:bCs/>
          <w:b/>
        </w:rPr>
        <w:t xml:space="preserve">Herkunft und Ähnlichkeit zum Körpereigenen.</w:t>
      </w:r>
      <w:r>
        <w:t xml:space="preserve"> </w:t>
      </w:r>
      <w:r>
        <w:t xml:space="preserve">Exenatid wurde aus einem Peptid im Speichel einer Echse entwickelt und unterscheidet sich deutlich vom menschlichen GLP-1. Liraglutid und Semaglutid sind dem menschlichen Hormon dagegen weitgehend nachgebaut.</w:t>
      </w:r>
    </w:p>
    <w:p>
      <w:pPr>
        <w:numPr>
          <w:ilvl w:val="0"/>
          <w:numId w:val="1343"/>
        </w:numPr>
        <w:pStyle w:val="Compact"/>
      </w:pPr>
      <w:r>
        <w:rPr>
          <w:bCs/>
          <w:b/>
        </w:rPr>
        <w:t xml:space="preserve">Größe und Veränderungen.</w:t>
      </w:r>
      <w:r>
        <w:t xml:space="preserve"> </w:t>
      </w:r>
      <w:r>
        <w:t xml:space="preserve">Längere Moleküle, angehängte Fettsäuren, Verbindungsstücke oder Antikörper-Bestandteile (wie bei Maridebart Cafraglutid) bieten mehr Angriffsfläche.</w:t>
      </w:r>
    </w:p>
    <w:p>
      <w:pPr>
        <w:numPr>
          <w:ilvl w:val="0"/>
          <w:numId w:val="1343"/>
        </w:numPr>
        <w:pStyle w:val="Compact"/>
      </w:pPr>
      <w:r>
        <w:rPr>
          <w:bCs/>
          <w:b/>
        </w:rPr>
        <w:t xml:space="preserve">Verklumpung.</w:t>
      </w:r>
      <w:r>
        <w:t xml:space="preserve"> </w:t>
      </w:r>
      <w:r>
        <w:t xml:space="preserve">Peptide können zu größeren Aggregaten zusammenlagern, die das Immunsystem leichter erkennt.</w:t>
      </w:r>
    </w:p>
    <w:p>
      <w:pPr>
        <w:numPr>
          <w:ilvl w:val="0"/>
          <w:numId w:val="1343"/>
        </w:numPr>
        <w:pStyle w:val="Compact"/>
      </w:pPr>
      <w:r>
        <w:rPr>
          <w:bCs/>
          <w:b/>
        </w:rPr>
        <w:t xml:space="preserve">Verunreinigungen.</w:t>
      </w:r>
      <w:r>
        <w:t xml:space="preserve"> </w:t>
      </w:r>
      <w:r>
        <w:t xml:space="preserve">Schon kleine Mengen fehlerhaft hergestellter Peptidbruchstücke oder bakterieller Bestandteile können eine Abwehrreaktion anstoßen (mehr dazu unten).</w:t>
      </w:r>
    </w:p>
    <w:p>
      <w:pPr>
        <w:numPr>
          <w:ilvl w:val="0"/>
          <w:numId w:val="1343"/>
        </w:numPr>
        <w:pStyle w:val="Compact"/>
      </w:pPr>
      <w:r>
        <w:rPr>
          <w:bCs/>
          <w:b/>
        </w:rPr>
        <w:t xml:space="preserve">Häufigkeit und Dauer der Anwendung.</w:t>
      </w:r>
      <w:r>
        <w:t xml:space="preserve"> </w:t>
      </w:r>
      <w:r>
        <w:t xml:space="preserve">Wer ein Peptid über Monate wiederholt spritzt, gibt dem Immunsystem viele Gelegenheiten, darauf zu reagieren.</w:t>
      </w:r>
    </w:p>
    <w:p>
      <w:pPr>
        <w:pStyle w:val="FirstParagraph"/>
      </w:pPr>
      <w:r>
        <w:t xml:space="preserve">Für die Bewertung von Antikörpern gegen Arzneimittel – Fachleute sprechen von Anti-Drug-Antikörpern (ADA) – hat sich eine einheitliche Sprache etabliert</w:t>
      </w:r>
      <w:r>
        <w:rPr>
          <w:rStyle w:val="FootnoteReference"/>
        </w:rPr>
        <w:footnoteReference w:id="2704"/>
      </w:r>
      <w:r>
        <w:t xml:space="preserve">. Wichtig sind vier Fragen: Wie viele Behandelte bilden Antikörper? Wie hoch ist die Menge (der Titer)? Hemmen die Antikörper die Wirkung (neutralisierende Antikörper)? Und reagieren sie auch mit dem körpereigenen Hormon (Kreuzreaktivität)? Der letzte Punkt wäre der bedenklichste: Antikörper, die nicht nur das Medikament, sondern auch das eigene Hormon blockieren, könnten eine dauerhafte Störung hinterlassen.</w:t>
      </w:r>
    </w:p>
    <w:bookmarkEnd w:id="2705"/>
    <w:bookmarkStart w:id="2708" w:name="Xf1af5bcdd891ab691c718ba4dee9cc5d41a1f39"/>
    <w:p>
      <w:pPr>
        <w:pStyle w:val="Heading3"/>
      </w:pPr>
      <w:r>
        <w:t xml:space="preserve">Anti-Drug-Antikörper: was die Studien zeigen</w:t>
      </w:r>
    </w:p>
    <w:p>
      <w:pPr>
        <w:pStyle w:val="FirstParagraph"/>
      </w:pPr>
      <w:r>
        <w:t xml:space="preserve">Für die zugelassenen GLP-1-Medikamente liegen systematische Untersuchungen vor. Sie zeigen, wie unterschiedlich häufig Antikörper entstehen – und dass eine hohe Häufigkeit nicht automatisch ein klinisches Problem bedeutet.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Antikörper bei</w:t>
            </w:r>
          </w:p>
        </w:tc>
        <w:tc>
          <w:tcPr/>
          <w:p>
            <w:pPr>
              <w:pStyle w:val="Compact"/>
              <w:jc w:val="left"/>
            </w:pPr>
            <w:r>
              <w:t xml:space="preserve">Folgen</w:t>
            </w:r>
          </w:p>
        </w:tc>
        <w:tc>
          <w:tcPr/>
          <w:p>
            <w:pPr>
              <w:pStyle w:val="Compact"/>
              <w:jc w:val="left"/>
            </w:pPr>
            <w:r>
              <w:t xml:space="preserve">Quelle</w:t>
            </w:r>
          </w:p>
        </w:tc>
      </w:tr>
      <w:tr>
        <w:tc>
          <w:tcPr/>
          <w:p>
            <w:pPr>
              <w:pStyle w:val="Compact"/>
              <w:jc w:val="left"/>
            </w:pPr>
            <w:r>
              <w:t xml:space="preserve">Exenatid</w:t>
            </w:r>
          </w:p>
        </w:tc>
        <w:tc>
          <w:tcPr/>
          <w:p>
            <w:pPr>
              <w:pStyle w:val="Compact"/>
              <w:jc w:val="left"/>
            </w:pPr>
            <w:r>
              <w:t xml:space="preserve">61 % nach 26 Wochen (LEAD-6)</w:t>
            </w:r>
          </w:p>
        </w:tc>
        <w:tc>
          <w:tcPr/>
          <w:p>
            <w:pPr>
              <w:pStyle w:val="Compact"/>
              <w:jc w:val="left"/>
            </w:pPr>
            <w:r>
              <w:t xml:space="preserve">hohe Titer: geringere HbA1c-Senkung</w:t>
            </w:r>
          </w:p>
        </w:tc>
        <w:tc>
          <w:tcPr/>
          <w:p>
            <w:pPr>
              <w:pStyle w:val="Compact"/>
              <w:jc w:val="left"/>
            </w:pPr>
            <w:r>
              <w:t xml:space="preserve">Buse 2011, PMID 21450987</w:t>
            </w:r>
          </w:p>
        </w:tc>
      </w:tr>
      <w:tr>
        <w:tc>
          <w:tcPr/>
          <w:p>
            <w:pPr>
              <w:pStyle w:val="Compact"/>
              <w:jc w:val="left"/>
            </w:pPr>
            <w:r>
              <w:t xml:space="preserve">Liraglutid</w:t>
            </w:r>
          </w:p>
        </w:tc>
        <w:tc>
          <w:tcPr/>
          <w:p>
            <w:pPr>
              <w:pStyle w:val="Compact"/>
              <w:jc w:val="left"/>
            </w:pPr>
            <w:r>
              <w:t xml:space="preserve">8,3 bis 8,7 %, niedrige Titer</w:t>
            </w:r>
          </w:p>
        </w:tc>
        <w:tc>
          <w:tcPr/>
          <w:p>
            <w:pPr>
              <w:pStyle w:val="Compact"/>
              <w:jc w:val="left"/>
            </w:pPr>
            <w:r>
              <w:t xml:space="preserve">keine Wirkungsabschwächung</w:t>
            </w:r>
          </w:p>
        </w:tc>
        <w:tc>
          <w:tcPr/>
          <w:p>
            <w:pPr>
              <w:pStyle w:val="Compact"/>
              <w:jc w:val="left"/>
            </w:pPr>
            <w:r>
              <w:t xml:space="preserve">Buse 2011, PMID 21450987</w:t>
            </w:r>
          </w:p>
        </w:tc>
      </w:tr>
      <w:tr>
        <w:tc>
          <w:tcPr/>
          <w:p>
            <w:pPr>
              <w:pStyle w:val="Compact"/>
              <w:jc w:val="left"/>
            </w:pPr>
            <w:r>
              <w:t xml:space="preserve">Dulaglutid</w:t>
            </w:r>
          </w:p>
        </w:tc>
        <w:tc>
          <w:tcPr/>
          <w:p>
            <w:pPr>
              <w:pStyle w:val="Compact"/>
              <w:jc w:val="left"/>
            </w:pPr>
            <w:r>
              <w:t xml:space="preserve">1,6 %, neutralisierend 0,9 %</w:t>
            </w:r>
          </w:p>
        </w:tc>
        <w:tc>
          <w:tcPr/>
          <w:p>
            <w:pPr>
              <w:pStyle w:val="Compact"/>
              <w:jc w:val="left"/>
            </w:pPr>
            <w:r>
              <w:t xml:space="preserve">keine Überempfindlichkeit bei Antikörper-Positiven</w:t>
            </w:r>
          </w:p>
        </w:tc>
        <w:tc>
          <w:tcPr/>
          <w:p>
            <w:pPr>
              <w:pStyle w:val="Compact"/>
              <w:jc w:val="left"/>
            </w:pPr>
            <w:r>
              <w:t xml:space="preserve">Milicevic 2016, PMID 26847401</w:t>
            </w:r>
          </w:p>
        </w:tc>
      </w:tr>
      <w:tr>
        <w:tc>
          <w:tcPr/>
          <w:p>
            <w:pPr>
              <w:pStyle w:val="Compact"/>
              <w:jc w:val="left"/>
            </w:pPr>
            <w:r>
              <w:t xml:space="preserve">Tirzepatid</w:t>
            </w:r>
          </w:p>
        </w:tc>
        <w:tc>
          <w:tcPr/>
          <w:p>
            <w:pPr>
              <w:pStyle w:val="Compact"/>
              <w:jc w:val="left"/>
            </w:pPr>
            <w:r>
              <w:t xml:space="preserve">51,1 %, neutralisierend etwa 2 %</w:t>
            </w:r>
          </w:p>
        </w:tc>
        <w:tc>
          <w:tcPr/>
          <w:p>
            <w:pPr>
              <w:pStyle w:val="Compact"/>
              <w:jc w:val="left"/>
            </w:pPr>
            <w:r>
              <w:t xml:space="preserve">keine Wirkungsabschwächung; mehr Haut- und Allergiereaktionen</w:t>
            </w:r>
          </w:p>
        </w:tc>
        <w:tc>
          <w:tcPr/>
          <w:p>
            <w:pPr>
              <w:pStyle w:val="Compact"/>
              <w:jc w:val="left"/>
            </w:pPr>
            <w:r>
              <w:t xml:space="preserve">Mullins 2024, PMID 37700637</w:t>
            </w:r>
          </w:p>
        </w:tc>
      </w:tr>
      <w:tr>
        <w:tc>
          <w:tcPr/>
          <w:p>
            <w:pPr>
              <w:pStyle w:val="Compact"/>
              <w:jc w:val="left"/>
            </w:pPr>
            <w:r>
              <w:t xml:space="preserve">Sermorelin</w:t>
            </w:r>
          </w:p>
        </w:tc>
        <w:tc>
          <w:tcPr/>
          <w:p>
            <w:pPr>
              <w:pStyle w:val="Compact"/>
              <w:jc w:val="left"/>
            </w:pPr>
            <w:r>
              <w:t xml:space="preserve">14 von 18 Kindern</w:t>
            </w:r>
          </w:p>
        </w:tc>
        <w:tc>
          <w:tcPr/>
          <w:p>
            <w:pPr>
              <w:pStyle w:val="Compact"/>
              <w:jc w:val="left"/>
            </w:pPr>
            <w:r>
              <w:t xml:space="preserve">keine erkennbaren Folgen</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keine in 12 Wochen</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w:t>
      </w:r>
      <w:r>
        <w:t xml:space="preserve"> </w:t>
      </w:r>
      <w:r>
        <w:t xml:space="preserve">ist das Paradebeispiel für ein Peptid, das wegen seiner nicht menschlichen Herkunft häufig Antikörper hervorruft. In der Studie LEAD-6 hatten nach 26 Wochen 113 von 185 Behandelten Antikörper gegen Exenatid; hohe Antikörperspiegel gingen mit einer signifikant geringeren Senkung des Langzeitblutzuckers einher. Nach dem Wechsel auf Liraglutid behinderten diese Antikörper die weitere Wirkung nicht</w:t>
      </w:r>
      <w:r>
        <w:rPr>
          <w:rStyle w:val="FootnoteReference"/>
        </w:rPr>
        <w:footnoteReference w:id="2706"/>
      </w:r>
      <w:r>
        <w:t xml:space="preserve">.</w:t>
      </w:r>
    </w:p>
    <w:p>
      <w:pPr>
        <w:pStyle w:val="BodyText"/>
      </w:pPr>
      <w:r>
        <w:rPr>
          <w:bCs/>
          <w:b/>
        </w:rPr>
        <w:t xml:space="preserve">Tirzepatid</w:t>
      </w:r>
      <w:r>
        <w:t xml:space="preserve"> </w:t>
      </w:r>
      <w:r>
        <w:t xml:space="preserve">zeigt, dass auch ein dem Menschen nachgebautes Peptid häufig erkannt werden kann. In sieben Phase-3-Studien mit 5.025 auswertbaren Teilnehmenden bildeten 51,1 % während der Behandlung Antikörper. Neutralisierende Antikörper gegen die Wirkung am GIP- beziehungsweise GLP-1-Rezeptor fanden sich bei 1,9 % und 2,1 %, solche, die auch die körpereigenen Hormone neutralisierten, bei weniger als 1 %. Auf Blutspiegel und Wirkung hatte das keinen Einfluss. Allerdings erlebten Antikörper-positive Teilnehmende häufiger Überempfindlichkeitsreaktionen und Reaktionen an der Einstichstelle, meist leicht bis mittelschwer</w:t>
      </w:r>
      <w:r>
        <w:rPr>
          <w:rStyle w:val="FootnoteReference"/>
        </w:rPr>
        <w:footnoteReference w:id="2707"/>
      </w:r>
      <w:r>
        <w:t xml:space="preserve">.</w:t>
      </w:r>
    </w:p>
    <w:p>
      <w:pPr>
        <w:pStyle w:val="BodyText"/>
      </w:pPr>
      <w:r>
        <w:t xml:space="preserve">Für die neueren Wirkstoffe – Retatrutid, Survodutid, Mazdutid, Cagrilintid, Amycretin und das antikörperbasierte Maridebart Cafraglutid – sind vergleichbare zusammenfassende Auswertungen noch nicht veröffentlicht. Bei Maridebart Cafraglutid ist das besonders relevant, weil Antikörper-Medikamente eine eigene Immunogenität haben können (Kapitel Maridebart Cafraglutid).</w:t>
      </w:r>
    </w:p>
    <w:p>
      <w:pPr>
        <w:pStyle w:val="BodyText"/>
      </w:pPr>
      <w:r>
        <w:t xml:space="preserve">Für die meisten Graumarkt-Peptide gibt es überhaupt keine Antikörperdaten. Das gilt für BPC-157, TB-500, CJC-1295, Ipamorelin, MOTS-c, Humanin, Epitalon und viele weitere. In den Kapiteln zu MOTS-c, Humanin und FOXO4-DRI ist darauf hingewiesen, dass Antikörper bei wiederholter Injektion denkbar, aber nie untersucht sind. Wer solche Stoffe über Monate spritzt, kann also nicht wissen, ob sein Körper Antikörper bildet und was diese bewirken.</w:t>
      </w:r>
    </w:p>
    <w:bookmarkEnd w:id="2708"/>
    <w:bookmarkStart w:id="2712" w:name="reaktionen-an-der-einstichstelle"/>
    <w:p>
      <w:pPr>
        <w:pStyle w:val="Heading3"/>
      </w:pPr>
      <w:r>
        <w:t xml:space="preserve">Reaktionen an der Einstichstelle</w:t>
      </w:r>
    </w:p>
    <w:p>
      <w:pPr>
        <w:pStyle w:val="FirstParagraph"/>
      </w:pPr>
      <w:r>
        <w:t xml:space="preserve">Rötung, Juckreiz, Schwellung, kleine Blutergüsse oder tastbare Knötchen an der Einstichstelle sind die häufigsten Immun- und Gewebereaktionen auf gespritzte Peptide. Eine Meta-Analyse von 14 randomisierten Studien mit 4.861 Teilnehmenden fand unter GLP-1-Rezeptor-Agonisten ein etwa dreieinhalbfach erhöhtes Risiko für solche Reaktionen gegenüber den Vergleichsgruppen (relatives Risiko 3,55). In der US-Meldedatenbank fielen besonders Exenatid und Dulaglutid mit Blutungen an der Einstichstelle auf</w:t>
      </w:r>
      <w:r>
        <w:rPr>
          <w:rStyle w:val="FootnoteReference"/>
        </w:rPr>
        <w:footnoteReference w:id="2709"/>
      </w:r>
      <w:r>
        <w:t xml:space="preserve">.</w:t>
      </w:r>
    </w:p>
    <w:p>
      <w:pPr>
        <w:pStyle w:val="BodyText"/>
      </w:pPr>
      <w:r>
        <w:t xml:space="preserve">Die Häufigkeit unterscheidet sich zwischen den Peptiden erheblich: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Reaktionen an der Einstichstelle</w:t>
            </w:r>
          </w:p>
        </w:tc>
        <w:tc>
          <w:tcPr/>
          <w:p>
            <w:pPr>
              <w:pStyle w:val="Compact"/>
              <w:jc w:val="left"/>
            </w:pPr>
            <w:r>
              <w:t xml:space="preserve">Quelle</w:t>
            </w:r>
          </w:p>
        </w:tc>
      </w:tr>
      <w:tr>
        <w:tc>
          <w:tcPr/>
          <w:p>
            <w:pPr>
              <w:pStyle w:val="Compact"/>
              <w:jc w:val="left"/>
            </w:pPr>
            <w:r>
              <w:t xml:space="preserve">Setmelanotid</w:t>
            </w:r>
          </w:p>
        </w:tc>
        <w:tc>
          <w:tcPr/>
          <w:p>
            <w:pPr>
              <w:pStyle w:val="Compact"/>
              <w:jc w:val="left"/>
            </w:pPr>
            <w:r>
              <w:t xml:space="preserve">96 % (Meta-Analyse, 7 Studien)</w:t>
            </w:r>
          </w:p>
        </w:tc>
        <w:tc>
          <w:tcPr/>
          <w:p>
            <w:pPr>
              <w:pStyle w:val="Compact"/>
              <w:jc w:val="left"/>
            </w:pPr>
            <w:r>
              <w:t xml:space="preserve">Sridharan 2026, PMID 39924461</w:t>
            </w:r>
          </w:p>
        </w:tc>
      </w:tr>
      <w:tr>
        <w:tc>
          <w:tcPr/>
          <w:p>
            <w:pPr>
              <w:pStyle w:val="Compact"/>
              <w:jc w:val="left"/>
            </w:pPr>
            <w:r>
              <w:t xml:space="preserve">Elamipretid (SS-31)</w:t>
            </w:r>
          </w:p>
        </w:tc>
        <w:tc>
          <w:tcPr/>
          <w:p>
            <w:pPr>
              <w:pStyle w:val="Compact"/>
              <w:jc w:val="left"/>
            </w:pPr>
            <w:r>
              <w:t xml:space="preserve">80 %, meist leicht</w:t>
            </w:r>
          </w:p>
        </w:tc>
        <w:tc>
          <w:tcPr/>
          <w:p>
            <w:pPr>
              <w:pStyle w:val="Compact"/>
              <w:jc w:val="left"/>
            </w:pPr>
            <w:r>
              <w:t xml:space="preserve">Karaa 2020, PMID 32096613</w:t>
            </w:r>
          </w:p>
        </w:tc>
      </w:tr>
      <w:tr>
        <w:tc>
          <w:tcPr/>
          <w:p>
            <w:pPr>
              <w:pStyle w:val="Compact"/>
              <w:jc w:val="left"/>
            </w:pPr>
            <w:r>
              <w:t xml:space="preserve">Mecasermin</w:t>
            </w:r>
          </w:p>
        </w:tc>
        <w:tc>
          <w:tcPr/>
          <w:p>
            <w:pPr>
              <w:pStyle w:val="Compact"/>
              <w:jc w:val="left"/>
            </w:pPr>
            <w:r>
              <w:t xml:space="preserve">Fettgewebsveränderungen bei 32 %</w:t>
            </w:r>
          </w:p>
        </w:tc>
        <w:tc>
          <w:tcPr/>
          <w:p>
            <w:pPr>
              <w:pStyle w:val="Compact"/>
              <w:jc w:val="left"/>
            </w:pPr>
            <w:r>
              <w:t xml:space="preserve">Chernausek 2007, PMID 17192294</w:t>
            </w:r>
          </w:p>
        </w:tc>
      </w:tr>
      <w:tr>
        <w:tc>
          <w:tcPr/>
          <w:p>
            <w:pPr>
              <w:pStyle w:val="Compact"/>
              <w:jc w:val="left"/>
            </w:pPr>
            <w:r>
              <w:t xml:space="preserve">Tirzepatid</w:t>
            </w:r>
          </w:p>
        </w:tc>
        <w:tc>
          <w:tcPr/>
          <w:p>
            <w:pPr>
              <w:pStyle w:val="Compact"/>
              <w:jc w:val="left"/>
            </w:pPr>
            <w:r>
              <w:t xml:space="preserve">2 bis 7 %</w:t>
            </w:r>
          </w:p>
        </w:tc>
        <w:tc>
          <w:tcPr/>
          <w:p>
            <w:pPr>
              <w:pStyle w:val="Compact"/>
              <w:jc w:val="left"/>
            </w:pPr>
            <w:r>
              <w:t xml:space="preserve">Gupta 2026, PMID 42930571</w:t>
            </w:r>
          </w:p>
        </w:tc>
      </w:tr>
      <w:tr>
        <w:tc>
          <w:tcPr/>
          <w:p>
            <w:pPr>
              <w:pStyle w:val="Compact"/>
              <w:jc w:val="left"/>
            </w:pPr>
            <w:r>
              <w:t xml:space="preserve">Bremelanotid</w:t>
            </w:r>
          </w:p>
        </w:tc>
        <w:tc>
          <w:tcPr/>
          <w:p>
            <w:pPr>
              <w:pStyle w:val="Compact"/>
              <w:jc w:val="left"/>
            </w:pPr>
            <w:r>
              <w:t xml:space="preserve">5,4 % vs. 0,5 % unter Placebo</w:t>
            </w:r>
          </w:p>
        </w:tc>
        <w:tc>
          <w:tcPr/>
          <w:p>
            <w:pPr>
              <w:pStyle w:val="Compact"/>
              <w:jc w:val="left"/>
            </w:pPr>
            <w:r>
              <w:t xml:space="preserve">Clayton 2022, PMID 35147466</w:t>
            </w:r>
          </w:p>
        </w:tc>
      </w:tr>
    </w:tbl>
    <w:p>
      <w:pPr>
        <w:pStyle w:val="BodyText"/>
      </w:pPr>
      <w:r>
        <w:t xml:space="preserve">Bei der Wochenform von Exenatid bilden sich häufig kleine Knötchen, weil die Mikrokügelchen, die den Wirkstoff langsam freisetzen, unter der Haut abgebaut werden. In der Fünf-Jahres-Auswertung von DURATION-1 wurden solche Reaktionen mit der Zeit seltener</w:t>
      </w:r>
      <w:r>
        <w:rPr>
          <w:rStyle w:val="FootnoteReference"/>
        </w:rPr>
        <w:footnoteReference w:id="2710"/>
      </w:r>
      <w:r>
        <w:t xml:space="preserve">. Beim Mecasermin handelte es sich um eine Verdickung des Fettgewebes an der Einstichstelle (Lipohypertrophie).</w:t>
      </w:r>
    </w:p>
    <w:p>
      <w:pPr>
        <w:pStyle w:val="BodyText"/>
      </w:pPr>
      <w:r>
        <w:t xml:space="preserve">Wichtig ist die Abgrenzung zur</w:t>
      </w:r>
      <w:r>
        <w:t xml:space="preserve"> </w:t>
      </w:r>
      <w:r>
        <w:rPr>
          <w:bCs/>
          <w:b/>
        </w:rPr>
        <w:t xml:space="preserve">Infektion</w:t>
      </w:r>
      <w:r>
        <w:t xml:space="preserve">. Eine Rötung, die über Tage zunimmt, warm wird, schmerzt, eitert oder mit Fieber einhergeht, ist keine harmlose Reaktion. Nach Argireline-Injektionen in Stirn und Schläfen entwickelte eine 45-jährige Frau Knoten und Abszesse; ursächlich war das schwer behandelbare Bakterium</w:t>
      </w:r>
      <w:r>
        <w:t xml:space="preserve"> </w:t>
      </w:r>
      <w:r>
        <w:rPr>
          <w:iCs/>
          <w:i/>
        </w:rPr>
        <w:t xml:space="preserve">Mycobacterium abscessus</w:t>
      </w:r>
      <w:r>
        <w:t xml:space="preserve">, die Behandlung dauerte fünf Monate</w:t>
      </w:r>
      <w:r>
        <w:rPr>
          <w:rStyle w:val="FootnoteReference"/>
        </w:rPr>
        <w:footnoteReference w:id="2711"/>
      </w:r>
      <w:r>
        <w:t xml:space="preserve">. Solche Infektionen gehen meist nicht vom Peptid aus, sondern von unsterilen Produkten oder Verfahren – mehr dazu im Kapitel „Graumarkt-Produkte“.</w:t>
      </w:r>
    </w:p>
    <w:bookmarkEnd w:id="2712"/>
    <w:bookmarkStart w:id="2721" w:name="allergische-reaktionen-und-anaphylaxie"/>
    <w:p>
      <w:pPr>
        <w:pStyle w:val="Heading3"/>
      </w:pPr>
      <w:r>
        <w:t xml:space="preserve">Allergische Reaktionen und Anaphylaxie</w:t>
      </w:r>
    </w:p>
    <w:p>
      <w:pPr>
        <w:pStyle w:val="FirstParagraph"/>
      </w:pPr>
      <w:r>
        <w:t xml:space="preserve">Eine Anaphylaxie ist eine schwere, den ganzen Körper betreffende allergische Reaktion mit Hautausschlag, Schwellungen, Atemnot und Kreislaufversagen. Sie ist bei Peptid-Medikamenten selten, kommt aber vor.</w:t>
      </w:r>
    </w:p>
    <w:p>
      <w:pPr>
        <w:pStyle w:val="BodyText"/>
      </w:pPr>
      <w:r>
        <w:t xml:space="preserve">Für die GLP-1-Medikamente gibt es dazu große Datenbankstudien. In drei US-Versicherungsdatenbanken mit 696.089 Neuanwenderinnen und Neuanwendern lag die Häufigkeit einer Anaphylaxie je nach Wirkstoff bei 1,0 (Lixisenatid) bis 6,0 (Exenatid) Fällen pro 10.000 Personenjahre; die Autorinnen und Autoren bewerten Anaphylaxie unter GLP-1-Medikamenten als selten</w:t>
      </w:r>
      <w:r>
        <w:rPr>
          <w:rStyle w:val="FootnoteReference"/>
        </w:rPr>
        <w:footnoteReference w:id="2713"/>
      </w:r>
      <w:r>
        <w:t xml:space="preserve">. Eine Studie aus Großbritannien und den USA verglich GLP-1-Rezeptor-Agonisten mit zwei anderen Gruppen von Diabetesmitteln. Gegenüber DPP-4-Hemmern war das Risiko nicht gesichert erhöht (Hazard Ratio 1,15), gegenüber SGLT2-Hemmern um 38 % (40,7 gegenüber 29,4 Fällen pro 100.000 Personenjahre)</w:t>
      </w:r>
      <w:r>
        <w:rPr>
          <w:rStyle w:val="FootnoteReference"/>
        </w:rPr>
        <w:footnoteReference w:id="2714"/>
      </w:r>
      <w:r>
        <w:t xml:space="preserve">. Das ist ein relativer Anstieg bei einer absolut sehr seltenen Reaktion.</w:t>
      </w:r>
    </w:p>
    <w:p>
      <w:pPr>
        <w:pStyle w:val="BodyText"/>
      </w:pPr>
      <w:r>
        <w:t xml:space="preserve">Einzelfälle zeigen, wie solche Reaktionen aussehen können:</w:t>
      </w:r>
    </w:p>
    <w:p>
      <w:pPr>
        <w:numPr>
          <w:ilvl w:val="0"/>
          <w:numId w:val="1344"/>
        </w:numPr>
        <w:pStyle w:val="Compact"/>
      </w:pPr>
      <w:r>
        <w:t xml:space="preserve">Fallberichte beschreiben Anaphylaxie unter der Wochenform von Exenatid</w:t>
      </w:r>
      <w:r>
        <w:rPr>
          <w:rStyle w:val="FootnoteReference"/>
        </w:rPr>
        <w:footnoteReference w:id="2715"/>
      </w:r>
      <w:r>
        <w:t xml:space="preserve"> </w:t>
      </w:r>
      <w:r>
        <w:t xml:space="preserve">und eine allergische Reaktion auf Exenatid und Lixisenatid, aber nicht auf Liraglutid</w:t>
      </w:r>
      <w:r>
        <w:rPr>
          <w:rStyle w:val="FootnoteReference"/>
        </w:rPr>
        <w:footnoteReference w:id="2716"/>
      </w:r>
      <w:r>
        <w:t xml:space="preserve"> </w:t>
      </w:r>
      <w:r>
        <w:t xml:space="preserve">– ein Hinweis, dass die von Echsen abgeleiteten Wirkstoffe anders erkannt werden als die menschenähnlichen.</w:t>
      </w:r>
    </w:p>
    <w:p>
      <w:pPr>
        <w:numPr>
          <w:ilvl w:val="0"/>
          <w:numId w:val="1344"/>
        </w:numPr>
        <w:pStyle w:val="Compact"/>
      </w:pPr>
      <w:r>
        <w:t xml:space="preserve">Unter Tirzepatid ist eine zweiphasige Anaphylaxie beschrieben, bei der die Beschwerden nach anfänglicher Besserung erneut auftraten</w:t>
      </w:r>
      <w:r>
        <w:rPr>
          <w:rStyle w:val="FootnoteReference"/>
        </w:rPr>
        <w:footnoteReference w:id="2717"/>
      </w:r>
      <w:r>
        <w:t xml:space="preserve">.</w:t>
      </w:r>
    </w:p>
    <w:p>
      <w:pPr>
        <w:numPr>
          <w:ilvl w:val="0"/>
          <w:numId w:val="1344"/>
        </w:numPr>
        <w:pStyle w:val="Compact"/>
      </w:pPr>
      <w:r>
        <w:t xml:space="preserve">Eine 50-jährige Frau entwickelte vier Stunden nach ihrer ersten Spritze mit Semaglutid aus einer Rezepturapotheke eine massive Schwellung von Lippen, Zunge und Rachen und musste vier Tage beatmet werden. Erst danach stellte sich heraus, dass sie versehentlich die zehnfache Menge gespritzt hatte</w:t>
      </w:r>
      <w:r>
        <w:rPr>
          <w:rStyle w:val="FootnoteReference"/>
        </w:rPr>
        <w:footnoteReference w:id="2718"/>
      </w:r>
      <w:r>
        <w:t xml:space="preserve">.</w:t>
      </w:r>
    </w:p>
    <w:p>
      <w:pPr>
        <w:numPr>
          <w:ilvl w:val="0"/>
          <w:numId w:val="1344"/>
        </w:numPr>
        <w:pStyle w:val="Compact"/>
      </w:pPr>
      <w:r>
        <w:t xml:space="preserve">Nach einer Cerebrolysin-Infusion entwickelte ein 85-jähriger Mann eine lebensbedrohliche Anaphylaxie, die im Labor bestätigt wurde</w:t>
      </w:r>
      <w:r>
        <w:rPr>
          <w:rStyle w:val="FootnoteReference"/>
        </w:rPr>
        <w:footnoteReference w:id="2719"/>
      </w:r>
      <w:r>
        <w:t xml:space="preserve">. Cerebrolysin ist ein Gemisch aus Peptiden aus Schweinehirn; tierische Extrakte wie dieses oder Thymalin bringen grundsätzlich mehr fremde Eiweiße mit (Kapitel Cerebrolysin, Thymalin).</w:t>
      </w:r>
    </w:p>
    <w:p>
      <w:pPr>
        <w:pStyle w:val="FirstParagraph"/>
      </w:pPr>
      <w:r>
        <w:t xml:space="preserve">Auch bei Kosmetik-Peptiden sind Allergien möglich, wenn auch selten. In einer kleinen Studie mit einer Creme, die unter anderem Palmitoyl-Pentapeptid-4 enthielt, trat ein Verdacht auf eine allergische Reaktion auf; welcher Bestandteil verantwortlich war, blieb offen</w:t>
      </w:r>
      <w:r>
        <w:rPr>
          <w:rStyle w:val="FootnoteReference"/>
        </w:rPr>
        <w:footnoteReference w:id="2720"/>
      </w:r>
      <w:r>
        <w:t xml:space="preserve">.</w:t>
      </w:r>
    </w:p>
    <w:p>
      <w:pPr>
        <w:pStyle w:val="BodyText"/>
      </w:pPr>
      <w:r>
        <w:t xml:space="preserve">Für Graumarkt-Peptide gibt es keine Häufigkeitsdaten. Das Risiko einer schweren allergischen Reaktion besteht dort aber in besonderem Maß, weil die Anwendung meist ohne ärztliche Aufsicht stattfindet und im Ernstfall niemand mit Notfallmedikamenten bereitsteht. Atemnot, Schwellungen im Gesicht oder Rachen und Kreislaufbeschwerden nach einer Spritze sind immer ein Notfall.</w:t>
      </w:r>
    </w:p>
    <w:bookmarkEnd w:id="2721"/>
    <w:bookmarkStart w:id="2726" w:name="entzündliche-und-autoimmune-reaktionen"/>
    <w:p>
      <w:pPr>
        <w:pStyle w:val="Heading3"/>
      </w:pPr>
      <w:r>
        <w:t xml:space="preserve">Entzündliche und autoimmune Reaktionen</w:t>
      </w:r>
    </w:p>
    <w:p>
      <w:pPr>
        <w:pStyle w:val="FirstParagraph"/>
      </w:pPr>
      <w:r>
        <w:t xml:space="preserve">Einige Peptide sind selbst Teil des Immunsystems. Das macht sie interessant, aber auch riskant.</w:t>
      </w:r>
    </w:p>
    <w:p>
      <w:pPr>
        <w:pStyle w:val="BodyText"/>
      </w:pPr>
      <w:r>
        <w:rPr>
          <w:bCs/>
          <w:b/>
        </w:rPr>
        <w:t xml:space="preserve">LL-37</w:t>
      </w:r>
      <w:r>
        <w:t xml:space="preserve"> </w:t>
      </w:r>
      <w:r>
        <w:t xml:space="preserve">ist ein körpereigenes Abwehrpeptid. Bei Schuppenflechte (Psoriasis) spielt es eine Schlüsselrolle: Es verbindet sich mit körpereigener Erbsubstanz und macht sie für bestimmte Immunzellen sichtbar, die daraufhin Entzündungsbotenstoffe ausschütten</w:t>
      </w:r>
      <w:r>
        <w:rPr>
          <w:rStyle w:val="FootnoteReference"/>
        </w:rPr>
        <w:footnoteReference w:id="2722"/>
      </w:r>
      <w:r>
        <w:t xml:space="preserve">. Bei zwei Dritteln der Menschen mit mittelschwerer bis schwerer Psoriasis fanden sich T-Zellen, die gezielt LL-37 erkennen – es wirkt dort also wie ein Autoantigen</w:t>
      </w:r>
      <w:r>
        <w:rPr>
          <w:rStyle w:val="FootnoteReference"/>
        </w:rPr>
        <w:footnoteReference w:id="2723"/>
      </w:r>
      <w:r>
        <w:t xml:space="preserve">. Nach Injektionen von LL-37 in Hautmetastasen traten bei einer Patientin entzündliche, warzenartige Hautveränderungen auf</w:t>
      </w:r>
      <w:r>
        <w:rPr>
          <w:rStyle w:val="FootnoteReference"/>
        </w:rPr>
        <w:footnoteReference w:id="2724"/>
      </w:r>
      <w:r>
        <w:t xml:space="preserve">. Für Menschen mit Psoriasis, Rosazea oder anderen Autoimmunerkrankungen ist das ein ernst zu nehmender Hinweis (Kapitel LL-37).</w:t>
      </w:r>
    </w:p>
    <w:p>
      <w:pPr>
        <w:pStyle w:val="BodyText"/>
      </w:pPr>
      <w:r>
        <w:rPr>
          <w:bCs/>
          <w:b/>
        </w:rPr>
        <w:t xml:space="preserve">Immunstimulierende Peptide</w:t>
      </w:r>
      <w:r>
        <w:t xml:space="preserve"> </w:t>
      </w:r>
      <w:r>
        <w:t xml:space="preserve">wie Thymosin Alpha-1 und Thymalin sollen die Abwehr anregen. Ob das bei Autoimmunerkrankungen oder nach Organtransplantationen schadet, ist nicht untersucht (Kapitel Thymosin Alpha-1, Thymalin).</w:t>
      </w:r>
    </w:p>
    <w:p>
      <w:pPr>
        <w:pStyle w:val="BodyText"/>
      </w:pPr>
      <w:r>
        <w:t xml:space="preserve">Bei den GLP-1-Medikamenten beschreibt eine systematische Übersicht neben den häufigen leichten Hautreaktionen seltene, aber potenziell schwere immunvermittelte Erkrankungen, darunter Angioödeme, blasenbildende Autoimmunerkrankungen, Arzneimittelausschläge und Gefäßentzündungen</w:t>
      </w:r>
      <w:r>
        <w:rPr>
          <w:rStyle w:val="FootnoteReference"/>
        </w:rPr>
        <w:footnoteReference w:id="2725"/>
      </w:r>
      <w:r>
        <w:t xml:space="preserve">. Wie häufig sie sind, lässt sich aus Fallberichten nicht ablesen.</w:t>
      </w:r>
    </w:p>
    <w:bookmarkEnd w:id="2726"/>
    <w:bookmarkStart w:id="2732" w:name="verunreinigungen-als-auslöser"/>
    <w:p>
      <w:pPr>
        <w:pStyle w:val="Heading3"/>
      </w:pPr>
      <w:r>
        <w:t xml:space="preserve">Verunreinigungen als Auslöser</w:t>
      </w:r>
    </w:p>
    <w:p>
      <w:pPr>
        <w:pStyle w:val="FirstParagraph"/>
      </w:pPr>
      <w:r>
        <w:t xml:space="preserve">Ein Teil der Immunreaktionen geht nicht auf das Peptid selbst zurück, sondern auf das, was bei seiner Herstellung zusätzlich in das Fläschchen gelangt.</w:t>
      </w:r>
    </w:p>
    <w:p>
      <w:pPr>
        <w:pStyle w:val="BodyText"/>
      </w:pPr>
      <w:r>
        <w:rPr>
          <w:bCs/>
          <w:b/>
        </w:rPr>
        <w:t xml:space="preserve">Fehlerhafte Peptide.</w:t>
      </w:r>
      <w:r>
        <w:t xml:space="preserve"> </w:t>
      </w:r>
      <w:r>
        <w:t xml:space="preserve">Bei der chemischen Synthese entstehen Moleküle, bei denen ein Baustein fehlt, doppelt vorkommt oder chemisch verändert ist. Solche Verunreinigungen können neue Strukturen enthalten, die T-Zellen des Immunsystems erkennen. Deshalb verlangt die US-Arzneimittelbehörde bei Nachahmerprodukten synthetischer Peptide Angaben zu jeder neuen Verunreinigung im Vergleich zum Originalpräparat</w:t>
      </w:r>
      <w:r>
        <w:rPr>
          <w:rStyle w:val="FootnoteReference"/>
        </w:rPr>
        <w:footnoteReference w:id="2727"/>
      </w:r>
      <w:r>
        <w:t xml:space="preserve">. Wie eine solche Prüfung aussieht, zeigt eine Untersuchung an Nachahmerprodukten des Osteoporose-Peptids Teriparatid, bei der Verunreinigungen mit Computerverfahren, Bindungstests und Versuchen mit menschlichen Immunzellen bewertet wurden</w:t>
      </w:r>
      <w:r>
        <w:rPr>
          <w:rStyle w:val="FootnoteReference"/>
        </w:rPr>
        <w:footnoteReference w:id="2728"/>
      </w:r>
      <w:r>
        <w:t xml:space="preserve">.</w:t>
      </w:r>
    </w:p>
    <w:p>
      <w:pPr>
        <w:pStyle w:val="BodyText"/>
      </w:pPr>
      <w:r>
        <w:rPr>
          <w:bCs/>
          <w:b/>
        </w:rPr>
        <w:t xml:space="preserve">GLP-1-Nachahmerprodukte.</w:t>
      </w:r>
      <w:r>
        <w:t xml:space="preserve"> </w:t>
      </w:r>
      <w:r>
        <w:t xml:space="preserve">Eine herstellernahe Analyse von 16 injizierbaren und 8 oralen Semaglutid-Nachahmerprodukten fand neue Verunreinigungen, darunter größere Eiweißmoleküle, und mit Computerverfahren vorhergesagte neue Erkennungsstellen für das Immunsystem; bei Liraglutid-Nachahmern zeigte sich eine stärkere Neigung zur Verklumpung</w:t>
      </w:r>
      <w:r>
        <w:rPr>
          <w:rStyle w:val="FootnoteReference"/>
        </w:rPr>
        <w:footnoteReference w:id="2729"/>
      </w:r>
      <w:r>
        <w:t xml:space="preserve">. Ob diese Unterschiede bei Menschen tatsächlich mehr Antikörper hervorrufen, wurde nicht gemessen. Dass ein sorgfältig hergestelltes, synthetisches Nachahmerprodukt nicht automatisch problematischer ist, zeigt eine andere Untersuchung: Ein synthetisches Liraglutid-Generikum regte menschliche Immunzellen im Labor nicht stärker an als das gentechnisch hergestellte Original</w:t>
      </w:r>
      <w:r>
        <w:rPr>
          <w:rStyle w:val="FootnoteReference"/>
        </w:rPr>
        <w:footnoteReference w:id="2730"/>
      </w:r>
      <w:r>
        <w:t xml:space="preserve">. Entscheidend ist also nicht die Herstellungsart, sondern die Qualitätskontrolle.</w:t>
      </w:r>
    </w:p>
    <w:p>
      <w:pPr>
        <w:pStyle w:val="BodyText"/>
      </w:pPr>
      <w:r>
        <w:rPr>
          <w:bCs/>
          <w:b/>
        </w:rPr>
        <w:t xml:space="preserve">Endotoxine und Keime.</w:t>
      </w:r>
      <w:r>
        <w:t xml:space="preserve"> </w:t>
      </w:r>
      <w:r>
        <w:t xml:space="preserve">Endotoxine, Zellwandbestandteile von Bakterien, aktivieren das angeborene Immunsystem direkt und können Fieber, Schüttelfrost und Kreislaufreaktionen auslösen. Bei Testkäufen von Semaglutid aus illegalen Online-Apotheken waren sie in allen Proben nachweisbar (Ashraf 2024, PMID 39509151; Einzelheiten in Teil I). Ein Kontrolllabor wies in zwei illegalen Peptidpräparaten zur Injektion das Bakterium</w:t>
      </w:r>
      <w:r>
        <w:t xml:space="preserve"> </w:t>
      </w:r>
      <w:r>
        <w:rPr>
          <w:iCs/>
          <w:i/>
        </w:rPr>
        <w:t xml:space="preserve">Bacillus cereus</w:t>
      </w:r>
      <w:r>
        <w:t xml:space="preserve"> </w:t>
      </w:r>
      <w:r>
        <w:t xml:space="preserve">nach, das rote Blutkörperchen zerstören kann</w:t>
      </w:r>
      <w:r>
        <w:rPr>
          <w:rStyle w:val="FootnoteReference"/>
        </w:rPr>
        <w:footnoteReference w:id="2731"/>
      </w:r>
      <w:r>
        <w:t xml:space="preserve">.</w:t>
      </w:r>
    </w:p>
    <w:p>
      <w:pPr>
        <w:pStyle w:val="BodyText"/>
      </w:pPr>
      <w:r>
        <w:t xml:space="preserve">Für den Graumarkt bedeutet das: Selbst wenn ein Peptid an sich wenig immunogen ist, kann das Produkt es sein. Und weil für Graumarkt-Ware weder Verunreinigungsprofile noch Endotoxin-Grenzwerte geprüft werden, lässt sich eine Reaktion im Nachhinein kaum einem Bestandteil zuordnen.</w:t>
      </w:r>
    </w:p>
    <w:bookmarkEnd w:id="2732"/>
    <w:bookmarkStart w:id="2733" w:name="was-das-praktisch-bedeutet"/>
    <w:p>
      <w:pPr>
        <w:pStyle w:val="Heading3"/>
      </w:pPr>
      <w:r>
        <w:t xml:space="preserve">Was das praktisch bedeutet</w:t>
      </w:r>
    </w:p>
    <w:p>
      <w:pPr>
        <w:numPr>
          <w:ilvl w:val="0"/>
          <w:numId w:val="1345"/>
        </w:numPr>
        <w:pStyle w:val="Compact"/>
      </w:pPr>
      <w:r>
        <w:t xml:space="preserve">Antikörper gegen Peptid-Medikamente sind häufig, aber meist folgenlos. Bei Exenatid können hohe Titer die Wirkung abschwächen; bei Tirzepatid gehen sie mit etwas mehr Haut- und Überempfindlichkeitsreaktionen einher.</w:t>
      </w:r>
    </w:p>
    <w:p>
      <w:pPr>
        <w:numPr>
          <w:ilvl w:val="0"/>
          <w:numId w:val="1345"/>
        </w:numPr>
        <w:pStyle w:val="Compact"/>
      </w:pPr>
      <w:r>
        <w:t xml:space="preserve">Reaktionen an der Einstichstelle sind die häufigste Immunreaktion, bei manchen Peptiden fast die Regel. Zunehmende Rötung, Wärme, Eiter oder Fieber deuten dagegen auf eine Infektion.</w:t>
      </w:r>
    </w:p>
    <w:p>
      <w:pPr>
        <w:numPr>
          <w:ilvl w:val="0"/>
          <w:numId w:val="1345"/>
        </w:numPr>
        <w:pStyle w:val="Compact"/>
      </w:pPr>
      <w:r>
        <w:t xml:space="preserve">Anaphylaxie ist unter zugelassenen GLP-1-Medikamenten sehr selten – in der Größenordnung weniger Fälle pro 10.000 Behandlungsjahre. Fallberichte gibt es auch zu Tirzepatid, Cerebrolysin und zu einer versehentlichen Überdosierung.</w:t>
      </w:r>
    </w:p>
    <w:p>
      <w:pPr>
        <w:numPr>
          <w:ilvl w:val="0"/>
          <w:numId w:val="1345"/>
        </w:numPr>
        <w:pStyle w:val="Compact"/>
      </w:pPr>
      <w:r>
        <w:t xml:space="preserve">Für die meisten Graumarkt-Peptide fehlen Daten zu Antikörpern und Allergien vollständig. Verunreinigungen und Endotoxine sind dort ein zusätzliches, unkalkulierbares Risiko.</w:t>
      </w:r>
    </w:p>
    <w:p>
      <w:pPr>
        <w:numPr>
          <w:ilvl w:val="0"/>
          <w:numId w:val="1345"/>
        </w:numPr>
        <w:pStyle w:val="Compact"/>
      </w:pPr>
      <w:r>
        <w:t xml:space="preserve">Wer bereits auf ein Peptid allergisch reagiert hat, sollte das bei jeder ärztlichen Behandlung angeben. Ob verwandte Wirkstoffe vertragen werden, lässt sich nur ärztlich klären.</w:t>
      </w:r>
    </w:p>
    <w:bookmarkEnd w:id="2733"/>
    <w:bookmarkEnd w:id="2734"/>
    <w:bookmarkStart w:id="2778" w:name="X5a934dedb6f836a4204c14b911a0758d63e8ddc"/>
    <w:p>
      <w:pPr>
        <w:pStyle w:val="Heading2"/>
      </w:pPr>
      <w:r>
        <w:t xml:space="preserve">Graumarkt-Produkte: was Laboranalysen zeigen</w:t>
      </w:r>
    </w:p>
    <w:p>
      <w:pPr>
        <w:pStyle w:val="FirstParagraph"/>
      </w:pPr>
      <w:r>
        <w:t xml:space="preserve">Teil I hat im Kapitel „Der Graumarkt“ beschrieben, was „Research Peptides“ sind, und einzelne aufsehenerregende Funde vorgestellt: Semaglutid-Pulver mit einer Reinheit von 7,7 bis 14,4 %, Melanotan-Fläschchen mit weniger als der Hälfte der angegebenen Menge, gefälschtes Ozempic mit Insulin. Dieses Kapitel geht einen Schritt weiter. Es fragt, wer solche Produkte überhaupt analysiert, welche Fehlerarten sich über viele Untersuchungen hinweg wiederholen, was diese Analysen nicht zeigen können – und was die Daten von Giftinformationszentren über die Folgen von Fehldosierungen bei GLP-1-Medikamenten verraten.</w:t>
      </w:r>
    </w:p>
    <w:bookmarkStart w:id="2736" w:name="wer-graumarkt-produkte-analysiert"/>
    <w:p>
      <w:pPr>
        <w:pStyle w:val="Heading3"/>
      </w:pPr>
      <w:r>
        <w:t xml:space="preserve">Wer Graumarkt-Produkte analysiert</w:t>
      </w:r>
    </w:p>
    <w:p>
      <w:pPr>
        <w:pStyle w:val="FirstParagraph"/>
      </w:pPr>
      <w:r>
        <w:t xml:space="preserve">Die meisten Daten stammen aus drei Quellen.</w:t>
      </w:r>
    </w:p>
    <w:p>
      <w:pPr>
        <w:pStyle w:val="BodyText"/>
      </w:pPr>
      <w:r>
        <w:rPr>
          <w:bCs/>
          <w:b/>
        </w:rPr>
        <w:t xml:space="preserve">Amtliche Arzneimittel-Kontrolllabore.</w:t>
      </w:r>
      <w:r>
        <w:t xml:space="preserve"> </w:t>
      </w:r>
      <w:r>
        <w:t xml:space="preserve">In Europa arbeiten sie in einem Netzwerk zusammen, das vom Europäischen Direktorat für die Qualität von Arzneimitteln koordiniert wird. Sie untersuchen Proben, die Zoll, Polizei oder Gesundheitsbehörden sicherstellen. Ein belgisches Labor entwickelte zum Beispiel ein Suchverfahren, mit dem sich 25 verschiedene Peptide in unbekannten Injektionspräparaten in einem Durchgang erkennen lassen – darunter auch solche, die noch gar nicht beschlagnahmt, aber in Internetforen bereits diskutiert worden waren</w:t>
      </w:r>
      <w:r>
        <w:rPr>
          <w:rStyle w:val="FootnoteReference"/>
        </w:rPr>
        <w:footnoteReference w:id="2735"/>
      </w:r>
      <w:r>
        <w:t xml:space="preserve">.</w:t>
      </w:r>
    </w:p>
    <w:p>
      <w:pPr>
        <w:pStyle w:val="BodyText"/>
      </w:pPr>
      <w:r>
        <w:rPr>
          <w:bCs/>
          <w:b/>
        </w:rPr>
        <w:t xml:space="preserve">Anti-Doping- und Forensik-Labore.</w:t>
      </w:r>
      <w:r>
        <w:t xml:space="preserve"> </w:t>
      </w:r>
      <w:r>
        <w:t xml:space="preserve">Sie analysieren beschlagnahmte Ware aus dem Sportumfeld, um ihre Nachweisverfahren aktuell zu halten. Die Kölner, norwegischen und dänischen Befunde aus Teil I stammen aus dieser Quelle.</w:t>
      </w:r>
    </w:p>
    <w:p>
      <w:pPr>
        <w:pStyle w:val="BodyText"/>
      </w:pPr>
      <w:r>
        <w:rPr>
          <w:bCs/>
          <w:b/>
        </w:rPr>
        <w:t xml:space="preserve">Testkäufe durch Forschungsgruppen.</w:t>
      </w:r>
      <w:r>
        <w:t xml:space="preserve"> </w:t>
      </w:r>
      <w:r>
        <w:t xml:space="preserve">Sie kaufen gezielt Produkte von Online-Anbietern und prüfen, was ankommt. Diese Untersuchungen sind seltener, kommen aber der Situation von Käuferinnen und Käufern am nächsten.</w:t>
      </w:r>
    </w:p>
    <w:p>
      <w:pPr>
        <w:pStyle w:val="BodyText"/>
      </w:pPr>
      <w:r>
        <w:t xml:space="preserve">Eingesetzt werden Verfahren, die unterschiedliche Fragen beantworten: Massenspektrometrie zeigt,</w:t>
      </w:r>
      <w:r>
        <w:t xml:space="preserve"> </w:t>
      </w:r>
      <w:r>
        <w:rPr>
          <w:iCs/>
          <w:i/>
        </w:rPr>
        <w:t xml:space="preserve">welcher</w:t>
      </w:r>
      <w:r>
        <w:t xml:space="preserve"> </w:t>
      </w:r>
      <w:r>
        <w:t xml:space="preserve">Stoff vorliegt; Flüssigchromatographie misst</w:t>
      </w:r>
      <w:r>
        <w:t xml:space="preserve"> </w:t>
      </w:r>
      <w:r>
        <w:rPr>
          <w:iCs/>
          <w:i/>
        </w:rPr>
        <w:t xml:space="preserve">wie viel</w:t>
      </w:r>
      <w:r>
        <w:t xml:space="preserve"> </w:t>
      </w:r>
      <w:r>
        <w:t xml:space="preserve">und</w:t>
      </w:r>
      <w:r>
        <w:t xml:space="preserve"> </w:t>
      </w:r>
      <w:r>
        <w:rPr>
          <w:iCs/>
          <w:i/>
        </w:rPr>
        <w:t xml:space="preserve">wie rein</w:t>
      </w:r>
      <w:r>
        <w:t xml:space="preserve">; spezielle Verfahren erfassen Metalle, Lösungsmittelreste, Bakterien oder Endotoxine. Kein Labor prüft routinemäßig alles. Wenn ein Bericht nur die Identität bestimmt, sagt er nichts über Keime aus, und umgekehrt.</w:t>
      </w:r>
    </w:p>
    <w:bookmarkEnd w:id="2736"/>
    <w:bookmarkStart w:id="2756" w:name="vier-fehlerarten-die-immer-wiederkehren"/>
    <w:p>
      <w:pPr>
        <w:pStyle w:val="Heading3"/>
      </w:pPr>
      <w:r>
        <w:t xml:space="preserve">Vier Fehlerarten, die immer wiederkehren</w:t>
      </w:r>
    </w:p>
    <w:p>
      <w:pPr>
        <w:pStyle w:val="FirstParagraph"/>
      </w:pPr>
      <w:r>
        <w:t xml:space="preserve">Über die einzelnen Analysen hinweg lassen sich die Befunde in vier Gruppen ordnen.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Fehlerart</w:t>
            </w:r>
          </w:p>
        </w:tc>
        <w:tc>
          <w:tcPr/>
          <w:p>
            <w:pPr>
              <w:pStyle w:val="Compact"/>
              <w:jc w:val="left"/>
            </w:pPr>
            <w:r>
              <w:t xml:space="preserve">Beispiele aus Analysen</w:t>
            </w:r>
          </w:p>
        </w:tc>
        <w:tc>
          <w:tcPr/>
          <w:p>
            <w:pPr>
              <w:pStyle w:val="Compact"/>
              <w:jc w:val="left"/>
            </w:pPr>
            <w:r>
              <w:t xml:space="preserve">Quelle</w:t>
            </w:r>
          </w:p>
        </w:tc>
      </w:tr>
      <w:tr>
        <w:tc>
          <w:tcPr/>
          <w:p>
            <w:pPr>
              <w:pStyle w:val="Compact"/>
              <w:jc w:val="left"/>
            </w:pPr>
            <w:r>
              <w:t xml:space="preserve">Falscher oder kein Wirkstoff</w:t>
            </w:r>
          </w:p>
        </w:tc>
        <w:tc>
          <w:tcPr/>
          <w:p>
            <w:pPr>
              <w:pStyle w:val="Compact"/>
              <w:jc w:val="left"/>
            </w:pPr>
            <w:r>
              <w:t xml:space="preserve">9 von 36 beschlagnahmten Proben ohne Peptid oder Eiweiß</w:t>
            </w:r>
          </w:p>
        </w:tc>
        <w:tc>
          <w:tcPr/>
          <w:p>
            <w:pPr>
              <w:pStyle w:val="Compact"/>
              <w:jc w:val="left"/>
            </w:pPr>
            <w:r>
              <w:t xml:space="preserve">Høj 2021, PMID 33686802</w:t>
            </w:r>
          </w:p>
        </w:tc>
      </w:tr>
      <w:tr>
        <w:tc>
          <w:tcPr/>
          <w:p>
            <w:pPr>
              <w:pStyle w:val="Compact"/>
              <w:jc w:val="left"/>
            </w:pPr>
            <w:r>
              <w:t xml:space="preserve">Falsche Menge</w:t>
            </w:r>
          </w:p>
        </w:tc>
        <w:tc>
          <w:tcPr/>
          <w:p>
            <w:pPr>
              <w:pStyle w:val="Compact"/>
              <w:jc w:val="left"/>
            </w:pPr>
            <w:r>
              <w:t xml:space="preserve">nur 41 % von 44 Internetprodukten mit korrekter Wirkstoffmenge</w:t>
            </w:r>
          </w:p>
        </w:tc>
        <w:tc>
          <w:tcPr/>
          <w:p>
            <w:pPr>
              <w:pStyle w:val="Compact"/>
              <w:jc w:val="left"/>
            </w:pPr>
            <w:r>
              <w:t xml:space="preserve">Van Wagoner 2017, PMID 29183075</w:t>
            </w:r>
          </w:p>
        </w:tc>
      </w:tr>
      <w:tr>
        <w:tc>
          <w:tcPr/>
          <w:p>
            <w:pPr>
              <w:pStyle w:val="Compact"/>
              <w:jc w:val="left"/>
            </w:pPr>
            <w:r>
              <w:t xml:space="preserve">Geringe Reinheit, Abbauprodukte</w:t>
            </w:r>
          </w:p>
        </w:tc>
        <w:tc>
          <w:tcPr/>
          <w:p>
            <w:pPr>
              <w:pStyle w:val="Compact"/>
              <w:jc w:val="left"/>
            </w:pPr>
            <w:r>
              <w:t xml:space="preserve">Reinheit 5 bis 75 % bei bestimmten Peptiden</w:t>
            </w:r>
          </w:p>
        </w:tc>
        <w:tc>
          <w:tcPr/>
          <w:p>
            <w:pPr>
              <w:pStyle w:val="Compact"/>
              <w:jc w:val="left"/>
            </w:pPr>
            <w:r>
              <w:t xml:space="preserve">Janvier 2018, PMID 30029448</w:t>
            </w:r>
          </w:p>
        </w:tc>
      </w:tr>
      <w:tr>
        <w:tc>
          <w:tcPr/>
          <w:p>
            <w:pPr>
              <w:pStyle w:val="Compact"/>
              <w:jc w:val="left"/>
            </w:pPr>
            <w:r>
              <w:t xml:space="preserve">Gefährliche Begleitstoffe</w:t>
            </w:r>
          </w:p>
        </w:tc>
        <w:tc>
          <w:tcPr/>
          <w:p>
            <w:pPr>
              <w:pStyle w:val="Compact"/>
              <w:jc w:val="left"/>
            </w:pPr>
            <w:r>
              <w:t xml:space="preserve">Arsen und Blei, teils bis zum Zehnfachen des Grenzwerts</w:t>
            </w:r>
          </w:p>
        </w:tc>
        <w:tc>
          <w:tcPr/>
          <w:p>
            <w:pPr>
              <w:pStyle w:val="Compact"/>
              <w:jc w:val="left"/>
            </w:pPr>
            <w:r>
              <w:t xml:space="preserve">Janvier 2018, PMID 30029448</w:t>
            </w:r>
          </w:p>
        </w:tc>
      </w:tr>
    </w:tbl>
    <w:bookmarkStart w:id="2742" w:name="falscher-oder-gar-kein-wirkstoff"/>
    <w:p>
      <w:pPr>
        <w:pStyle w:val="Heading4"/>
      </w:pPr>
      <w:r>
        <w:t xml:space="preserve">Falscher oder gar kein Wirkstoff</w:t>
      </w:r>
    </w:p>
    <w:p>
      <w:pPr>
        <w:pStyle w:val="FirstParagraph"/>
      </w:pPr>
      <w:r>
        <w:t xml:space="preserve">Ein dänisches Forensik-Labor erhielt im Jahr 2019 36 beschlagnahmte Proben, in denen Peptide oder Eiweiße vermutet wurden. 15 enthielten ein verbotenes Dopingmittel, 12 einen Stoff, der nicht auf der dänischen Dopingliste stand, und 9 enthielten überhaupt kein Peptid oder Eiweiß</w:t>
      </w:r>
      <w:r>
        <w:rPr>
          <w:rStyle w:val="FootnoteReference"/>
        </w:rPr>
        <w:footnoteReference w:id="2737"/>
      </w:r>
      <w:r>
        <w:t xml:space="preserve">. Bei einer europaweiten Zollaktion meldeten die Labore unter den beschlagnahmten Injektionspräparaten Wachstumshormon, Sermorelin, Melanotan II und Präparate ganz ohne Wirkstoff; die Sendungen waren im Durchschnitt zu groß für den Eigenbedarf und vermutlich teilweise zum Weiterverkauf bestimmt</w:t>
      </w:r>
      <w:r>
        <w:rPr>
          <w:rStyle w:val="FootnoteReference"/>
        </w:rPr>
        <w:footnoteReference w:id="2738"/>
      </w:r>
      <w:r>
        <w:t xml:space="preserve">. In einem belgischen Fall enthielt ein Präparat, das als IGF-1 vermutet wurde, stattdessen einen anderen Wachstumsfaktor, den epidermalen Wachstumsfaktor EGF</w:t>
      </w:r>
      <w:r>
        <w:rPr>
          <w:rStyle w:val="FootnoteReference"/>
        </w:rPr>
        <w:footnoteReference w:id="2739"/>
      </w:r>
      <w:r>
        <w:t xml:space="preserve">.</w:t>
      </w:r>
    </w:p>
    <w:p>
      <w:pPr>
        <w:pStyle w:val="BodyText"/>
      </w:pPr>
      <w:r>
        <w:t xml:space="preserve">Ein Pferdedoping-Labor analysierte im Internet angebotene Produkte mit den Bezeichnungen „TB500“, „TB1000“ und „SGF1000“. Der Inhalt der TB-Produkte entsprach nicht durchgehend den früheren Beschreibungen. „SGF1000“ bestand überwiegend aus Bindegewebs- und Bluteiweißen von Schafen; die angeblich wachstumsfördernden Bestandteile waren extrem verdünnt</w:t>
      </w:r>
      <w:r>
        <w:rPr>
          <w:rStyle w:val="FootnoteReference"/>
        </w:rPr>
        <w:footnoteReference w:id="2740"/>
      </w:r>
      <w:r>
        <w:t xml:space="preserve">.</w:t>
      </w:r>
    </w:p>
    <w:p>
      <w:pPr>
        <w:pStyle w:val="BodyText"/>
      </w:pPr>
      <w:r>
        <w:t xml:space="preserve">Wie häufig Etikett und Inhalt auseinanderfallen, zeigt eine US-Untersuchung, die zwar keine Peptide, sondern sogenannte SARMs betraf, aber denselben Vertriebsweg nutzt: Von 44 Internetprodukten enthielten nur 52 % überhaupt einen Wirkstoff aus der beworbenen Stoffgruppe. 39 % enthielten andere nicht zugelassene Stoffe, darunter den Wachstumshormon-Freisetzer Ibutamoren, 9 % gar keinen Wirkstoff, und 25 % nicht deklarierte Substanzen</w:t>
      </w:r>
      <w:r>
        <w:rPr>
          <w:rStyle w:val="FootnoteReference"/>
        </w:rPr>
        <w:footnoteReference w:id="2741"/>
      </w:r>
      <w:r>
        <w:t xml:space="preserve">.</w:t>
      </w:r>
    </w:p>
    <w:bookmarkEnd w:id="2742"/>
    <w:bookmarkStart w:id="2746" w:name="falsche-menge"/>
    <w:p>
      <w:pPr>
        <w:pStyle w:val="Heading4"/>
      </w:pPr>
      <w:r>
        <w:t xml:space="preserve">Falsche Menge</w:t>
      </w:r>
    </w:p>
    <w:p>
      <w:pPr>
        <w:pStyle w:val="FirstParagraph"/>
      </w:pPr>
      <w:r>
        <w:t xml:space="preserve">Selbst wenn der richtige Stoff im Fläschchen ist, stimmt die Menge oft nicht. In der genannten US-Analyse entsprach die gemessene Wirkstoffmenge nur bei 18 von 44 Produkten (41 %) der Angabe auf dem Etikett</w:t>
      </w:r>
      <w:r>
        <w:rPr>
          <w:rStyle w:val="FootnoteReference"/>
        </w:rPr>
        <w:footnoteReference w:id="2743"/>
      </w:r>
      <w:r>
        <w:t xml:space="preserve">. Ein französisches Toxikologie-Labor untersuchte 75 auf dem Schwarzmarkt beschlagnahmte Arzneimittel aus dem Bodybuilding-Umfeld: 33 % waren minderwertig, also falsch dosiert, 32 % gefälscht, das heißt mit anderem Inhalt als angegeben, und nur 19 % entsprachen vollständig dem Original</w:t>
      </w:r>
      <w:r>
        <w:rPr>
          <w:rStyle w:val="FootnoteReference"/>
        </w:rPr>
        <w:footnoteReference w:id="2744"/>
      </w:r>
      <w:r>
        <w:t xml:space="preserve">. Eine fünfjährige europäische Marktüberwachung mit 324 Proben aus 13 Ländern kam nach den begrenzten Mengenangaben zu dem Schluss, dass die meisten Proben wirksame Mengen enthielten und manche sogar überdosiert waren</w:t>
      </w:r>
      <w:r>
        <w:rPr>
          <w:rStyle w:val="FootnoteReference"/>
        </w:rPr>
        <w:footnoteReference w:id="2745"/>
      </w:r>
      <w:r>
        <w:t xml:space="preserve">.</w:t>
      </w:r>
    </w:p>
    <w:p>
      <w:pPr>
        <w:pStyle w:val="BodyText"/>
      </w:pPr>
      <w:r>
        <w:t xml:space="preserve">Beides ist gefährlich: Zu wenig Wirkstoff verleitet dazu, „nachzudosieren“; zu viel führt direkt zu stärkeren Nebenwirkungen. Bei GLP-1-Medikamenten, deren Verträglichkeit stark vom langsamen Steigern abhängt, ist eine unbekannte Menge besonders problematisch.</w:t>
      </w:r>
    </w:p>
    <w:bookmarkEnd w:id="2746"/>
    <w:bookmarkStart w:id="2751" w:name="Xab880abfb0b9b9a144a6073a7f8683c9e1be5eb"/>
    <w:p>
      <w:pPr>
        <w:pStyle w:val="Heading4"/>
      </w:pPr>
      <w:r>
        <w:t xml:space="preserve">Geringe Reinheit, Abbauprodukte und Designer-Varianten</w:t>
      </w:r>
    </w:p>
    <w:p>
      <w:pPr>
        <w:pStyle w:val="FirstParagraph"/>
      </w:pPr>
      <w:r>
        <w:t xml:space="preserve">Die umfassendste systematische Untersuchung stammt aus Belgien. Das Kontrolllabor kaufte die zehn am häufigsten gefälschten Peptid-Arzneimittel des belgischen Markts bei drei mutmaßlich illegalen Internetapotheken und prüfte sie auf Wirkstoff, Peptid-Verunreinigungen, kleine organische Fremdstoffe, Metalle und Lösungsmittelreste. Die Menge pro Fläschchen schwankte stark, und bei Peptiden mit der Aminosäure Cystein lag die Reinheit zwischen 5 und 75 %</w:t>
      </w:r>
      <w:r>
        <w:rPr>
          <w:rStyle w:val="FootnoteReference"/>
        </w:rPr>
        <w:footnoteReference w:id="2747"/>
      </w:r>
      <w:r>
        <w:t xml:space="preserve">.</w:t>
      </w:r>
    </w:p>
    <w:p>
      <w:pPr>
        <w:pStyle w:val="BodyText"/>
      </w:pPr>
      <w:r>
        <w:t xml:space="preserve">Andere Labore fanden in Schwarzmarkt-Produkten von IGF-1-Abwandlungen zahlreiche oxidierte, also chemisch veränderte, Peptidformen</w:t>
      </w:r>
      <w:r>
        <w:rPr>
          <w:rStyle w:val="FootnoteReference"/>
        </w:rPr>
        <w:footnoteReference w:id="2748"/>
      </w:r>
      <w:r>
        <w:t xml:space="preserve"> </w:t>
      </w:r>
      <w:r>
        <w:t xml:space="preserve">und in einer beschlagnahmten Melanotan-II-Probe eine Reinheit von 30 %</w:t>
      </w:r>
      <w:r>
        <w:rPr>
          <w:rStyle w:val="FootnoteReference"/>
        </w:rPr>
        <w:footnoteReference w:id="2749"/>
      </w:r>
      <w:r>
        <w:t xml:space="preserve">. In vom dänischen Zoll beschlagnahmten Präparaten fanden sich Abwandlungen von GHRP-2, GHRP-6, Ipamorelin und einem GHRH-Fragment, denen jeweils eine zusätzliche Aminosäure Glycin vorangestellt war</w:t>
      </w:r>
      <w:r>
        <w:rPr>
          <w:rStyle w:val="FootnoteReference"/>
        </w:rPr>
        <w:footnoteReference w:id="2750"/>
      </w:r>
      <w:r>
        <w:t xml:space="preserve">. Solche „Designer-Varianten“ sollen vermutlich Dopingtests umgehen. Ihre Wirkung und Sicherheit am Menschen sind völlig unbekannt.</w:t>
      </w:r>
    </w:p>
    <w:bookmarkEnd w:id="2751"/>
    <w:bookmarkStart w:id="2755" w:name="gefährliche-begleitstoffe"/>
    <w:p>
      <w:pPr>
        <w:pStyle w:val="Heading4"/>
      </w:pPr>
      <w:r>
        <w:t xml:space="preserve">Gefährliche Begleitstoffe</w:t>
      </w:r>
    </w:p>
    <w:p>
      <w:pPr>
        <w:pStyle w:val="FirstParagraph"/>
      </w:pPr>
      <w:r>
        <w:t xml:space="preserve">In der belgischen Untersuchung fanden sich die giftigen Elemente Arsen und Blei. Eine Probe war mit Blei verunreinigt, mehrere enthielten Arsen in Konzentrationen bis zum Zehnfachen des internationalen Grenzwerts für Injektionsarzneimittel. Die genauere Analyse zeigte, dass das Arsen vollständig in der giftigeren anorganischen Form vorlag. Die Autorinnen und Autoren weisen darauf hin, dass Arsen krebserregend ist und Blei sich im Körper anreichert – bei wiederholter Anwendung über Monate ein zusätzliches, schleichendes Risiko</w:t>
      </w:r>
      <w:r>
        <w:rPr>
          <w:rStyle w:val="FootnoteReference"/>
        </w:rPr>
        <w:footnoteReference w:id="2752"/>
      </w:r>
      <w:r>
        <w:t xml:space="preserve">.</w:t>
      </w:r>
    </w:p>
    <w:p>
      <w:pPr>
        <w:pStyle w:val="BodyText"/>
      </w:pPr>
      <w:r>
        <w:t xml:space="preserve">Dazu kommen Keime und Bakterienbestandteile. Dasselbe Labor wies in zwei illegalen Peptidpräparaten zur Injektion das Bakterium</w:t>
      </w:r>
      <w:r>
        <w:t xml:space="preserve"> </w:t>
      </w:r>
      <w:r>
        <w:rPr>
          <w:iCs/>
          <w:i/>
        </w:rPr>
        <w:t xml:space="preserve">Bacillus cereus</w:t>
      </w:r>
      <w:r>
        <w:t xml:space="preserve"> </w:t>
      </w:r>
      <w:r>
        <w:t xml:space="preserve">nach</w:t>
      </w:r>
      <w:r>
        <w:rPr>
          <w:rStyle w:val="FootnoteReference"/>
        </w:rPr>
        <w:footnoteReference w:id="2753"/>
      </w:r>
      <w:r>
        <w:t xml:space="preserve">. Bei den Semaglutid-Testkäufen aus Teil I waren in allen Proben Endotoxine nachweisbar</w:t>
      </w:r>
      <w:r>
        <w:rPr>
          <w:rStyle w:val="FootnoteReference"/>
        </w:rPr>
        <w:footnoteReference w:id="2754"/>
      </w:r>
      <w:r>
        <w:t xml:space="preserve">. Warum das für das Immunsystem relevant ist, beschreibt das Kapitel „Immunreaktionen und Antikörper“.</w:t>
      </w:r>
    </w:p>
    <w:bookmarkEnd w:id="2755"/>
    <w:bookmarkEnd w:id="2756"/>
    <w:bookmarkStart w:id="2762" w:name="immer-neue-stoffe"/>
    <w:p>
      <w:pPr>
        <w:pStyle w:val="Heading3"/>
      </w:pPr>
      <w:r>
        <w:t xml:space="preserve">Immer neue Stoffe</w:t>
      </w:r>
    </w:p>
    <w:p>
      <w:pPr>
        <w:pStyle w:val="FirstParagraph"/>
      </w:pPr>
      <w:r>
        <w:t xml:space="preserve">Der Graumarkt reagiert schnell auf Trends. Eine europäische Marktüberwachung mit 1.104 gemeldeten Fällen aus 16 Ländern zwischen 2017 und 2019 fand, dass 11 % der Proben biologische Moleküle, vor allem „Research Peptides“, enthielten; das war die zweithäufigste Kategorie überhaupt</w:t>
      </w:r>
      <w:r>
        <w:rPr>
          <w:rStyle w:val="FootnoteReference"/>
        </w:rPr>
        <w:footnoteReference w:id="2757"/>
      </w:r>
      <w:r>
        <w:t xml:space="preserve">. Belgische Labore identifizierten in beschlagnahmten Präparaten das „Anti-Aging-Peptid“ Epitalon</w:t>
      </w:r>
      <w:r>
        <w:rPr>
          <w:rStyle w:val="FootnoteReference"/>
        </w:rPr>
        <w:footnoteReference w:id="2758"/>
      </w:r>
      <w:r>
        <w:t xml:space="preserve"> </w:t>
      </w:r>
      <w:r>
        <w:t xml:space="preserve">sowie die Nootropika-Peptide Selank und Semax; das Labor entwickelte daraufhin ein eigenes Nachweisverfahren für zehn solcher im Internet angebotenen Peptide</w:t>
      </w:r>
      <w:r>
        <w:rPr>
          <w:rStyle w:val="FootnoteReference"/>
        </w:rPr>
        <w:footnoteReference w:id="2759"/>
      </w:r>
      <w:r>
        <w:t xml:space="preserve">. Inzwischen werden auch Wirkstoffe angeboten, die sich noch in klinischen Studien befinden, etwa Retatrutid und Amycretin (Kapitel Retatrutid, Amycretin).</w:t>
      </w:r>
    </w:p>
    <w:p>
      <w:pPr>
        <w:pStyle w:val="BodyText"/>
      </w:pPr>
      <w:r>
        <w:t xml:space="preserve">Für die Kontrolllabore bedeutet das einen Wettlauf: Ein Stoff, für den es noch keine Referenzsubstanz gibt, kann nicht sicher identifiziert werden. Für Käuferinnen und Käufer bedeutet es, dass bei den neuesten Produkten am wenigsten über Inhalt und Qualität bekannt ist.</w:t>
      </w:r>
    </w:p>
    <w:p>
      <w:pPr>
        <w:pStyle w:val="BodyText"/>
      </w:pPr>
      <w:r>
        <w:t xml:space="preserve">Zunehmend tauchen Graumarkt-Produkte auch in Formen auf, die harmloser wirken als eine Spritze. Eine US-Untersuchung fand 24 als Nahrungsergänzung verkaufte Pflaster und ein Gel, die als „natürliches GLP-1“ beworben wurden. Keines legte ein Analysezertifikat vor, viele warben irreführend; nach US-Recht ist der Verkauf solcher Pflaster als Nahrungsergänzung unzulässig</w:t>
      </w:r>
      <w:r>
        <w:rPr>
          <w:rStyle w:val="FootnoteReference"/>
        </w:rPr>
        <w:footnoteReference w:id="2760"/>
      </w:r>
      <w:r>
        <w:t xml:space="preserve">. In der europäischen Marktüberwachung waren 24 % der Muskelaufbau-Präparate als Nahrungsergänzungsmittel aufgemacht – wer sie kauft, weiß oft nicht, dass er ein nicht zugelassenes Arzneimittel einnimmt</w:t>
      </w:r>
      <w:r>
        <w:rPr>
          <w:rStyle w:val="FootnoteReference"/>
        </w:rPr>
        <w:footnoteReference w:id="2761"/>
      </w:r>
      <w:r>
        <w:t xml:space="preserve">.</w:t>
      </w:r>
    </w:p>
    <w:bookmarkEnd w:id="2762"/>
    <w:bookmarkStart w:id="2763" w:name="was-die-analysen-nicht-zeigen"/>
    <w:p>
      <w:pPr>
        <w:pStyle w:val="Heading3"/>
      </w:pPr>
      <w:r>
        <w:t xml:space="preserve">Was die Analysen nicht zeigen</w:t>
      </w:r>
    </w:p>
    <w:p>
      <w:pPr>
        <w:pStyle w:val="FirstParagraph"/>
      </w:pPr>
      <w:r>
        <w:t xml:space="preserve">So eindeutig die Befunde sind, sie haben Grenzen.</w:t>
      </w:r>
    </w:p>
    <w:p>
      <w:pPr>
        <w:numPr>
          <w:ilvl w:val="0"/>
          <w:numId w:val="1346"/>
        </w:numPr>
        <w:pStyle w:val="Compact"/>
      </w:pPr>
      <w:r>
        <w:rPr>
          <w:bCs/>
          <w:b/>
        </w:rPr>
        <w:t xml:space="preserve">Keine repräsentative Stichprobe.</w:t>
      </w:r>
      <w:r>
        <w:t xml:space="preserve"> </w:t>
      </w:r>
      <w:r>
        <w:t xml:space="preserve">Beschlagnahmte Ware ist eine Auswahl dessen, was dem Zoll auffällt. Testkäufe umfassen meist nur wenige Anbieter. Wie groß der Anteil fehlerhafter Produkte am gesamten Markt ist, lässt sich daraus nicht berechnen.</w:t>
      </w:r>
    </w:p>
    <w:p>
      <w:pPr>
        <w:numPr>
          <w:ilvl w:val="0"/>
          <w:numId w:val="1346"/>
        </w:numPr>
        <w:pStyle w:val="Compact"/>
      </w:pPr>
      <w:r>
        <w:rPr>
          <w:bCs/>
          <w:b/>
        </w:rPr>
        <w:t xml:space="preserve">Momentaufnahmen.</w:t>
      </w:r>
      <w:r>
        <w:t xml:space="preserve"> </w:t>
      </w:r>
      <w:r>
        <w:t xml:space="preserve">Ein Anbieter, dessen Ware heute korrekt ist, kann morgen eine andere Charge liefern. Gute Ergebnisse einer Analyse gelten nicht für das nächste Fläschchen.</w:t>
      </w:r>
    </w:p>
    <w:p>
      <w:pPr>
        <w:numPr>
          <w:ilvl w:val="0"/>
          <w:numId w:val="1346"/>
        </w:numPr>
        <w:pStyle w:val="Compact"/>
      </w:pPr>
      <w:r>
        <w:rPr>
          <w:bCs/>
          <w:b/>
        </w:rPr>
        <w:t xml:space="preserve">Nicht alles wird geprüft.</w:t>
      </w:r>
      <w:r>
        <w:t xml:space="preserve"> </w:t>
      </w:r>
      <w:r>
        <w:t xml:space="preserve">Viele Berichte bestimmen nur die Identität des Wirkstoffs. Ob ein Produkt mit „richtigem“ Inhalt steril und endotoxinfrei war, bleibt dann offen.</w:t>
      </w:r>
    </w:p>
    <w:p>
      <w:pPr>
        <w:numPr>
          <w:ilvl w:val="0"/>
          <w:numId w:val="1346"/>
        </w:numPr>
        <w:pStyle w:val="Compact"/>
      </w:pPr>
      <w:r>
        <w:rPr>
          <w:bCs/>
          <w:b/>
        </w:rPr>
        <w:t xml:space="preserve">Keine Aussage über Wirkung und Sicherheit.</w:t>
      </w:r>
      <w:r>
        <w:t xml:space="preserve"> </w:t>
      </w:r>
      <w:r>
        <w:t xml:space="preserve">Auch ein reines Produkt ist nur so sicher wie der Wirkstoff selbst. Für die meisten Graumarkt-Peptide fehlen dazu Humanstudien (siehe Teil II).</w:t>
      </w:r>
    </w:p>
    <w:bookmarkEnd w:id="2763"/>
    <w:bookmarkStart w:id="2775" w:name="X2ca2e016e6c66662c308006e5251ce7a8fc7a4b"/>
    <w:p>
      <w:pPr>
        <w:pStyle w:val="Heading3"/>
      </w:pPr>
      <w:r>
        <w:t xml:space="preserve">GLP-1-Medikamente: was Giftinformationszentren berichten</w:t>
      </w:r>
    </w:p>
    <w:p>
      <w:pPr>
        <w:pStyle w:val="FirstParagraph"/>
      </w:pPr>
      <w:r>
        <w:t xml:space="preserve">Für die GLP-1-Medikamente gibt es eine zusätzliche Datenquelle, die zeigt, was bei der Anwendung tatsächlich schiefgeht: Anrufe bei Giftinformationszentren. In den USA werden sie in einer nationalen Datenbank gesammelt. Diese Daten unterscheiden nicht immer zwischen Original, Rezepturarzneimittel und Graumarkt-Ware, zeigen aber die Größenordnung der Probleme.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Zeitraum und Umfang</w:t>
            </w:r>
          </w:p>
        </w:tc>
        <w:tc>
          <w:tcPr/>
          <w:p>
            <w:pPr>
              <w:pStyle w:val="Compact"/>
              <w:jc w:val="left"/>
            </w:pPr>
            <w:r>
              <w:t xml:space="preserve">Wichtigste Befunde</w:t>
            </w:r>
          </w:p>
        </w:tc>
      </w:tr>
      <w:tr>
        <w:tc>
          <w:tcPr/>
          <w:p>
            <w:pPr>
              <w:pStyle w:val="Compact"/>
              <w:jc w:val="left"/>
            </w:pPr>
            <w:r>
              <w:t xml:space="preserve">Gaw 2024, PMID 38421490</w:t>
            </w:r>
          </w:p>
        </w:tc>
        <w:tc>
          <w:tcPr/>
          <w:p>
            <w:pPr>
              <w:pStyle w:val="Compact"/>
              <w:jc w:val="left"/>
            </w:pPr>
            <w:r>
              <w:t xml:space="preserve">USA, 2017–2022, 5.713 Fälle</w:t>
            </w:r>
          </w:p>
        </w:tc>
        <w:tc>
          <w:tcPr/>
          <w:p>
            <w:pPr>
              <w:pStyle w:val="Compact"/>
              <w:jc w:val="left"/>
            </w:pPr>
            <w:r>
              <w:t xml:space="preserve">79,9 % Anwendungsfehler; 6,2 % schwere Verläufe, ein Todesfall</w:t>
            </w:r>
          </w:p>
        </w:tc>
      </w:tr>
      <w:tr>
        <w:tc>
          <w:tcPr/>
          <w:p>
            <w:pPr>
              <w:pStyle w:val="Compact"/>
              <w:jc w:val="left"/>
            </w:pPr>
            <w:r>
              <w:t xml:space="preserve">Miller 2026, PMID 41634285</w:t>
            </w:r>
          </w:p>
        </w:tc>
        <w:tc>
          <w:tcPr/>
          <w:p>
            <w:pPr>
              <w:pStyle w:val="Compact"/>
              <w:jc w:val="left"/>
            </w:pPr>
            <w:r>
              <w:t xml:space="preserve">USA, 2012–2023, 10.033 Fälle</w:t>
            </w:r>
          </w:p>
        </w:tc>
        <w:tc>
          <w:tcPr/>
          <w:p>
            <w:pPr>
              <w:pStyle w:val="Compact"/>
              <w:jc w:val="left"/>
            </w:pPr>
            <w:r>
              <w:t xml:space="preserve">nach Adipositas-Zulassung mehr Fälle, Anteil mit Arzt- oder Klinikkontakt von 23,0 auf 33,5 %</w:t>
            </w:r>
          </w:p>
        </w:tc>
      </w:tr>
      <w:tr>
        <w:tc>
          <w:tcPr/>
          <w:p>
            <w:pPr>
              <w:pStyle w:val="Compact"/>
              <w:jc w:val="left"/>
            </w:pPr>
            <w:r>
              <w:t xml:space="preserve">Senthilkumar 2026, PMID 41784916</w:t>
            </w:r>
          </w:p>
        </w:tc>
        <w:tc>
          <w:tcPr/>
          <w:p>
            <w:pPr>
              <w:pStyle w:val="Compact"/>
              <w:jc w:val="left"/>
            </w:pPr>
            <w:r>
              <w:t xml:space="preserve">USA, 2017–2024, 13.924 Fälle</w:t>
            </w:r>
          </w:p>
        </w:tc>
        <w:tc>
          <w:tcPr/>
          <w:p>
            <w:pPr>
              <w:pStyle w:val="Compact"/>
              <w:jc w:val="left"/>
            </w:pPr>
            <w:r>
              <w:t xml:space="preserve">91,7 % ohne oder mit leichten Folgen; 42 schwere Verläufe, zwei Todesfälle</w:t>
            </w:r>
          </w:p>
        </w:tc>
      </w:tr>
      <w:tr>
        <w:tc>
          <w:tcPr/>
          <w:p>
            <w:pPr>
              <w:pStyle w:val="Compact"/>
              <w:jc w:val="left"/>
            </w:pPr>
            <w:r>
              <w:t xml:space="preserve">Ho 2025, PMID 40371098</w:t>
            </w:r>
          </w:p>
        </w:tc>
        <w:tc>
          <w:tcPr/>
          <w:p>
            <w:pPr>
              <w:pStyle w:val="Compact"/>
              <w:jc w:val="left"/>
            </w:pPr>
            <w:r>
              <w:t xml:space="preserve">Kalifornien, 2017–2023, 1.047 Fälle</w:t>
            </w:r>
          </w:p>
        </w:tc>
        <w:tc>
          <w:tcPr/>
          <w:p>
            <w:pPr>
              <w:pStyle w:val="Compact"/>
              <w:jc w:val="left"/>
            </w:pPr>
            <w:r>
              <w:t xml:space="preserve">21,0 % in der Notaufnahme, 4,4 % stationär; Unterzuckerung bei 3,8 %</w:t>
            </w:r>
          </w:p>
        </w:tc>
      </w:tr>
    </w:tbl>
    <w:p>
      <w:pPr>
        <w:pStyle w:val="BodyText"/>
      </w:pPr>
      <w:r>
        <w:t xml:space="preserve">Mehrere Muster fallen auf:</w:t>
      </w:r>
    </w:p>
    <w:p>
      <w:pPr>
        <w:pStyle w:val="BodyText"/>
      </w:pPr>
      <w:r>
        <w:rPr>
          <w:bCs/>
          <w:b/>
        </w:rPr>
        <w:t xml:space="preserve">Die Zahl der Fälle stieg mit der Verbreitung stark an.</w:t>
      </w:r>
      <w:r>
        <w:t xml:space="preserve"> </w:t>
      </w:r>
      <w:r>
        <w:t xml:space="preserve">Von 2021 auf 2022 nahm die Rate der gemeldeten Fälle pro Million Einwohner um 80,9 % zu</w:t>
      </w:r>
      <w:r>
        <w:rPr>
          <w:rStyle w:val="FootnoteReference"/>
        </w:rPr>
        <w:footnoteReference w:id="2764"/>
      </w:r>
      <w:r>
        <w:t xml:space="preserve">. Zwischen 2017 und 2024 stieg sie insgesamt um 1.830,8 %</w:t>
      </w:r>
      <w:r>
        <w:rPr>
          <w:rStyle w:val="FootnoteReference"/>
        </w:rPr>
        <w:footnoteReference w:id="2765"/>
      </w:r>
      <w:r>
        <w:t xml:space="preserve">.</w:t>
      </w:r>
    </w:p>
    <w:p>
      <w:pPr>
        <w:pStyle w:val="BodyText"/>
      </w:pPr>
      <w:r>
        <w:rPr>
          <w:bCs/>
          <w:b/>
        </w:rPr>
        <w:t xml:space="preserve">Die meisten Fälle sind Anwendungsfehler.</w:t>
      </w:r>
      <w:r>
        <w:t xml:space="preserve"> </w:t>
      </w:r>
      <w:r>
        <w:t xml:space="preserve">In allen Auswertungen dominierten unbeabsichtigte Fehler bei der Anwendung, also etwa eine doppelte oder falsch abgemessene Dosis</w:t>
      </w:r>
      <w:r>
        <w:rPr>
          <w:rStyle w:val="FootnoteReference"/>
        </w:rPr>
        <w:footnoteReference w:id="2766"/>
      </w:r>
      <w:r>
        <w:t xml:space="preserve">. In einer Auswertung eines einzelnen Zentrums gingen 21 % der Fälle auf Fehler bei der ersten Benutzung des Fertigpens zurück</w:t>
      </w:r>
      <w:r>
        <w:rPr>
          <w:rStyle w:val="FootnoteReference"/>
        </w:rPr>
        <w:footnoteReference w:id="2767"/>
      </w:r>
      <w:r>
        <w:t xml:space="preserve">. Fehler passieren also auch mit zugelassenen Produkten. In der kalifornischen Auswertung betrafen 36 Fälle Rezepturarzneimittel; bei ihnen waren in 91,7 % Fehler beim Abmessen oder Spritzen die Ursache</w:t>
      </w:r>
      <w:r>
        <w:rPr>
          <w:rStyle w:val="FootnoteReference"/>
        </w:rPr>
        <w:footnoteReference w:id="2768"/>
      </w:r>
      <w:r>
        <w:t xml:space="preserve">. Das passt zu den Fallberichten über Verwechslungen von Millilitern, „Einheiten“ und Milligramm bei Fläschchen, die in Teil I beschrieben sind.</w:t>
      </w:r>
    </w:p>
    <w:p>
      <w:pPr>
        <w:pStyle w:val="BodyText"/>
      </w:pPr>
      <w:r>
        <w:rPr>
          <w:bCs/>
          <w:b/>
        </w:rPr>
        <w:t xml:space="preserve">Die Folgen sind meist leicht, aber nicht immer.</w:t>
      </w:r>
      <w:r>
        <w:t xml:space="preserve"> </w:t>
      </w:r>
      <w:r>
        <w:t xml:space="preserve">Übelkeit und Erbrechen stehen im Vordergrund. Eine nennenswerte Minderheit braucht aber ärztliche Behandlung, und es gab Todesfälle</w:t>
      </w:r>
      <w:r>
        <w:rPr>
          <w:rStyle w:val="FootnoteReference"/>
        </w:rPr>
        <w:footnoteReference w:id="2769"/>
      </w:r>
      <w:r>
        <w:t xml:space="preserve">. Unterzuckerungen traten in 3,4 %</w:t>
      </w:r>
      <w:r>
        <w:rPr>
          <w:rStyle w:val="FootnoteReference"/>
        </w:rPr>
        <w:footnoteReference w:id="2770"/>
      </w:r>
      <w:r>
        <w:t xml:space="preserve"> </w:t>
      </w:r>
      <w:r>
        <w:t xml:space="preserve">bis 3,8 %</w:t>
      </w:r>
      <w:r>
        <w:rPr>
          <w:rStyle w:val="FootnoteReference"/>
        </w:rPr>
        <w:footnoteReference w:id="2771"/>
      </w:r>
      <w:r>
        <w:t xml:space="preserve"> </w:t>
      </w:r>
      <w:r>
        <w:t xml:space="preserve">der Fälle auf; in einer weiteren Auswertung kam sie selten, aber auch nach alleiniger Anwendung eines GLP-1-Medikaments vor</w:t>
      </w:r>
      <w:r>
        <w:rPr>
          <w:rStyle w:val="FootnoteReference"/>
        </w:rPr>
        <w:footnoteReference w:id="2772"/>
      </w:r>
      <w:r>
        <w:t xml:space="preserve">. Wie schwer eine Überdosis verlaufen kann, zeigt der im Kapitel „Immunreaktionen“ beschriebene Fall einer Frau, die nach einer versehentlich zehnfachen Dosis aus einer Rezepturapotheke mit einer massiven Schwellung im Rachen beatmet werden musste und zusätzlich eine Unterzuckerung entwickelte</w:t>
      </w:r>
      <w:r>
        <w:rPr>
          <w:rStyle w:val="FootnoteReference"/>
        </w:rPr>
        <w:footnoteReference w:id="2773"/>
      </w:r>
      <w:r>
        <w:t xml:space="preserve">.</w:t>
      </w:r>
    </w:p>
    <w:p>
      <w:pPr>
        <w:pStyle w:val="BodyText"/>
      </w:pPr>
      <w:r>
        <w:rPr>
          <w:bCs/>
          <w:b/>
        </w:rPr>
        <w:t xml:space="preserve">Jugendliche sind eine eigene Risikogruppe.</w:t>
      </w:r>
      <w:r>
        <w:t xml:space="preserve"> </w:t>
      </w:r>
      <w:r>
        <w:t xml:space="preserve">Bei Kindern und Jugendlichen zwischen 6 und 17 Jahren stieg die Rate der Fälle zwischen 2017 und 2024 am stärksten. Sie wurden häufiger stationär aufgenommen als Erwachsene (relatives Risiko 2,66), und ihre Fälle gingen deutlich häufiger auf absichtlichen Fehlgebrauch zurück (relatives Risiko 8,12)</w:t>
      </w:r>
      <w:r>
        <w:rPr>
          <w:rStyle w:val="FootnoteReference"/>
        </w:rPr>
        <w:footnoteReference w:id="2774"/>
      </w:r>
      <w:r>
        <w:t xml:space="preserve">. Mehr dazu im folgenden Kapitel.</w:t>
      </w:r>
    </w:p>
    <w:bookmarkEnd w:id="2775"/>
    <w:bookmarkStart w:id="2776" w:name="was-sich-daraus-ergibt"/>
    <w:p>
      <w:pPr>
        <w:pStyle w:val="Heading3"/>
      </w:pPr>
      <w:r>
        <w:t xml:space="preserve">Was sich daraus ergibt</w:t>
      </w:r>
    </w:p>
    <w:p>
      <w:pPr>
        <w:pStyle w:val="FirstParagraph"/>
      </w:pPr>
      <w:r>
        <w:t xml:space="preserve">Die Laboranalysen und die Daten aus Giftinformationszentren beschreiben zwei Seiten desselben Problems. Die Analysen zeigen, dass Graumarkt-Produkte in jeder denkbaren Hinsicht vom Etikett abweichen können: im Stoff, in der Menge, in der Reinheit und in giftigen Begleitstoffen. Die Giftnotruf-Daten zeigen, dass schon bei geprüften Produkten Fehler beim Abmessen häufig sind – und dass Fläschchen, die erst aufgelöst und umgerechnet werden müssen, besonders fehleranfällig sind.</w:t>
      </w:r>
    </w:p>
    <w:p>
      <w:pPr>
        <w:pStyle w:val="BodyText"/>
      </w:pPr>
      <w:r>
        <w:t xml:space="preserve">Kombiniert man beides, ergibt sich ein Risiko, das mit keiner Studie zu einem Wirkstoff beschrieben werden kann: Wer ein Graumarkt-Peptid spritzt, kennt weder den Inhalt noch die Menge, und jede Abweichung wird durch mögliche eigene Rechenfehler noch verstärkt. Die Sicherheitsdaten aus den Zulassungsstudien, die in Teil II beschrieben sind, gelten für diese Produkte nicht.</w:t>
      </w:r>
    </w:p>
    <w:bookmarkEnd w:id="2776"/>
    <w:bookmarkStart w:id="2777" w:name="das-wichtigste-in-kürze-6"/>
    <w:p>
      <w:pPr>
        <w:pStyle w:val="Heading3"/>
      </w:pPr>
      <w:r>
        <w:t xml:space="preserve">Das Wichtigste in Kürze</w:t>
      </w:r>
    </w:p>
    <w:p>
      <w:pPr>
        <w:numPr>
          <w:ilvl w:val="0"/>
          <w:numId w:val="1347"/>
        </w:numPr>
        <w:pStyle w:val="Compact"/>
      </w:pPr>
      <w:r>
        <w:t xml:space="preserve">Amtliche, forensische und Anti-Doping-Labore finden in Graumarkt-Peptiden regelmäßig falsche Wirkstoffe, falsche Mengen, geringe Reinheit und Designer-Varianten.</w:t>
      </w:r>
    </w:p>
    <w:p>
      <w:pPr>
        <w:numPr>
          <w:ilvl w:val="0"/>
          <w:numId w:val="1347"/>
        </w:numPr>
        <w:pStyle w:val="Compact"/>
      </w:pPr>
      <w:r>
        <w:t xml:space="preserve">Eine systematische belgische Analyse fand zusätzlich Arsen und Blei, teils bis zum Zehnfachen des Grenzwerts für Injektionen, sowie Bakterien in Injektionspräparaten.</w:t>
      </w:r>
    </w:p>
    <w:p>
      <w:pPr>
        <w:numPr>
          <w:ilvl w:val="0"/>
          <w:numId w:val="1347"/>
        </w:numPr>
        <w:pStyle w:val="Compact"/>
      </w:pPr>
      <w:r>
        <w:t xml:space="preserve">Neue „Research Peptides“ tauchen schneller auf, als Kontrolllabore Nachweisverfahren entwickeln können.</w:t>
      </w:r>
    </w:p>
    <w:p>
      <w:pPr>
        <w:numPr>
          <w:ilvl w:val="0"/>
          <w:numId w:val="1347"/>
        </w:numPr>
        <w:pStyle w:val="Compact"/>
      </w:pPr>
      <w:r>
        <w:t xml:space="preserve">Analysen sind Momentaufnahmen; ein gutes Ergebnis gilt nicht für die nächste Charge.</w:t>
      </w:r>
    </w:p>
    <w:p>
      <w:pPr>
        <w:numPr>
          <w:ilvl w:val="0"/>
          <w:numId w:val="1347"/>
        </w:numPr>
        <w:pStyle w:val="Compact"/>
      </w:pPr>
      <w:r>
        <w:t xml:space="preserve">In den USA ist die Zahl der Anrufe bei Giftnotrufen wegen GLP-1-Medikamenten stark gestiegen. Die meisten Fälle sind Anwendungsfehler mit leichten Folgen, eine Minderheit verläuft schwer. Bei Rezepturpräparaten gingen fast alle Fälle auf Fehler beim Abmessen zurück.</w:t>
      </w:r>
    </w:p>
    <w:bookmarkEnd w:id="2777"/>
    <w:bookmarkEnd w:id="2778"/>
    <w:bookmarkStart w:id="2823" w:name="X120f3b07731f9ae26d70d101d9285ebbbf20add"/>
    <w:p>
      <w:pPr>
        <w:pStyle w:val="Heading2"/>
      </w:pPr>
      <w:r>
        <w:t xml:space="preserve">Wechselwirkungen und besondere Risikogruppen</w:t>
      </w:r>
    </w:p>
    <w:p>
      <w:pPr>
        <w:pStyle w:val="FirstParagraph"/>
      </w:pPr>
      <w:r>
        <w:t xml:space="preserve">Die Studien, auf denen die Zulassung eines Medikaments beruht, schließen bestimmte Menschen fast immer aus: Schwangere, Kinder, sehr alte oder mehrfach erkrankte Menschen, Menschen mit Essstörungen oder schweren psychischen Erkrankungen. Was für die Studienteilnehmenden gilt, lässt sich auf diese Gruppen deshalb nur eingeschränkt übertragen. Dazu kommen Wechselwirkungen mit anderen Medikamenten und Situationen wie eine Narkose, in denen eine sonst harmlose Wirkung plötzlich gefährlich werden kann.</w:t>
      </w:r>
    </w:p>
    <w:p>
      <w:pPr>
        <w:pStyle w:val="BodyText"/>
      </w:pPr>
      <w:r>
        <w:t xml:space="preserve">Dieses Kapitel bündelt diese Fragen. Es ersetzt keine ärztliche Beratung und keine Fachinformation. Bei zugelassenen Arzneimitteln regelt die Fachinformation Gegenanzeigen und Wechselwirkungen verbindlich; bei nicht zugelassenen Peptiden gibt es zu diesen Gruppen in aller Regel gar keine Daten.</w:t>
      </w:r>
    </w:p>
    <w:bookmarkStart w:id="2784" w:name="schwangerschaft-und-stillzeit"/>
    <w:p>
      <w:pPr>
        <w:pStyle w:val="Heading3"/>
      </w:pPr>
      <w:r>
        <w:t xml:space="preserve">Schwangerschaft und Stillzeit</w:t>
      </w:r>
    </w:p>
    <w:p>
      <w:pPr>
        <w:pStyle w:val="FirstParagraph"/>
      </w:pPr>
      <w:r>
        <w:t xml:space="preserve">Für fast alle Peptide in diesem Buch gilt: In der Schwangerschaft sind sie nicht untersucht oder nicht angezeigt. Die Fachinformationen der GLP-1-Medikamente sehen vor, sie in der Schwangerschaft nicht anzuwenden und vor einer geplanten Schwangerschaft rechtzeitig abzusetzen (Kapitel Semaglutid, Tirzepatid). Bei Maridebart Cafraglutid ist das besonders bedeutsam, weil seine Wirkung in einer frühen Studie bis zu 150 Tage nach der letzten Dosis anhielt (Kapitel Maridebart Cafraglutid).</w:t>
      </w:r>
    </w:p>
    <w:p>
      <w:pPr>
        <w:pStyle w:val="BodyText"/>
      </w:pPr>
      <w:r>
        <w:t xml:space="preserve">Weil GLP-1-Medikamente bei vielen Frauen im gebärfähigen Alter eingesetzt werden und eine Gewichtsabnahme die Fruchtbarkeit verbessern kann, kommt es trotzdem zu ungeplanten Schwangerschaften unter Behandlung. Für diese Situation gibt es inzwischen Daten, die überwiegend beruhigend sind:</w:t>
      </w:r>
    </w:p>
    <w:p>
      <w:pPr>
        <w:numPr>
          <w:ilvl w:val="0"/>
          <w:numId w:val="1348"/>
        </w:numPr>
        <w:pStyle w:val="Compact"/>
      </w:pPr>
      <w:r>
        <w:t xml:space="preserve">In einer großen Studie aus vier nordischen Ländern, den USA und Israel lag die Rate schwerer Fehlbildungen bei Kindern von Frauen mit Typ-2-Diabetes, die um die Empfängnis herum GLP-1-Rezeptor-Agonisten erhalten hatten, nicht höher als unter Insulin (bereinigtes relatives Risiko 0,95)</w:t>
      </w:r>
      <w:r>
        <w:rPr>
          <w:rStyle w:val="FootnoteReference"/>
        </w:rPr>
        <w:footnoteReference w:id="2779"/>
      </w:r>
      <w:r>
        <w:t xml:space="preserve">.</w:t>
      </w:r>
    </w:p>
    <w:p>
      <w:pPr>
        <w:numPr>
          <w:ilvl w:val="0"/>
          <w:numId w:val="1348"/>
        </w:numPr>
        <w:pStyle w:val="Compact"/>
      </w:pPr>
      <w:r>
        <w:t xml:space="preserve">Eine Auswertung von sechs Beratungsstellen für Arzneimittel in der Schwangerschaft fand bei 168 Schwangerschaften mit GLP-1-Kontakt im ersten Drittel schwere Fehlbildungen bei 2,6 %, in den Vergleichsgruppen bei 2,3 % und 3,9 %</w:t>
      </w:r>
      <w:r>
        <w:rPr>
          <w:rStyle w:val="FootnoteReference"/>
        </w:rPr>
        <w:footnoteReference w:id="2780"/>
      </w:r>
      <w:r>
        <w:t xml:space="preserve">.</w:t>
      </w:r>
    </w:p>
    <w:p>
      <w:pPr>
        <w:numPr>
          <w:ilvl w:val="0"/>
          <w:numId w:val="1348"/>
        </w:numPr>
        <w:pStyle w:val="Compact"/>
      </w:pPr>
      <w:r>
        <w:t xml:space="preserve">Eine US-Studie mit 3.572 Schwangerschaften verglich Frauen, die das Medikament ins erste Schwangerschaftsdrittel hinein weiter bezogen, mit Frauen, die es absetzten. Ein klar erhöhtes Risiko für Fehl- oder Totgeburt, Wachstumsstörungen oder Fehlbildungen fand sich nicht; die Schätzungen für Fehlbildungen waren aber so ungenau, dass auch ein bedeutsamer Unterschied nicht ausgeschlossen werden kann</w:t>
      </w:r>
      <w:r>
        <w:rPr>
          <w:rStyle w:val="FootnoteReference"/>
        </w:rPr>
        <w:footnoteReference w:id="2781"/>
      </w:r>
      <w:r>
        <w:t xml:space="preserve">.</w:t>
      </w:r>
    </w:p>
    <w:p>
      <w:pPr>
        <w:numPr>
          <w:ilvl w:val="0"/>
          <w:numId w:val="1348"/>
        </w:numPr>
        <w:pStyle w:val="Compact"/>
      </w:pPr>
      <w:r>
        <w:t xml:space="preserve">Eine Meta-Analyse von sieben Kohortenstudien mit über 40.000 exponierten Schwangerschaften fand keinen statistisch gesicherten Anstieg schwerer Fehlbildungen; ein Signal für Fehlbildungen der Harnwege beruhte nur auf unbereinigten Daten. Die Gewissheit der Evidenz bewerten die Autorinnen und Autoren als gering</w:t>
      </w:r>
      <w:r>
        <w:rPr>
          <w:rStyle w:val="FootnoteReference"/>
        </w:rPr>
        <w:footnoteReference w:id="2782"/>
      </w:r>
      <w:r>
        <w:t xml:space="preserve">.</w:t>
      </w:r>
    </w:p>
    <w:p>
      <w:pPr>
        <w:pStyle w:val="FirstParagraph"/>
      </w:pPr>
      <w:r>
        <w:t xml:space="preserve">Diese Daten helfen bei der Einschätzung einer</w:t>
      </w:r>
      <w:r>
        <w:t xml:space="preserve"> </w:t>
      </w:r>
      <w:r>
        <w:rPr>
          <w:iCs/>
          <w:i/>
        </w:rPr>
        <w:t xml:space="preserve">versehentlichen</w:t>
      </w:r>
      <w:r>
        <w:t xml:space="preserve"> </w:t>
      </w:r>
      <w:r>
        <w:t xml:space="preserve">Exposition. Sie sind kein Beleg dafür, dass eine geplante Anwendung in der Schwangerschaft sicher wäre. Für die Stillzeit sind die Daten noch dünner; zum Übergang von Bremelanotid in die Muttermilch wurde eine kleine Studie mit zehn Frauen abgeschlossen</w:t>
      </w:r>
      <w:r>
        <w:rPr>
          <w:rStyle w:val="FootnoteReference"/>
        </w:rPr>
        <w:footnoteReference w:id="2783"/>
      </w:r>
      <w:r>
        <w:t xml:space="preserve">.</w:t>
      </w:r>
    </w:p>
    <w:p>
      <w:pPr>
        <w:pStyle w:val="BodyText"/>
      </w:pPr>
      <w:r>
        <w:t xml:space="preserve">Einige Peptide sind in der Schwangerschaft aus ihrem Wirkprinzip heraus gefährlich. Oxytocin löst Wehen aus; eine Anwendung als Nasenspray außerhalb ärztlicher Kontrolle ist in der Schwangerschaft riskant (Kapitel Oxytocin). Für Graumarkt-Peptide wie BPC-157, TB-500, Epitalon oder die Wachstumshormon-Freisetzer gibt es keinerlei Daten zu Schwangerschaft und Stillzeit.</w:t>
      </w:r>
    </w:p>
    <w:bookmarkEnd w:id="2784"/>
    <w:bookmarkStart w:id="2789" w:name="orale-verhütung-und-magenentleerung"/>
    <w:p>
      <w:pPr>
        <w:pStyle w:val="Heading3"/>
      </w:pPr>
      <w:r>
        <w:t xml:space="preserve">Orale Verhütung und Magenentleerung</w:t>
      </w:r>
    </w:p>
    <w:p>
      <w:pPr>
        <w:pStyle w:val="FirstParagraph"/>
      </w:pPr>
      <w:r>
        <w:t xml:space="preserve">GLP-1-Medikamente, Amylin-Analoga wie Pramlintid und auch Bremelanotid verlangsamen die Entleerung des Magens. Dadurch können Tabletten, die gleichzeitig eingenommen werden, später oder in anderer Menge ins Blut gelangen. Das betrifft vor allem Medikamente, bei denen es auf einen raschen Wirkeintritt oder auf einen gleichmäßigen Blutspiegel ankommt.</w:t>
      </w:r>
    </w:p>
    <w:p>
      <w:pPr>
        <w:pStyle w:val="BodyText"/>
      </w:pPr>
      <w:r>
        <w:t xml:space="preserve">Besonders genau untersucht ist die Pille zur Empfängnisverhütung. Für Semaglutid fand eine Studie mit 43 Frauen keine verminderte Aufnahme der beiden Hormone einer gängigen Kombinationspille; der Spiegel des Gestagens lag unter Semaglutid sogar um 20 % höher</w:t>
      </w:r>
      <w:r>
        <w:rPr>
          <w:rStyle w:val="FootnoteReference"/>
        </w:rPr>
        <w:footnoteReference w:id="2785"/>
      </w:r>
      <w:r>
        <w:t xml:space="preserve">. Bei Tirzepatid ist das anders: Eine Übersicht über sechs Studien fand nur bei Tirzepatid eine signifikante Verringerung der aufgenommenen Hormonmenge, bei den übrigen GLP-1-Rezeptor-Agonisten nicht. Als Erklärung nennen die Autorinnen und Autoren die stärkere Verzögerung der Magenentleerung nach der ersten Dosis und nach Dosissteigerungen</w:t>
      </w:r>
      <w:r>
        <w:rPr>
          <w:rStyle w:val="FootnoteReference"/>
        </w:rPr>
        <w:footnoteReference w:id="2786"/>
      </w:r>
      <w:r>
        <w:t xml:space="preserve">. Die Fachinformation von Tirzepatid enthält deshalb einen eigenen Hinweis zur Verhütung mit Tabletten; die Einzelheiten stehen dort und sollten mit der Ärztin oder dem Arzt besprochen werden.</w:t>
      </w:r>
    </w:p>
    <w:p>
      <w:pPr>
        <w:pStyle w:val="BodyText"/>
      </w:pPr>
      <w:r>
        <w:t xml:space="preserve">Unabhängig vom Wirkstoff gilt: Starkes Erbrechen oder Durchfall – bei GLP-1-Medikamenten häufig – können die Aufnahme jeder Tablette beeinträchtigen, auch die der Pille.</w:t>
      </w:r>
    </w:p>
    <w:p>
      <w:pPr>
        <w:pStyle w:val="BodyText"/>
      </w:pPr>
      <w:r>
        <w:t xml:space="preserve">Weitere bekannte Wechselwirkungen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Wechselwirkung</w:t>
            </w:r>
          </w:p>
        </w:tc>
        <w:tc>
          <w:tcPr/>
          <w:p>
            <w:pPr>
              <w:pStyle w:val="Compact"/>
              <w:jc w:val="left"/>
            </w:pPr>
            <w:r>
              <w:t xml:space="preserve">Bedeutung</w:t>
            </w:r>
          </w:p>
        </w:tc>
        <w:tc>
          <w:tcPr/>
          <w:p>
            <w:pPr>
              <w:pStyle w:val="Compact"/>
              <w:jc w:val="left"/>
            </w:pPr>
            <w:r>
              <w:t xml:space="preserve">Kapitel</w:t>
            </w:r>
          </w:p>
        </w:tc>
      </w:tr>
      <w:tr>
        <w:tc>
          <w:tcPr/>
          <w:p>
            <w:pPr>
              <w:pStyle w:val="Compact"/>
              <w:jc w:val="left"/>
            </w:pPr>
            <w:r>
              <w:t xml:space="preserve">GLP-1-Medikamente, Pramlintid</w:t>
            </w:r>
          </w:p>
        </w:tc>
        <w:tc>
          <w:tcPr/>
          <w:p>
            <w:pPr>
              <w:pStyle w:val="Compact"/>
              <w:jc w:val="left"/>
            </w:pPr>
            <w:r>
              <w:t xml:space="preserve">verzögerte Aufnahme von Tabletten</w:t>
            </w:r>
          </w:p>
        </w:tc>
        <w:tc>
          <w:tcPr/>
          <w:p>
            <w:pPr>
              <w:pStyle w:val="Compact"/>
              <w:jc w:val="left"/>
            </w:pPr>
            <w:r>
              <w:t xml:space="preserve">bei Medikamenten mit engem Wirkbereich beachten</w:t>
            </w:r>
          </w:p>
        </w:tc>
        <w:tc>
          <w:tcPr/>
          <w:p>
            <w:pPr>
              <w:pStyle w:val="Compact"/>
              <w:jc w:val="left"/>
            </w:pPr>
            <w:r>
              <w:t xml:space="preserve">Semaglutid, Pramlintid</w:t>
            </w:r>
          </w:p>
        </w:tc>
      </w:tr>
      <w:tr>
        <w:tc>
          <w:tcPr/>
          <w:p>
            <w:pPr>
              <w:pStyle w:val="Compact"/>
              <w:jc w:val="left"/>
            </w:pPr>
            <w:r>
              <w:t xml:space="preserve">Tirzepatid</w:t>
            </w:r>
          </w:p>
        </w:tc>
        <w:tc>
          <w:tcPr/>
          <w:p>
            <w:pPr>
              <w:pStyle w:val="Compact"/>
              <w:jc w:val="left"/>
            </w:pPr>
            <w:r>
              <w:t xml:space="preserve">weniger Hormon aus der Pille</w:t>
            </w:r>
          </w:p>
        </w:tc>
        <w:tc>
          <w:tcPr/>
          <w:p>
            <w:pPr>
              <w:pStyle w:val="Compact"/>
              <w:jc w:val="left"/>
            </w:pPr>
            <w:r>
              <w:t xml:space="preserve">Hinweis in der Fachinformation</w:t>
            </w:r>
          </w:p>
        </w:tc>
        <w:tc>
          <w:tcPr/>
          <w:p>
            <w:pPr>
              <w:pStyle w:val="Compact"/>
              <w:jc w:val="left"/>
            </w:pPr>
            <w:r>
              <w:t xml:space="preserve">Tirzepatid</w:t>
            </w:r>
          </w:p>
        </w:tc>
      </w:tr>
      <w:tr>
        <w:tc>
          <w:tcPr/>
          <w:p>
            <w:pPr>
              <w:pStyle w:val="Compact"/>
              <w:jc w:val="left"/>
            </w:pPr>
            <w:r>
              <w:t xml:space="preserve">Bremelanotid</w:t>
            </w:r>
          </w:p>
        </w:tc>
        <w:tc>
          <w:tcPr/>
          <w:p>
            <w:pPr>
              <w:pStyle w:val="Compact"/>
              <w:jc w:val="left"/>
            </w:pPr>
            <w:r>
              <w:t xml:space="preserve">niedrigere Spiegel von Indometacin und Naltrexon</w:t>
            </w:r>
          </w:p>
        </w:tc>
        <w:tc>
          <w:tcPr/>
          <w:p>
            <w:pPr>
              <w:pStyle w:val="Compact"/>
              <w:jc w:val="left"/>
            </w:pPr>
            <w:r>
              <w:t xml:space="preserve">Wirkung dieser Mittel kann nachlassen</w:t>
            </w:r>
          </w:p>
        </w:tc>
        <w:tc>
          <w:tcPr/>
          <w:p>
            <w:pPr>
              <w:pStyle w:val="Compact"/>
              <w:jc w:val="left"/>
            </w:pPr>
            <w:r>
              <w:t xml:space="preserve">Bremelanotid</w:t>
            </w:r>
          </w:p>
        </w:tc>
      </w:tr>
      <w:tr>
        <w:tc>
          <w:tcPr/>
          <w:p>
            <w:pPr>
              <w:pStyle w:val="Compact"/>
              <w:jc w:val="left"/>
            </w:pPr>
            <w:r>
              <w:t xml:space="preserve">Macimorelin</w:t>
            </w:r>
          </w:p>
        </w:tc>
        <w:tc>
          <w:tcPr/>
          <w:p>
            <w:pPr>
              <w:pStyle w:val="Compact"/>
              <w:jc w:val="left"/>
            </w:pPr>
            <w:r>
              <w:t xml:space="preserve">verlängert die QT-Zeit</w:t>
            </w:r>
          </w:p>
        </w:tc>
        <w:tc>
          <w:tcPr/>
          <w:p>
            <w:pPr>
              <w:pStyle w:val="Compact"/>
              <w:jc w:val="left"/>
            </w:pPr>
            <w:r>
              <w:t xml:space="preserve">Vorsicht mit anderen QT-verlängernden Mitteln</w:t>
            </w:r>
          </w:p>
        </w:tc>
        <w:tc>
          <w:tcPr/>
          <w:p>
            <w:pPr>
              <w:pStyle w:val="Compact"/>
              <w:jc w:val="left"/>
            </w:pPr>
            <w:r>
              <w:t xml:space="preserve">Macimorelin</w:t>
            </w:r>
          </w:p>
        </w:tc>
      </w:tr>
      <w:tr>
        <w:tc>
          <w:tcPr/>
          <w:p>
            <w:pPr>
              <w:pStyle w:val="Compact"/>
              <w:jc w:val="left"/>
            </w:pPr>
            <w:r>
              <w:t xml:space="preserve">Orforglipron</w:t>
            </w:r>
          </w:p>
        </w:tc>
        <w:tc>
          <w:tcPr/>
          <w:p>
            <w:pPr>
              <w:pStyle w:val="Compact"/>
              <w:jc w:val="left"/>
            </w:pPr>
            <w:r>
              <w:t xml:space="preserve">Abbau über Leberenzyme</w:t>
            </w:r>
          </w:p>
        </w:tc>
        <w:tc>
          <w:tcPr/>
          <w:p>
            <w:pPr>
              <w:pStyle w:val="Compact"/>
              <w:jc w:val="left"/>
            </w:pPr>
            <w:r>
              <w:t xml:space="preserve">Wechselwirkungen mit anderen Medikamenten möglich</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Beruhigungs- und Schlafmittel, Alkohol</w:t>
            </w:r>
          </w:p>
        </w:tc>
        <w:tc>
          <w:tcPr/>
          <w:p>
            <w:pPr>
              <w:pStyle w:val="Compact"/>
              <w:jc w:val="left"/>
            </w:pPr>
            <w:r>
              <w:t xml:space="preserve">nicht untersucht</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Blutgerinnung (nur Tierdaten)</w:t>
            </w:r>
          </w:p>
        </w:tc>
        <w:tc>
          <w:tcPr/>
          <w:p>
            <w:pPr>
              <w:pStyle w:val="Compact"/>
              <w:jc w:val="left"/>
            </w:pPr>
            <w:r>
              <w:t xml:space="preserve">bei Gerinnungshemmern unbekannt</w:t>
            </w:r>
          </w:p>
        </w:tc>
        <w:tc>
          <w:tcPr/>
          <w:p>
            <w:pPr>
              <w:pStyle w:val="Compact"/>
              <w:jc w:val="left"/>
            </w:pPr>
            <w:r>
              <w:t xml:space="preserve">BPC-157</w:t>
            </w:r>
          </w:p>
        </w:tc>
      </w:tr>
    </w:tbl>
    <w:p>
      <w:pPr>
        <w:pStyle w:val="BodyText"/>
      </w:pPr>
      <w:r>
        <w:t xml:space="preserve">Die Wechselwirkung von Bremelanotid mit Indometacin und Naltrexon ist in den Zulassungsdaten beschrieben</w:t>
      </w:r>
      <w:r>
        <w:rPr>
          <w:rStyle w:val="FootnoteReference"/>
        </w:rPr>
        <w:footnoteReference w:id="2787"/>
      </w:r>
      <w:r>
        <w:t xml:space="preserve">. Die QT-Verlängerung durch Macimorelin wurde in einer gründlichen EKG-Studie gemessen</w:t>
      </w:r>
      <w:r>
        <w:rPr>
          <w:rStyle w:val="FootnoteReference"/>
        </w:rPr>
        <w:footnoteReference w:id="2788"/>
      </w:r>
      <w:r>
        <w:t xml:space="preserve">.</w:t>
      </w:r>
    </w:p>
    <w:bookmarkEnd w:id="2789"/>
    <w:bookmarkStart w:id="2794" w:name="narkose-magenspiegelung-und-aspiration"/>
    <w:p>
      <w:pPr>
        <w:pStyle w:val="Heading3"/>
      </w:pPr>
      <w:r>
        <w:t xml:space="preserve">Narkose, Magenspiegelung und Aspiration</w:t>
      </w:r>
    </w:p>
    <w:p>
      <w:pPr>
        <w:pStyle w:val="FirstParagraph"/>
      </w:pPr>
      <w:r>
        <w:t xml:space="preserve">Vor einer Narkose soll der Magen leer sein. Der Grund: Wenn Mageninhalt während der Narkose in die Atemwege gelangt (Aspiration), kann eine schwere Lungenentzündung folgen. Da GLP-1-Medikamente die Magenentleerung verlangsamen, kann der Magen trotz vorschriftsmäßiger Nüchternzeit noch Speisereste enthalten.</w:t>
      </w:r>
    </w:p>
    <w:p>
      <w:pPr>
        <w:pStyle w:val="BodyText"/>
      </w:pPr>
      <w:r>
        <w:t xml:space="preserve">Die Studien dazu zeichnen ein zweigeteiltes Bild:</w:t>
      </w:r>
    </w:p>
    <w:p>
      <w:pPr>
        <w:numPr>
          <w:ilvl w:val="0"/>
          <w:numId w:val="1349"/>
        </w:numPr>
        <w:pStyle w:val="Compact"/>
      </w:pPr>
      <w:r>
        <w:rPr>
          <w:bCs/>
          <w:b/>
        </w:rPr>
        <w:t xml:space="preserve">Mehr Restinhalt im Magen ist gut belegt.</w:t>
      </w:r>
      <w:r>
        <w:t xml:space="preserve"> </w:t>
      </w:r>
      <w:r>
        <w:t xml:space="preserve">Eine Meta-Analyse von 23 Beobachtungsstudien mit 262.018 Menschen, die eine Magenspiegelung erhielten, fand unter GLP-1-Rezeptor-Agonisten ein etwa viereinhalbfach erhöhtes Risiko für Speisereste im Magen (Odds Ratio 4,54) und ebenso häufiger vorzeitig abgebrochene Untersuchungen. Eine Aspirationspneumonie trat nicht häufiger auf (Odds Ratio 0,96)</w:t>
      </w:r>
      <w:r>
        <w:rPr>
          <w:rStyle w:val="FootnoteReference"/>
        </w:rPr>
        <w:footnoteReference w:id="2790"/>
      </w:r>
      <w:r>
        <w:t xml:space="preserve">.</w:t>
      </w:r>
    </w:p>
    <w:p>
      <w:pPr>
        <w:numPr>
          <w:ilvl w:val="0"/>
          <w:numId w:val="1349"/>
        </w:numPr>
        <w:pStyle w:val="Compact"/>
      </w:pPr>
      <w:r>
        <w:t xml:space="preserve">In einer Studie mit Magen-Ultraschall vor geplanten Operationen hatten 49 % der Menschen unter Semaglutid einen „vollen Magen“, aber nur 18 % der vergleichbaren Kontrollpersonen; feste Speisereste fanden sich bei 42 % gegenüber 7 %. Das galt auch, obwohl eine Dosis vor der Operation ausgelassen worden war</w:t>
      </w:r>
      <w:r>
        <w:rPr>
          <w:rStyle w:val="FootnoteReference"/>
        </w:rPr>
        <w:footnoteReference w:id="2791"/>
      </w:r>
      <w:r>
        <w:t xml:space="preserve">.</w:t>
      </w:r>
    </w:p>
    <w:p>
      <w:pPr>
        <w:numPr>
          <w:ilvl w:val="0"/>
          <w:numId w:val="1349"/>
        </w:numPr>
        <w:pStyle w:val="Compact"/>
      </w:pPr>
      <w:r>
        <w:rPr>
          <w:bCs/>
          <w:b/>
        </w:rPr>
        <w:t xml:space="preserve">Tatsächliche Aspirationen sind selten.</w:t>
      </w:r>
      <w:r>
        <w:t xml:space="preserve"> </w:t>
      </w:r>
      <w:r>
        <w:t xml:space="preserve">In einer großen US-Datenbankstudie mit 296.389 Paaren von Menschen mit Typ-2-Diabetes traten Atemwegskomplikationen nach Operationen unter GLP-1-Rezeptor-Agonisten sogar seltener auf (0,09 % gegenüber 0,34 %), Aspirationen bei 0,01 % gegenüber 0,03 %. Die Autorinnen und Autoren betonen, dass unklar ist, ob in diesen Fällen bereits Vorsichtsmaßnahmen getroffen wurden</w:t>
      </w:r>
      <w:r>
        <w:rPr>
          <w:rStyle w:val="FootnoteReference"/>
        </w:rPr>
        <w:footnoteReference w:id="2792"/>
      </w:r>
      <w:r>
        <w:t xml:space="preserve">.</w:t>
      </w:r>
    </w:p>
    <w:p>
      <w:pPr>
        <w:pStyle w:val="FirstParagraph"/>
      </w:pPr>
      <w:r>
        <w:t xml:space="preserve">Möglicherweise sind die Aspirationsraten deshalb niedrig, weil Narkoseteams das Risiko kennen und ihr Vorgehen anpassen. Ob ein Pausieren des Medikaments vor einer Magenspiegelung das Problem verringert, soll eine große Studie in China klären</w:t>
      </w:r>
      <w:r>
        <w:rPr>
          <w:rStyle w:val="FootnoteReference"/>
        </w:rPr>
        <w:footnoteReference w:id="2793"/>
      </w:r>
      <w:r>
        <w:t xml:space="preserve">. Für Behandelte heißt das vor allem: Vor jeder Operation, Narkose oder Magenspiegelung angeben, dass man ein GLP-1-Medikament verwendet – auch wenn es aus einer Rezepturapotheke oder dem Graumarkt stammt. Wie mit dem Medikament vor dem Eingriff umzugehen ist, entscheidet das Behandlungsteam nach den jeweils geltenden Empfehlungen. Wer ein Graumarkt-Produkt nicht als Medikament betrachtet und es deshalb nicht erwähnt, nimmt dem Narkoseteam diese Möglichkeit.</w:t>
      </w:r>
    </w:p>
    <w:bookmarkEnd w:id="2794"/>
    <w:bookmarkStart w:id="2797" w:name="X61e694573f8f9e629b0ab36fba03367923b74fe"/>
    <w:p>
      <w:pPr>
        <w:pStyle w:val="Heading3"/>
      </w:pPr>
      <w:r>
        <w:t xml:space="preserve">Kombination mit Diabetesmitteln und Unterzuckerung</w:t>
      </w:r>
    </w:p>
    <w:p>
      <w:pPr>
        <w:pStyle w:val="FirstParagraph"/>
      </w:pPr>
      <w:r>
        <w:t xml:space="preserve">Wie im Kapitel „Nebenwirkungen nach Organsystemen“ beschrieben, verursachen GLP-1-Medikamente allein kaum gefährliche Unterzuckerungen. Das ändert sich in Kombination mit Insulin oder Sulfonylharnstoffen, die den Blutzucker unabhängig vom aktuellen Wert senken. In einer Studie mit Exenatid zusätzlich zu Metformin und einem Sulfonylharnstoff traten leichte bis mittelschwere Unterzuckerungen bei bis zu 28 % auf, unter Placebo bei 13 %; bei niedrig dosiertem Sulfonylharnstoff waren sie seltener</w:t>
      </w:r>
      <w:r>
        <w:rPr>
          <w:rStyle w:val="FootnoteReference"/>
        </w:rPr>
        <w:footnoteReference w:id="2795"/>
      </w:r>
      <w:r>
        <w:t xml:space="preserve">. Bei Pramlintid, das zusammen mit Insulin eingesetzt wird, traten schwere Unterzuckerungen häufiger auf als unter Placebo</w:t>
      </w:r>
      <w:r>
        <w:rPr>
          <w:rStyle w:val="FootnoteReference"/>
        </w:rPr>
        <w:footnoteReference w:id="2796"/>
      </w:r>
      <w:r>
        <w:t xml:space="preserve">. Deshalb sehen die Fachinformationen vor, die Dosis der anderen Diabetesmittel zu Beginn zu überprüfen; die Umsetzung gehört in ärztliche Hände.</w:t>
      </w:r>
    </w:p>
    <w:p>
      <w:pPr>
        <w:pStyle w:val="BodyText"/>
      </w:pPr>
      <w:r>
        <w:t xml:space="preserve">Für mehrere nicht zugelassene Peptide ist eine zusätzliche Blutzuckersenkung theoretisch denkbar, etwa für MOTS-c oder IGF-1 LR3 (Kapitel MOTS-c, IGF-1 LR3). Untersucht ist das nicht. Umgekehrt können die Peptide der Wachstumshormon-Achse den Blutzucker erhöhen und eine bestehende Diabetesbehandlung aus dem Gleichgewicht bringen (Kapitel Ibutamoren, Tesamorelin).</w:t>
      </w:r>
    </w:p>
    <w:bookmarkEnd w:id="2797"/>
    <w:bookmarkStart w:id="2802" w:name="kinder-und-jugendliche-3"/>
    <w:p>
      <w:pPr>
        <w:pStyle w:val="Heading3"/>
      </w:pPr>
      <w:r>
        <w:t xml:space="preserve">Kinder und Jugendliche</w:t>
      </w:r>
    </w:p>
    <w:p>
      <w:pPr>
        <w:pStyle w:val="FirstParagraph"/>
      </w:pPr>
      <w:r>
        <w:t xml:space="preserve">Semaglutid und Liraglutid sind in der EU und den USA auch für Jugendliche ab zwölf Jahren mit Adipositas zugelassen. Die Zulassungsstudien zeigen ein ähnliches Nebenwirkungsprofil wie bei Erwachsenen: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w:t>
            </w:r>
          </w:p>
        </w:tc>
        <w:tc>
          <w:tcPr/>
          <w:p>
            <w:pPr>
              <w:pStyle w:val="Compact"/>
              <w:jc w:val="left"/>
            </w:pPr>
            <w:r>
              <w:t xml:space="preserve">Magen-Darm-Beschwerden</w:t>
            </w:r>
          </w:p>
        </w:tc>
        <w:tc>
          <w:tcPr/>
          <w:p>
            <w:pPr>
              <w:pStyle w:val="Compact"/>
              <w:jc w:val="left"/>
            </w:pPr>
            <w:r>
              <w:t xml:space="preserve">Weitere Befunde</w:t>
            </w:r>
          </w:p>
        </w:tc>
      </w:tr>
      <w:tr>
        <w:tc>
          <w:tcPr/>
          <w:p>
            <w:pPr>
              <w:pStyle w:val="Compact"/>
              <w:jc w:val="left"/>
            </w:pPr>
            <w:r>
              <w:t xml:space="preserve">STEP TEENS (Weghuber 2022), PMID 36322838</w:t>
            </w:r>
          </w:p>
        </w:tc>
        <w:tc>
          <w:tcPr/>
          <w:p>
            <w:pPr>
              <w:pStyle w:val="Compact"/>
              <w:jc w:val="left"/>
            </w:pPr>
            <w:r>
              <w:t xml:space="preserve">201 Jugendliche, Semaglutid, 68 Wochen</w:t>
            </w:r>
          </w:p>
        </w:tc>
        <w:tc>
          <w:tcPr/>
          <w:p>
            <w:pPr>
              <w:pStyle w:val="Compact"/>
              <w:jc w:val="left"/>
            </w:pPr>
            <w:r>
              <w:t xml:space="preserve">62 % vs. 42 %</w:t>
            </w:r>
          </w:p>
        </w:tc>
        <w:tc>
          <w:tcPr/>
          <w:p>
            <w:pPr>
              <w:pStyle w:val="Compact"/>
              <w:jc w:val="left"/>
            </w:pPr>
            <w:r>
              <w:t xml:space="preserve">Gallensteine bei 4 %; schwere Ereignisse 11 % vs. 9 %</w:t>
            </w:r>
          </w:p>
        </w:tc>
      </w:tr>
      <w:tr>
        <w:tc>
          <w:tcPr/>
          <w:p>
            <w:pPr>
              <w:pStyle w:val="Compact"/>
              <w:jc w:val="left"/>
            </w:pPr>
            <w:r>
              <w:t xml:space="preserve">SCALE Teens (Kelly 2020), PMID 32233338</w:t>
            </w:r>
          </w:p>
        </w:tc>
        <w:tc>
          <w:tcPr/>
          <w:p>
            <w:pPr>
              <w:pStyle w:val="Compact"/>
              <w:jc w:val="left"/>
            </w:pPr>
            <w:r>
              <w:t xml:space="preserve">251 Jugendliche, Liraglutid, 56 Wochen</w:t>
            </w:r>
          </w:p>
        </w:tc>
        <w:tc>
          <w:tcPr/>
          <w:p>
            <w:pPr>
              <w:pStyle w:val="Compact"/>
              <w:jc w:val="left"/>
            </w:pPr>
            <w:r>
              <w:t xml:space="preserve">64,8 % vs. 36,5 %</w:t>
            </w:r>
          </w:p>
        </w:tc>
        <w:tc>
          <w:tcPr/>
          <w:p>
            <w:pPr>
              <w:pStyle w:val="Compact"/>
              <w:jc w:val="left"/>
            </w:pPr>
            <w:r>
              <w:t xml:space="preserve">Abbruch wegen Nebenwirkungen 10,4 % vs. 0 %</w:t>
            </w:r>
          </w:p>
        </w:tc>
      </w:tr>
    </w:tbl>
    <w:p>
      <w:pPr>
        <w:pStyle w:val="BodyText"/>
      </w:pPr>
      <w:r>
        <w:t xml:space="preserve">In der Liraglutid-Studie stieg der BMI nach dem Absetzen wieder stärker an als unter Placebo, und es kam zu einem Suizid in der Liraglutid-Gruppe, den die Prüfärzte als wahrscheinlich nicht behandlungsbedingt einstuften</w:t>
      </w:r>
      <w:r>
        <w:rPr>
          <w:rStyle w:val="FootnoteReference"/>
        </w:rPr>
        <w:footnoteReference w:id="2798"/>
      </w:r>
      <w:r>
        <w:t xml:space="preserve">. Eine Meta-Analyse von neun randomisierten und zwei Beobachtungsstudien mit Jugendlichen fand insgesamt keine Zunahme von Suizidverhalten oder Depression</w:t>
      </w:r>
      <w:r>
        <w:rPr>
          <w:rStyle w:val="FootnoteReference"/>
        </w:rPr>
        <w:footnoteReference w:id="2799"/>
      </w:r>
      <w:r>
        <w:t xml:space="preserve">.</w:t>
      </w:r>
    </w:p>
    <w:p>
      <w:pPr>
        <w:pStyle w:val="BodyText"/>
      </w:pPr>
      <w:r>
        <w:t xml:space="preserve">Ein anderes Bild ergeben die Daten der US-Giftinformationszentren. Bei Kindern und Jugendlichen zwischen 6 und 17 Jahren stiegen die gemeldeten Fälle mit GLP-1-Medikamenten zwischen 2017 und 2024 am stärksten. Sie wurden häufiger stationär aufgenommen als Erwachsene (relatives Risiko 2,66), erbrachen häufiger, und ihre Fälle gingen etwa achtmal so häufig auf absichtlichen Fehlgebrauch zurück</w:t>
      </w:r>
      <w:r>
        <w:rPr>
          <w:rStyle w:val="FootnoteReference"/>
        </w:rPr>
        <w:footnoteReference w:id="2800"/>
      </w:r>
      <w:r>
        <w:t xml:space="preserve">. Das spricht dafür, dass Jugendliche diese Medikamente teils außerhalb einer ärztlichen Behandlung verwenden.</w:t>
      </w:r>
    </w:p>
    <w:p>
      <w:pPr>
        <w:pStyle w:val="BodyText"/>
      </w:pPr>
      <w:r>
        <w:t xml:space="preserve">Bei den Peptiden aus dem Fitness- und Bodybuilding-Umfeld ist unklar, wie verbreitet sie bei Jugendlichen sind. Eine Übersicht weist auf Werbung in sozialen Medien und Hinweise auf eine wachsende Nutzung auch durch jüngere Freizeitsportler hin, betont aber, dass Studien zur Häufigkeit fehlen</w:t>
      </w:r>
      <w:r>
        <w:rPr>
          <w:rStyle w:val="FootnoteReference"/>
        </w:rPr>
        <w:footnoteReference w:id="2801"/>
      </w:r>
      <w:r>
        <w:t xml:space="preserve">. Für Jugendliche, deren Wachstum und Hormonsystem noch nicht abgeschlossen sind, ist der Eingriff in die Wachstumshormon- oder Sexualhormon-Achse mit nicht zugelassenen Stoffen besonders riskant. Die zugelassenen Peptide für Kinder – etwa Mecasermin bei schwerem IGF-1-Mangel – werden ausschließlich unter fachärztlicher Kontrolle eingesetzt (Kapitel Mecasermin).</w:t>
      </w:r>
    </w:p>
    <w:bookmarkEnd w:id="2802"/>
    <w:bookmarkStart w:id="2805" w:name="ältere-menschen"/>
    <w:p>
      <w:pPr>
        <w:pStyle w:val="Heading3"/>
      </w:pPr>
      <w:r>
        <w:t xml:space="preserve">Ältere Menschen</w:t>
      </w:r>
    </w:p>
    <w:p>
      <w:pPr>
        <w:pStyle w:val="FirstParagraph"/>
      </w:pPr>
      <w:r>
        <w:t xml:space="preserve">Mit dem Alter steigt das Risiko, dass Nebenwirkungen schwerer verlaufen. Für ältere Menschen sind bei Peptiden vor allem vier Punkte wichtig:</w:t>
      </w:r>
    </w:p>
    <w:p>
      <w:pPr>
        <w:numPr>
          <w:ilvl w:val="0"/>
          <w:numId w:val="1350"/>
        </w:numPr>
        <w:pStyle w:val="Compact"/>
      </w:pPr>
      <w:r>
        <w:rPr>
          <w:bCs/>
          <w:b/>
        </w:rPr>
        <w:t xml:space="preserve">Flüssigkeitsverlust.</w:t>
      </w:r>
      <w:r>
        <w:t xml:space="preserve"> </w:t>
      </w:r>
      <w:r>
        <w:t xml:space="preserve">Erbrechen und Durchfall unter GLP-1-Medikamenten können bei älteren Menschen schneller zu Austrocknung und Nierenproblemen führen.</w:t>
      </w:r>
    </w:p>
    <w:p>
      <w:pPr>
        <w:numPr>
          <w:ilvl w:val="0"/>
          <w:numId w:val="1350"/>
        </w:numPr>
        <w:pStyle w:val="Compact"/>
      </w:pPr>
      <w:r>
        <w:rPr>
          <w:bCs/>
          <w:b/>
        </w:rPr>
        <w:t xml:space="preserve">Muskelmasse.</w:t>
      </w:r>
      <w:r>
        <w:t xml:space="preserve"> </w:t>
      </w:r>
      <w:r>
        <w:t xml:space="preserve">Wer ohnehin wenig Muskeln hat, verträgt deren weiteren Verlust schlecht (siehe den folgenden Abschnitt).</w:t>
      </w:r>
    </w:p>
    <w:p>
      <w:pPr>
        <w:numPr>
          <w:ilvl w:val="0"/>
          <w:numId w:val="1350"/>
        </w:numPr>
        <w:pStyle w:val="Compact"/>
      </w:pPr>
      <w:r>
        <w:rPr>
          <w:bCs/>
          <w:b/>
        </w:rPr>
        <w:t xml:space="preserve">Wassereinlagerung und Herz.</w:t>
      </w:r>
      <w:r>
        <w:t xml:space="preserve"> </w:t>
      </w:r>
      <w:r>
        <w:t xml:space="preserve">Wachstumshormon führte bei gesunden älteren Menschen häufiger zu Gewebeschwellungen, Gelenkschmerzen und Karpaltunnelsyndrom</w:t>
      </w:r>
      <w:r>
        <w:rPr>
          <w:rStyle w:val="FootnoteReference"/>
        </w:rPr>
        <w:footnoteReference w:id="2803"/>
      </w:r>
      <w:r>
        <w:t xml:space="preserve">. Eine Studie mit Ibutamoren bei älteren Menschen nach Hüftbruch wurde wegen eines Signals für Herzschwäche abgebrochen</w:t>
      </w:r>
      <w:r>
        <w:rPr>
          <w:rStyle w:val="FootnoteReference"/>
        </w:rPr>
        <w:footnoteReference w:id="2804"/>
      </w:r>
      <w:r>
        <w:t xml:space="preserve">. Gerade die Peptide, die als „Anti-Aging“-Mittel beworben werden, sind für ältere Herzen also eher belastend.</w:t>
      </w:r>
    </w:p>
    <w:p>
      <w:pPr>
        <w:numPr>
          <w:ilvl w:val="0"/>
          <w:numId w:val="1350"/>
        </w:numPr>
        <w:pStyle w:val="Compact"/>
      </w:pPr>
      <w:r>
        <w:rPr>
          <w:bCs/>
          <w:b/>
        </w:rPr>
        <w:t xml:space="preserve">Mehrere Medikamente.</w:t>
      </w:r>
      <w:r>
        <w:t xml:space="preserve"> </w:t>
      </w:r>
      <w:r>
        <w:t xml:space="preserve">Ältere Menschen nehmen häufig viele Medikamente gleichzeitig ein. Die verzögerte Magenentleerung kann deren Aufnahme verändern, und Kombinationen mit blutzuckersenkenden Mitteln erhöhen das Risiko für Unterzuckerung und Stürze.</w:t>
      </w:r>
    </w:p>
    <w:bookmarkEnd w:id="2805"/>
    <w:bookmarkStart w:id="2810" w:name="X69f3f6286930a6210de5a88ac13d34d472b3ec4"/>
    <w:p>
      <w:pPr>
        <w:pStyle w:val="Heading3"/>
      </w:pPr>
      <w:r>
        <w:t xml:space="preserve">Muskelverlust bei starker Gewichtsabnahme</w:t>
      </w:r>
    </w:p>
    <w:p>
      <w:pPr>
        <w:pStyle w:val="FirstParagraph"/>
      </w:pPr>
      <w:r>
        <w:t xml:space="preserve">Bei jeder Gewichtsabnahme geht neben Fett auch fettfreie Masse verloren, zu der Muskeln, Organe und Wasser zählen. Bei den stark wirksamen GLP-1-Medikamenten ist die Frage, ob dieser Anteil ungewöhnlich hoch ist und ob er schadet.</w:t>
      </w:r>
    </w:p>
    <w:p>
      <w:pPr>
        <w:numPr>
          <w:ilvl w:val="0"/>
          <w:numId w:val="1351"/>
        </w:numPr>
        <w:pStyle w:val="Compact"/>
      </w:pPr>
      <w:r>
        <w:t xml:space="preserve">In einer Teilstudie von SURMOUNT-1 mit 160 Teilnehmenden bestand das abgenommene Gewicht unter Tirzepatid zu etwa 75 % aus Fett und zu 25 % aus fettfreier Masse – im selben Verhältnis wie unter Placebo, nur bei deutlich größerer Gesamtabnahme. Diese Anteile blieben in den meisten Untergruppen, auch nach Alter getrennt, ähnlich</w:t>
      </w:r>
      <w:r>
        <w:rPr>
          <w:rStyle w:val="FootnoteReference"/>
        </w:rPr>
        <w:footnoteReference w:id="2806"/>
      </w:r>
      <w:r>
        <w:t xml:space="preserve">.</w:t>
      </w:r>
    </w:p>
    <w:p>
      <w:pPr>
        <w:numPr>
          <w:ilvl w:val="0"/>
          <w:numId w:val="1351"/>
        </w:numPr>
        <w:pStyle w:val="Compact"/>
      </w:pPr>
      <w:r>
        <w:t xml:space="preserve">Eine Netzwerk-Meta-Analyse von 22 Studien fand ebenfalls, dass rund 25 % der Gewichtsabnahme auf fettfreie Masse entfielen. Semaglutid und Tirzepatid führten zum stärksten Gewichtsverlust, gehörten aber auch zu den Wirkstoffen, unter denen am meisten fettfreie Masse verloren ging</w:t>
      </w:r>
      <w:r>
        <w:rPr>
          <w:rStyle w:val="FootnoteReference"/>
        </w:rPr>
        <w:footnoteReference w:id="2807"/>
      </w:r>
      <w:r>
        <w:t xml:space="preserve">.</w:t>
      </w:r>
    </w:p>
    <w:p>
      <w:pPr>
        <w:numPr>
          <w:ilvl w:val="0"/>
          <w:numId w:val="1351"/>
        </w:numPr>
        <w:pStyle w:val="Compact"/>
      </w:pPr>
      <w:r>
        <w:t xml:space="preserve">Eine systematische Übersicht über 35 Studien kam auf einen etwas höheren Anteil: Im Median entfielen 28,3 % der Gewichtsabnahme auf muskelbezogene Messgrößen, und in 65 % der Studien lag der Anteil über einem Richtwert von etwa 25 %. Keine einzige Studie hatte die körperliche Leistungsfähigkeit objektiv gemessen</w:t>
      </w:r>
      <w:r>
        <w:rPr>
          <w:rStyle w:val="FootnoteReference"/>
        </w:rPr>
        <w:footnoteReference w:id="2808"/>
      </w:r>
      <w:r>
        <w:t xml:space="preserve">.</w:t>
      </w:r>
    </w:p>
    <w:p>
      <w:pPr>
        <w:numPr>
          <w:ilvl w:val="0"/>
          <w:numId w:val="1351"/>
        </w:numPr>
        <w:pStyle w:val="Compact"/>
      </w:pPr>
      <w:r>
        <w:t xml:space="preserve">Eine weitere Meta-Analyse betont die andere Seite: Weil Fett stärker abnimmt als Muskeln, stieg der</w:t>
      </w:r>
      <w:r>
        <w:t xml:space="preserve"> </w:t>
      </w:r>
      <w:r>
        <w:rPr>
          <w:iCs/>
          <w:i/>
        </w:rPr>
        <w:t xml:space="preserve">Anteil</w:t>
      </w:r>
      <w:r>
        <w:t xml:space="preserve"> </w:t>
      </w:r>
      <w:r>
        <w:t xml:space="preserve">der fettfreien Masse am Körpergewicht um 1,81 Prozentpunkte. Die Autorinnen und Autoren empfehlen, die Behandlung mit Ernährungs- und Bewegungsprogrammen zu begleiten</w:t>
      </w:r>
      <w:r>
        <w:rPr>
          <w:rStyle w:val="FootnoteReference"/>
        </w:rPr>
        <w:footnoteReference w:id="2809"/>
      </w:r>
      <w:r>
        <w:t xml:space="preserve">.</w:t>
      </w:r>
    </w:p>
    <w:p>
      <w:pPr>
        <w:pStyle w:val="FirstParagraph"/>
      </w:pPr>
      <w:r>
        <w:t xml:space="preserve">Zusammengefasst: Der Muskelverlust unter GLP-1-Medikamenten scheint im Verhältnis zur Gesamtabnahme nicht wesentlich größer zu sein als bei anderen Formen der Gewichtsreduktion – in absoluten Kilogramm ist er wegen der großen Abnahme aber erheblich. Ob das Folgen für Kraft, Stürze oder Selbstständigkeit hat, ist nicht untersucht. Für ältere Menschen, Menschen mit wenig Muskelmasse und Menschen mit Gebrechlichkeit ist das eine offene Frage. Ob Cagrilintid-Kombinationen den Muskelverlust beeinflussen, wird derzeit untersucht (Kapitel Cagrilintid).</w:t>
      </w:r>
    </w:p>
    <w:bookmarkEnd w:id="2810"/>
    <w:bookmarkStart w:id="2815" w:name="essstörungen"/>
    <w:p>
      <w:pPr>
        <w:pStyle w:val="Heading3"/>
      </w:pPr>
      <w:r>
        <w:t xml:space="preserve">Essstörungen</w:t>
      </w:r>
    </w:p>
    <w:p>
      <w:pPr>
        <w:pStyle w:val="FirstParagraph"/>
      </w:pPr>
      <w:r>
        <w:t xml:space="preserve">GLP-1-Medikamente dämpfen Appetit und Hungergefühl. Für Menschen mit Magersucht (Anorexia nervosa) oder Bulimie kann gerade diese Wirkung gefährlich sein: Sie kann restriktives Essverhalten verstärken und eine Erkrankung verschlimmern. Ein Fallbericht beschreibt den Missbrauch von Semaglutid bei einer atypischen Anorexie</w:t>
      </w:r>
      <w:r>
        <w:rPr>
          <w:rStyle w:val="FootnoteReference"/>
        </w:rPr>
        <w:footnoteReference w:id="2811"/>
      </w:r>
      <w:r>
        <w:t xml:space="preserve">, und eine US-Querschnittsstudie untersuchte, wie verbreitet Gebrauch und Missbrauch von GLP-1-Medikamenten unter Menschen mit Essstörungen sind</w:t>
      </w:r>
      <w:r>
        <w:rPr>
          <w:rStyle w:val="FootnoteReference"/>
        </w:rPr>
        <w:footnoteReference w:id="2812"/>
      </w:r>
      <w:r>
        <w:t xml:space="preserve">.</w:t>
      </w:r>
    </w:p>
    <w:p>
      <w:pPr>
        <w:pStyle w:val="BodyText"/>
      </w:pPr>
      <w:r>
        <w:t xml:space="preserve">Ein Gremium aus 45 Fachleuten und Betroffenen hat 2026 im Konsensverfahren Empfehlungen erarbeitet. Danach sollte vor Beginn einer GLP-1-Behandlung mit einem kurzen, geprüften Fragebogen nach aktuellen und früheren Essstörungen gefragt werden, Symptome sollten im Verlauf beobachtet werden, und bei aktiver Anorexie, atypischer Anorexie oder Bulimie mit starkem Einschränken des Essens sollten diese Medikamente in der Regel nicht eingesetzt werden. Auch bei früheren Essstörungen sei Vorsicht geboten</w:t>
      </w:r>
      <w:r>
        <w:rPr>
          <w:rStyle w:val="FootnoteReference"/>
        </w:rPr>
        <w:footnoteReference w:id="2813"/>
      </w:r>
      <w:r>
        <w:t xml:space="preserve">.</w:t>
      </w:r>
    </w:p>
    <w:p>
      <w:pPr>
        <w:pStyle w:val="BodyText"/>
      </w:pPr>
      <w:r>
        <w:t xml:space="preserve">Für die Binge-Eating-Störung, bei der Essanfälle ohne Gegenmaßnahmen auftreten, gibt es dagegen erste Hinweise, dass GLP-1-Medikamente Essanfälle verringern könnten</w:t>
      </w:r>
      <w:r>
        <w:rPr>
          <w:rStyle w:val="FootnoteReference"/>
        </w:rPr>
        <w:footnoteReference w:id="2814"/>
      </w:r>
      <w:r>
        <w:t xml:space="preserve">. Das zeigt, wie wichtig eine genaue Diagnose ist. Über den Graumarkt und über Online-Anbieter mit wenig ärztlicher Begleitung entfällt genau dieses Nachfragen.</w:t>
      </w:r>
    </w:p>
    <w:bookmarkEnd w:id="2815"/>
    <w:bookmarkStart w:id="2821" w:name="leistungssport-und-dopingkontrollen"/>
    <w:p>
      <w:pPr>
        <w:pStyle w:val="Heading3"/>
      </w:pPr>
      <w:r>
        <w:t xml:space="preserve">Leistungssport und Dopingkontrollen</w:t>
      </w:r>
    </w:p>
    <w:p>
      <w:pPr>
        <w:pStyle w:val="FirstParagraph"/>
      </w:pPr>
      <w:r>
        <w:t xml:space="preserve">Für Sportlerinnen und Sportler, die Dopingkontrollen unterliegen, ist die Lage bei Peptiden besonders heikel. Nach der Verbotsliste der Welt-Anti-Doping-Agentur (WADA) gilt grob:</w:t>
      </w:r>
    </w:p>
    <w:p>
      <w:pPr>
        <w:numPr>
          <w:ilvl w:val="0"/>
          <w:numId w:val="1352"/>
        </w:numPr>
        <w:pStyle w:val="Compact"/>
      </w:pPr>
      <w:r>
        <w:rPr>
          <w:bCs/>
          <w:b/>
        </w:rPr>
        <w:t xml:space="preserve">Verboten (S2, Peptidhormone und Wachstumsfaktoren):</w:t>
      </w:r>
      <w:r>
        <w:t xml:space="preserve"> </w:t>
      </w:r>
      <w:r>
        <w:t xml:space="preserve">alle Wachstumshormon-Freisetzer und IGF-1-Abwandlungen, Thymosin Beta-4 und TB-500, ARA-290, bei Männern Gonadorelin und LH-Freisetzer wie Kisspeptin.</w:t>
      </w:r>
    </w:p>
    <w:p>
      <w:pPr>
        <w:numPr>
          <w:ilvl w:val="0"/>
          <w:numId w:val="1352"/>
        </w:numPr>
        <w:pStyle w:val="Compact"/>
      </w:pPr>
      <w:r>
        <w:rPr>
          <w:bCs/>
          <w:b/>
        </w:rPr>
        <w:t xml:space="preserve">Verboten (S0, nicht zugelassene Substanzen):</w:t>
      </w:r>
      <w:r>
        <w:t xml:space="preserve"> </w:t>
      </w:r>
      <w:r>
        <w:t xml:space="preserve">Stoffe ohne Zulassung als Humanarzneimittel, etwa BPC-157, Melanotan II und die noch in Studien befindlichen GLP-1-Mehrfach-Agonisten wie Retatrutid.</w:t>
      </w:r>
    </w:p>
    <w:p>
      <w:pPr>
        <w:numPr>
          <w:ilvl w:val="0"/>
          <w:numId w:val="1352"/>
        </w:numPr>
        <w:pStyle w:val="Compact"/>
      </w:pPr>
      <w:r>
        <w:rPr>
          <w:bCs/>
          <w:b/>
        </w:rPr>
        <w:t xml:space="preserve">Verboten (S4):</w:t>
      </w:r>
      <w:r>
        <w:t xml:space="preserve"> </w:t>
      </w:r>
      <w:r>
        <w:t xml:space="preserve">MOTS-c als Aktivator des Enzyms AMPK.</w:t>
      </w:r>
    </w:p>
    <w:p>
      <w:pPr>
        <w:numPr>
          <w:ilvl w:val="0"/>
          <w:numId w:val="1352"/>
        </w:numPr>
        <w:pStyle w:val="Compact"/>
      </w:pPr>
      <w:r>
        <w:rPr>
          <w:bCs/>
          <w:b/>
        </w:rPr>
        <w:t xml:space="preserve">Nicht verboten:</w:t>
      </w:r>
      <w:r>
        <w:t xml:space="preserve"> </w:t>
      </w:r>
      <w:r>
        <w:t xml:space="preserve">die zugelassenen GLP-1-Medikamente. Semaglutid und Tirzepatid wurden aber in das Überwachungsprogramm der WADA aufgenommen, um einen möglichen Missbrauch zu erfassen; Labore haben bereits Nachweisverfahren für Blut und getrocknete Blutstropfen entwickelt</w:t>
      </w:r>
      <w:r>
        <w:rPr>
          <w:rStyle w:val="FootnoteReference"/>
        </w:rPr>
        <w:footnoteReference w:id="2816"/>
      </w:r>
      <w:r>
        <w:t xml:space="preserve">.</w:t>
      </w:r>
    </w:p>
    <w:p>
      <w:pPr>
        <w:pStyle w:val="FirstParagraph"/>
      </w:pPr>
      <w:r>
        <w:t xml:space="preserve">Die Einzelheiten stehen in den jeweiligen Kapiteln. Drei Punkte sind über alle Peptide hinweg wichtig.</w:t>
      </w:r>
    </w:p>
    <w:p>
      <w:pPr>
        <w:pStyle w:val="BodyText"/>
      </w:pPr>
      <w:r>
        <w:rPr>
          <w:bCs/>
          <w:b/>
        </w:rPr>
        <w:t xml:space="preserve">Verunreinigte Produkte.</w:t>
      </w:r>
      <w:r>
        <w:t xml:space="preserve"> </w:t>
      </w:r>
      <w:r>
        <w:t xml:space="preserve">Ein Sportler ist für jede verbotene Substanz in seinem Körper verantwortlich – auch wenn sie aus einem falsch deklarierten Produkt stammt. Die Laboranalysen im Kapitel „Graumarkt-Produkte“ zeigen, dass Graumarkt-Ware häufig andere oder zusätzliche Stoffe enthält und dass verbotene Wirkstoffe auch in Produkten auftauchen, die als Nahrungsergänzungsmittel aufgemacht sind</w:t>
      </w:r>
      <w:r>
        <w:rPr>
          <w:rStyle w:val="FootnoteReference"/>
        </w:rPr>
        <w:footnoteReference w:id="2817"/>
      </w:r>
      <w:r>
        <w:t xml:space="preserve">.</w:t>
      </w:r>
    </w:p>
    <w:p>
      <w:pPr>
        <w:pStyle w:val="BodyText"/>
      </w:pPr>
      <w:r>
        <w:rPr>
          <w:bCs/>
          <w:b/>
        </w:rPr>
        <w:t xml:space="preserve">Designer-Varianten.</w:t>
      </w:r>
      <w:r>
        <w:t xml:space="preserve"> </w:t>
      </w:r>
      <w:r>
        <w:t xml:space="preserve">Abgewandelte Peptide wie Gly-GHRP-2 oder Gly-Ipamorelin sollen vermutlich Tests umgehen</w:t>
      </w:r>
      <w:r>
        <w:rPr>
          <w:rStyle w:val="FootnoteReference"/>
        </w:rPr>
        <w:footnoteReference w:id="2818"/>
      </w:r>
      <w:r>
        <w:t xml:space="preserve">. Ihre Wirkung und Sicherheit sind völlig unbekannt. Die Erfahrung zeigt, dass Anti-Doping-Labore ihre Verfahren nachziehen; Proben werden zudem langfristig gelagert und können später erneut untersucht werden.</w:t>
      </w:r>
    </w:p>
    <w:p>
      <w:pPr>
        <w:pStyle w:val="BodyText"/>
      </w:pPr>
      <w:r>
        <w:rPr>
          <w:bCs/>
          <w:b/>
        </w:rPr>
        <w:t xml:space="preserve">Fraglicher Nutzen.</w:t>
      </w:r>
      <w:r>
        <w:t xml:space="preserve"> </w:t>
      </w:r>
      <w:r>
        <w:t xml:space="preserve">Eine Übersicht über Inkretin-Medikamente im Sport kommt zu dem Schluss, dass klinische Studien keine einheitliche Verbesserung der körperlichen Leistung beim Menschen zeigen und dass 20 bis 30 % des Gewichtsverlusts auf fettfreie Masse entfallen</w:t>
      </w:r>
      <w:r>
        <w:rPr>
          <w:rStyle w:val="FootnoteReference"/>
        </w:rPr>
        <w:footnoteReference w:id="2819"/>
      </w:r>
      <w:r>
        <w:t xml:space="preserve">. Für die regenerativen Peptide und die Wachstumshormon-Freisetzer kommt eine sportmedizinische Übersicht zu dem Ergebnis, dass sie experimentell bleiben, mit unsicherem Sicherheitsprofil, fraglicher Produktqualität und weitreichenden Dopingverboten</w:t>
      </w:r>
      <w:r>
        <w:rPr>
          <w:rStyle w:val="FootnoteReference"/>
        </w:rPr>
        <w:footnoteReference w:id="2820"/>
      </w:r>
      <w:r>
        <w:t xml:space="preserve">.</w:t>
      </w:r>
    </w:p>
    <w:bookmarkEnd w:id="2821"/>
    <w:bookmarkStart w:id="2822" w:name="das-wichtigste-in-kürze-7"/>
    <w:p>
      <w:pPr>
        <w:pStyle w:val="Heading3"/>
      </w:pPr>
      <w:r>
        <w:t xml:space="preserve">Das Wichtigste in Kürze</w:t>
      </w:r>
    </w:p>
    <w:p>
      <w:pPr>
        <w:numPr>
          <w:ilvl w:val="0"/>
          <w:numId w:val="1353"/>
        </w:numPr>
        <w:pStyle w:val="Compact"/>
      </w:pPr>
      <w:r>
        <w:t xml:space="preserve">In der Schwangerschaft sind fast alle Peptide nicht untersucht oder nicht angezeigt. Für eine versehentliche Exposition mit GLP-1-Medikamenten sind die Daten überwiegend beruhigend, aber unsicher.</w:t>
      </w:r>
    </w:p>
    <w:p>
      <w:pPr>
        <w:numPr>
          <w:ilvl w:val="0"/>
          <w:numId w:val="1353"/>
        </w:numPr>
        <w:pStyle w:val="Compact"/>
      </w:pPr>
      <w:r>
        <w:t xml:space="preserve">Tirzepatid kann die Aufnahme der Pille verringern; bei Semaglutid fand sich das nicht. Erbrechen und Durchfall beeinträchtigen jede Tabletteneinnahme.</w:t>
      </w:r>
    </w:p>
    <w:p>
      <w:pPr>
        <w:numPr>
          <w:ilvl w:val="0"/>
          <w:numId w:val="1353"/>
        </w:numPr>
        <w:pStyle w:val="Compact"/>
      </w:pPr>
      <w:r>
        <w:t xml:space="preserve">Unter GLP-1-Medikamenten bleibt der Magen häufiger gefüllt. Vor Narkosen und Magenspiegelungen muss das Behandlungsteam davon wissen.</w:t>
      </w:r>
    </w:p>
    <w:p>
      <w:pPr>
        <w:numPr>
          <w:ilvl w:val="0"/>
          <w:numId w:val="1353"/>
        </w:numPr>
        <w:pStyle w:val="Compact"/>
      </w:pPr>
      <w:r>
        <w:t xml:space="preserve">In Kombination mit Insulin oder Sulfonylharnstoffen steigt das Unterzuckerungsrisiko.</w:t>
      </w:r>
    </w:p>
    <w:p>
      <w:pPr>
        <w:numPr>
          <w:ilvl w:val="0"/>
          <w:numId w:val="1353"/>
        </w:numPr>
        <w:pStyle w:val="Compact"/>
      </w:pPr>
      <w:r>
        <w:t xml:space="preserve">Jugendliche fallen in Giftnotruf-Daten durch absichtlichen Fehlgebrauch auf; bei Essstörungen sollten GLP-1-Medikamente in der Regel nicht eingesetzt werden.</w:t>
      </w:r>
    </w:p>
    <w:p>
      <w:pPr>
        <w:numPr>
          <w:ilvl w:val="0"/>
          <w:numId w:val="1353"/>
        </w:numPr>
        <w:pStyle w:val="Compact"/>
      </w:pPr>
      <w:r>
        <w:t xml:space="preserve">Rund ein Viertel der Gewichtsabnahme unter GLP-1-Medikamenten entfällt auf fettfreie Masse; ob das funktionelle Folgen hat, ist offen.</w:t>
      </w:r>
    </w:p>
    <w:p>
      <w:pPr>
        <w:numPr>
          <w:ilvl w:val="0"/>
          <w:numId w:val="1353"/>
        </w:numPr>
        <w:pStyle w:val="Compact"/>
      </w:pPr>
      <w:r>
        <w:t xml:space="preserve">Für Sportlerinnen und Sportler sind die meisten Peptide verboten, und Graumarkt-Produkte bergen zusätzlich das Risiko nicht deklarierter Dopingmittel.</w:t>
      </w:r>
    </w:p>
    <w:bookmarkEnd w:id="2822"/>
    <w:bookmarkEnd w:id="2823"/>
    <w:bookmarkEnd w:id="2824"/>
    <w:bookmarkStart w:id="2976" w:name="teil-v-zukunft"/>
    <w:p>
      <w:pPr>
        <w:pStyle w:val="Heading1"/>
      </w:pPr>
      <w:r>
        <w:t xml:space="preserve">Teil V – Zukunft</w:t>
      </w:r>
    </w:p>
    <w:p>
      <w:pPr>
        <w:pStyle w:val="FirstParagraph"/>
      </w:pPr>
      <w:r>
        <w:t xml:space="preserve">Die vorangegangenen Teile haben beschrieben, was über Peptide heute bekannt ist. Dieser letzte Teil blickt nach vorn: Welche Wirkstoffe stecken in den großen Studien, die in den nächsten Jahren enden? Werden Spritzen durch Tabletten abgelöst? Was bedeuten auslaufende Patente für Preise und Versorgung? Und welche Entwicklungen sind bis 2035 zu erwarten?</w:t>
      </w:r>
    </w:p>
    <w:p>
      <w:pPr>
        <w:pStyle w:val="BodyText"/>
      </w:pPr>
      <w:r>
        <w:t xml:space="preserve">Zukunftsaussagen sind in diesem Buch streng getrennt.</w:t>
      </w:r>
      <w:r>
        <w:t xml:space="preserve"> </w:t>
      </w:r>
      <w:r>
        <w:rPr>
          <w:bCs/>
          <w:b/>
        </w:rPr>
        <w:t xml:space="preserve">Gesichert</w:t>
      </w:r>
      <w:r>
        <w:t xml:space="preserve"> </w:t>
      </w:r>
      <w:r>
        <w:t xml:space="preserve">ist, was in einem Studienregister eingetragen, in einer begutachteten Studie veröffentlicht oder von Behörden beschlossen ist. Auch das ist nur eine Momentaufnahme: Studien werden verlängert, verkleinert oder abgebrochen, geplante Enddaten verschieben sich oft um Jahre. Alles andere ist</w:t>
      </w:r>
      <w:r>
        <w:t xml:space="preserve"> </w:t>
      </w:r>
      <w:r>
        <w:rPr>
          <w:bCs/>
          <w:b/>
        </w:rPr>
        <w:t xml:space="preserve">Einschätzung des Autors</w:t>
      </w:r>
      <w:r>
        <w:t xml:space="preserve"> </w:t>
      </w:r>
      <w:r>
        <w:t xml:space="preserve">und wird ausdrücklich so bezeichnet. Die Recherche gibt den Stand von Oktober 2026 wieder.</w:t>
      </w:r>
    </w:p>
    <w:bookmarkStart w:id="2866" w:name="die-pipeline-was-in-phase-2-und-3-ist"/>
    <w:p>
      <w:pPr>
        <w:pStyle w:val="Heading2"/>
      </w:pPr>
      <w:r>
        <w:t xml:space="preserve">Die Pipeline: was in Phase 2 und 3 ist</w:t>
      </w:r>
    </w:p>
    <w:p>
      <w:pPr>
        <w:pStyle w:val="FirstParagraph"/>
      </w:pPr>
      <w:r>
        <w:t xml:space="preserve">Als „Pipeline“ bezeichnet die Pharmaindustrie die Gesamtheit der Wirkstoffe, die sich in Entwicklung befinden. Die Stufen sind in Teil I erklärt: In</w:t>
      </w:r>
      <w:r>
        <w:t xml:space="preserve"> </w:t>
      </w:r>
      <w:r>
        <w:rPr>
          <w:bCs/>
          <w:b/>
        </w:rPr>
        <w:t xml:space="preserve">Phase 1</w:t>
      </w:r>
      <w:r>
        <w:t xml:space="preserve"> </w:t>
      </w:r>
      <w:r>
        <w:t xml:space="preserve">wird ein Wirkstoff meist an wenigen Gesunden auf Verträglichkeit geprüft, in</w:t>
      </w:r>
      <w:r>
        <w:t xml:space="preserve"> </w:t>
      </w:r>
      <w:r>
        <w:rPr>
          <w:bCs/>
          <w:b/>
        </w:rPr>
        <w:t xml:space="preserve">Phase 2</w:t>
      </w:r>
      <w:r>
        <w:t xml:space="preserve"> </w:t>
      </w:r>
      <w:r>
        <w:t xml:space="preserve">an einigen Hundert Erkrankten auf Wirksamkeit und passende Dosis, in</w:t>
      </w:r>
      <w:r>
        <w:t xml:space="preserve"> </w:t>
      </w:r>
      <w:r>
        <w:rPr>
          <w:bCs/>
          <w:b/>
        </w:rPr>
        <w:t xml:space="preserve">Phase 3</w:t>
      </w:r>
      <w:r>
        <w:t xml:space="preserve"> </w:t>
      </w:r>
      <w:r>
        <w:t xml:space="preserve">an Tausenden für die Zulassung.</w:t>
      </w:r>
      <w:r>
        <w:t xml:space="preserve"> </w:t>
      </w:r>
      <w:r>
        <w:rPr>
          <w:bCs/>
          <w:b/>
        </w:rPr>
        <w:t xml:space="preserve">Phase 4</w:t>
      </w:r>
      <w:r>
        <w:t xml:space="preserve"> </w:t>
      </w:r>
      <w:r>
        <w:t xml:space="preserve">bezeichnet Studien mit bereits zugelassenen Medikamenten. Wer wissen will, was in den nächsten fünf Jahren auf den Markt kommen könnte, muss vor allem auf Phase 3 schauen.</w:t>
      </w:r>
    </w:p>
    <w:bookmarkStart w:id="2827" w:name="wie-die-auswertung-gemacht-wurde"/>
    <w:p>
      <w:pPr>
        <w:pStyle w:val="Heading3"/>
      </w:pPr>
      <w:r>
        <w:t xml:space="preserve">Wie die Auswertung gemacht wurde</w:t>
      </w:r>
    </w:p>
    <w:p>
      <w:pPr>
        <w:pStyle w:val="FirstParagraph"/>
      </w:pPr>
      <w:r>
        <w:t xml:space="preserve">Grundlage sind die Registerlisten von ClinicalTrials.gov, die für die 58 Wirkstoffe dieses Buches im Oktober 2026 abgefragt wurden (siehe Methodik im Anhang). Ein kleines Auswertungsprogramm hat daraus alle Einträge herausgefiltert, die</w:t>
      </w:r>
    </w:p>
    <w:p>
      <w:pPr>
        <w:numPr>
          <w:ilvl w:val="0"/>
          <w:numId w:val="1354"/>
        </w:numPr>
        <w:pStyle w:val="Compact"/>
      </w:pPr>
      <w:r>
        <w:t xml:space="preserve">eine</w:t>
      </w:r>
      <w:r>
        <w:t xml:space="preserve"> </w:t>
      </w:r>
      <w:r>
        <w:rPr>
          <w:bCs/>
          <w:b/>
        </w:rPr>
        <w:t xml:space="preserve">interventionelle</w:t>
      </w:r>
      <w:r>
        <w:t xml:space="preserve"> </w:t>
      </w:r>
      <w:r>
        <w:t xml:space="preserve">Studie beschreiben, also eine Studie, in der ein Wirkstoff gezielt gegeben wird (keine reine Beobachtung), und</w:t>
      </w:r>
    </w:p>
    <w:p>
      <w:pPr>
        <w:numPr>
          <w:ilvl w:val="0"/>
          <w:numId w:val="1354"/>
        </w:numPr>
        <w:pStyle w:val="Compact"/>
      </w:pPr>
      <w:r>
        <w:t xml:space="preserve">als</w:t>
      </w:r>
      <w:r>
        <w:t xml:space="preserve"> </w:t>
      </w:r>
      <w:r>
        <w:rPr>
          <w:bCs/>
          <w:b/>
        </w:rPr>
        <w:t xml:space="preserve">laufend</w:t>
      </w:r>
      <w:r>
        <w:t xml:space="preserve"> </w:t>
      </w:r>
      <w:r>
        <w:t xml:space="preserve">gekennzeichnet sind: rekrutierend, aktiv ohne weitere Rekrutierung, noch nicht rekrutierend oder Teilnahme nur auf Einladung.</w:t>
      </w:r>
    </w:p>
    <w:p>
      <w:pPr>
        <w:pStyle w:val="FirstParagraph"/>
      </w:pPr>
      <w:r>
        <w:t xml:space="preserve">Studien, die unter mehreren Wirkstoffen auftauchen – etwa ein Vergleich von Retatrutid mit Tirzepatid –, wurden nur einmal gezählt.</w:t>
      </w:r>
    </w:p>
    <w:p>
      <w:pPr>
        <w:pStyle w:val="BodyText"/>
      </w:pPr>
      <w:r>
        <w:rPr>
          <w:bCs/>
          <w:b/>
        </w:rPr>
        <w:t xml:space="preserve">Was ausgeschlossen wurde – und warum:</w:t>
      </w:r>
    </w:p>
    <w:p>
      <w:pPr>
        <w:numPr>
          <w:ilvl w:val="0"/>
          <w:numId w:val="1355"/>
        </w:numPr>
        <w:pStyle w:val="Compact"/>
      </w:pPr>
      <w:r>
        <w:rPr>
          <w:bCs/>
          <w:b/>
        </w:rPr>
        <w:t xml:space="preserve">Acht Einträge des Sponsors „Hudson Biotech“</w:t>
      </w:r>
      <w:r>
        <w:t xml:space="preserve"> </w:t>
      </w:r>
      <w:r>
        <w:t xml:space="preserve">(je einer zu BPC-157, GHK-Cu, Melanotan II, MOTS-c, Retatrutid, TB-500, Tesamorelin und Tirzepatid). Ein Eintrag dieses Sponsors bezeichnet sich in seiner eigenen Beschreibung als fiktives Beispiel (siehe Kapitel BPC-157 und TB-500). Keiner dieser Einträge wird in diesem Buch als echte Studie gewertet.</w:t>
      </w:r>
    </w:p>
    <w:p>
      <w:pPr>
        <w:numPr>
          <w:ilvl w:val="0"/>
          <w:numId w:val="1355"/>
        </w:numPr>
        <w:pStyle w:val="Compact"/>
      </w:pPr>
      <w:r>
        <w:rPr>
          <w:bCs/>
          <w:b/>
        </w:rPr>
        <w:t xml:space="preserve">Alle 1.000 Treffer zum Suchbegriff „Gonadorelin“.</w:t>
      </w:r>
      <w:r>
        <w:t xml:space="preserve"> </w:t>
      </w:r>
      <w:r>
        <w:t xml:space="preserve">Sie betreffen ganz überwiegend synthetische Abwandlungen des Hormons GnRH (etwa Leuprorelin oder Triptorelin) in der Behandlung von Prostata- und Brustkrebs oder in der Kinderwunschmedizin – also andere Arzneimittel. Die wenigen Einträge zu natürlichem GnRH sind im Kapitel Gonadorelin besprochen; keiner davon ist eine laufende Phase-3-Studie.</w:t>
      </w:r>
    </w:p>
    <w:p>
      <w:pPr>
        <w:pStyle w:val="FirstParagraph"/>
      </w:pPr>
      <w:r>
        <w:rPr>
          <w:bCs/>
          <w:b/>
        </w:rPr>
        <w:t xml:space="preserve">Was nicht ausgeschlossen, aber geprüft wurde:</w:t>
      </w:r>
      <w:r>
        <w:t xml:space="preserve"> </w:t>
      </w:r>
      <w:r>
        <w:t xml:space="preserve">Bei Glutathion, Kollagen und Carnosin sind die Suchbegriffe so allgemein, dass viele Treffer den Stoff nur als Bestandteil einer Mischung, als Vergleich oder als Messgröße nennen. So erscheint unter Glutathion eine große Dengue-Studie, weil darin N-Acetylcystein – eine Vorstufe von Glutathion – geprüft wird</w:t>
      </w:r>
      <w:r>
        <w:rPr>
          <w:rStyle w:val="FootnoteReference"/>
        </w:rPr>
        <w:footnoteReference w:id="2825"/>
      </w:r>
      <w:r>
        <w:t xml:space="preserve">. Unter Larazotid tauchen zwei Studien zu einem ganz anderen Wirkstoff gegen die Fabry-Krankheit auf</w:t>
      </w:r>
      <w:r>
        <w:rPr>
          <w:rStyle w:val="FootnoteReference"/>
        </w:rPr>
        <w:footnoteReference w:id="2826"/>
      </w:r>
      <w:r>
        <w:t xml:space="preserve">. Diese Treffer sind in den Gesamtzahlen enthalten, in der Bewertung aber nicht als Peptid-Studien gezählt.</w:t>
      </w:r>
    </w:p>
    <w:p>
      <w:pPr>
        <w:pStyle w:val="BodyText"/>
      </w:pPr>
      <w:r>
        <w:rPr>
          <w:bCs/>
          <w:b/>
        </w:rPr>
        <w:t xml:space="preserve">Zwei Grenzen der Auswertung:</w:t>
      </w:r>
      <w:r>
        <w:t xml:space="preserve"> </w:t>
      </w:r>
      <w:r>
        <w:t xml:space="preserve">Erstens melden nicht alle Sponsoren den Abschluss ihrer Studie zeitnah; einige Einträge mit Enddatum 2025 stehen noch als „laufend“ im Register. Zweitens erfasst die Abfrage nur die 58 Wirkstoffe dieses Buches. Neue Moleküle ohne eigenes Kapitel erscheinen nur dann, wenn sie gegen einen dieser Wirkstoffe antreten. Deshalb wurde für die neuen Wirkprinzipien weiter unten gezielt nachgesucht.</w:t>
      </w:r>
    </w:p>
    <w:bookmarkEnd w:id="2827"/>
    <w:bookmarkStart w:id="2835" w:name="das-ergebnis-in-zahlen"/>
    <w:p>
      <w:pPr>
        <w:pStyle w:val="Heading3"/>
      </w:pPr>
      <w:r>
        <w:t xml:space="preserve">Das Ergebnis in Zahlen</w:t>
      </w:r>
    </w:p>
    <w:p>
      <w:pPr>
        <w:pStyle w:val="FirstParagraph"/>
      </w:pPr>
      <w:r>
        <w:t xml:space="preserve">Nach den Ausschlüssen blieben 730 laufende interventionelle Studien. Davon betreffen 568 – gut drei Viertel – Wirkstoffe der Gruppe A (Stoffwechsel und Gewicht).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laufende Studien insgesamt</w:t>
            </w:r>
          </w:p>
        </w:tc>
        <w:tc>
          <w:tcPr/>
          <w:p>
            <w:pPr>
              <w:pStyle w:val="Compact"/>
              <w:jc w:val="left"/>
            </w:pPr>
            <w:r>
              <w:t xml:space="preserve">davon Gruppe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ohne Phasenangabe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Summe</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Von den 157 laufenden Phase-3-Studien rekrutierten 68 noch, 54 waren aktiv ohne weitere Aufnahme, und 35 hatten noch nicht begonnen. Zählt man die kombinierten Phase-2/3-Studien hinzu, gibt es 176 späte Studien; 157 davon (142 in Phase 3, 15 in Phase 2/3) – fast neun von zehn – gehören zur Gruppe A.</w:t>
      </w:r>
    </w:p>
    <w:p>
      <w:pPr>
        <w:pStyle w:val="BodyText"/>
      </w:pPr>
      <w:r>
        <w:t xml:space="preserve">In der Gruppe A wird ungefähr jede dritte dieser späten Studien von Universitäten und Kliniken getragen, die übrigen von Unternehmen. Die geplanten Enddaten verteilen sich so: 21 Studien sollen 2026 enden, 49 im Jahr 2027, 41 im Jahr 2028 und 44 zwischen 2029 und 2033. Die eigentliche Welle neuer Ergebnisse steht also 2027 und 2028 bevor.</w:t>
      </w:r>
    </w:p>
    <w:p>
      <w:pPr>
        <w:pStyle w:val="BodyText"/>
      </w:pPr>
      <w:r>
        <w:rPr>
          <w:bCs/>
          <w:b/>
        </w:rPr>
        <w:t xml:space="preserve">Die Gruppen B bis F</w:t>
      </w:r>
      <w:r>
        <w:t xml:space="preserve"> </w:t>
      </w:r>
      <w:r>
        <w:t xml:space="preserve">sehen völlig anders aus. Nach Durchsicht der Einträge bleiben nur fünf laufende Phase-3-Studien, in denen ein Wirkstoff dieses Buches tatsächlich der Prüfstoff ist: Thymosin Alpha-1 nach Darmkrebsoperation</w:t>
      </w:r>
      <w:r>
        <w:rPr>
          <w:rStyle w:val="FootnoteReference"/>
        </w:rPr>
        <w:footnoteReference w:id="2828"/>
      </w:r>
      <w:r>
        <w:t xml:space="preserve">, Thymosin-Beta-4-Augentropfen bei neurotropher Keratopathie</w:t>
      </w:r>
      <w:r>
        <w:rPr>
          <w:rStyle w:val="FootnoteReference"/>
        </w:rPr>
        <w:footnoteReference w:id="2829"/>
      </w:r>
      <w:r>
        <w:t xml:space="preserve">, Elamipretid bei trockener Makuladegeneration</w:t>
      </w:r>
      <w:r>
        <w:rPr>
          <w:rStyle w:val="FootnoteReference"/>
        </w:rPr>
        <w:footnoteReference w:id="2830"/>
      </w:r>
      <w:r>
        <w:t xml:space="preserve">, Afamelanotid bei Vitiligo</w:t>
      </w:r>
      <w:r>
        <w:rPr>
          <w:rStyle w:val="FootnoteReference"/>
        </w:rPr>
        <w:footnoteReference w:id="2831"/>
      </w:r>
      <w:r>
        <w:t xml:space="preserve"> </w:t>
      </w:r>
      <w:r>
        <w:t xml:space="preserve">und Ibutamoren, das kein Peptid ist, bei Kindern mit Wachstumshormonmangel</w:t>
      </w:r>
      <w:r>
        <w:rPr>
          <w:rStyle w:val="FootnoteReference"/>
        </w:rPr>
        <w:footnoteReference w:id="2832"/>
      </w:r>
      <w:r>
        <w:t xml:space="preserve">. Dazu kommen einige kombinierte Phase-2/3-Studien, etwa zu Oxytocin-Nasenspray bei chronischen Schmerzen</w:t>
      </w:r>
      <w:r>
        <w:rPr>
          <w:rStyle w:val="FootnoteReference"/>
        </w:rPr>
        <w:footnoteReference w:id="2833"/>
      </w:r>
      <w:r>
        <w:t xml:space="preserve"> </w:t>
      </w:r>
      <w:r>
        <w:t xml:space="preserve">und zu Thymosin Alpha-1 bei wiederholtem Einnistungsversagen nach künstlicher Befruchtung</w:t>
      </w:r>
      <w:r>
        <w:rPr>
          <w:rStyle w:val="FootnoteReference"/>
        </w:rPr>
        <w:footnoteReference w:id="2834"/>
      </w:r>
      <w:r>
        <w:t xml:space="preserve">. Für die im Internet populärsten „Forschungspeptide“ – BPC-157, CJC-1295, Ipamorelin, Epitalon, Semax, Selank – läuft keine einzige Phase-3-Studie.</w:t>
      </w:r>
    </w:p>
    <w:bookmarkEnd w:id="2835"/>
    <w:bookmarkStart w:id="2836" w:name="X4f039dd40106d5f82d2949f8236be77f84ad24d"/>
    <w:p>
      <w:pPr>
        <w:pStyle w:val="Heading3"/>
      </w:pPr>
      <w:r>
        <w:t xml:space="preserve">Die wichtigsten laufenden Phase-3-Studien</w:t>
      </w:r>
    </w:p>
    <w:p>
      <w:pPr>
        <w:pStyle w:val="FirstParagraph"/>
      </w:pPr>
      <w:r>
        <w:t xml:space="preserve">Die folgenden Tabellen zeigen eine Auswahl nach Größe und Bedeutung. „Erwartetes Ende“ ist das im Register angegebene Studienende (Stand Oktober 2026); der Hauptendpunkt wird oft einige Monate früher ausgewertet, Veröffentlichungen folgen meist ein halbes bis ein Jahr später.</w:t>
      </w:r>
    </w:p>
    <w:p>
      <w:pPr>
        <w:pStyle w:val="BodyText"/>
      </w:pPr>
      <w:r>
        <w:rPr>
          <w:bCs/>
          <w:b/>
        </w:rPr>
        <w:t xml:space="preserve">Stoffwechsel und Gewicht (Gruppe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TRIUMPH-5, NCT06662383</w:t>
            </w:r>
          </w:p>
        </w:tc>
        <w:tc>
          <w:tcPr/>
          <w:p>
            <w:pPr>
              <w:pStyle w:val="Compact"/>
              <w:jc w:val="left"/>
            </w:pPr>
            <w:r>
              <w:t xml:space="preserve">Retatrutid vs. Tirzepatid</w:t>
            </w:r>
          </w:p>
        </w:tc>
        <w:tc>
          <w:tcPr/>
          <w:p>
            <w:pPr>
              <w:pStyle w:val="Compact"/>
              <w:jc w:val="left"/>
            </w:pPr>
            <w:r>
              <w:t xml:space="preserve">Gewichtsverlust, 800 Erwachsene</w:t>
            </w:r>
          </w:p>
        </w:tc>
        <w:tc>
          <w:tcPr/>
          <w:p>
            <w:pPr>
              <w:pStyle w:val="Compact"/>
              <w:jc w:val="left"/>
            </w:pPr>
            <w:r>
              <w:t xml:space="preserve">Dezember 2026</w:t>
            </w:r>
          </w:p>
        </w:tc>
      </w:tr>
      <w:tr>
        <w:tc>
          <w:tcPr/>
          <w:p>
            <w:pPr>
              <w:pStyle w:val="Compact"/>
              <w:jc w:val="left"/>
            </w:pPr>
            <w:r>
              <w:t xml:space="preserve">MARITIME-1, NCT06858839</w:t>
            </w:r>
          </w:p>
        </w:tc>
        <w:tc>
          <w:tcPr/>
          <w:p>
            <w:pPr>
              <w:pStyle w:val="Compact"/>
              <w:jc w:val="left"/>
            </w:pPr>
            <w:r>
              <w:t xml:space="preserve">Maridebart Cafraglutid</w:t>
            </w:r>
          </w:p>
        </w:tc>
        <w:tc>
          <w:tcPr/>
          <w:p>
            <w:pPr>
              <w:pStyle w:val="Compact"/>
              <w:jc w:val="left"/>
            </w:pPr>
            <w:r>
              <w:t xml:space="preserve">Gewichtsverlust ohne Diabetes, 3.853 Teilnehmende</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w:t>
            </w:r>
          </w:p>
        </w:tc>
        <w:tc>
          <w:tcPr/>
          <w:p>
            <w:pPr>
              <w:pStyle w:val="Compact"/>
              <w:jc w:val="left"/>
            </w:pPr>
            <w:r>
              <w:t xml:space="preserve">Herz-Kreislauf-Ereignisse und Tod, 15.374 Teilnehmende</w:t>
            </w:r>
          </w:p>
        </w:tc>
        <w:tc>
          <w:tcPr/>
          <w:p>
            <w:pPr>
              <w:pStyle w:val="Compact"/>
              <w:jc w:val="left"/>
            </w:pPr>
            <w:r>
              <w:t xml:space="preserve">Oktober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Herz-Kreislauf-Ereignisse, 7.101 Teilnehmende</w:t>
            </w:r>
          </w:p>
        </w:tc>
        <w:tc>
          <w:tcPr/>
          <w:p>
            <w:pPr>
              <w:pStyle w:val="Compact"/>
              <w:jc w:val="left"/>
            </w:pPr>
            <w:r>
              <w:t xml:space="preserve">Oktober 2027</w:t>
            </w:r>
          </w:p>
        </w:tc>
      </w:tr>
      <w:tr>
        <w:tc>
          <w:tcPr/>
          <w:p>
            <w:pPr>
              <w:pStyle w:val="Compact"/>
              <w:jc w:val="left"/>
            </w:pPr>
            <w:r>
              <w:t xml:space="preserve">NCT07564414</w:t>
            </w:r>
          </w:p>
        </w:tc>
        <w:tc>
          <w:tcPr/>
          <w:p>
            <w:pPr>
              <w:pStyle w:val="Compact"/>
              <w:jc w:val="left"/>
            </w:pPr>
            <w:r>
              <w:t xml:space="preserve">CagriSema (höhere Dosen) vs. Semaglutid</w:t>
            </w:r>
          </w:p>
        </w:tc>
        <w:tc>
          <w:tcPr/>
          <w:p>
            <w:pPr>
              <w:pStyle w:val="Compact"/>
              <w:jc w:val="left"/>
            </w:pPr>
            <w:r>
              <w:t xml:space="preserve">Gewichtsverlust, 2.500 Teilnehmende</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w:t>
            </w:r>
          </w:p>
        </w:tc>
        <w:tc>
          <w:tcPr/>
          <w:p>
            <w:pPr>
              <w:pStyle w:val="Compact"/>
              <w:jc w:val="left"/>
            </w:pPr>
            <w:r>
              <w:t xml:space="preserve">Gewichtserhalt nach Abnahme, 643 Teilnehmende</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w:t>
            </w:r>
          </w:p>
        </w:tc>
        <w:tc>
          <w:tcPr/>
          <w:p>
            <w:pPr>
              <w:pStyle w:val="Compact"/>
              <w:jc w:val="left"/>
            </w:pPr>
            <w:r>
              <w:t xml:space="preserve">Herz- und Nierenereignisse, 10.000 Teilnehmende</w:t>
            </w:r>
          </w:p>
        </w:tc>
        <w:tc>
          <w:tcPr/>
          <w:p>
            <w:pPr>
              <w:pStyle w:val="Compact"/>
              <w:jc w:val="left"/>
            </w:pPr>
            <w:r>
              <w:t xml:space="preserve">Februar 2029</w:t>
            </w:r>
          </w:p>
        </w:tc>
      </w:tr>
      <w:tr>
        <w:tc>
          <w:tcPr/>
          <w:p>
            <w:pPr>
              <w:pStyle w:val="Compact"/>
              <w:jc w:val="left"/>
            </w:pPr>
            <w:r>
              <w:t xml:space="preserve">ESSENCE, NCT04822181</w:t>
            </w:r>
          </w:p>
        </w:tc>
        <w:tc>
          <w:tcPr/>
          <w:p>
            <w:pPr>
              <w:pStyle w:val="Compact"/>
              <w:jc w:val="left"/>
            </w:pPr>
            <w:r>
              <w:t xml:space="preserve">Semaglutid</w:t>
            </w:r>
          </w:p>
        </w:tc>
        <w:tc>
          <w:tcPr/>
          <w:p>
            <w:pPr>
              <w:pStyle w:val="Compact"/>
              <w:jc w:val="left"/>
            </w:pPr>
            <w:r>
              <w:t xml:space="preserve">Fettleber (MASH), 1.205 Teilnehmende</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w:t>
            </w:r>
          </w:p>
        </w:tc>
        <w:tc>
          <w:tcPr/>
          <w:p>
            <w:pPr>
              <w:pStyle w:val="Compact"/>
              <w:jc w:val="left"/>
            </w:pPr>
            <w:r>
              <w:t xml:space="preserve">Leberkomplikationen bei Zirrhose, 1.590 Teilnehmende</w:t>
            </w:r>
          </w:p>
        </w:tc>
        <w:tc>
          <w:tcPr/>
          <w:p>
            <w:pPr>
              <w:pStyle w:val="Compact"/>
              <w:jc w:val="left"/>
            </w:pPr>
            <w:r>
              <w:t xml:space="preserve">Juni 2029</w:t>
            </w:r>
          </w:p>
        </w:tc>
      </w:tr>
      <w:tr>
        <w:tc>
          <w:tcPr/>
          <w:p>
            <w:pPr>
              <w:pStyle w:val="Compact"/>
              <w:jc w:val="left"/>
            </w:pPr>
            <w:r>
              <w:t xml:space="preserve">AMAZE 1, NCT07339423</w:t>
            </w:r>
          </w:p>
        </w:tc>
        <w:tc>
          <w:tcPr/>
          <w:p>
            <w:pPr>
              <w:pStyle w:val="Compact"/>
              <w:jc w:val="left"/>
            </w:pPr>
            <w:r>
              <w:t xml:space="preserve">Amycretin (Zenagamtid)</w:t>
            </w:r>
          </w:p>
        </w:tc>
        <w:tc>
          <w:tcPr/>
          <w:p>
            <w:pPr>
              <w:pStyle w:val="Compact"/>
              <w:jc w:val="left"/>
            </w:pPr>
            <w:r>
              <w:t xml:space="preserve">Gewichtsverlust, 1.150 Teilnehmende</w:t>
            </w:r>
          </w:p>
        </w:tc>
        <w:tc>
          <w:tcPr/>
          <w:p>
            <w:pPr>
              <w:pStyle w:val="Compact"/>
              <w:jc w:val="left"/>
            </w:pPr>
            <w:r>
              <w:t xml:space="preserve">August 2029</w:t>
            </w:r>
          </w:p>
        </w:tc>
      </w:tr>
      <w:tr>
        <w:tc>
          <w:tcPr/>
          <w:p>
            <w:pPr>
              <w:pStyle w:val="Compact"/>
              <w:jc w:val="left"/>
            </w:pPr>
            <w:r>
              <w:t xml:space="preserve">MARITIME-CV, NCT07037433</w:t>
            </w:r>
          </w:p>
        </w:tc>
        <w:tc>
          <w:tcPr/>
          <w:p>
            <w:pPr>
              <w:pStyle w:val="Compact"/>
              <w:jc w:val="left"/>
            </w:pPr>
            <w:r>
              <w:t xml:space="preserve">Maridebart Cafraglutid</w:t>
            </w:r>
          </w:p>
        </w:tc>
        <w:tc>
          <w:tcPr/>
          <w:p>
            <w:pPr>
              <w:pStyle w:val="Compact"/>
              <w:jc w:val="left"/>
            </w:pPr>
            <w:r>
              <w:t xml:space="preserve">Herz-Kreislauf-Ereignisse, 12.800 Teilnehmende</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w:t>
            </w:r>
          </w:p>
        </w:tc>
        <w:tc>
          <w:tcPr/>
          <w:p>
            <w:pPr>
              <w:pStyle w:val="Compact"/>
              <w:jc w:val="left"/>
            </w:pPr>
            <w:r>
              <w:t xml:space="preserve">Herzschwäche mit Adipositas, 5.056 Teilnehmende</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 (Zenagamtid)</w:t>
            </w:r>
          </w:p>
        </w:tc>
        <w:tc>
          <w:tcPr/>
          <w:p>
            <w:pPr>
              <w:pStyle w:val="Compact"/>
              <w:jc w:val="left"/>
            </w:pPr>
            <w:r>
              <w:t xml:space="preserve">Herz-Kreislauf-Ereignisse, 8.500 geplant</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(kein Peptid)</w:t>
            </w:r>
          </w:p>
        </w:tc>
        <w:tc>
          <w:tcPr/>
          <w:p>
            <w:pPr>
              <w:pStyle w:val="Compact"/>
              <w:jc w:val="left"/>
            </w:pPr>
            <w:r>
              <w:t xml:space="preserve">Herz-Kreislauf-Ereignisse, 7.140 Teilnehmende</w:t>
            </w:r>
          </w:p>
        </w:tc>
        <w:tc>
          <w:tcPr/>
          <w:p>
            <w:pPr>
              <w:pStyle w:val="Compact"/>
              <w:jc w:val="left"/>
            </w:pPr>
            <w:r>
              <w:t xml:space="preserve">August 2031</w:t>
            </w:r>
          </w:p>
        </w:tc>
      </w:tr>
      <w:tr>
        <w:tc>
          <w:tcPr/>
          <w:p>
            <w:pPr>
              <w:pStyle w:val="Compact"/>
              <w:jc w:val="left"/>
            </w:pPr>
            <w:r>
              <w:t xml:space="preserve">LIVERAGE, NCT06632444</w:t>
            </w:r>
          </w:p>
        </w:tc>
        <w:tc>
          <w:tcPr/>
          <w:p>
            <w:pPr>
              <w:pStyle w:val="Compact"/>
              <w:jc w:val="left"/>
            </w:pPr>
            <w:r>
              <w:t xml:space="preserve">Survodutid</w:t>
            </w:r>
          </w:p>
        </w:tc>
        <w:tc>
          <w:tcPr/>
          <w:p>
            <w:pPr>
              <w:pStyle w:val="Compact"/>
              <w:jc w:val="left"/>
            </w:pPr>
            <w:r>
              <w:t xml:space="preserve">MASH mit Fibrose, 1.800 Teilnehmende</w:t>
            </w:r>
          </w:p>
        </w:tc>
        <w:tc>
          <w:tcPr/>
          <w:p>
            <w:pPr>
              <w:pStyle w:val="Compact"/>
              <w:jc w:val="left"/>
            </w:pPr>
            <w:r>
              <w:t xml:space="preserve">Dezember 2031</w:t>
            </w:r>
          </w:p>
        </w:tc>
      </w:tr>
      <w:tr>
        <w:tc>
          <w:tcPr/>
          <w:p>
            <w:pPr>
              <w:pStyle w:val="Compact"/>
              <w:jc w:val="left"/>
            </w:pPr>
            <w:r>
              <w:t xml:space="preserve">SYNERGY-Outcomes, NCT07165028</w:t>
            </w:r>
          </w:p>
        </w:tc>
        <w:tc>
          <w:tcPr/>
          <w:p>
            <w:pPr>
              <w:pStyle w:val="Compact"/>
              <w:jc w:val="left"/>
            </w:pPr>
            <w:r>
              <w:t xml:space="preserve">Tirzepatid und Retatrutid</w:t>
            </w:r>
          </w:p>
        </w:tc>
        <w:tc>
          <w:tcPr/>
          <w:p>
            <w:pPr>
              <w:pStyle w:val="Compact"/>
              <w:jc w:val="left"/>
            </w:pPr>
            <w:r>
              <w:t xml:space="preserve">schwere Leberereignisse, 4.500 Teilnehmende</w:t>
            </w:r>
          </w:p>
        </w:tc>
        <w:tc>
          <w:tcPr/>
          <w:p>
            <w:pPr>
              <w:pStyle w:val="Compact"/>
              <w:jc w:val="left"/>
            </w:pPr>
            <w:r>
              <w:t xml:space="preserve">August 2032</w:t>
            </w:r>
          </w:p>
        </w:tc>
      </w:tr>
    </w:tbl>
    <w:p>
      <w:pPr>
        <w:pStyle w:val="BodyText"/>
      </w:pPr>
      <w:r>
        <w:rPr>
          <w:bCs/>
          <w:b/>
        </w:rPr>
        <w:t xml:space="preserve">Andere Gruppen: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SEER-2, NCT05555589</w:t>
            </w:r>
          </w:p>
        </w:tc>
        <w:tc>
          <w:tcPr/>
          <w:p>
            <w:pPr>
              <w:pStyle w:val="Compact"/>
              <w:jc w:val="left"/>
            </w:pPr>
            <w:r>
              <w:t xml:space="preserve">Thymosin Beta-4 (Augentropfen)</w:t>
            </w:r>
          </w:p>
        </w:tc>
        <w:tc>
          <w:tcPr/>
          <w:p>
            <w:pPr>
              <w:pStyle w:val="Compact"/>
              <w:jc w:val="left"/>
            </w:pPr>
            <w:r>
              <w:t xml:space="preserve">Heilung der Hornhaut, 70 Teilnehmende</w:t>
            </w:r>
          </w:p>
        </w:tc>
        <w:tc>
          <w:tcPr/>
          <w:p>
            <w:pPr>
              <w:pStyle w:val="Compact"/>
              <w:jc w:val="left"/>
            </w:pPr>
            <w:r>
              <w:t xml:space="preserve">Mai 2026 (Ergebnis ausstehend)</w:t>
            </w:r>
          </w:p>
        </w:tc>
      </w:tr>
      <w:tr>
        <w:tc>
          <w:tcPr/>
          <w:p>
            <w:pPr>
              <w:pStyle w:val="Compact"/>
              <w:jc w:val="left"/>
            </w:pPr>
            <w:r>
              <w:t xml:space="preserve">NCT06109649</w:t>
            </w:r>
          </w:p>
        </w:tc>
        <w:tc>
          <w:tcPr/>
          <w:p>
            <w:pPr>
              <w:pStyle w:val="Compact"/>
              <w:jc w:val="left"/>
            </w:pPr>
            <w:r>
              <w:t xml:space="preserve">Afamelanotid</w:t>
            </w:r>
          </w:p>
        </w:tc>
        <w:tc>
          <w:tcPr/>
          <w:p>
            <w:pPr>
              <w:pStyle w:val="Compact"/>
              <w:jc w:val="left"/>
            </w:pPr>
            <w:r>
              <w:t xml:space="preserve">Vitiligo mit Lichttherapie, 200 Teilnehmende</w:t>
            </w:r>
          </w:p>
        </w:tc>
        <w:tc>
          <w:tcPr/>
          <w:p>
            <w:pPr>
              <w:pStyle w:val="Compact"/>
              <w:jc w:val="left"/>
            </w:pPr>
            <w:r>
              <w:t xml:space="preserve">Juni 2026 (Ergebnis ausstehend)</w:t>
            </w:r>
          </w:p>
        </w:tc>
      </w:tr>
      <w:tr>
        <w:tc>
          <w:tcPr/>
          <w:p>
            <w:pPr>
              <w:pStyle w:val="Compact"/>
              <w:jc w:val="left"/>
            </w:pPr>
            <w:r>
              <w:t xml:space="preserve">NCT05086614</w:t>
            </w:r>
          </w:p>
        </w:tc>
        <w:tc>
          <w:tcPr/>
          <w:p>
            <w:pPr>
              <w:pStyle w:val="Compact"/>
              <w:jc w:val="left"/>
            </w:pPr>
            <w:r>
              <w:t xml:space="preserve">Thymosin Alpha-1</w:t>
            </w:r>
          </w:p>
        </w:tc>
        <w:tc>
          <w:tcPr/>
          <w:p>
            <w:pPr>
              <w:pStyle w:val="Compact"/>
              <w:jc w:val="left"/>
            </w:pPr>
            <w:r>
              <w:t xml:space="preserve">krankheitsfreies Überleben nach Darmkrebs, 2.500 Teilnehmende</w:t>
            </w:r>
          </w:p>
        </w:tc>
        <w:tc>
          <w:tcPr/>
          <w:p>
            <w:pPr>
              <w:pStyle w:val="Compact"/>
              <w:jc w:val="left"/>
            </w:pPr>
            <w:r>
              <w:t xml:space="preserve">März 2027</w:t>
            </w:r>
          </w:p>
        </w:tc>
      </w:tr>
      <w:tr>
        <w:tc>
          <w:tcPr/>
          <w:p>
            <w:pPr>
              <w:pStyle w:val="Compact"/>
              <w:jc w:val="left"/>
            </w:pPr>
            <w:r>
              <w:t xml:space="preserve">ReNEW, NCT06373731</w:t>
            </w:r>
          </w:p>
        </w:tc>
        <w:tc>
          <w:tcPr/>
          <w:p>
            <w:pPr>
              <w:pStyle w:val="Compact"/>
              <w:jc w:val="left"/>
            </w:pPr>
            <w:r>
              <w:t xml:space="preserve">Elamipretid (SS-31)</w:t>
            </w:r>
          </w:p>
        </w:tc>
        <w:tc>
          <w:tcPr/>
          <w:p>
            <w:pPr>
              <w:pStyle w:val="Compact"/>
              <w:jc w:val="left"/>
            </w:pPr>
            <w:r>
              <w:t xml:space="preserve">trockene Makuladegeneration, 313 Teilnehmende</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kein Peptid)</w:t>
            </w:r>
          </w:p>
        </w:tc>
        <w:tc>
          <w:tcPr/>
          <w:p>
            <w:pPr>
              <w:pStyle w:val="Compact"/>
              <w:jc w:val="left"/>
            </w:pPr>
            <w:r>
              <w:t xml:space="preserve">Wachstum bei Kindern mit Hormonmangel, 150 Teilnehmende</w:t>
            </w:r>
          </w:p>
        </w:tc>
        <w:tc>
          <w:tcPr/>
          <w:p>
            <w:pPr>
              <w:pStyle w:val="Compact"/>
              <w:jc w:val="left"/>
            </w:pPr>
            <w:r>
              <w:t xml:space="preserve">Januar 2028</w:t>
            </w:r>
          </w:p>
        </w:tc>
      </w:tr>
    </w:tbl>
    <w:p>
      <w:pPr>
        <w:pStyle w:val="BodyText"/>
      </w:pPr>
      <w:r>
        <w:t xml:space="preserve">Einzelheiten zu jeder Studie stehen im Abschnitt „Laufende Studien und Ausblick“ des jeweiligen Kapitels.</w:t>
      </w:r>
    </w:p>
    <w:bookmarkEnd w:id="2836"/>
    <w:bookmarkStart w:id="2846" w:name="X064868db1e20e177713d1840b8178cd9be924de"/>
    <w:p>
      <w:pPr>
        <w:pStyle w:val="Heading3"/>
      </w:pPr>
      <w:r>
        <w:t xml:space="preserve">Was das Register über die Richtung verrät</w:t>
      </w:r>
    </w:p>
    <w:p>
      <w:pPr>
        <w:pStyle w:val="FirstParagraph"/>
      </w:pPr>
      <w:r>
        <w:rPr>
          <w:bCs/>
          <w:b/>
        </w:rPr>
        <w:t xml:space="preserve">Von der Waage zu harten Endpunkten.</w:t>
      </w:r>
      <w:r>
        <w:t xml:space="preserve"> </w:t>
      </w:r>
      <w:r>
        <w:t xml:space="preserve">Die erste Generation der Abnehmstudien maß vor allem Kilogramm. Die großen Studien der nächsten Jahre fragen, ob Herzinfarkte, Schlaganfälle, Herzschwäche, Nierenversagen oder Leberzirrhose seltener werden. Alle sechs laufenden Phase-3-Studien der Gruppe A mit jeweils mehr als 5.000 Teilnehmenden sind solche Endpunktstudien. Für Krankenkassen, die über die Erstattung entscheiden, sind diese Ergebnisse wichtiger als jeder Rekord beim Gewichtsverlust.</w:t>
      </w:r>
    </w:p>
    <w:p>
      <w:pPr>
        <w:pStyle w:val="BodyText"/>
      </w:pPr>
      <w:r>
        <w:rPr>
          <w:bCs/>
          <w:b/>
        </w:rPr>
        <w:t xml:space="preserve">Direkte Vergleiche.</w:t>
      </w:r>
      <w:r>
        <w:t xml:space="preserve"> </w:t>
      </w:r>
      <w:r>
        <w:t xml:space="preserve">Neue Wirkstoffe müssen sich zunehmend gegen die etablierten messen lassen, nicht nur gegen Placebo: Retatrutid gegen Tirzepatid</w:t>
      </w:r>
      <w:r>
        <w:rPr>
          <w:rStyle w:val="FootnoteReference"/>
        </w:rPr>
        <w:footnoteReference w:id="2837"/>
      </w:r>
      <w:r>
        <w:t xml:space="preserve">, Zenagamtid gegen Semaglutid (AMAZE 7, NCT07668414), Maridebart Cafraglutid gegen Semaglutid bei Typ-2-Diabetes (MARITIME-T2D-3, NCT07866066). Auch neue Anbieter treten direkt an: Roche prüft den GLP-1/GIP-Doppelagonisten Enicepatide gegen Tirzepatid</w:t>
      </w:r>
      <w:r>
        <w:rPr>
          <w:rStyle w:val="FootnoteReference"/>
        </w:rPr>
        <w:footnoteReference w:id="2838"/>
      </w:r>
      <w:r>
        <w:t xml:space="preserve">, das Unternehmen Kailera den Wirkstoff Ribupatide gegen Semaglutid (KaiNETIC-3, NCT07284979), AstraZeneca den täglich einzunehmenden Wirkstoff Elecoglipron gegen die Semaglutid-Tablette (Eluminate-2, NCT07662213).</w:t>
      </w:r>
    </w:p>
    <w:p>
      <w:pPr>
        <w:pStyle w:val="BodyText"/>
      </w:pPr>
      <w:r>
        <w:rPr>
          <w:bCs/>
          <w:b/>
        </w:rPr>
        <w:t xml:space="preserve">Gewicht halten statt nur verlieren.</w:t>
      </w:r>
      <w:r>
        <w:t xml:space="preserve"> </w:t>
      </w:r>
      <w:r>
        <w:t xml:space="preserve">Mehrere Studien prüfen ausdrücklich die Zeit nach der Abnahme: Retatrutid zum Gewichtserhalt (TRIUMPH-6, NCT06859268), eine CagriSema-Langzeitstudie über zwei Jahre plus Verlängerung</w:t>
      </w:r>
      <w:r>
        <w:rPr>
          <w:rStyle w:val="FootnoteReference"/>
        </w:rPr>
        <w:footnoteReference w:id="2839"/>
      </w:r>
      <w:r>
        <w:t xml:space="preserve">, der Umstieg von anderen GLP-1-Medikamenten auf das monatlich gegebene Maridebart Cafraglutid</w:t>
      </w:r>
      <w:r>
        <w:rPr>
          <w:rStyle w:val="FootnoteReference"/>
        </w:rPr>
        <w:footnoteReference w:id="2840"/>
      </w:r>
      <w:r>
        <w:t xml:space="preserve"> </w:t>
      </w:r>
      <w:r>
        <w:t xml:space="preserve">oder auf Berobenatide, einen monatlich zu spritzenden Prüfwirkstoff von Pfizer</w:t>
      </w:r>
      <w:r>
        <w:rPr>
          <w:rStyle w:val="FootnoteReference"/>
        </w:rPr>
        <w:footnoteReference w:id="2841"/>
      </w:r>
      <w:r>
        <w:t xml:space="preserve">. Hintergrund sind Studien wie SURMOUNT-4: Wer Tirzepatid nach 36 Wochen absetzte, nahm im folgenden Jahr im Mittel wieder 14,0 % zu, während das Gewicht unter fortgesetzter Behandlung um weitere 5,5 % sank</w:t>
      </w:r>
      <w:r>
        <w:rPr>
          <w:rStyle w:val="FootnoteReference"/>
        </w:rPr>
        <w:footnoteReference w:id="2842"/>
      </w:r>
      <w:r>
        <w:t xml:space="preserve">.</w:t>
      </w:r>
    </w:p>
    <w:p>
      <w:pPr>
        <w:pStyle w:val="BodyText"/>
      </w:pPr>
      <w:r>
        <w:rPr>
          <w:bCs/>
          <w:b/>
        </w:rPr>
        <w:t xml:space="preserve">Neue Länder, neue Moleküle.</w:t>
      </w:r>
      <w:r>
        <w:t xml:space="preserve"> </w:t>
      </w:r>
      <w:r>
        <w:t xml:space="preserve">Ein großer Teil der neuen Phase-3-Studien stammt von chinesischen Unternehmen, die eigene GLP-1-basierte Wirkstoffe gegen Semaglutid oder Dulaglutid prüfen – etwa das alle zwei Wochen gespritzte Bofanglutide (BALANCE-OBS, NCT07622810) oder das Exendin-4-Fusionsprotein JY09</w:t>
      </w:r>
      <w:r>
        <w:rPr>
          <w:rStyle w:val="FootnoteReference"/>
        </w:rPr>
        <w:footnoteReference w:id="2843"/>
      </w:r>
      <w:r>
        <w:t xml:space="preserve">. Der Markt wird also breiter, nicht nur stärker.</w:t>
      </w:r>
    </w:p>
    <w:p>
      <w:pPr>
        <w:pStyle w:val="BodyText"/>
      </w:pPr>
      <w:r>
        <w:rPr>
          <w:bCs/>
          <w:b/>
        </w:rPr>
        <w:t xml:space="preserve">Kinder und Jugendliche.</w:t>
      </w:r>
      <w:r>
        <w:t xml:space="preserve"> </w:t>
      </w:r>
      <w:r>
        <w:t xml:space="preserve">Für fast alle großen Wirkstoffe laufen Studien bei Jugendlichen, teils auch bei Kindern, etwa für Tirzepatid</w:t>
      </w:r>
      <w:r>
        <w:rPr>
          <w:rStyle w:val="FootnoteReference"/>
        </w:rPr>
        <w:footnoteReference w:id="2844"/>
      </w:r>
      <w:r>
        <w:t xml:space="preserve">, Orforglipron</w:t>
      </w:r>
      <w:r>
        <w:rPr>
          <w:rStyle w:val="FootnoteReference"/>
        </w:rPr>
        <w:footnoteReference w:id="2845"/>
      </w:r>
      <w:r>
        <w:t xml:space="preserve"> </w:t>
      </w:r>
      <w:r>
        <w:t xml:space="preserve">und CagriSema (NCT07253285, geplantes Ende 2033).</w:t>
      </w:r>
    </w:p>
    <w:p>
      <w:pPr>
        <w:pStyle w:val="BodyText"/>
      </w:pPr>
      <w:r>
        <w:rPr>
          <w:bCs/>
          <w:b/>
        </w:rPr>
        <w:t xml:space="preserve">Und außerhalb des Stoffwechsels?</w:t>
      </w:r>
      <w:r>
        <w:t xml:space="preserve"> </w:t>
      </w:r>
      <w:r>
        <w:t xml:space="preserve">Hier ist die Pipeline dünn. Wo ein Peptid nicht patentierbar ist, schon als Nahrungsergänzung verkauft wird oder nur im Graumarkt existiert, finanziert kaum jemand teure Zulassungsstudien. Das erklärt, warum ausgerechnet die im Internet meistdiskutierten Peptide in den Registern praktisch fehlen.</w:t>
      </w:r>
    </w:p>
    <w:bookmarkEnd w:id="2846"/>
    <w:bookmarkStart w:id="2864" w:name="neue-wirkprinzipien"/>
    <w:p>
      <w:pPr>
        <w:pStyle w:val="Heading3"/>
      </w:pPr>
      <w:r>
        <w:t xml:space="preserve">Neue Wirkprinzipien</w:t>
      </w:r>
    </w:p>
    <w:bookmarkStart w:id="2850" w:name="dreifach-agonisten"/>
    <w:p>
      <w:pPr>
        <w:pStyle w:val="Heading4"/>
      </w:pPr>
      <w:r>
        <w:t xml:space="preserve">Dreifach-Agonisten</w:t>
      </w:r>
    </w:p>
    <w:p>
      <w:pPr>
        <w:pStyle w:val="FirstParagraph"/>
      </w:pPr>
      <w:r>
        <w:t xml:space="preserve">Retatrutid aktiviert drei Rezeptoren zugleich: GLP-1, GIP und Glukagon. Der Glukagon-Anteil soll den Energieverbrauch und den Fettabbau in der Leber steigern. In der Phase-2-Studie mit 338 Erwachsenen sank das Gewicht nach 48 Wochen in der höchsten untersuchten Dosis um 24,2 %, unter Placebo um 2,1 %</w:t>
      </w:r>
      <w:r>
        <w:rPr>
          <w:rStyle w:val="FootnoteReference"/>
        </w:rPr>
        <w:footnoteReference w:id="2847"/>
      </w:r>
      <w:r>
        <w:t xml:space="preserve">. Die erste Phase-3-Studie TRIUMPH-1 mit 2.339 Erwachsenen bestätigte das: Nach 80 Wochen betrug der Gewichtsverlust je nach Dosis 17,6 bis 25,0 %, unter Placebo 3,9 %. Bei Teilnehmenden mit Kniearthrose verringerten sich die Schmerzen, bei Schlafapnoe die Zahl der Atemaussetzer</w:t>
      </w:r>
      <w:r>
        <w:rPr>
          <w:rStyle w:val="FootnoteReference"/>
        </w:rPr>
        <w:footnoteReference w:id="2848"/>
      </w:r>
      <w:r>
        <w:t xml:space="preserve">. Ob dieser zusätzliche Gewichtsverlust auch zu weniger Herz- und Nierenereignissen führt, soll TRIUMPH-Outcomes bis 2029 zeigen</w:t>
      </w:r>
      <w:r>
        <w:rPr>
          <w:rStyle w:val="FootnoteReference"/>
        </w:rPr>
        <w:footnoteReference w:id="2849"/>
      </w:r>
      <w:r>
        <w:t xml:space="preserve">. Einzelheiten und Nebenwirkungen beschreibt das Kapitel Retatrutid.</w:t>
      </w:r>
    </w:p>
    <w:bookmarkEnd w:id="2850"/>
    <w:bookmarkStart w:id="2855" w:name="amylin-der-vierte-hormonweg"/>
    <w:p>
      <w:pPr>
        <w:pStyle w:val="Heading4"/>
      </w:pPr>
      <w:r>
        <w:t xml:space="preserve">Amylin: der vierte Hormonweg</w:t>
      </w:r>
    </w:p>
    <w:p>
      <w:pPr>
        <w:pStyle w:val="FirstParagraph"/>
      </w:pPr>
      <w:r>
        <w:t xml:space="preserve">Amylin wird zusammen mit Insulin ausgeschüttet und wirkt im Hirnstamm sättigend. Drei Entwicklungslinien sind zu unterscheiden:</w:t>
      </w:r>
    </w:p>
    <w:p>
      <w:pPr>
        <w:numPr>
          <w:ilvl w:val="0"/>
          <w:numId w:val="1356"/>
        </w:numPr>
        <w:pStyle w:val="Compact"/>
      </w:pPr>
      <w:r>
        <w:rPr>
          <w:bCs/>
          <w:b/>
        </w:rPr>
        <w:t xml:space="preserve">Kombination in einer Spritze:</w:t>
      </w:r>
      <w:r>
        <w:t xml:space="preserve"> </w:t>
      </w:r>
      <w:r>
        <w:t xml:space="preserve">CagriSema verbindet das Amylin-Analogon Cagrilintid mit Semaglutid. In REDEFINE 1 mit 3.417 Erwachsenen sank das Gewicht nach 68 Wochen um 20,4 %, unter Placebo um 3,0 %; Magen-Darm-Beschwerden traten bei 79,6 % gegenüber 39,9 % auf</w:t>
      </w:r>
      <w:r>
        <w:rPr>
          <w:rStyle w:val="FootnoteReference"/>
        </w:rPr>
        <w:footnoteReference w:id="2851"/>
      </w:r>
      <w:r>
        <w:t xml:space="preserve">.</w:t>
      </w:r>
    </w:p>
    <w:p>
      <w:pPr>
        <w:numPr>
          <w:ilvl w:val="0"/>
          <w:numId w:val="1356"/>
        </w:numPr>
        <w:pStyle w:val="Compact"/>
      </w:pPr>
      <w:r>
        <w:rPr>
          <w:bCs/>
          <w:b/>
        </w:rPr>
        <w:t xml:space="preserve">Ein Molekül für zwei Rezeptoren:</w:t>
      </w:r>
      <w:r>
        <w:t xml:space="preserve"> </w:t>
      </w:r>
      <w:r>
        <w:t xml:space="preserve">Amycretin, seit 2026 Zenagamtid, aktiviert GLP-1- und Amylin-Rezeptoren gleichzeitig. In einer kleinen Phase-1b/2a-Studie mit 125 Teilnehmenden sank das Gewicht in der höchsten Dosisstufe nach 36 Wochen um 24,3 %</w:t>
      </w:r>
      <w:r>
        <w:rPr>
          <w:rStyle w:val="FootnoteReference"/>
        </w:rPr>
        <w:footnoteReference w:id="2852"/>
      </w:r>
      <w:r>
        <w:t xml:space="preserve">. Das Phase-3-Programm AMAZE läuft seit 2026.</w:t>
      </w:r>
    </w:p>
    <w:p>
      <w:pPr>
        <w:numPr>
          <w:ilvl w:val="0"/>
          <w:numId w:val="1356"/>
        </w:numPr>
        <w:pStyle w:val="Compact"/>
      </w:pPr>
      <w:r>
        <w:rPr>
          <w:bCs/>
          <w:b/>
        </w:rPr>
        <w:t xml:space="preserve">Amylin allein:</w:t>
      </w:r>
      <w:r>
        <w:t xml:space="preserve"> </w:t>
      </w:r>
      <w:r>
        <w:t xml:space="preserve">Hier ist die Hoffnung eine bessere Verträglichkeit. Eloralintide, ein selektiver Amylin-Rezeptor-Agonist von Lilly, führte in einer Phase-2-Studie mit 263 Erwachsenen nach 48 Wochen zu 9 bis 20 % Gewichtsverlust gegenüber 0,4 % unter Placebo; Übelkeit und Müdigkeit waren je nach Dosis deutlich häufiger als unter Placebo</w:t>
      </w:r>
      <w:r>
        <w:rPr>
          <w:rStyle w:val="FootnoteReference"/>
        </w:rPr>
        <w:footnoteReference w:id="2853"/>
      </w:r>
      <w:r>
        <w:t xml:space="preserve">. Petrelintide von Zealand Pharma senkte das Gewicht in der Phase-2-Studie ZUPREME 1 mit 493 Teilnehmenden nach 28 Wochen um 7,9 bis 9,8 % (Placebo 1,7 %). Übelkeit trat bei 20 % gegenüber 6 % auf, Erbrechen aber nicht häufiger als unter Placebo</w:t>
      </w:r>
      <w:r>
        <w:rPr>
          <w:rStyle w:val="FootnoteReference"/>
        </w:rPr>
        <w:footnoteReference w:id="2854"/>
      </w:r>
      <w:r>
        <w:t xml:space="preserve">.</w:t>
      </w:r>
    </w:p>
    <w:p>
      <w:pPr>
        <w:pStyle w:val="FirstParagraph"/>
      </w:pPr>
      <w:r>
        <w:t xml:space="preserve">Beide reinen Amylin-Wirkstoffe sind inzwischen in Phase 3: Eloralintide in ENLIGHTEN-1 mit 1.980 geplanten Teilnehmenden (NCT07321886, Ende Juli 2030), Petrelintide in ZUPREME-3 mit 3.900 geplanten Teilnehmenden unter der Leitung von Roche (NCT07843498, Ende März 2029). Lilly prüft außerdem eine Kombination aus Eloralintide und Tirzepatid (AMPLIFY-1, NCT07881432, 2.115 geplante Teilnehmende).</w:t>
      </w:r>
    </w:p>
    <w:bookmarkEnd w:id="2855"/>
    <w:bookmarkStart w:id="2858" w:name="antikörper-peptid-konjugate"/>
    <w:p>
      <w:pPr>
        <w:pStyle w:val="Heading4"/>
      </w:pPr>
      <w:r>
        <w:t xml:space="preserve">Antikörper-Peptid-Konjugate</w:t>
      </w:r>
    </w:p>
    <w:p>
      <w:pPr>
        <w:pStyle w:val="FirstParagraph"/>
      </w:pPr>
      <w:r>
        <w:t xml:space="preserve">Peptide werden im Körper schnell abgebaut und über die Nieren ausgeschieden. Eine Lösung ist, sie an einen Antikörper zu koppeln, der wochenlang im Blut bleibt. Eine Übersichtsarbeit beschreibt solche Antikörper-Peptid-Konjugate als eigene, neue Wirkstoffklasse: Anders als bei Fusionsproteinen wird das Peptid chemisch hergestellt und erst danach an den Antikörper gebunden, sodass es auch ungewöhnliche Bausteine enthalten kann</w:t>
      </w:r>
      <w:r>
        <w:rPr>
          <w:rStyle w:val="FootnoteReference"/>
        </w:rPr>
        <w:footnoteReference w:id="2856"/>
      </w:r>
      <w:r>
        <w:t xml:space="preserve">.</w:t>
      </w:r>
    </w:p>
    <w:p>
      <w:pPr>
        <w:pStyle w:val="BodyText"/>
      </w:pPr>
      <w:r>
        <w:t xml:space="preserve">Das bekannteste Beispiel ist Maridebart Cafraglutid (MariTide). Es verbindet einen Antikörper, der den GIP-Rezeptor blockiert, mit GLP-1-artigen Peptiden, die den GLP-1-Rezeptor aktivieren. In der Phase-2-Studie mit 592 Teilnehmenden wurde es alle vier oder acht Wochen gespritzt. Nach 52 Wochen betrug der Gewichtsverlust ohne Diabetes 12,3 bis 16,2 % (Placebo 2,5 %), mit Typ-2-Diabetes 8,4 bis 12,3 % (Placebo 1,7 %). Magen-Darm-Beschwerden waren häufig, aber seltener, wenn die Dosis langsam gesteigert wurde</w:t>
      </w:r>
      <w:r>
        <w:rPr>
          <w:rStyle w:val="FootnoteReference"/>
        </w:rPr>
        <w:footnoteReference w:id="2857"/>
      </w:r>
      <w:r>
        <w:t xml:space="preserve">. Das Konzept heißt: weniger Spritzen statt maximaler Wirkung.</w:t>
      </w:r>
    </w:p>
    <w:bookmarkEnd w:id="2858"/>
    <w:bookmarkStart w:id="2862" w:name="muskeln-schonen-beim-abnehmen"/>
    <w:p>
      <w:pPr>
        <w:pStyle w:val="Heading4"/>
      </w:pPr>
      <w:r>
        <w:t xml:space="preserve">Muskeln schonen beim Abnehmen</w:t>
      </w:r>
    </w:p>
    <w:p>
      <w:pPr>
        <w:pStyle w:val="FirstParagraph"/>
      </w:pPr>
      <w:r>
        <w:t xml:space="preserve">Bei jeder starken Gewichtsabnahme geht auch Muskel- und Knochenmasse verloren. Ein Ansatz ist der Antikörper</w:t>
      </w:r>
      <w:r>
        <w:t xml:space="preserve"> </w:t>
      </w:r>
      <w:r>
        <w:rPr>
          <w:bCs/>
          <w:b/>
        </w:rPr>
        <w:t xml:space="preserve">Bimagrumab</w:t>
      </w:r>
      <w:r>
        <w:t xml:space="preserve">, der Aktivin-Typ-II-Rezeptoren blockiert – Schalter, die das Muskelwachstum bremsen. Bimagrumab ist kein Peptid, wird aber gezielt mit Peptid-Medikamenten kombiniert.</w:t>
      </w:r>
    </w:p>
    <w:p>
      <w:pPr>
        <w:numPr>
          <w:ilvl w:val="0"/>
          <w:numId w:val="1357"/>
        </w:numPr>
        <w:pStyle w:val="Compact"/>
      </w:pPr>
      <w:r>
        <w:t xml:space="preserve">In einer Phase-2-Studie mit 75 Erwachsenen mit Typ-2-Diabetes und Übergewicht sank unter Bimagrumab allein nach 48 Wochen die Fettmasse um 20,5 %, während die fettfreie Masse um 3,6 % zunahm (Placebo −0,5 % und −0,8 %)</w:t>
      </w:r>
      <w:r>
        <w:rPr>
          <w:rStyle w:val="FootnoteReference"/>
        </w:rPr>
        <w:footnoteReference w:id="2859"/>
      </w:r>
      <w:r>
        <w:t xml:space="preserve">.</w:t>
      </w:r>
    </w:p>
    <w:p>
      <w:pPr>
        <w:numPr>
          <w:ilvl w:val="0"/>
          <w:numId w:val="1357"/>
        </w:numPr>
        <w:pStyle w:val="Compact"/>
      </w:pPr>
      <w:r>
        <w:t xml:space="preserve">In einer Phase-2-Studie mit 507 Erwachsenen mit Adipositas betrug der Gewichtsverlust nach 48 Wochen unter Bimagrumab allein 9,3 kg, unter Semaglutid allein 14,2 kg und unter der Kombination 17,8 kg (Placebo 3,3 kg). Häufige Nebenwirkungen von Bimagrumab waren Muskelkrämpfe, Durchfall und Akne</w:t>
      </w:r>
      <w:r>
        <w:rPr>
          <w:rStyle w:val="FootnoteReference"/>
        </w:rPr>
        <w:footnoteReference w:id="2860"/>
      </w:r>
      <w:r>
        <w:t xml:space="preserve">.</w:t>
      </w:r>
    </w:p>
    <w:p>
      <w:pPr>
        <w:pStyle w:val="FirstParagraph"/>
      </w:pPr>
      <w:r>
        <w:t xml:space="preserve">Lilly prüft Bimagrumab nun mit Tirzepatid (NCT06643728, 252 Teilnehmende, Ende Januar 2027). Eine kleinere Studie am Massachusetts General Hospital untersucht dieselbe Kombination mit Blick auf Körperzusammensetzung und Knochen</w:t>
      </w:r>
      <w:r>
        <w:rPr>
          <w:rStyle w:val="FootnoteReference"/>
        </w:rPr>
        <w:footnoteReference w:id="2861"/>
      </w:r>
      <w:r>
        <w:t xml:space="preserve">. Ob mehr Muskelmasse im Scan auch mehr Kraft, weniger Stürze oder weniger Knochenbrüche bedeutet, ist bisher nicht belegt. Phase-3-Studien sind im Register nicht verzeichnet.</w:t>
      </w:r>
    </w:p>
    <w:bookmarkEnd w:id="2862"/>
    <w:bookmarkStart w:id="2863" w:name="tabletten"/>
    <w:p>
      <w:pPr>
        <w:pStyle w:val="Heading4"/>
      </w:pPr>
      <w:r>
        <w:t xml:space="preserve">Tabletten</w:t>
      </w:r>
    </w:p>
    <w:p>
      <w:pPr>
        <w:pStyle w:val="FirstParagraph"/>
      </w:pPr>
      <w:r>
        <w:t xml:space="preserve">Der vielleicht folgenreichste Wandel betrifft nicht den Rezeptor, sondern den Weg in den Körper: Tabletten mit Peptiden und kleine Moleküle, die wie Peptide wirken. Diesem Thema ist das nächste Kapitel gewidmet.</w:t>
      </w:r>
    </w:p>
    <w:bookmarkEnd w:id="2863"/>
    <w:bookmarkEnd w:id="2864"/>
    <w:bookmarkStart w:id="2865" w:name="das-wichtigste-in-kürze-8"/>
    <w:p>
      <w:pPr>
        <w:pStyle w:val="Heading3"/>
      </w:pPr>
      <w:r>
        <w:t xml:space="preserve">Das Wichtigste in Kürze</w:t>
      </w:r>
    </w:p>
    <w:p>
      <w:pPr>
        <w:numPr>
          <w:ilvl w:val="0"/>
          <w:numId w:val="1358"/>
        </w:numPr>
        <w:pStyle w:val="Compact"/>
      </w:pPr>
      <w:r>
        <w:t xml:space="preserve">Nach Ausschluss fiktiver und fachfremder Einträge laufen 730 interventionelle Studien zu den Wirkstoffen dieses Buches, darunter 157 in Phase 3.</w:t>
      </w:r>
    </w:p>
    <w:p>
      <w:pPr>
        <w:numPr>
          <w:ilvl w:val="0"/>
          <w:numId w:val="1358"/>
        </w:numPr>
        <w:pStyle w:val="Compact"/>
      </w:pPr>
      <w:r>
        <w:t xml:space="preserve">Fast neun von zehn späten Studien betreffen Stoffwechsel und Gewicht. Für die populären Graumarkt-Peptide läuft keine einzige Phase-3-Studie.</w:t>
      </w:r>
    </w:p>
    <w:p>
      <w:pPr>
        <w:numPr>
          <w:ilvl w:val="0"/>
          <w:numId w:val="1358"/>
        </w:numPr>
        <w:pStyle w:val="Compact"/>
      </w:pPr>
      <w:r>
        <w:t xml:space="preserve">Die großen Herz-Kreislauf-, Nieren- und Leberstudien enden zwischen 2027 und 2032. Erst sie werden zeigen, ob die neuen Wirkstoffe mehr leisten als Gewicht zu senken.</w:t>
      </w:r>
    </w:p>
    <w:p>
      <w:pPr>
        <w:numPr>
          <w:ilvl w:val="0"/>
          <w:numId w:val="1358"/>
        </w:numPr>
        <w:pStyle w:val="Compact"/>
      </w:pPr>
      <w:r>
        <w:t xml:space="preserve">Neue Wirkprinzipien – Dreifach-Agonisten, Amylin, Antikörper-Peptid-Konjugate, Muskelschutz – sind in Phase-2-Studien belegt, die meisten befinden sich in Phase 3. Eine Zulassung ist für keinen dieser neuen Wirkstoffe gesichert.</w:t>
      </w:r>
    </w:p>
    <w:bookmarkEnd w:id="2865"/>
    <w:bookmarkEnd w:id="2866"/>
    <w:bookmarkStart w:id="2902" w:name="tabletten-statt-spritzen"/>
    <w:p>
      <w:pPr>
        <w:pStyle w:val="Heading2"/>
      </w:pPr>
      <w:r>
        <w:t xml:space="preserve">Tabletten statt Spritzen</w:t>
      </w:r>
    </w:p>
    <w:p>
      <w:pPr>
        <w:pStyle w:val="FirstParagraph"/>
      </w:pPr>
      <w:r>
        <w:t xml:space="preserve">Fast alle Peptid-Medikamente dieses Buches werden gespritzt. Das hat einen einfachen Grund: Der Magen-Darm-Trakt ist darauf ausgelegt, Eiweiße und Peptide in ihre Bausteine zu zerlegen. Was als Nahrung sinnvoll ist, macht ein Peptid als Arzneimittel unbrauchbar, bevor es das Blut erreicht. Teil I hat diese Hindernisse ausführlich beschrieben (Kapitel „Wie Peptide in den Körper kommen“).</w:t>
      </w:r>
    </w:p>
    <w:p>
      <w:pPr>
        <w:pStyle w:val="BodyText"/>
      </w:pPr>
      <w:r>
        <w:t xml:space="preserve">Dass trotzdem intensiv an Tabletten geforscht wird, hat mehrere Gründe. Viele Menschen spritzen sich ungern etwas. Spritzen müssen meist gekühlt werden, Pens sind aufwendig herzustellen. Und weil Medikamente gegen Adipositas nach heutigem Wissen dauerhaft genommen werden müssen, um zu wirken, zählt jede Erleichterung für die Langzeitbehandlung. Eine Übersichtsarbeit beschreibt, dass in klinischen Studien schon orale Formen von Insulin, Calcitonin, Parathormon und Vasopressin erprobt wurden und erst Semaglutid den Durchbruch für einen breit eingesetzten Wirkstoff brachte</w:t>
      </w:r>
      <w:r>
        <w:rPr>
          <w:rStyle w:val="FootnoteReference"/>
        </w:rPr>
        <w:footnoteReference w:id="2867"/>
      </w:r>
      <w:r>
        <w:t xml:space="preserve">.</w:t>
      </w:r>
    </w:p>
    <w:p>
      <w:pPr>
        <w:pStyle w:val="BodyText"/>
      </w:pPr>
      <w:r>
        <w:t xml:space="preserve">Heute gibt es zwei grundsätzlich verschiedene Wege zur Tablette: Man schützt ein</w:t>
      </w:r>
      <w:r>
        <w:t xml:space="preserve"> </w:t>
      </w:r>
      <w:r>
        <w:rPr>
          <w:bCs/>
          <w:b/>
        </w:rPr>
        <w:t xml:space="preserve">Peptid</w:t>
      </w:r>
      <w:r>
        <w:t xml:space="preserve"> </w:t>
      </w:r>
      <w:r>
        <w:t xml:space="preserve">so, dass zumindest ein kleiner Teil aufgenommen wird – oder man ersetzt das Peptid durch ein</w:t>
      </w:r>
      <w:r>
        <w:t xml:space="preserve"> </w:t>
      </w:r>
      <w:r>
        <w:rPr>
          <w:bCs/>
          <w:b/>
        </w:rPr>
        <w:t xml:space="preserve">kleines Molekül</w:t>
      </w:r>
      <w:r>
        <w:t xml:space="preserve">, das wie ein gewöhnliches Medikament aus dem Darm ins Blut gelangt und trotzdem am selben Rezeptor wirkt.</w:t>
      </w:r>
    </w:p>
    <w:bookmarkStart w:id="2882" w:name="weg-1-peptid-plus-absorptionsverstärker"/>
    <w:p>
      <w:pPr>
        <w:pStyle w:val="Heading3"/>
      </w:pPr>
      <w:r>
        <w:t xml:space="preserve">Weg 1: Peptid plus Absorptionsverstärker</w:t>
      </w:r>
    </w:p>
    <w:bookmarkStart w:id="2869" w:name="das-prinzip"/>
    <w:p>
      <w:pPr>
        <w:pStyle w:val="Heading4"/>
      </w:pPr>
      <w:r>
        <w:t xml:space="preserve">Das Prinzip</w:t>
      </w:r>
    </w:p>
    <w:p>
      <w:pPr>
        <w:pStyle w:val="FirstParagraph"/>
      </w:pPr>
      <w:r>
        <w:t xml:space="preserve">Ein</w:t>
      </w:r>
      <w:r>
        <w:t xml:space="preserve"> </w:t>
      </w:r>
      <w:r>
        <w:rPr>
          <w:bCs/>
          <w:b/>
        </w:rPr>
        <w:t xml:space="preserve">Absorptionsverstärker</w:t>
      </w:r>
      <w:r>
        <w:t xml:space="preserve"> </w:t>
      </w:r>
      <w:r>
        <w:t xml:space="preserve">(Fachbegriff: Permeationsverstärker) ist ein Hilfsstoff, der die Schleimhaut kurzzeitig durchlässiger macht oder das Peptid vor dem Abbau schützt. Bei der Semaglutid-Tablette ist das der Hilfsstoff</w:t>
      </w:r>
      <w:r>
        <w:t xml:space="preserve"> </w:t>
      </w:r>
      <w:r>
        <w:rPr>
          <w:bCs/>
          <w:b/>
        </w:rPr>
        <w:t xml:space="preserve">SNAC</w:t>
      </w:r>
      <w:r>
        <w:t xml:space="preserve">. Er hebt in der unmittelbaren Umgebung der Tablette den pH-Wert an, dämpft die Aktivierung des Verdauungsenzyms Pepsin und sorgt dafür, dass Semaglutid als Einzelmolekül vorliegt, das leichter aufgenommen wird. Trotzdem gelangen nach einer Übersichtsarbeit nur etwa 0,4 bis 1 % des Wirkstoffs ins Blut – und das nur nüchtern und mit wenig Wasser. Nach einer Mahlzeit ist praktisch kein Semaglutid im Blut nachweisbar</w:t>
      </w:r>
      <w:r>
        <w:rPr>
          <w:rStyle w:val="FootnoteReference"/>
        </w:rPr>
        <w:footnoteReference w:id="2868"/>
      </w:r>
      <w:r>
        <w:t xml:space="preserve">. Daraus ergeben sich die strengen Einnahmeregeln, die in der Fachinformation stehen.</w:t>
      </w:r>
    </w:p>
    <w:bookmarkEnd w:id="2869"/>
    <w:bookmarkStart w:id="2871" w:name="die-semaglutid-tablette-bei-adipositas"/>
    <w:p>
      <w:pPr>
        <w:pStyle w:val="Heading4"/>
      </w:pPr>
      <w:r>
        <w:t xml:space="preserve">Die Semaglutid-Tablette bei Adipositas</w:t>
      </w:r>
    </w:p>
    <w:p>
      <w:pPr>
        <w:pStyle w:val="FirstParagraph"/>
      </w:pPr>
      <w:r>
        <w:t xml:space="preserve">Für Typ-2-Diabetes ist die Semaglutid-Tablette (Rybelsus) in der EU seit 2020 zugelassen. Für Adipositas wurden höhere Dosen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Erwachsene ohne Diabetes, Tablette gegen Placebo</w:t>
            </w:r>
          </w:p>
        </w:tc>
        <w:tc>
          <w:tcPr/>
          <w:p>
            <w:pPr>
              <w:pStyle w:val="Compact"/>
              <w:jc w:val="left"/>
            </w:pPr>
            <w:r>
              <w:t xml:space="preserve">68 Wochen</w:t>
            </w:r>
          </w:p>
        </w:tc>
        <w:tc>
          <w:tcPr/>
          <w:p>
            <w:pPr>
              <w:pStyle w:val="Compact"/>
              <w:jc w:val="left"/>
            </w:pPr>
            <w:r>
              <w:t xml:space="preserve">−15,1 % Gewicht vs. −2,4 %</w:t>
            </w:r>
          </w:p>
        </w:tc>
      </w:tr>
      <w:tr>
        <w:tc>
          <w:tcPr/>
          <w:p>
            <w:pPr>
              <w:pStyle w:val="Compact"/>
              <w:jc w:val="left"/>
            </w:pPr>
            <w:r>
              <w:t xml:space="preserve">OASIS 4 (Wharton 2025), PMID 40934115</w:t>
            </w:r>
          </w:p>
        </w:tc>
        <w:tc>
          <w:tcPr/>
          <w:p>
            <w:pPr>
              <w:pStyle w:val="Compact"/>
              <w:jc w:val="left"/>
            </w:pPr>
            <w:r>
              <w:t xml:space="preserve">307 Erwachsene ohne Diabetes, niedrigere Tablettendosis gegen Placebo</w:t>
            </w:r>
          </w:p>
        </w:tc>
        <w:tc>
          <w:tcPr/>
          <w:p>
            <w:pPr>
              <w:pStyle w:val="Compact"/>
              <w:jc w:val="left"/>
            </w:pPr>
            <w:r>
              <w:t xml:space="preserve">64 Wochen</w:t>
            </w:r>
          </w:p>
        </w:tc>
        <w:tc>
          <w:tcPr/>
          <w:p>
            <w:pPr>
              <w:pStyle w:val="Compact"/>
              <w:jc w:val="left"/>
            </w:pPr>
            <w:r>
              <w:t xml:space="preserve">−13,6 % vs. −2,2 %</w:t>
            </w:r>
          </w:p>
        </w:tc>
      </w:tr>
      <w:tr>
        <w:tc>
          <w:tcPr/>
          <w:p>
            <w:pPr>
              <w:pStyle w:val="Compact"/>
              <w:jc w:val="left"/>
            </w:pPr>
            <w:r>
              <w:t xml:space="preserve">Zum Vergleich: STEP 1 (Wilding 2021), PMID 33567185</w:t>
            </w:r>
          </w:p>
        </w:tc>
        <w:tc>
          <w:tcPr/>
          <w:p>
            <w:pPr>
              <w:pStyle w:val="Compact"/>
              <w:jc w:val="left"/>
            </w:pPr>
            <w:r>
              <w:t xml:space="preserve">1.961 Erwachsene ohne Diabetes, wöchentliche Spritze gegen Placebo</w:t>
            </w:r>
          </w:p>
        </w:tc>
        <w:tc>
          <w:tcPr/>
          <w:p>
            <w:pPr>
              <w:pStyle w:val="Compact"/>
              <w:jc w:val="left"/>
            </w:pPr>
            <w:r>
              <w:t xml:space="preserve">68 Wochen</w:t>
            </w:r>
          </w:p>
        </w:tc>
        <w:tc>
          <w:tcPr/>
          <w:p>
            <w:pPr>
              <w:pStyle w:val="Compact"/>
              <w:jc w:val="left"/>
            </w:pPr>
            <w:r>
              <w:t xml:space="preserve">−14,9 % vs. −2,4 %</w:t>
            </w:r>
          </w:p>
        </w:tc>
      </w:tr>
    </w:tbl>
    <w:p>
      <w:pPr>
        <w:pStyle w:val="BodyText"/>
      </w:pPr>
      <w:r>
        <w:t xml:space="preserve">In beiden Tablettenstudien waren Magen-Darm-Beschwerden häufig: 80 % gegenüber 46 % unter Placebo in OASIS 1, 74,0 % gegenüber 42,2 % in OASIS 4. Die Studie OASIS 4 bildet nach dem Kapitel Semaglutid die Grundlage der in den USA zugelassenen Wegovy-Tablette (bitte aktuellen Zulassungsstand prüfen). Eine weitere Phase-3-Studie zur Tablette läuft (OASIS 5, NCT07770841, Ende April 2028).</w:t>
      </w:r>
    </w:p>
    <w:p>
      <w:pPr>
        <w:pStyle w:val="BodyText"/>
      </w:pPr>
      <w:r>
        <w:t xml:space="preserve">Die Zahlen liegen nahe an denen der Spritze. Ein großer direkter Vergleich zwischen Tablette und Spritze bei Adipositas fehlt allerdings, und Quervergleiche zwischen Studien sind nur eine grobe Orientierung.</w:t>
      </w:r>
    </w:p>
    <w:p>
      <w:pPr>
        <w:pStyle w:val="BodyText"/>
      </w:pPr>
      <w:r>
        <w:rPr>
          <w:bCs/>
          <w:b/>
        </w:rPr>
        <w:t xml:space="preserve">Ein Nachteil, der selten erwähnt wird:</w:t>
      </w:r>
      <w:r>
        <w:t xml:space="preserve"> </w:t>
      </w:r>
      <w:r>
        <w:t xml:space="preserve">Weil nur ein Bruchteil aufgenommen wird, braucht die Tablette ein Vielfaches an Wirkstoff. Eine Kostenschätzung für Nachahmerpräparate nach Patentablauf kam für gespritztes Semaglutid auf 28 bis 140 US-Dollar pro Person und Jahr, für die Tablette auf 186 bis 380 US-Dollar</w:t>
      </w:r>
      <w:r>
        <w:rPr>
          <w:rStyle w:val="FootnoteReference"/>
        </w:rPr>
        <w:footnoteReference w:id="2870"/>
      </w:r>
      <w:r>
        <w:t xml:space="preserve">. Die Tablette ist also nicht automatisch die günstigere Lösung (mehr dazu im Kapitel „Patente, Generika und Preise“).</w:t>
      </w:r>
    </w:p>
    <w:bookmarkEnd w:id="2871"/>
    <w:bookmarkStart w:id="2873" w:name="harte-endpunkte-soul"/>
    <w:p>
      <w:pPr>
        <w:pStyle w:val="Heading4"/>
      </w:pPr>
      <w:r>
        <w:t xml:space="preserve">Harte Endpunkte: SOUL</w:t>
      </w:r>
    </w:p>
    <w:p>
      <w:pPr>
        <w:pStyle w:val="FirstParagraph"/>
      </w:pPr>
      <w:r>
        <w:t xml:space="preserve">Für Typ-2-Diabetes ist der Nutzen der Semaglutid-Tablette über den Blutzucker hinaus belegt. In SOUL mit 9.650 Menschen mit Typ-2-Diabetes und Gefäß- oder Nierenerkrankung traten schwere Herz-Kreislauf-Ereignisse über eine mittlere Beobachtungszeit von etwa vier Jahren bei 12,0 % unter der Tablette und bei 13,8 % unter Placebo auf (Hazard Ratio 0,86). Die bestätigenden Nierenendpunkte unterschieden sich nicht signifikant</w:t>
      </w:r>
      <w:r>
        <w:rPr>
          <w:rStyle w:val="FootnoteReference"/>
        </w:rPr>
        <w:footnoteReference w:id="2872"/>
      </w:r>
      <w:r>
        <w:t xml:space="preserve">. Für Menschen mit Adipositas ohne Diabetes gibt es eine solche Studie mit der Tablette bisher nicht.</w:t>
      </w:r>
    </w:p>
    <w:bookmarkEnd w:id="2873"/>
    <w:bookmarkStart w:id="2876" w:name="amylin-und-glp-1-als-tablette"/>
    <w:p>
      <w:pPr>
        <w:pStyle w:val="Heading4"/>
      </w:pPr>
      <w:r>
        <w:t xml:space="preserve">Amylin und GLP-1 als Tablette</w:t>
      </w:r>
    </w:p>
    <w:p>
      <w:pPr>
        <w:pStyle w:val="FirstParagraph"/>
      </w:pPr>
      <w:r>
        <w:t xml:space="preserve">Novo Nordisk entwickelt auch Amycretin (seit 2026 Zenagamtid) als Tablette. Das Peptid wirkt laut der Studienveröffentlichung an GLP-1-, Amylin- und Calcitonin-Rezeptoren. In einer Phase-2-Studie mit 186 Erwachsenen mit Typ-2-Diabetes sank der HbA1c-Wert nach 36 Wochen in den drei Dosisgruppen um 0,5 bis 1,1 Prozentpunkte stärker als unter Placebo. Magen-Darm-Beschwerden traten je nach Dosis bei 26 bis 47 % auf (Placebo 23 %); schwere unerwünschte Ereignisse betrafen 4 % unter Zenagamtid und niemanden unter Placebo</w:t>
      </w:r>
      <w:r>
        <w:rPr>
          <w:rStyle w:val="FootnoteReference"/>
        </w:rPr>
        <w:footnoteReference w:id="2874"/>
      </w:r>
      <w:r>
        <w:t xml:space="preserve">. Die Phase-3-Studie AMAZE 9 prüft die Tablette bei Übergewicht mit 950 Teilnehmenden (NCT07720271, Ende August 2028). Eine Phase-1-Studie untersucht ausdrücklich, wie Wassermenge und Zeitpunkt der Mahlzeit die Aufnahme beeinflussen</w:t>
      </w:r>
      <w:r>
        <w:rPr>
          <w:rStyle w:val="FootnoteReference"/>
        </w:rPr>
        <w:footnoteReference w:id="2875"/>
      </w:r>
      <w:r>
        <w:t xml:space="preserve"> </w:t>
      </w:r>
      <w:r>
        <w:t xml:space="preserve">– ein Hinweis darauf, dass auch diese Tablette an Einnahmeregeln gebunden sein dürfte.</w:t>
      </w:r>
    </w:p>
    <w:bookmarkEnd w:id="2876"/>
    <w:bookmarkStart w:id="2881" w:name="X459f4598c9f516f227a9c51f1924753652a6a3d"/>
    <w:p>
      <w:pPr>
        <w:pStyle w:val="Heading4"/>
      </w:pPr>
      <w:r>
        <w:t xml:space="preserve">Orale Peptide außerhalb des Stoffwechsels</w:t>
      </w:r>
    </w:p>
    <w:p>
      <w:pPr>
        <w:pStyle w:val="FirstParagraph"/>
      </w:pPr>
      <w:r>
        <w:t xml:space="preserve">Der Durchbruch beschränkt sich nicht auf Abnehmmittel. Zwei Beispiele zeigen, dass orale Peptide zu einer eigenen Arzneimittelklasse werden:</w:t>
      </w:r>
    </w:p>
    <w:p>
      <w:pPr>
        <w:numPr>
          <w:ilvl w:val="0"/>
          <w:numId w:val="1359"/>
        </w:numPr>
        <w:pStyle w:val="Compact"/>
      </w:pPr>
      <w:r>
        <w:rPr>
          <w:bCs/>
          <w:b/>
        </w:rPr>
        <w:t xml:space="preserve">Enlicitide</w:t>
      </w:r>
      <w:r>
        <w:t xml:space="preserve"> </w:t>
      </w:r>
      <w:r>
        <w:t xml:space="preserve">ist ein ringförmiges (makrozyklisches) Peptid, das das Eiweiß PCSK9 hemmt und so das LDL-Cholesterin senkt. Bisher gab es solche Hemmstoffe nur als Spritze (Antikörper). Gefunden wurde der Wirkstoff mit einem Verfahren, das sehr große Peptid-Bibliotheken nach passenden Bindungspartnern durchsucht, und anschließend gezielt chemisch optimiert</w:t>
      </w:r>
      <w:r>
        <w:rPr>
          <w:rStyle w:val="FootnoteReference"/>
        </w:rPr>
        <w:footnoteReference w:id="2877"/>
      </w:r>
      <w:r>
        <w:t xml:space="preserve">. In der Phase-3-Studie CORALreef Lipids mit 2.909 Teilnehmenden sank das LDL-Cholesterin nach 24 Wochen um 57,1 %, unter Placebo stieg es um 3,0 %. Unerwünschte Ereignisse traten in beiden Gruppen ähnlich häufig auf</w:t>
      </w:r>
      <w:r>
        <w:rPr>
          <w:rStyle w:val="FootnoteReference"/>
        </w:rPr>
        <w:footnoteReference w:id="2878"/>
      </w:r>
      <w:r>
        <w:t xml:space="preserve">. Ob das auch Herzinfarkte und Schlaganfälle verhindert, soll CORALreef Outcomes mit 14.550 Teilnehmenden zeigen (NCT06008756, Ende November 2031).</w:t>
      </w:r>
    </w:p>
    <w:p>
      <w:pPr>
        <w:numPr>
          <w:ilvl w:val="0"/>
          <w:numId w:val="1359"/>
        </w:numPr>
        <w:pStyle w:val="Compact"/>
      </w:pPr>
      <w:r>
        <w:rPr>
          <w:bCs/>
          <w:b/>
        </w:rPr>
        <w:t xml:space="preserve">Icotrokinra</w:t>
      </w:r>
      <w:r>
        <w:t xml:space="preserve"> </w:t>
      </w:r>
      <w:r>
        <w:t xml:space="preserve">ist ein orales Peptid, das den Rezeptor für den Entzündungsbotenstoff Interleukin-23 blockiert. In der Phase-3-Studie ICONIC-LEAD mit 684 Erwachsenen und Jugendlichen mit mittelschwerer bis schwerer Schuppenflechte erreichten nach 16 Wochen 65 % eine (fast) erscheinungsfreie Haut gegenüber 8 % unter Placebo; unerwünschte Ereignisse waren in beiden Gruppen gleich häufig (49 %)</w:t>
      </w:r>
      <w:r>
        <w:rPr>
          <w:rStyle w:val="FootnoteReference"/>
        </w:rPr>
        <w:footnoteReference w:id="2879"/>
      </w:r>
      <w:r>
        <w:t xml:space="preserve">. Im März 2026 wurde Icotrokinra in den USA zugelassen, in der EU lief die Prüfung (Keam 2026, PMID 42243571; bitte aktuellen Stand prüfen). Bemerkenswert ist der Weg dorthin: Laut einer pharmakologischen Untersuchung kommt Icotrokinra</w:t>
      </w:r>
      <w:r>
        <w:t xml:space="preserve"> </w:t>
      </w:r>
      <w:r>
        <w:rPr>
          <w:bCs/>
          <w:b/>
        </w:rPr>
        <w:t xml:space="preserve">ohne</w:t>
      </w:r>
      <w:r>
        <w:t xml:space="preserve"> </w:t>
      </w:r>
      <w:r>
        <w:t xml:space="preserve">Absorptionsverstärker aus. Im Tierversuch gelangten nur 0,1 bis 0,3 % ins Blut, und doch war eine Wirkung im ganzen Körper messbar, weil das Peptid sehr stabil und sehr wirksam ist</w:t>
      </w:r>
      <w:r>
        <w:rPr>
          <w:rStyle w:val="FootnoteReference"/>
        </w:rPr>
        <w:footnoteReference w:id="2880"/>
      </w:r>
      <w:r>
        <w:t xml:space="preserve">. Studien bei Colitis ulcerosa laufen (ICONIC-UC, NCT07196748).</w:t>
      </w:r>
    </w:p>
    <w:p>
      <w:pPr>
        <w:pStyle w:val="FirstParagraph"/>
      </w:pPr>
      <w:r>
        <w:t xml:space="preserve">Beide Wirkstoffe sind keine Peptide aus dem Graumarkt, sondern gezielt am Reißbrett entworfene Moleküle, die über Jahre in großen Studien geprüft wurden. Mit den „oralen“ Peptiden, die im Internet angeboten werden, haben sie nichts gemeinsam.</w:t>
      </w:r>
    </w:p>
    <w:bookmarkEnd w:id="2881"/>
    <w:bookmarkEnd w:id="2882"/>
    <w:bookmarkStart w:id="2891" w:name="weg-2-kleine-moleküle-statt-peptide"/>
    <w:p>
      <w:pPr>
        <w:pStyle w:val="Heading3"/>
      </w:pPr>
      <w:r>
        <w:t xml:space="preserve">Weg 2: Kleine Moleküle statt Peptide</w:t>
      </w:r>
    </w:p>
    <w:bookmarkStart w:id="2888" w:name="orforglipron"/>
    <w:p>
      <w:pPr>
        <w:pStyle w:val="Heading4"/>
      </w:pPr>
      <w:r>
        <w:t xml:space="preserve">Orforglipron</w:t>
      </w:r>
    </w:p>
    <w:p>
      <w:pPr>
        <w:pStyle w:val="FirstParagraph"/>
      </w:pPr>
      <w:r>
        <w:t xml:space="preserve">Orforglipron ist kein Peptid, sondern ein kleines, chemisch hergestelltes Molekül, das den GLP-1-Rezeptor aktiviert (ausführlich im Kapitel Orforglipron in Teil II · A). Es wird wie eine gewöhnliche Tablette einmal täglich eingenommen, laut den Studien ohne Rücksicht auf Mahlzeiten oder Wassermenge</w:t>
      </w:r>
      <w:r>
        <w:rPr>
          <w:rStyle w:val="FootnoteReference"/>
        </w:rPr>
        <w:footnoteReference w:id="2883"/>
      </w:r>
      <w:r>
        <w:t xml:space="preserve">.</w:t>
      </w:r>
    </w:p>
    <w:p>
      <w:pPr>
        <w:numPr>
          <w:ilvl w:val="0"/>
          <w:numId w:val="1360"/>
        </w:numPr>
        <w:pStyle w:val="Compact"/>
      </w:pPr>
      <w:r>
        <w:rPr>
          <w:bCs/>
          <w:b/>
        </w:rPr>
        <w:t xml:space="preserve">Gewicht:</w:t>
      </w:r>
      <w:r>
        <w:t xml:space="preserve"> </w:t>
      </w:r>
      <w:r>
        <w:t xml:space="preserve">In ATTAIN-1 mit 3.127 Erwachsenen mit Adipositas sank das Gewicht nach 72 Wochen in der höchsten Dosis um 11,2 %, unter Placebo um 2,1 %. Wegen Nebenwirkungen brachen 5,3 bis 10,3 % ab (Placebo 2,7 %)</w:t>
      </w:r>
      <w:r>
        <w:rPr>
          <w:rStyle w:val="FootnoteReference"/>
        </w:rPr>
        <w:footnoteReference w:id="2884"/>
      </w:r>
      <w:r>
        <w:t xml:space="preserve">.</w:t>
      </w:r>
    </w:p>
    <w:p>
      <w:pPr>
        <w:numPr>
          <w:ilvl w:val="0"/>
          <w:numId w:val="1360"/>
        </w:numPr>
        <w:pStyle w:val="Compact"/>
      </w:pPr>
      <w:r>
        <w:rPr>
          <w:bCs/>
          <w:b/>
        </w:rPr>
        <w:t xml:space="preserve">Blutzucker:</w:t>
      </w:r>
      <w:r>
        <w:t xml:space="preserve"> </w:t>
      </w:r>
      <w:r>
        <w:t xml:space="preserve">Im offenen Vergleich mit der Semaglutid-Tablette (ACHIEVE-3, 1.698 Teilnehmende) senkte Orforglipron den HbA1c-Wert nach 52 Wochen stärker, in den jeweils höheren Dosen um 1,91 gegenüber 1,47 Prozentpunkten</w:t>
      </w:r>
      <w:r>
        <w:rPr>
          <w:rStyle w:val="FootnoteReference"/>
        </w:rPr>
        <w:footnoteReference w:id="2885"/>
      </w:r>
      <w:r>
        <w:t xml:space="preserve">.</w:t>
      </w:r>
    </w:p>
    <w:p>
      <w:pPr>
        <w:numPr>
          <w:ilvl w:val="0"/>
          <w:numId w:val="1360"/>
        </w:numPr>
        <w:pStyle w:val="Compact"/>
      </w:pPr>
      <w:r>
        <w:rPr>
          <w:bCs/>
          <w:b/>
        </w:rPr>
        <w:t xml:space="preserve">Gewicht halten:</w:t>
      </w:r>
      <w:r>
        <w:t xml:space="preserve"> </w:t>
      </w:r>
      <w:r>
        <w:t xml:space="preserve">In ATTAIN-MAINTAIN wechselten Teilnehmende nach einer Abnahme mit gespritztem Tirzepatid oder Semaglutid auf Orforglipron oder Placebo. Nach 52 Wochen hielten sie mit Orforglipron 74,7 % bzw. 79,3 % ihres Gewichtsverlusts, mit Placebo 49,2 % bzw. 37,6 %. Eine Gruppe, die die Spritze einfach weiter erhielt, gab es nicht; die Autorinnen und Autoren nennen das selbst als Einschränkung</w:t>
      </w:r>
      <w:r>
        <w:rPr>
          <w:rStyle w:val="FootnoteReference"/>
        </w:rPr>
        <w:footnoteReference w:id="2886"/>
      </w:r>
      <w:r>
        <w:t xml:space="preserve">.</w:t>
      </w:r>
    </w:p>
    <w:p>
      <w:pPr>
        <w:numPr>
          <w:ilvl w:val="0"/>
          <w:numId w:val="1360"/>
        </w:numPr>
        <w:pStyle w:val="Compact"/>
      </w:pPr>
      <w:r>
        <w:rPr>
          <w:bCs/>
          <w:b/>
        </w:rPr>
        <w:t xml:space="preserve">Leber:</w:t>
      </w:r>
      <w:r>
        <w:t xml:space="preserve"> </w:t>
      </w:r>
      <w:r>
        <w:t xml:space="preserve">Bei kleinen GLP-1-Molekülen waren Leberwerte eine besondere Sorge. Eine gepoolte Auswertung von sieben Phase-3-Studien mit 11.220 Teilnehmenden fand für Orforglipron keinen Fall, der die Kriterien eines arzneimittelbedingten Leberschadens erfüllte</w:t>
      </w:r>
      <w:r>
        <w:rPr>
          <w:rStyle w:val="FootnoteReference"/>
        </w:rPr>
        <w:footnoteReference w:id="2887"/>
      </w:r>
      <w:r>
        <w:t xml:space="preserve">.</w:t>
      </w:r>
    </w:p>
    <w:bookmarkEnd w:id="2888"/>
    <w:bookmarkStart w:id="2890" w:name="nicht-jedes-kleine-molekül-schafft-es"/>
    <w:p>
      <w:pPr>
        <w:pStyle w:val="Heading4"/>
      </w:pPr>
      <w:r>
        <w:t xml:space="preserve">Nicht jedes kleine Molekül schafft es</w:t>
      </w:r>
    </w:p>
    <w:p>
      <w:pPr>
        <w:pStyle w:val="FirstParagraph"/>
      </w:pPr>
      <w:r>
        <w:t xml:space="preserve">Dass der Weg schwierig ist, zeigt</w:t>
      </w:r>
      <w:r>
        <w:t xml:space="preserve"> </w:t>
      </w:r>
      <w:r>
        <w:rPr>
          <w:bCs/>
          <w:b/>
        </w:rPr>
        <w:t xml:space="preserve">Danuglipron</w:t>
      </w:r>
      <w:r>
        <w:t xml:space="preserve"> </w:t>
      </w:r>
      <w:r>
        <w:t xml:space="preserve">von Pfizer. In einer Phase-2b-Studie mit 628 Erwachsenen mit Adipositas, in der die Tabletten zweimal täglich genommen wurden, sank das Gewicht zwar deutlich stärker als unter Placebo, aber nur 39,3 % schlossen die Behandlung ab; etwa 38 % brachen wegen Nebenwirkungen ab</w:t>
      </w:r>
      <w:r>
        <w:rPr>
          <w:rStyle w:val="FootnoteReference"/>
        </w:rPr>
        <w:footnoteReference w:id="2889"/>
      </w:r>
      <w:r>
        <w:t xml:space="preserve">. Nach Mitteilungen des Herstellers wurde die Entwicklung eingestellt. Weitere Unternehmen entwickeln eigene Tabletten; AstraZeneca etwa prüft den Wirkstoff Elecoglipron in einer Phase-3-Studie gegen die Semaglutid-Tablette (Eluminate-2, NCT07662213).</w:t>
      </w:r>
    </w:p>
    <w:bookmarkEnd w:id="2890"/>
    <w:bookmarkEnd w:id="2891"/>
    <w:bookmarkStart w:id="2893" w:name="X4c828522be558c0a510d892b01c80627d6eee7d"/>
    <w:p>
      <w:pPr>
        <w:pStyle w:val="Heading3"/>
      </w:pPr>
      <w:r>
        <w:t xml:space="preserve">Peptid-Tablette oder kleines Molekül: ein Vergleich</w:t>
      </w:r>
    </w:p>
    <w:p>
      <w:pPr>
        <w:pStyle w:val="FirstParagraph"/>
      </w:pPr>
      <w:r>
        <w:t xml:space="preserve">Ein direkter Vergleich der Semaglutid-Tablette mit Orforglipron bei Adipositas fehlt. Eine Auswertung verglich die beiden indirekt, indem sie die Einzeldaten von OASIS 4 mit den veröffentlichten Gesamtdaten von ATTAIN-1 abglich. Danach war der Gewichtsverlust mit der Semaglutid-Tablette um rund 3 Prozentpunkte größer, und Abbrüche wegen Nebenwirkungen waren unter Orforglipron häufiger</w:t>
      </w:r>
      <w:r>
        <w:rPr>
          <w:rStyle w:val="FootnoteReference"/>
        </w:rPr>
        <w:footnoteReference w:id="2892"/>
      </w:r>
      <w:r>
        <w:t xml:space="preserve">. Solche indirekten Vergleiche sind mit Vorsicht zu lesen: Nur für eine der beiden Studien standen die Einzeldaten zur Verfügung, und zwar die des Semaglutid-Programms.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Merkmal</w:t>
            </w:r>
          </w:p>
        </w:tc>
        <w:tc>
          <w:tcPr/>
          <w:p>
            <w:pPr>
              <w:pStyle w:val="Compact"/>
              <w:jc w:val="left"/>
            </w:pPr>
            <w:r>
              <w:t xml:space="preserve">Peptid-Spritze</w:t>
            </w:r>
          </w:p>
        </w:tc>
        <w:tc>
          <w:tcPr/>
          <w:p>
            <w:pPr>
              <w:pStyle w:val="Compact"/>
              <w:jc w:val="left"/>
            </w:pPr>
            <w:r>
              <w:t xml:space="preserve">Peptid-Tablette</w:t>
            </w:r>
          </w:p>
        </w:tc>
        <w:tc>
          <w:tcPr/>
          <w:p>
            <w:pPr>
              <w:pStyle w:val="Compact"/>
              <w:jc w:val="left"/>
            </w:pPr>
            <w:r>
              <w:t xml:space="preserve">Kleines Molekül</w:t>
            </w:r>
          </w:p>
        </w:tc>
      </w:tr>
      <w:tr>
        <w:tc>
          <w:tcPr/>
          <w:p>
            <w:pPr>
              <w:pStyle w:val="Compact"/>
              <w:jc w:val="left"/>
            </w:pPr>
            <w:r>
              <w:t xml:space="preserve">Beispiel</w:t>
            </w:r>
          </w:p>
        </w:tc>
        <w:tc>
          <w:tcPr/>
          <w:p>
            <w:pPr>
              <w:pStyle w:val="Compact"/>
              <w:jc w:val="left"/>
            </w:pPr>
            <w:r>
              <w:t xml:space="preserve">Semaglutid, Tirzepatid</w:t>
            </w:r>
          </w:p>
        </w:tc>
        <w:tc>
          <w:tcPr/>
          <w:p>
            <w:pPr>
              <w:pStyle w:val="Compact"/>
              <w:jc w:val="left"/>
            </w:pPr>
            <w:r>
              <w:t xml:space="preserve">Semaglutid-Tablette, Zenagamtid-Tablette</w:t>
            </w:r>
          </w:p>
        </w:tc>
        <w:tc>
          <w:tcPr/>
          <w:p>
            <w:pPr>
              <w:pStyle w:val="Compact"/>
              <w:jc w:val="left"/>
            </w:pPr>
            <w:r>
              <w:t xml:space="preserve">Orforglipron</w:t>
            </w:r>
          </w:p>
        </w:tc>
      </w:tr>
      <w:tr>
        <w:tc>
          <w:tcPr/>
          <w:p>
            <w:pPr>
              <w:pStyle w:val="Compact"/>
              <w:jc w:val="left"/>
            </w:pPr>
            <w:r>
              <w:t xml:space="preserve">Einnahme</w:t>
            </w:r>
          </w:p>
        </w:tc>
        <w:tc>
          <w:tcPr/>
          <w:p>
            <w:pPr>
              <w:pStyle w:val="Compact"/>
              <w:jc w:val="left"/>
            </w:pPr>
            <w:r>
              <w:t xml:space="preserve">wöchentlich bis monatlich</w:t>
            </w:r>
          </w:p>
        </w:tc>
        <w:tc>
          <w:tcPr/>
          <w:p>
            <w:pPr>
              <w:pStyle w:val="Compact"/>
              <w:jc w:val="left"/>
            </w:pPr>
            <w:r>
              <w:t xml:space="preserve">täglich, nüchtern, mit Einnahmeregeln</w:t>
            </w:r>
          </w:p>
        </w:tc>
        <w:tc>
          <w:tcPr/>
          <w:p>
            <w:pPr>
              <w:pStyle w:val="Compact"/>
              <w:jc w:val="left"/>
            </w:pPr>
            <w:r>
              <w:t xml:space="preserve">täglich, ohne Essensregeln</w:t>
            </w:r>
          </w:p>
        </w:tc>
      </w:tr>
      <w:tr>
        <w:tc>
          <w:tcPr/>
          <w:p>
            <w:pPr>
              <w:pStyle w:val="Compact"/>
              <w:jc w:val="left"/>
            </w:pPr>
            <w:r>
              <w:t xml:space="preserve">Wirkstoffbedarf</w:t>
            </w:r>
          </w:p>
        </w:tc>
        <w:tc>
          <w:tcPr/>
          <w:p>
            <w:pPr>
              <w:pStyle w:val="Compact"/>
              <w:jc w:val="left"/>
            </w:pPr>
            <w:r>
              <w:t xml:space="preserve">gering</w:t>
            </w:r>
          </w:p>
        </w:tc>
        <w:tc>
          <w:tcPr/>
          <w:p>
            <w:pPr>
              <w:pStyle w:val="Compact"/>
              <w:jc w:val="left"/>
            </w:pPr>
            <w:r>
              <w:t xml:space="preserve">sehr hoch (Aufnahme etwa 1 %)</w:t>
            </w:r>
          </w:p>
        </w:tc>
        <w:tc>
          <w:tcPr/>
          <w:p>
            <w:pPr>
              <w:pStyle w:val="Compact"/>
              <w:jc w:val="left"/>
            </w:pPr>
            <w:r>
              <w:t xml:space="preserve">normal für Tabletten</w:t>
            </w:r>
          </w:p>
        </w:tc>
      </w:tr>
      <w:tr>
        <w:tc>
          <w:tcPr/>
          <w:p>
            <w:pPr>
              <w:pStyle w:val="Compact"/>
              <w:jc w:val="left"/>
            </w:pPr>
            <w:r>
              <w:t xml:space="preserve">Gewichtsverlust in Studien</w:t>
            </w:r>
          </w:p>
        </w:tc>
        <w:tc>
          <w:tcPr/>
          <w:p>
            <w:pPr>
              <w:pStyle w:val="Compact"/>
              <w:jc w:val="left"/>
            </w:pPr>
            <w:r>
              <w:t xml:space="preserve">am höchsten</w:t>
            </w:r>
          </w:p>
        </w:tc>
        <w:tc>
          <w:tcPr/>
          <w:p>
            <w:pPr>
              <w:pStyle w:val="Compact"/>
              <w:jc w:val="left"/>
            </w:pPr>
            <w:r>
              <w:t xml:space="preserve">ähnlich der Semaglutid-Spritze</w:t>
            </w:r>
          </w:p>
        </w:tc>
        <w:tc>
          <w:tcPr/>
          <w:p>
            <w:pPr>
              <w:pStyle w:val="Compact"/>
              <w:jc w:val="left"/>
            </w:pPr>
            <w:r>
              <w:t xml:space="preserve">etwas geringer</w:t>
            </w:r>
          </w:p>
        </w:tc>
      </w:tr>
      <w:tr>
        <w:tc>
          <w:tcPr/>
          <w:p>
            <w:pPr>
              <w:pStyle w:val="Compact"/>
              <w:jc w:val="left"/>
            </w:pPr>
            <w:r>
              <w:t xml:space="preserve">Abbau, Wechselwirkungen</w:t>
            </w:r>
          </w:p>
        </w:tc>
        <w:tc>
          <w:tcPr/>
          <w:p>
            <w:pPr>
              <w:pStyle w:val="Compact"/>
              <w:jc w:val="left"/>
            </w:pPr>
            <w:r>
              <w:t xml:space="preserve">wie Eiweiß, kaum Wechselwirkungen</w:t>
            </w:r>
          </w:p>
        </w:tc>
        <w:tc>
          <w:tcPr/>
          <w:p>
            <w:pPr>
              <w:pStyle w:val="Compact"/>
              <w:jc w:val="left"/>
            </w:pPr>
            <w:r>
              <w:t xml:space="preserve">wie Eiweiß</w:t>
            </w:r>
          </w:p>
        </w:tc>
        <w:tc>
          <w:tcPr/>
          <w:p>
            <w:pPr>
              <w:pStyle w:val="Compact"/>
              <w:jc w:val="left"/>
            </w:pPr>
            <w:r>
              <w:t xml:space="preserve">über Leberenzyme, Wechselwirkungen möglich</w:t>
            </w:r>
          </w:p>
        </w:tc>
      </w:tr>
      <w:tr>
        <w:tc>
          <w:tcPr/>
          <w:p>
            <w:pPr>
              <w:pStyle w:val="Compact"/>
              <w:jc w:val="left"/>
            </w:pPr>
            <w:r>
              <w:t xml:space="preserve">Harte Endpunkte</w:t>
            </w:r>
          </w:p>
        </w:tc>
        <w:tc>
          <w:tcPr/>
          <w:p>
            <w:pPr>
              <w:pStyle w:val="Compact"/>
              <w:jc w:val="left"/>
            </w:pPr>
            <w:r>
              <w:t xml:space="preserve">für mehrere Wirkstoffe belegt</w:t>
            </w:r>
          </w:p>
        </w:tc>
        <w:tc>
          <w:tcPr/>
          <w:p>
            <w:pPr>
              <w:pStyle w:val="Compact"/>
              <w:jc w:val="left"/>
            </w:pPr>
            <w:r>
              <w:t xml:space="preserve">bei Typ-2-Diabetes belegt (SOUL)</w:t>
            </w:r>
          </w:p>
        </w:tc>
        <w:tc>
          <w:tcPr/>
          <w:p>
            <w:pPr>
              <w:pStyle w:val="Compact"/>
              <w:jc w:val="left"/>
            </w:pPr>
            <w:r>
              <w:t xml:space="preserve">Endpunktstudie läuft bis 2031</w:t>
            </w:r>
          </w:p>
        </w:tc>
      </w:tr>
    </w:tbl>
    <w:p>
      <w:pPr>
        <w:pStyle w:val="BodyText"/>
      </w:pPr>
      <w:r>
        <w:t xml:space="preserve">Der Punkt „Wechselwirkungen“ verdient eine Erklärung: Peptide werden im Körper wie andere Eiweiße abgebaut. Kleine Moleküle wie Orforglipron werden dagegen über Leberenzyme verstoffwechselt, über die auch viele andere Medikamente laufen. Deshalb wurden für Orforglipron zahlreiche Wechselwirkungsstudien durchgeführt (siehe Kapitel Orforglipron).</w:t>
      </w:r>
    </w:p>
    <w:bookmarkEnd w:id="2893"/>
    <w:bookmarkStart w:id="2899" w:name="offene-fragen"/>
    <w:p>
      <w:pPr>
        <w:pStyle w:val="Heading3"/>
      </w:pPr>
      <w:r>
        <w:t xml:space="preserve">Offene Fragen</w:t>
      </w:r>
    </w:p>
    <w:p>
      <w:pPr>
        <w:pStyle w:val="FirstParagraph"/>
      </w:pPr>
      <w:r>
        <w:rPr>
          <w:bCs/>
          <w:b/>
        </w:rPr>
        <w:t xml:space="preserve">Nimmt man eine tägliche Tablette zuverlässiger als eine wöchentliche Spritze?</w:t>
      </w:r>
      <w:r>
        <w:t xml:space="preserve"> </w:t>
      </w:r>
      <w:r>
        <w:t xml:space="preserve">Das ist keineswegs ausgemacht. Wer eine Spritze pro Woche gegen sieben Tabletten tauscht, hat sieben Gelegenheiten pro Woche, eine Dosis zu vergessen. Bei der Semaglutid-Tablette kommt hinzu, dass schon eine Mahlzeit zu früh die Aufnahme praktisch verhindern kann</w:t>
      </w:r>
      <w:r>
        <w:rPr>
          <w:rStyle w:val="FootnoteReference"/>
        </w:rPr>
        <w:footnoteReference w:id="2894"/>
      </w:r>
      <w:r>
        <w:t xml:space="preserve">. Wie sich das im Alltag auf die Wirkung auswirkt, zeigen Zulassungsstudien mit ihren eng betreuten Teilnehmenden nicht.</w:t>
      </w:r>
    </w:p>
    <w:p>
      <w:pPr>
        <w:pStyle w:val="BodyText"/>
      </w:pPr>
      <w:r>
        <w:rPr>
          <w:bCs/>
          <w:b/>
        </w:rPr>
        <w:t xml:space="preserve">Gibt es harte Endpunkte für Tabletten bei Adipositas?</w:t>
      </w:r>
      <w:r>
        <w:t xml:space="preserve"> </w:t>
      </w:r>
      <w:r>
        <w:t xml:space="preserve">Noch nicht. SOUL betraf Menschen mit Typ-2-Diabetes. Die Herz-Kreislauf-Studie zu Orforglipron läuft bis 2031</w:t>
      </w:r>
      <w:r>
        <w:rPr>
          <w:rStyle w:val="FootnoteReference"/>
        </w:rPr>
        <w:footnoteReference w:id="2895"/>
      </w:r>
      <w:r>
        <w:t xml:space="preserve">, und Orforglipron wird sogar bei Menschen mit Übergewicht geprüft, um das Fortschreiten zur Adipositas oder zu Folgeerkrankungen zu verhindern (ATTAIN-NOW, NCT07794579, 2.001 Teilnehmende, Ende September 2030).</w:t>
      </w:r>
    </w:p>
    <w:p>
      <w:pPr>
        <w:pStyle w:val="BodyText"/>
      </w:pPr>
      <w:r>
        <w:rPr>
          <w:bCs/>
          <w:b/>
        </w:rPr>
        <w:t xml:space="preserve">Ist die Tablette das Mittel für die Erhaltung?</w:t>
      </w:r>
      <w:r>
        <w:t xml:space="preserve"> </w:t>
      </w:r>
      <w:r>
        <w:t xml:space="preserve">ATTAIN-MAINTAIN legt nahe, dass ein Umstieg von der Spritze auf eine Tablette einen großen Teil des Gewichtsverlusts erhalten kann. Ob das genauso gut ist wie die Spritze fortzusetzen, wurde nicht geprüft.</w:t>
      </w:r>
    </w:p>
    <w:p>
      <w:pPr>
        <w:pStyle w:val="BodyText"/>
      </w:pPr>
      <w:r>
        <w:rPr>
          <w:bCs/>
          <w:b/>
        </w:rPr>
        <w:t xml:space="preserve">Werden Tabletten günstiger?</w:t>
      </w:r>
      <w:r>
        <w:t xml:space="preserve"> </w:t>
      </w:r>
      <w:r>
        <w:t xml:space="preserve">Für kleine Moleküle ist das plausibel, weil sie mit Standardverfahren der Chemie hergestellt werden. Für Peptid-Tabletten spricht die Kostenschätzung eher dagegen, weil sie viel mehr Wirkstoff brauchen</w:t>
      </w:r>
      <w:r>
        <w:rPr>
          <w:rStyle w:val="FootnoteReference"/>
        </w:rPr>
        <w:footnoteReference w:id="2896"/>
      </w:r>
      <w:r>
        <w:t xml:space="preserve">. Konkrete Preise in Europa sind offen.</w:t>
      </w:r>
    </w:p>
    <w:p>
      <w:pPr>
        <w:pStyle w:val="BodyText"/>
      </w:pPr>
      <w:r>
        <w:rPr>
          <w:bCs/>
          <w:b/>
        </w:rPr>
        <w:t xml:space="preserve">Was ist mit Tropfen, Schmelztabletten und Nasensprays aus dem Internet?</w:t>
      </w:r>
      <w:r>
        <w:t xml:space="preserve"> </w:t>
      </w:r>
      <w:r>
        <w:t xml:space="preserve">Hier ist Vorsicht angebracht. Eine Untersuchung von in den USA hergestellten Apotheken-Zubereitungen fand Semaglutid- oder Tirzepatid-Zubereitungen zur Anwendung unter der Zunge und als Schmelztabletten, für die keine Belege zu Wirksamkeit und Sicherheit vorliegen</w:t>
      </w:r>
      <w:r>
        <w:rPr>
          <w:rStyle w:val="FootnoteReference"/>
        </w:rPr>
        <w:footnoteReference w:id="2897"/>
      </w:r>
      <w:r>
        <w:t xml:space="preserve">. Nachahmerprodukte von oralem Semaglutid enthielten in einer Laboranalyse teils deutlich weniger Wirkstoff als angegeben und setzten Wirkstoff und SNAC anders frei als das Original</w:t>
      </w:r>
      <w:r>
        <w:rPr>
          <w:rStyle w:val="FootnoteReference"/>
        </w:rPr>
        <w:footnoteReference w:id="2898"/>
      </w:r>
      <w:r>
        <w:t xml:space="preserve">. Ein Peptid, das „als Tablette“ verkauft wird, wird ohne eine geprüfte Rezeptur kaum aufgenommen – das gilt für Semaglutid ebenso wie für BPC-157 oder andere Graumarkt-Peptide.</w:t>
      </w:r>
    </w:p>
    <w:bookmarkEnd w:id="2899"/>
    <w:bookmarkStart w:id="2900" w:name="einschätzung-des-autors"/>
    <w:p>
      <w:pPr>
        <w:pStyle w:val="Heading3"/>
      </w:pPr>
      <w:r>
        <w:t xml:space="preserve">Einschätzung des Autors</w:t>
      </w:r>
    </w:p>
    <w:p>
      <w:pPr>
        <w:pStyle w:val="FirstParagraph"/>
      </w:pPr>
      <w:r>
        <w:t xml:space="preserve">Die Spritze wird nicht verschwinden, aber ihre Monopolstellung ist vorbei. Für die Phase der starken Abnahme dürften gespritzte Wirkstoffe in den nächsten Jahren vorn bleiben, weil sie in Studien am meisten bewirken und die Herz-Kreislauf-Daten bislang fast ausschließlich für sie vorliegen. Für die jahrelange Erhaltung, für Menschen mit Spritzenangst und für Länder ohne verlässliche Kühlkette sind Tabletten dagegen ein echter Fortschritt. Ob sich eher Peptid-Tabletten oder kleine Moleküle durchsetzen, wird weniger an der Wirkung entschieden als an Preis, Einnahmekomfort und Langzeitsicherheit. Das ist eine Einschätzung; gesichert ist nur, dass beide Wege in großen Phase-3-Studien geprüft werden.</w:t>
      </w:r>
    </w:p>
    <w:bookmarkEnd w:id="2900"/>
    <w:bookmarkStart w:id="2901" w:name="das-wichtigste-in-kürze-9"/>
    <w:p>
      <w:pPr>
        <w:pStyle w:val="Heading3"/>
      </w:pPr>
      <w:r>
        <w:t xml:space="preserve">Das Wichtigste in Kürze</w:t>
      </w:r>
    </w:p>
    <w:p>
      <w:pPr>
        <w:numPr>
          <w:ilvl w:val="0"/>
          <w:numId w:val="1361"/>
        </w:numPr>
        <w:pStyle w:val="Compact"/>
      </w:pPr>
      <w:r>
        <w:t xml:space="preserve">Peptide als Tablette funktionieren nur mit großem technischem Aufwand. Bei der Semaglutid-Tablette gelangt etwa 1 % des Wirkstoffs ins Blut, dennoch erreicht sie in Studien ähnliche Gewichtsverluste wie die Spritze.</w:t>
      </w:r>
    </w:p>
    <w:p>
      <w:pPr>
        <w:numPr>
          <w:ilvl w:val="0"/>
          <w:numId w:val="1361"/>
        </w:numPr>
        <w:pStyle w:val="Compact"/>
      </w:pPr>
      <w:r>
        <w:t xml:space="preserve">Kleine Moleküle wie Orforglipron umgehen das Problem, bewirkten in Studien aber etwas weniger Gewichtsverlust und werden über Leberenzyme abgebaut.</w:t>
      </w:r>
    </w:p>
    <w:p>
      <w:pPr>
        <w:numPr>
          <w:ilvl w:val="0"/>
          <w:numId w:val="1361"/>
        </w:numPr>
        <w:pStyle w:val="Compact"/>
      </w:pPr>
      <w:r>
        <w:t xml:space="preserve">Orale Peptide werden auch außerhalb des Stoffwechsels zur eigenen Arzneimittelklasse, etwa gegen hohes Cholesterin (Enlicitide) und Schuppenflechte (Icotrokinra).</w:t>
      </w:r>
    </w:p>
    <w:p>
      <w:pPr>
        <w:numPr>
          <w:ilvl w:val="0"/>
          <w:numId w:val="1361"/>
        </w:numPr>
        <w:pStyle w:val="Compact"/>
      </w:pPr>
      <w:r>
        <w:t xml:space="preserve">Offen sind Langzeitdaten, harte Endpunkte bei Adipositas, die Therapietreue im Alltag und die Preise.</w:t>
      </w:r>
    </w:p>
    <w:p>
      <w:pPr>
        <w:numPr>
          <w:ilvl w:val="0"/>
          <w:numId w:val="1361"/>
        </w:numPr>
        <w:pStyle w:val="Compact"/>
      </w:pPr>
      <w:r>
        <w:t xml:space="preserve">Medikamente sind nur unter ärztlicher Begleitung und nach Fachinformation anzuwenden; „orale“ Graumarkt-Peptide haben mit diesen Entwicklungen nichts zu tun.</w:t>
      </w:r>
    </w:p>
    <w:bookmarkEnd w:id="2901"/>
    <w:bookmarkEnd w:id="2902"/>
    <w:bookmarkStart w:id="2929" w:name="patente-generika-und-preise"/>
    <w:p>
      <w:pPr>
        <w:pStyle w:val="Heading2"/>
      </w:pPr>
      <w:r>
        <w:t xml:space="preserve">Patente, Generika und Preise</w:t>
      </w:r>
    </w:p>
    <w:p>
      <w:pPr>
        <w:pStyle w:val="FirstParagraph"/>
      </w:pPr>
      <w:r>
        <w:t xml:space="preserve">Ob ein Medikament wirkt, entscheiden Studien. Ob es bei den Menschen ankommt, entscheiden Patente, Preise, Lieferketten und Krankenkassen. Bei den GLP-1-Medikamenten ist dieser zweite Teil der Geschichte fast so dramatisch wie der erste: Lieferengpässe, ein Markt für Apotheken-Kopien in den USA, Fälschungen weltweit – und 2026 das Auslaufen der ersten Semaglutid-Patente in großen Ländern.</w:t>
      </w:r>
    </w:p>
    <w:p>
      <w:pPr>
        <w:pStyle w:val="BodyText"/>
      </w:pPr>
      <w:r>
        <w:rPr>
          <w:bCs/>
          <w:b/>
        </w:rPr>
        <w:t xml:space="preserve">Ein wichtiger Hinweis vorab:</w:t>
      </w:r>
      <w:r>
        <w:t xml:space="preserve"> </w:t>
      </w:r>
      <w:r>
        <w:t xml:space="preserve">Preise, Patentlaufzeiten und Erstattungsregeln ändern sich schnell und sind nur teilweise in wissenschaftlichen Arbeiten dokumentiert. Wo dieses Kapitel Angaben ohne Studienbeleg macht, sind sie mit „Stand 2026, bitte prüfen“ gekennzeichnet. Konkrete Preise in Euro werden bewusst nicht genannt, weil sie sich je nach Land, Packung und Zeitpunkt unterscheiden.</w:t>
      </w:r>
    </w:p>
    <w:bookmarkStart w:id="2904" w:name="X7e365eb0e94012bd4f3f1837d93d3a0ffb07561"/>
    <w:p>
      <w:pPr>
        <w:pStyle w:val="Heading3"/>
      </w:pPr>
      <w:r>
        <w:t xml:space="preserve">Patente, Generika und Biosimilars: die Begriffe</w:t>
      </w:r>
    </w:p>
    <w:p>
      <w:pPr>
        <w:pStyle w:val="FirstParagraph"/>
      </w:pPr>
      <w:r>
        <w:t xml:space="preserve">Ein</w:t>
      </w:r>
      <w:r>
        <w:t xml:space="preserve"> </w:t>
      </w:r>
      <w:r>
        <w:rPr>
          <w:bCs/>
          <w:b/>
        </w:rPr>
        <w:t xml:space="preserve">Patent</w:t>
      </w:r>
      <w:r>
        <w:t xml:space="preserve"> </w:t>
      </w:r>
      <w:r>
        <w:t xml:space="preserve">gibt dem Hersteller für eine begrenzte Zeit das alleinige Recht, einen Wirkstoff zu verkaufen. In der EU und den USA beträgt die Grundlaufzeit 20 Jahre ab Anmeldung; weil die Entwicklung viele Jahre dauert, kann sie für Arzneimittel durch ein ergänzendes Schutzzertifikat um bis zu fünf Jahre verlängert werden. Neben dem Patent auf den Wirkstoff selbst gibt es oft weitere Patente auf Herstellungsverfahren, Darreichungsformen oder Pens.</w:t>
      </w:r>
    </w:p>
    <w:p>
      <w:pPr>
        <w:pStyle w:val="BodyText"/>
      </w:pPr>
      <w:r>
        <w:t xml:space="preserve">Nach Ablauf des Schutzes dürfen andere Hersteller Nachahmerpräparate anbieten:</w:t>
      </w:r>
    </w:p>
    <w:p>
      <w:pPr>
        <w:numPr>
          <w:ilvl w:val="0"/>
          <w:numId w:val="1362"/>
        </w:numPr>
        <w:pStyle w:val="Compact"/>
      </w:pPr>
      <w:r>
        <w:rPr>
          <w:bCs/>
          <w:b/>
        </w:rPr>
        <w:t xml:space="preserve">Generika</w:t>
      </w:r>
      <w:r>
        <w:t xml:space="preserve"> </w:t>
      </w:r>
      <w:r>
        <w:t xml:space="preserve">sind Kopien chemisch hergestellter Wirkstoffe. Sie müssen zeigen, dass sie denselben Wirkstoff enthalten und im Körper gleich verfügbar sind; neue große Wirksamkeitsstudien sind nicht nötig.</w:t>
      </w:r>
    </w:p>
    <w:p>
      <w:pPr>
        <w:numPr>
          <w:ilvl w:val="0"/>
          <w:numId w:val="1362"/>
        </w:numPr>
        <w:pStyle w:val="Compact"/>
      </w:pPr>
      <w:r>
        <w:rPr>
          <w:bCs/>
          <w:b/>
        </w:rPr>
        <w:t xml:space="preserve">Biosimilars</w:t>
      </w:r>
      <w:r>
        <w:t xml:space="preserve"> </w:t>
      </w:r>
      <w:r>
        <w:t xml:space="preserve">sind Nachfolger biologisch hergestellter Wirkstoffe, etwa von Antikörpern oder Fusionsproteinen. Weil biologische Herstellung nie ganz identische Moleküle liefert, ist ihre Zulassung aufwendiger.</w:t>
      </w:r>
    </w:p>
    <w:p>
      <w:pPr>
        <w:pStyle w:val="FirstParagraph"/>
      </w:pPr>
      <w:r>
        <w:t xml:space="preserve">Kurze Peptide wie Liraglutid oder Semaglutid stehen dazwischen: Sie können gentechnisch oder chemisch hergestellt werden. Das hat praktische Folgen. Eine Laboranalyse verglich 16 gespritzte und 8 orale Semaglutid-Nachahmerprodukte sowie 2 Liraglutid-Nachahmerprodukte mit den Originalen. Sie fand neue Verunreinigungen, bei mehreren Semaglutid-Tabletten deutlich weniger Wirkstoff als angegeben und bei Liraglutid eine stärkere Neigung zur Verklumpung</w:t>
      </w:r>
      <w:r>
        <w:rPr>
          <w:rStyle w:val="FootnoteReference"/>
        </w:rPr>
        <w:footnoteReference w:id="2903"/>
      </w:r>
      <w:r>
        <w:t xml:space="preserve">. Ob die Unterschiede klinisch etwas bedeuten, ist laut den Autorinnen und Autoren unbekannt. Sie zeigt aber, warum Behörden bei Peptid-Nachahmern genau hinsehen.</w:t>
      </w:r>
    </w:p>
    <w:bookmarkEnd w:id="2904"/>
    <w:bookmarkStart w:id="2906" w:name="liraglutid-das-erste-glp-1-generikum"/>
    <w:p>
      <w:pPr>
        <w:pStyle w:val="Heading3"/>
      </w:pPr>
      <w:r>
        <w:t xml:space="preserve">Liraglutid: das erste GLP-1-Generikum</w:t>
      </w:r>
    </w:p>
    <w:p>
      <w:pPr>
        <w:pStyle w:val="FirstParagraph"/>
      </w:pPr>
      <w:r>
        <w:t xml:space="preserve">Liraglutid ist der erste GLP-1-Wirkstoff, dessen Schutz in großen Märkten abgelaufen ist. In den USA sind seit 2024 Generika der Diabetesform (Victoza) und seit 2025 auch der Adipositasform (Saxenda) auf dem Markt. In Europa kommen Nachahmerpräparate nach und nach hinzu; der Stand unterscheidet sich je nach Land (siehe Kapitel Liraglutid).</w:t>
      </w:r>
    </w:p>
    <w:p>
      <w:pPr>
        <w:pStyle w:val="BodyText"/>
      </w:pPr>
      <w:r>
        <w:t xml:space="preserve">Für die Versorgung hat das zwei Seiten. Einerseits wird ein Wirkstoff mit nachgewiesenem Herz-Kreislauf-Nutzen bei Typ-2-Diabetes günstiger. Andererseits muss Liraglutid täglich gespritzt werden und wirkt beim Gewicht deutlich schwächer als Semaglutid: In STEP 8 sank das Gewicht unter wöchentlichem Semaglutid im Mittel um 15,8 %, unter täglichem Liraglutid um 6,4 %; mindestens ein Fünftel ihres Gewichts verloren 38,5 % gegenüber 6,0 %</w:t>
      </w:r>
      <w:r>
        <w:rPr>
          <w:rStyle w:val="FootnoteReference"/>
        </w:rPr>
        <w:footnoteReference w:id="2905"/>
      </w:r>
      <w:r>
        <w:t xml:space="preserve">. Für Menschen, die das neuere Mittel nicht bezahlen können, kann ein günstiges älteres Mittel trotzdem die bessere Wahl sein als gar keines.</w:t>
      </w:r>
    </w:p>
    <w:bookmarkEnd w:id="2906"/>
    <w:bookmarkStart w:id="2911" w:name="semaglutid-2026-als-wendejahr"/>
    <w:p>
      <w:pPr>
        <w:pStyle w:val="Heading3"/>
      </w:pPr>
      <w:r>
        <w:t xml:space="preserve">Semaglutid: 2026 als Wendejahr</w:t>
      </w:r>
    </w:p>
    <w:p>
      <w:pPr>
        <w:pStyle w:val="FirstParagraph"/>
      </w:pPr>
      <w:r>
        <w:t xml:space="preserve">Für Semaglutid laufen die Patente in mehreren großen Ländern außerhalb der EU und der USA 2026 aus, darunter nach dem Kapitel Semaglutid Kanada, China, Indien und Brasilien. Eine Analyse von Patentdatenbanken kam zu folgendem Bild</w:t>
      </w:r>
      <w:r>
        <w:rPr>
          <w:rStyle w:val="FootnoteReference"/>
        </w:rPr>
        <w:footnoteReference w:id="2907"/>
      </w:r>
      <w:r>
        <w:t xml:space="preserve">:</w:t>
      </w:r>
    </w:p>
    <w:p>
      <w:pPr>
        <w:numPr>
          <w:ilvl w:val="0"/>
          <w:numId w:val="1363"/>
        </w:numPr>
        <w:pStyle w:val="Compact"/>
      </w:pPr>
      <w:r>
        <w:t xml:space="preserve">In zwölf Ländern endet der Patentschutz 2026. Auf sie entfallen 47 % der Menschen mit Adipositas und 49 % der Menschen mit Typ-2-Diabetes weltweit.</w:t>
      </w:r>
    </w:p>
    <w:p>
      <w:pPr>
        <w:numPr>
          <w:ilvl w:val="0"/>
          <w:numId w:val="1363"/>
        </w:numPr>
        <w:pStyle w:val="Compact"/>
      </w:pPr>
      <w:r>
        <w:t xml:space="preserve">In 150 weiteren Ländern fanden die Autorinnen und Autoren gar keine Patentanmeldung.</w:t>
      </w:r>
    </w:p>
    <w:p>
      <w:pPr>
        <w:numPr>
          <w:ilvl w:val="0"/>
          <w:numId w:val="1363"/>
        </w:numPr>
        <w:pStyle w:val="Compact"/>
      </w:pPr>
      <w:r>
        <w:t xml:space="preserve">Bis Ende 2026 könnten gespritzte Semaglutid-Nachahmer damit in 162 Ländern verfügbar sein, in denen 69 % der Menschen mit Typ-2-Diabetes und 84 % der Menschen mit klinischer Adipositas leben.</w:t>
      </w:r>
    </w:p>
    <w:p>
      <w:pPr>
        <w:numPr>
          <w:ilvl w:val="0"/>
          <w:numId w:val="1363"/>
        </w:numPr>
        <w:pStyle w:val="Compact"/>
      </w:pPr>
      <w:r>
        <w:t xml:space="preserve">Aus Daten zu Wirkstofflieferungen aus Indien schätzten sie die Produktionskosten: Ein Jahr gespritztes Semaglutid könnte als Generikum für 28 bis 140 US-Dollar pro Person angeboten werden, die Tablette für 186 bis 380 US-Dollar. Der Pen machte einen unverhältnismäßig großen Teil der Kosten aus.</w:t>
      </w:r>
    </w:p>
    <w:p>
      <w:pPr>
        <w:pStyle w:val="FirstParagraph"/>
      </w:pPr>
      <w:r>
        <w:t xml:space="preserve">Die Autorinnen und Autoren betonen selbst, dass Pen-Kosten, weitere Patente und schwache Gesundheitssysteme den Zugang trotzdem begrenzen können. Wie stark Generika Preise drücken können, zeigt eine Analyse aus Indien: Dort sanken die Preise für SGLT2-Hemmer und GLP-1-Rezeptor-Agonisten nach Patentablauf um etwa 60 bis 90 %. Zwischen indischen Generikapreisen und US-Listenpreisen fanden die Autoren Unterschiede um das 15- bis 65-Fache. Sie weisen aber auch darauf hin, dass sich Generika verschiedener Hersteller in Qualität und Aufnahme im Körper unterscheiden können</w:t>
      </w:r>
      <w:r>
        <w:rPr>
          <w:rStyle w:val="FootnoteReference"/>
        </w:rPr>
        <w:footnoteReference w:id="2908"/>
      </w:r>
      <w:r>
        <w:t xml:space="preserve">.</w:t>
      </w:r>
    </w:p>
    <w:p>
      <w:pPr>
        <w:pStyle w:val="BodyText"/>
      </w:pPr>
      <w:r>
        <w:rPr>
          <w:bCs/>
          <w:b/>
        </w:rPr>
        <w:t xml:space="preserve">In der EU und den USA</w:t>
      </w:r>
      <w:r>
        <w:t xml:space="preserve"> </w:t>
      </w:r>
      <w:r>
        <w:t xml:space="preserve">wird mit Semaglutid-Generika erst um 2031/2032 gerechnet. Für Leserinnen und Leser in Österreich und Deutschland heißt das: Ein in Kanada oder Indien legal verkauftes Semaglutid-Generikum ist hier kein zugelassenes Arzneimittel. Die Regeln zur Einfuhr für den persönlichen Bedarf sind eng (siehe Kapitel „Rechtlicher Rahmen“ in Teil I), und Online-Angebote, die sich auf solche Generika berufen, sind eine typische Einfallstür für Fälschungen (siehe Kapitel „Der Graumarkt“).</w:t>
      </w:r>
    </w:p>
    <w:p>
      <w:pPr>
        <w:pStyle w:val="BodyText"/>
      </w:pPr>
      <w:r>
        <w:rPr>
          <w:bCs/>
          <w:b/>
        </w:rPr>
        <w:t xml:space="preserve">Ein politisches Signal:</w:t>
      </w:r>
      <w:r>
        <w:t xml:space="preserve"> </w:t>
      </w:r>
      <w:r>
        <w:t xml:space="preserve">Die Weltgesundheitsorganisation hat Semaglutid, Liraglutid, Dulaglutid und Tirzepatid im September 2025 in ihre Liste der unentbehrlichen Arzneimittel aufgenommen. Eine Einordnung sieht darin einen Schritt, der Preisverhandlungen und die Entwicklung von Generika in Ländern mit niedrigem und mittlerem Einkommen erleichtern soll; zugleich nennt sie fehlende Mittel, schwache Infrastruktur und das Risiko unkritischer Anwendung als Hürden</w:t>
      </w:r>
      <w:r>
        <w:rPr>
          <w:rStyle w:val="FootnoteReference"/>
        </w:rPr>
        <w:footnoteReference w:id="2909"/>
      </w:r>
      <w:r>
        <w:t xml:space="preserve">. In ihrer ersten Leitlinie zu GLP-1-Therapien bei Adipositas spricht die WHO eine bedingte Empfehlung für die langfristige Behandlung zusammen mit intensiver Verhaltenstherapie aus. Als Gründe für die Einschränkung nennt sie unter anderem begrenzte Langzeitdaten, Kosten und die Frage des gerechten Zugangs</w:t>
      </w:r>
      <w:r>
        <w:rPr>
          <w:rStyle w:val="FootnoteReference"/>
        </w:rPr>
        <w:footnoteReference w:id="2910"/>
      </w:r>
      <w:r>
        <w:t xml:space="preserve">.</w:t>
      </w:r>
    </w:p>
    <w:bookmarkEnd w:id="2911"/>
    <w:bookmarkStart w:id="2912" w:name="tirzepatid-und-die-nachfolger"/>
    <w:p>
      <w:pPr>
        <w:pStyle w:val="Heading3"/>
      </w:pPr>
      <w:r>
        <w:t xml:space="preserve">Tirzepatid und die Nachfolger</w:t>
      </w:r>
    </w:p>
    <w:p>
      <w:pPr>
        <w:pStyle w:val="FirstParagraph"/>
      </w:pPr>
      <w:r>
        <w:t xml:space="preserve">Für Tirzepatid und alle neueren Wirkstoffe – Retatrutid, CagriSema, Amycretin, Maridebart Cafraglutid, Orforglipron – ist ein Patentablauf in diesem Jahrzehnt nicht zu erwarten. Für Tirzepatid wird nach Branchenangaben mit Generika frühestens in der zweiten Hälfte der 2030er-Jahre gerechnet. Daraus ergibt sich ein absehbares Muster: Die älteren Wirkstoffe werden billiger, die stärksten bleiben teuer.</w:t>
      </w:r>
    </w:p>
    <w:bookmarkEnd w:id="2912"/>
    <w:bookmarkStart w:id="2916" w:name="das-ende-des-compounding-in-den-usa"/>
    <w:p>
      <w:pPr>
        <w:pStyle w:val="Heading3"/>
      </w:pPr>
      <w:r>
        <w:t xml:space="preserve">Das Ende des Compounding in den USA</w:t>
      </w:r>
    </w:p>
    <w:p>
      <w:pPr>
        <w:pStyle w:val="FirstParagraph"/>
      </w:pPr>
      <w:r>
        <w:t xml:space="preserve">Während der offiziellen Lieferengpässe durften US-Apotheken Semaglutid und Tirzepatid selbst zubereiten („Compounding“, siehe Teil I). Daraus entstand ein großer Markt. Eine Untersuchung im US-Bundesstaat Colorado fand im Frühjahr 2024 93 Unternehmen mit 188 Standorten, die solche Präparate bewarben – meist als medizinische Spas oder Abnehmdienste. 41 dieser Websites verwiesen in ihren Produktbeschreibungen auf die FDA-Zulassung, obwohl die Präparate keine hatten. Ein Anbieter bewarb eine Mischung mit BPC-157, einem Stoff, den die FDA als ungeeignet für das Compounding eingestuft hat</w:t>
      </w:r>
      <w:r>
        <w:rPr>
          <w:rStyle w:val="FootnoteReference"/>
        </w:rPr>
        <w:footnoteReference w:id="2913"/>
      </w:r>
      <w:r>
        <w:t xml:space="preserve">.</w:t>
      </w:r>
    </w:p>
    <w:p>
      <w:pPr>
        <w:pStyle w:val="BodyText"/>
      </w:pPr>
      <w:r>
        <w:t xml:space="preserve">Nachdem die FDA die Engpässe für beendet erklärt hatte – für Tirzepatid Ende 2024, für Semaglutid Anfang 2025 –, liefen die Übergangsfristen für Kopien der zugelassenen Präparate im Lauf des Jahres 2025 aus. Erlaubt sind seither nur noch Zubereitungen, die sich von den zugelassenen Präparaten unterscheiden. Eine Analyse fand 33 solcher Produkte, darunter Mischungen mit Vitamin B12, Glycin oder einem Abführmittel sowie Tropfen und Schmelztabletten, deren Nutzen und Sicherheit weitgehend unbekannt sind</w:t>
      </w:r>
      <w:r>
        <w:rPr>
          <w:rStyle w:val="FootnoteReference"/>
        </w:rPr>
        <w:footnoteReference w:id="2914"/>
      </w:r>
      <w:r>
        <w:t xml:space="preserve">. Ein Labor fand in Tirzepatid-B12-Mischungen verschiedener Anbieter eine bisher unbekannte Verunreinigung, die durch eine chemische Reaktion zwischen Tirzepatid und bestimmten B12-Formen entsteht; welche Folgen sie für die Gesundheit hat, ist unbekannt</w:t>
      </w:r>
      <w:r>
        <w:rPr>
          <w:rStyle w:val="FootnoteReference"/>
        </w:rPr>
        <w:footnoteReference w:id="2915"/>
      </w:r>
      <w:r>
        <w:t xml:space="preserve">.</w:t>
      </w:r>
    </w:p>
    <w:p>
      <w:pPr>
        <w:pStyle w:val="BodyText"/>
      </w:pPr>
      <w:r>
        <w:t xml:space="preserve">Das Compounding ist damit nicht verschwunden, sondern hat sich in eine Nische verschoben, in der „personalisierte“ Zusätze die rechtliche Grundlage liefern. In Europa gibt es kein vergleichbares System.</w:t>
      </w:r>
    </w:p>
    <w:bookmarkEnd w:id="2916"/>
    <w:bookmarkStart w:id="2919" w:name="versorgungsengpässe"/>
    <w:p>
      <w:pPr>
        <w:pStyle w:val="Heading3"/>
      </w:pPr>
      <w:r>
        <w:t xml:space="preserve">Versorgungsengpässe</w:t>
      </w:r>
    </w:p>
    <w:p>
      <w:pPr>
        <w:pStyle w:val="FirstParagraph"/>
      </w:pPr>
      <w:r>
        <w:t xml:space="preserve">Ab 2022 überstieg die Nachfrage nach Semaglutid und später Tirzepatid die Produktion. Menschen mit Typ-2-Diabetes bekamen ihre Medikamente zeitweise nicht. In Deutschland und Österreich riefen Behörden und Fachgesellschaften dazu auf, Ozempic Menschen mit Typ-2-Diabetes vorzubehalten und nicht zur reinen Gewichtsabnahme zu verordnen.</w:t>
      </w:r>
    </w:p>
    <w:p>
      <w:pPr>
        <w:pStyle w:val="BodyText"/>
      </w:pPr>
      <w:r>
        <w:t xml:space="preserve">Wie groß war der Anteil der Verordnungen außerhalb der Zulassung? Eine landesweite Registerstudie aus Dänemark gibt eine Antwort. Die Zahl der neuen Ozempic-Anwendenden stieg ab 2022 stark an, auf einen Höchstwert von 10 je 1.000 Erwachsenen und Jahr Anfang 2023. Im Jahr 2022 hatte ein Drittel der neuen Anwendenden keinen dokumentierten Typ-2-Diabetes; 2023 sank dieser Anteil wieder. Die Autorinnen und Autoren folgern, dass Verordnungen zur Gewichtsabnahme nur einen kleineren Teil des Engpasses erklären</w:t>
      </w:r>
      <w:r>
        <w:rPr>
          <w:rStyle w:val="FootnoteReference"/>
        </w:rPr>
        <w:footnoteReference w:id="2917"/>
      </w:r>
      <w:r>
        <w:t xml:space="preserve">.</w:t>
      </w:r>
    </w:p>
    <w:p>
      <w:pPr>
        <w:pStyle w:val="BodyText"/>
      </w:pPr>
      <w:r>
        <w:t xml:space="preserve">Engpässe haben direkte Folgen für die Behandlung. In einer US-Untersuchung von 288 Menschen, die Semaglutid oder Tirzepatid zur Gewichtsabnahme innerhalb des ersten Jahres absetzten, nannten 11,8 % Lieferengpässe als Hauptgrund. Am häufigsten waren aber Kosten- oder Versicherungsprobleme (47,6 %), gefolgt von Nebenwirkungen (14,6 %); 2,4 % wechselten zu einem Apothekenpräparat</w:t>
      </w:r>
      <w:r>
        <w:rPr>
          <w:rStyle w:val="FootnoteReference"/>
        </w:rPr>
        <w:footnoteReference w:id="2918"/>
      </w:r>
      <w:r>
        <w:t xml:space="preserve">.</w:t>
      </w:r>
    </w:p>
    <w:p>
      <w:pPr>
        <w:pStyle w:val="BodyText"/>
      </w:pPr>
      <w:r>
        <w:t xml:space="preserve">Die Hersteller haben ihre Produktionskapazitäten seither stark ausgebaut, und die offiziellen Engpässe gelten in den USA als beendet. In Europa ist die Lage je nach Präparat und Land unterschiedlich.</w:t>
      </w:r>
    </w:p>
    <w:bookmarkEnd w:id="2919"/>
    <w:bookmarkStart w:id="2924" w:name="preise-was-ist-ein-abnehmmedikament-wert"/>
    <w:p>
      <w:pPr>
        <w:pStyle w:val="Heading3"/>
      </w:pPr>
      <w:r>
        <w:t xml:space="preserve">Preise: Was ist ein Abnehmmedikament wert?</w:t>
      </w:r>
    </w:p>
    <w:p>
      <w:pPr>
        <w:pStyle w:val="FirstParagraph"/>
      </w:pPr>
      <w:r>
        <w:t xml:space="preserve">In den USA liegen die Listenpreise für GLP-1-Medikamente deutlich höher als in Europa. Gesundheitsökonomische Arbeiten aus den USA fragen deshalb, ob der Nutzen den Preis rechtfertigt:</w:t>
      </w:r>
    </w:p>
    <w:p>
      <w:pPr>
        <w:numPr>
          <w:ilvl w:val="0"/>
          <w:numId w:val="1364"/>
        </w:numPr>
        <w:pStyle w:val="Compact"/>
      </w:pPr>
      <w:r>
        <w:t xml:space="preserve">Eine Modellrechnung für US-Erwachsene ergab, dass Tirzepatid und Semaglutid über die Lebenszeit zwar viele Fälle von Diabetes und Herz-Kreislauf-Erkrankungen verhindern würden, zu den damaligen Nettopreisen aber nicht kosteneffektiv waren. Um eine übliche Schwelle zu erreichen, hätten die Preise um weitere 30,5 % (Tirzepatid) bzw. 81,9 % (Semaglutid) sinken müssen</w:t>
      </w:r>
      <w:r>
        <w:rPr>
          <w:rStyle w:val="FootnoteReference"/>
        </w:rPr>
        <w:footnoteReference w:id="2920"/>
      </w:r>
      <w:r>
        <w:t xml:space="preserve">.</w:t>
      </w:r>
    </w:p>
    <w:p>
      <w:pPr>
        <w:numPr>
          <w:ilvl w:val="0"/>
          <w:numId w:val="1364"/>
        </w:numPr>
        <w:pStyle w:val="Compact"/>
      </w:pPr>
      <w:r>
        <w:t xml:space="preserve">Eine Meta-Analyse von neun gesundheitsökonomischen Studien aus Ländern mit hohem Einkommen kam zu dem Schluss, dass GLP-1-Rezeptor-Agonisten zur Behandlung von Adipositas ohne Diabetes aus Sicht der Kostenträger im Allgemeinen nicht kosteneffektiv sind; in Untergruppen und über längere Zeiträume könne das anders sein</w:t>
      </w:r>
      <w:r>
        <w:rPr>
          <w:rStyle w:val="FootnoteReference"/>
        </w:rPr>
        <w:footnoteReference w:id="2921"/>
      </w:r>
      <w:r>
        <w:t xml:space="preserve">.</w:t>
      </w:r>
    </w:p>
    <w:p>
      <w:pPr>
        <w:numPr>
          <w:ilvl w:val="0"/>
          <w:numId w:val="1364"/>
        </w:numPr>
        <w:pStyle w:val="Compact"/>
      </w:pPr>
      <w:r>
        <w:t xml:space="preserve">Für Menschen ohne Diabetes, die bereits einen Herzinfarkt oder Schlaganfall hatten, fiel eine Modellrechnung günstiger aus: Zu dem Preis, den Selbstzahlende in den USA zum Zeitpunkt der Analyse zahlten, wäre Semaglutid in dieser Gruppe kosteneffektiv</w:t>
      </w:r>
      <w:r>
        <w:rPr>
          <w:rStyle w:val="FootnoteReference"/>
        </w:rPr>
        <w:footnoteReference w:id="2922"/>
      </w:r>
      <w:r>
        <w:t xml:space="preserve">.</w:t>
      </w:r>
    </w:p>
    <w:p>
      <w:pPr>
        <w:pStyle w:val="FirstParagraph"/>
      </w:pPr>
      <w:r>
        <w:t xml:space="preserve">Solche Berechnungen hängen stark von Preisannahmen ab, und die Preise bewegen sich. In den USA haben die Hersteller seit 2025 deutlich günstigere Direktangebote für Selbstzahlende eingeführt und mit der Regierung Preisvereinbarungen getroffen; Semaglutid ist außerdem Gegenstand der staatlichen Preisverhandlungen für das Rentnerprogramm Medicare. Wie stark die Kostenübernahme die Nutzung beeinflusst, zeigt eine US-Auswertung: Nachdem Wegovy im März 2024 für die Senkung des Herz-Kreislauf-Risikos zugelassen und von Medicare für diese Anwendung übernommen wurde, stieg die Zahl der über Medicare abgegebenen Wegovy-Packungen relativ um 598,1 %</w:t>
      </w:r>
      <w:r>
        <w:rPr>
          <w:rStyle w:val="FootnoteReference"/>
        </w:rPr>
        <w:footnoteReference w:id="2923"/>
      </w:r>
      <w:r>
        <w:t xml:space="preserve">.</w:t>
      </w:r>
    </w:p>
    <w:p>
      <w:pPr>
        <w:pStyle w:val="BodyText"/>
      </w:pPr>
      <w:r>
        <w:rPr>
          <w:bCs/>
          <w:b/>
        </w:rPr>
        <w:t xml:space="preserve">Einschätzung des Autors:</w:t>
      </w:r>
      <w:r>
        <w:t xml:space="preserve"> </w:t>
      </w:r>
      <w:r>
        <w:t xml:space="preserve">Die Preise für GLP-1-basierte Medikamente werden in den nächsten Jahren sinken – durch Generika älterer Wirkstoffe, durch Konkurrenz zwischen den Herstellern, durch Tabletten aus kleinen Molekülen und durch politischen Druck. Am stärksten wird das in Ländern mit frühem Patentablauf spürbar sein. In der EU dürfte der große Preissprung erst mit Semaglutid-Generika Anfang der 2030er-Jahre kommen.</w:t>
      </w:r>
    </w:p>
    <w:bookmarkEnd w:id="2924"/>
    <w:bookmarkStart w:id="2925" w:name="Xaab953e09853232dcf6bdde17975c9ae4fb27d2"/>
    <w:p>
      <w:pPr>
        <w:pStyle w:val="Heading3"/>
      </w:pPr>
      <w:r>
        <w:t xml:space="preserve">Kostenerstattung in Deutschland und Österreich</w:t>
      </w:r>
    </w:p>
    <w:p>
      <w:pPr>
        <w:pStyle w:val="FirstParagraph"/>
      </w:pPr>
      <w:r>
        <w:rPr>
          <w:bCs/>
          <w:b/>
        </w:rPr>
        <w:t xml:space="preserve">Deutschland:</w:t>
      </w:r>
      <w:r>
        <w:t xml:space="preserve"> </w:t>
      </w:r>
      <w:r>
        <w:t xml:space="preserve">Bei Typ-2-Diabetes übernimmt die gesetzliche Krankenversicherung die Kosten für zugelassene GLP-1-Medikamente wie Ozempic, Rybelsus, Trulicity oder Mounjaro im Rahmen der Zulassung. Arzneimittel, die überwiegend der Gewichtsreduktion dienen, sind dagegen nach § 34 SGB V von der Erstattung ausgeschlossen; Wegovy, Saxenda und Mounjaro zum Gewichtsmanagement müssen gesetzlich Versicherte daher in der Regel selbst bezahlen. Ob diese Regel für Menschen mit hohem Herz-Kreislauf-Risiko geändert wird, wird politisch und in der Selbstverwaltung diskutiert. Private Krankenversicherungen entscheiden nach ihren eigenen Tarifbedingungen.</w:t>
      </w:r>
    </w:p>
    <w:p>
      <w:pPr>
        <w:pStyle w:val="BodyText"/>
      </w:pPr>
      <w:r>
        <w:rPr>
          <w:bCs/>
          <w:b/>
        </w:rPr>
        <w:t xml:space="preserve">Österreich:</w:t>
      </w:r>
      <w:r>
        <w:t xml:space="preserve"> </w:t>
      </w:r>
      <w:r>
        <w:t xml:space="preserve">Für Typ-2-Diabetes sind GLP-1-Medikamente erstattungsfähig, die Übernahme ist aber teils an Bedingungen oder eine Bewilligung durch die Krankenkasse geknüpft. Für das reine Gewichtsmanagement werden die Kosten in der Regel nicht oder nur in Ausnahmefällen übernommen.</w:t>
      </w:r>
    </w:p>
    <w:p>
      <w:pPr>
        <w:pStyle w:val="BodyText"/>
      </w:pPr>
      <w:r>
        <w:t xml:space="preserve">In beiden Ländern gilt: Ob eine Behandlung erstattet wird, hängt vom Anwendungsgebiet, von den Befunden und von der aktuellen Rechtslage ab. Die behandelnde Ärztin oder der behandelnde Arzt und die Krankenkasse sind die richtigen Ansprechpartner. Eine Verordnung zur Gewichtsabnahme mit einem Präparat, das nur für Diabetes zugelassen ist, ist eine Anwendung außerhalb der Zulassung und wird nicht erstattet.</w:t>
      </w:r>
    </w:p>
    <w:bookmarkEnd w:id="2925"/>
    <w:bookmarkStart w:id="2927" w:name="Xfc93a588f03f31cfc7e49f10718a25dd5ab5ccd"/>
    <w:p>
      <w:pPr>
        <w:pStyle w:val="Heading3"/>
      </w:pPr>
      <w:r>
        <w:t xml:space="preserve">Was das für Patientinnen und Patienten bedeutet</w:t>
      </w:r>
    </w:p>
    <w:p>
      <w:pPr>
        <w:numPr>
          <w:ilvl w:val="0"/>
          <w:numId w:val="1365"/>
        </w:numPr>
        <w:pStyle w:val="Compact"/>
      </w:pPr>
      <w:r>
        <w:rPr>
          <w:bCs/>
          <w:b/>
        </w:rPr>
        <w:t xml:space="preserve">Günstiger heißt nicht Graumarkt.</w:t>
      </w:r>
      <w:r>
        <w:t xml:space="preserve"> </w:t>
      </w:r>
      <w:r>
        <w:t xml:space="preserve">Mit dem Patentablauf in anderen Ländern werden Angebote zunehmen, die sich auf „Generika“ berufen. Für Österreich und Deutschland sind nur hier zugelassene Präparate aus Apotheken geprüfte Arzneimittel.</w:t>
      </w:r>
    </w:p>
    <w:p>
      <w:pPr>
        <w:numPr>
          <w:ilvl w:val="0"/>
          <w:numId w:val="1365"/>
        </w:numPr>
        <w:pStyle w:val="Compact"/>
      </w:pPr>
      <w:r>
        <w:rPr>
          <w:bCs/>
          <w:b/>
        </w:rPr>
        <w:t xml:space="preserve">Absetzen aus Kostengründen ist häufig – und hat Folgen.</w:t>
      </w:r>
      <w:r>
        <w:t xml:space="preserve"> </w:t>
      </w:r>
      <w:r>
        <w:t xml:space="preserve">In der STEP-1-Verlängerung nahmen Teilnehmende ein Jahr nach dem Absetzen von Semaglutid im Mittel zwei Drittel ihres Gewichtsverlusts wieder zu, und die Verbesserungen bei Blutdruck und Blutwerten bildeten sich weitgehend zurück</w:t>
      </w:r>
      <w:r>
        <w:rPr>
          <w:rStyle w:val="FootnoteReference"/>
        </w:rPr>
        <w:footnoteReference w:id="2926"/>
      </w:r>
      <w:r>
        <w:t xml:space="preserve">. Wer aus Kostengründen über ein Absetzen nachdenkt, sollte das ärztlich besprechen.</w:t>
      </w:r>
    </w:p>
    <w:p>
      <w:pPr>
        <w:numPr>
          <w:ilvl w:val="0"/>
          <w:numId w:val="1365"/>
        </w:numPr>
        <w:pStyle w:val="Compact"/>
      </w:pPr>
      <w:r>
        <w:rPr>
          <w:bCs/>
          <w:b/>
        </w:rPr>
        <w:t xml:space="preserve">Ältere Wirkstoffe sind nicht wertlos.</w:t>
      </w:r>
      <w:r>
        <w:t xml:space="preserve"> </w:t>
      </w:r>
      <w:r>
        <w:t xml:space="preserve">Liraglutid oder Dulaglutid sind gut untersucht und haben bei Typ-2-Diabetes einen belegten Herz-Kreislauf-Nutzen. Welcher Wirkstoff im Einzelfall infrage kommt, ist eine ärztliche Entscheidung.</w:t>
      </w:r>
    </w:p>
    <w:bookmarkEnd w:id="2927"/>
    <w:bookmarkStart w:id="2928" w:name="das-wichtigste-in-kürze-10"/>
    <w:p>
      <w:pPr>
        <w:pStyle w:val="Heading3"/>
      </w:pPr>
      <w:r>
        <w:t xml:space="preserve">Das Wichtigste in Kürze</w:t>
      </w:r>
    </w:p>
    <w:p>
      <w:pPr>
        <w:numPr>
          <w:ilvl w:val="0"/>
          <w:numId w:val="1366"/>
        </w:numPr>
        <w:pStyle w:val="Compact"/>
      </w:pPr>
      <w:r>
        <w:t xml:space="preserve">2026 endet der Patentschutz für Semaglutid in Ländern, in denen fast die Hälfte der Menschen mit Adipositas lebt. Generika könnten dort einen Bruchteil heutiger Preise kosten; in der EU und den USA wird erst um 2031/2032 damit gerechnet (bitte prüfen).</w:t>
      </w:r>
    </w:p>
    <w:p>
      <w:pPr>
        <w:numPr>
          <w:ilvl w:val="0"/>
          <w:numId w:val="1366"/>
        </w:numPr>
        <w:pStyle w:val="Compact"/>
      </w:pPr>
      <w:r>
        <w:t xml:space="preserve">Für Liraglutid gibt es bereits Generika; Tirzepatid und alle neueren Wirkstoffe bleiben voraussichtlich bis weit in die 2030er-Jahre patentgeschützt.</w:t>
      </w:r>
    </w:p>
    <w:p>
      <w:pPr>
        <w:numPr>
          <w:ilvl w:val="0"/>
          <w:numId w:val="1366"/>
        </w:numPr>
        <w:pStyle w:val="Compact"/>
      </w:pPr>
      <w:r>
        <w:t xml:space="preserve">Das US-Compounding mit Kopien zugelassener Präparate ist nach dem Ende der Engpässe weitgehend beendet; übrig sind abgewandelte Zubereitungen mit ungeprüften Zusätzen.</w:t>
      </w:r>
    </w:p>
    <w:p>
      <w:pPr>
        <w:numPr>
          <w:ilvl w:val="0"/>
          <w:numId w:val="1366"/>
        </w:numPr>
        <w:pStyle w:val="Compact"/>
      </w:pPr>
      <w:r>
        <w:t xml:space="preserve">Kosten sind in Studien der häufigste Grund, eine Behandlung abzubrechen. In Deutschland sind Abnehmmedikamente von der Erstattung ausgeschlossen, in Österreich wird nur eingeschränkt erstattet.</w:t>
      </w:r>
    </w:p>
    <w:bookmarkEnd w:id="2928"/>
    <w:bookmarkEnd w:id="2929"/>
    <w:bookmarkStart w:id="2975" w:name="prognosen-2030-bis-2035"/>
    <w:p>
      <w:pPr>
        <w:pStyle w:val="Heading2"/>
      </w:pPr>
      <w:r>
        <w:t xml:space="preserve">Prognosen 2030 bis 2035</w:t>
      </w:r>
    </w:p>
    <w:p>
      <w:pPr>
        <w:pStyle w:val="FirstParagraph"/>
      </w:pPr>
      <w:r>
        <w:t xml:space="preserve">Vorhersagen in der Medizin haben eine schlechte Erfolgsbilanz. Auch dieses Buch kennt Beispiele: Tierversuche und Beobachtungsdaten ließen hoffen, dass GLP-1-Medikamente den geistigen Abbau bei Alzheimer bremsen. In den beiden Phase-3-Studien evoke und evoke+ mit zusammen 3.808 Teilnehmenden schritt die Erkrankung unter Semaglutid-Tabletten jedoch genauso schnell voran wie unter Placebo</w:t>
      </w:r>
      <w:r>
        <w:rPr>
          <w:rStyle w:val="FootnoteReference"/>
        </w:rPr>
        <w:footnoteReference w:id="2930"/>
      </w:r>
      <w:r>
        <w:t xml:space="preserve">. Bei Parkinson fand die Phase-3-Studie Exenatide-PD3 mit 194 Teilnehmenden keinen Hinweis, dass Exenatid das Fortschreiten verlangsamt</w:t>
      </w:r>
      <w:r>
        <w:rPr>
          <w:rStyle w:val="FootnoteReference"/>
        </w:rPr>
        <w:footnoteReference w:id="2931"/>
      </w:r>
      <w:r>
        <w:t xml:space="preserve">.</w:t>
      </w:r>
    </w:p>
    <w:p>
      <w:pPr>
        <w:pStyle w:val="BodyText"/>
      </w:pPr>
      <w:r>
        <w:t xml:space="preserve">Dieses Kapitel trennt deshalb in jedem Abschnitt streng:</w:t>
      </w:r>
    </w:p>
    <w:p>
      <w:pPr>
        <w:numPr>
          <w:ilvl w:val="0"/>
          <w:numId w:val="1367"/>
        </w:numPr>
        <w:pStyle w:val="Compact"/>
      </w:pPr>
      <w:r>
        <w:rPr>
          <w:bCs/>
          <w:b/>
        </w:rPr>
        <w:t xml:space="preserve">Gesichert:</w:t>
      </w:r>
      <w:r>
        <w:t xml:space="preserve"> </w:t>
      </w:r>
      <w:r>
        <w:t xml:space="preserve">was in Studienregistern eingetragen ist (mit geplantem Enddatum), was in begutachteten Studien veröffentlicht ist und was Behörden beschlossen haben. Auch Gesichertes kann sich ändern – Enddaten verschieben sich, Studien werden abgebrochen.</w:t>
      </w:r>
    </w:p>
    <w:p>
      <w:pPr>
        <w:numPr>
          <w:ilvl w:val="0"/>
          <w:numId w:val="1367"/>
        </w:numPr>
        <w:pStyle w:val="Compact"/>
      </w:pPr>
      <w:r>
        <w:rPr>
          <w:bCs/>
          <w:b/>
        </w:rPr>
        <w:t xml:space="preserve">Einschätzung des Autors:</w:t>
      </w:r>
      <w:r>
        <w:t xml:space="preserve"> </w:t>
      </w:r>
      <w:r>
        <w:t xml:space="preserve">eine begründete Erwartung, die falsch sein kann. Sie ist als solche gekennzeichnet und wird jeweils begründet.</w:t>
      </w:r>
    </w:p>
    <w:p>
      <w:pPr>
        <w:pStyle w:val="FirstParagraph"/>
      </w:pPr>
      <w:r>
        <w:t xml:space="preserve">Die Registerdaten geben den Stand von Oktober 2026 wieder.</w:t>
      </w:r>
    </w:p>
    <w:bookmarkStart w:id="2941" w:name="gruppe-a-stoffwechsel-und-gewicht"/>
    <w:p>
      <w:pPr>
        <w:pStyle w:val="Heading3"/>
      </w:pPr>
      <w:r>
        <w:t xml:space="preserve">Gruppe A – Stoffwechsel und Gewicht</w:t>
      </w:r>
    </w:p>
    <w:p>
      <w:pPr>
        <w:pStyle w:val="FirstParagraph"/>
      </w:pPr>
      <w:r>
        <w:rPr>
          <w:bCs/>
          <w:b/>
        </w:rPr>
        <w:t xml:space="preserve">Gesichert:</w:t>
      </w:r>
    </w:p>
    <w:p>
      <w:pPr>
        <w:numPr>
          <w:ilvl w:val="0"/>
          <w:numId w:val="1368"/>
        </w:numPr>
        <w:pStyle w:val="Compact"/>
      </w:pPr>
      <w:r>
        <w:t xml:space="preserve">Bis 2032 enden mindestens neun große Endpunkt- und Leberstudien: SURMOUNT-MMO zu Tirzepatid</w:t>
      </w:r>
      <w:r>
        <w:rPr>
          <w:rStyle w:val="FootnoteReference"/>
        </w:rPr>
        <w:footnoteReference w:id="2932"/>
      </w:r>
      <w:r>
        <w:t xml:space="preserve"> </w:t>
      </w:r>
      <w:r>
        <w:t xml:space="preserve">und REDEFINE 3 zu CagriSema</w:t>
      </w:r>
      <w:r>
        <w:rPr>
          <w:rStyle w:val="FootnoteReference"/>
        </w:rPr>
        <w:footnoteReference w:id="2933"/>
      </w:r>
      <w:r>
        <w:t xml:space="preserve"> </w:t>
      </w:r>
      <w:r>
        <w:t xml:space="preserve">im Jahr 2027, TRIUMPH-Outcomes zu Retatrutid</w:t>
      </w:r>
      <w:r>
        <w:rPr>
          <w:rStyle w:val="FootnoteReference"/>
        </w:rPr>
        <w:footnoteReference w:id="2934"/>
      </w:r>
      <w:r>
        <w:t xml:space="preserve"> </w:t>
      </w:r>
      <w:r>
        <w:t xml:space="preserve">und LIVERAGE-Cirrhosis zu Survodutid</w:t>
      </w:r>
      <w:r>
        <w:rPr>
          <w:rStyle w:val="FootnoteReference"/>
        </w:rPr>
        <w:footnoteReference w:id="2935"/>
      </w:r>
      <w:r>
        <w:t xml:space="preserve"> </w:t>
      </w:r>
      <w:r>
        <w:t xml:space="preserve">im Jahr 2029, MARITIME-CV und MARITIME-HF zu Maridebart Cafraglutid</w:t>
      </w:r>
      <w:r>
        <w:rPr>
          <w:rStyle w:val="FootnoteReference"/>
        </w:rPr>
        <w:footnoteReference w:id="2936"/>
      </w:r>
      <w:r>
        <w:t xml:space="preserve"> </w:t>
      </w:r>
      <w:r>
        <w:t xml:space="preserve">sowie AMBIENCE zu Zenagamtid</w:t>
      </w:r>
      <w:r>
        <w:rPr>
          <w:rStyle w:val="FootnoteReference"/>
        </w:rPr>
        <w:footnoteReference w:id="2937"/>
      </w:r>
      <w:r>
        <w:t xml:space="preserve"> </w:t>
      </w:r>
      <w:r>
        <w:t xml:space="preserve">im Jahr 2030, ATTAIN-Outcomes zu Orforglipron</w:t>
      </w:r>
      <w:r>
        <w:rPr>
          <w:rStyle w:val="FootnoteReference"/>
        </w:rPr>
        <w:footnoteReference w:id="2938"/>
      </w:r>
      <w:r>
        <w:t xml:space="preserve"> </w:t>
      </w:r>
      <w:r>
        <w:t xml:space="preserve">im Jahr 2031 und SYNERGY-Outcomes zu Tirzepatid und Retatrutid</w:t>
      </w:r>
      <w:r>
        <w:rPr>
          <w:rStyle w:val="FootnoteReference"/>
        </w:rPr>
        <w:footnoteReference w:id="2939"/>
      </w:r>
      <w:r>
        <w:t xml:space="preserve"> </w:t>
      </w:r>
      <w:r>
        <w:t xml:space="preserve">im Jahr 2032.</w:t>
      </w:r>
    </w:p>
    <w:p>
      <w:pPr>
        <w:numPr>
          <w:ilvl w:val="0"/>
          <w:numId w:val="1368"/>
        </w:numPr>
        <w:pStyle w:val="Compact"/>
      </w:pPr>
      <w:r>
        <w:t xml:space="preserve">Reine Amylin-Wirkstoffe sind in Phase 3: Eloralintide (ENLIGHTEN-1, NCT07321886, Ende 2030) und Petrelintide (ZUPREME-3, NCT07843498, Ende 2029).</w:t>
      </w:r>
    </w:p>
    <w:p>
      <w:pPr>
        <w:numPr>
          <w:ilvl w:val="0"/>
          <w:numId w:val="1368"/>
        </w:numPr>
        <w:pStyle w:val="Compact"/>
      </w:pPr>
      <w:r>
        <w:t xml:space="preserve">Für CagriSema und Orforglipron sind nach den jeweiligen Kapiteln Zulassungsanträge gestellt oder angekündigt; für Retatrutid werden sie nach Abschluss von TRIUMPH-1 und TRIUMPH-2 erwartet (Stand Oktober 2026, bitte prüfen).</w:t>
      </w:r>
    </w:p>
    <w:p>
      <w:pPr>
        <w:numPr>
          <w:ilvl w:val="0"/>
          <w:numId w:val="1368"/>
        </w:numPr>
        <w:pStyle w:val="Compact"/>
      </w:pPr>
      <w:r>
        <w:t xml:space="preserve">In zwölf Ländern endet 2026 der Patentschutz für Semaglutid, darunter große Märkte außerhalb von EU und USA</w:t>
      </w:r>
      <w:r>
        <w:rPr>
          <w:rStyle w:val="FootnoteReference"/>
        </w:rPr>
        <w:footnoteReference w:id="2940"/>
      </w:r>
      <w:r>
        <w:t xml:space="preserve">. In der EU und den USA wird mit Generika um 2031/2032 gerechnet.</w:t>
      </w:r>
    </w:p>
    <w:p>
      <w:pPr>
        <w:pStyle w:val="FirstParagraph"/>
      </w:pPr>
      <w:r>
        <w:rPr>
          <w:bCs/>
          <w:b/>
        </w:rPr>
        <w:t xml:space="preserve">Einschätzung des Autors:</w:t>
      </w:r>
      <w:r>
        <w:t xml:space="preserve"> </w:t>
      </w:r>
      <w:r>
        <w:t xml:space="preserve">Bis 2030 werden in der EU voraussichtlich mehrere neue Wirkstoffklassen zugelassen sein – mindestens eine Amylin-Kombination, ein Dreifach-Agonist und ein kleines Molekül als Tablette. Begründung: Die Phase-3-Programme sind weit fortgeschritten, die bisher veröffentlichten Ergebnisse sind klar positiv, und die Hersteller haben Zulassungsanträge gestellt oder angekündigt. Ein mittlerer Gewichtsverlust von 20 bis 25 % in Studien dürfte dann nicht mehr die Ausnahme sein. Wichtiger als ein neuer Rekord wird aber die Frage, welcher Wirkstoff zu welcher Person passt: wer vor allem Herzschutz braucht, wer eine Fettleber hat, wer Spritzen meiden will, wer Nebenwirkungen schlecht verträgt. Zwischen 2030 und 2035 rechne ich mit deutlich sinkenden Preisen für Semaglutid in Europa durch Generika, während die neuesten Wirkstoffe teuer bleiben. Das Risiko einer Zwei-Klassen-Versorgung – die stärksten Mittel für Selbstzahlende, ältere Mittel für alle anderen – halte ich für real.</w:t>
      </w:r>
    </w:p>
    <w:bookmarkEnd w:id="2941"/>
    <w:bookmarkStart w:id="2944" w:name="X31825aa7844903dcc0f309843def9a84c4bfe78"/>
    <w:p>
      <w:pPr>
        <w:pStyle w:val="Heading3"/>
      </w:pPr>
      <w:r>
        <w:t xml:space="preserve">Gruppe B – Heilung, Regeneration und Immunsystem</w:t>
      </w:r>
    </w:p>
    <w:p>
      <w:pPr>
        <w:pStyle w:val="FirstParagraph"/>
      </w:pPr>
      <w:r>
        <w:rPr>
          <w:bCs/>
          <w:b/>
        </w:rPr>
        <w:t xml:space="preserve">Gesichert:</w:t>
      </w:r>
    </w:p>
    <w:p>
      <w:pPr>
        <w:numPr>
          <w:ilvl w:val="0"/>
          <w:numId w:val="1369"/>
        </w:numPr>
        <w:pStyle w:val="Compact"/>
      </w:pPr>
      <w:r>
        <w:t xml:space="preserve">Die Phase-3-Studie zu Thymosin Alpha-1 nach Darmkrebsoperation mit 2.500 Teilnehmenden soll im März 2027 enden</w:t>
      </w:r>
      <w:r>
        <w:rPr>
          <w:rStyle w:val="FootnoteReference"/>
        </w:rPr>
        <w:footnoteReference w:id="2942"/>
      </w:r>
      <w:r>
        <w:t xml:space="preserve">.</w:t>
      </w:r>
    </w:p>
    <w:p>
      <w:pPr>
        <w:numPr>
          <w:ilvl w:val="0"/>
          <w:numId w:val="1369"/>
        </w:numPr>
        <w:pStyle w:val="Compact"/>
      </w:pPr>
      <w:r>
        <w:t xml:space="preserve">Die Phase-3-Studie SEER-2 mit Thymosin-Beta-4-Augentropfen bei neurotropher Keratopathie war laut Register im Mai 2026 beendet; Ergebnisse lagen im Oktober 2026 nicht vor</w:t>
      </w:r>
      <w:r>
        <w:rPr>
          <w:rStyle w:val="FootnoteReference"/>
        </w:rPr>
        <w:footnoteReference w:id="2943"/>
      </w:r>
      <w:r>
        <w:t xml:space="preserve">.</w:t>
      </w:r>
    </w:p>
    <w:p>
      <w:pPr>
        <w:numPr>
          <w:ilvl w:val="0"/>
          <w:numId w:val="1369"/>
        </w:numPr>
        <w:pStyle w:val="Compact"/>
      </w:pPr>
      <w:r>
        <w:t xml:space="preserve">Eine chinesische Phase-2-Studie mit rekombinantem Thymosin Beta-4 nach Herzinfarkt ist geplant (NCT07586865, 189 Teilnehmende, Ende Mai 2028).</w:t>
      </w:r>
    </w:p>
    <w:p>
      <w:pPr>
        <w:numPr>
          <w:ilvl w:val="0"/>
          <w:numId w:val="1369"/>
        </w:numPr>
        <w:pStyle w:val="Compact"/>
      </w:pPr>
      <w:r>
        <w:t xml:space="preserve">Für BPC-157 ist eine kleine randomisierte Studie mit 30 Teilnehmenden nach Schulteroperationen registriert, die noch nicht begonnen hat (NCT07803250, Ende geplant August 2027).</w:t>
      </w:r>
    </w:p>
    <w:p>
      <w:pPr>
        <w:pStyle w:val="FirstParagraph"/>
      </w:pPr>
      <w:r>
        <w:rPr>
          <w:bCs/>
          <w:b/>
        </w:rPr>
        <w:t xml:space="preserve">Einschätzung des Autors:</w:t>
      </w:r>
      <w:r>
        <w:t xml:space="preserve"> </w:t>
      </w:r>
      <w:r>
        <w:t xml:space="preserve">Bis 2035 halte ich eine Zulassung von BPC-157, TB-500 oder KPV in der EU für sehr unwahrscheinlich. Begründung: Es gibt keine Phase-2- oder Phase-3-Programme, keinen Hersteller mit erkennbarem Zulassungsinteresse, und selbst ein positives Ergebnis der kleinen Schulterstudie wäre nur ein erster Hinweis. Realistischer ist eine Nischenzulassung für Thymosin-Beta-4-Augentropfen bei einer seltenen Hornhauterkrankung, sofern SEER-2 positiv ausfällt. Thymosin Alpha-1 könnte in China eine größere Rolle in der Krebsnachsorge spielen, wenn die Darmkrebsstudie positiv ist – wegen der fehlenden Doppelverblindung aber mit Vorbehalt.</w:t>
      </w:r>
    </w:p>
    <w:bookmarkEnd w:id="2944"/>
    <w:bookmarkStart w:id="2946" w:name="gruppe-c-wachstumshormon-achse"/>
    <w:p>
      <w:pPr>
        <w:pStyle w:val="Heading3"/>
      </w:pPr>
      <w:r>
        <w:t xml:space="preserve">Gruppe C – Wachstumshormon-Achse</w:t>
      </w:r>
    </w:p>
    <w:p>
      <w:pPr>
        <w:pStyle w:val="FirstParagraph"/>
      </w:pPr>
      <w:r>
        <w:rPr>
          <w:bCs/>
          <w:b/>
        </w:rPr>
        <w:t xml:space="preserve">Gesichert:</w:t>
      </w:r>
    </w:p>
    <w:p>
      <w:pPr>
        <w:numPr>
          <w:ilvl w:val="0"/>
          <w:numId w:val="1370"/>
        </w:numPr>
        <w:pStyle w:val="Compact"/>
      </w:pPr>
      <w:r>
        <w:t xml:space="preserve">Ibutamoren (kein Peptid) wird als LUM-201 in einer Phase-3-Studie mit 150 Kindern mit Wachstumshormonmangel geprüft (NCT06948214, Ende Januar 2028). Eine Phase-2-Studie mit 202 älteren Menschen mit Adipositas soll LUM-201 zusätzlich zu Semaglutid untersuchen (NCT07754045, Ende Februar 2028).</w:t>
      </w:r>
    </w:p>
    <w:p>
      <w:pPr>
        <w:numPr>
          <w:ilvl w:val="0"/>
          <w:numId w:val="1370"/>
        </w:numPr>
        <w:pStyle w:val="Compact"/>
      </w:pPr>
      <w:r>
        <w:t xml:space="preserve">Das Langzeitregister zu Mecasermin läuft bis Ende 2027</w:t>
      </w:r>
      <w:r>
        <w:rPr>
          <w:rStyle w:val="FootnoteReference"/>
        </w:rPr>
        <w:footnoteReference w:id="2945"/>
      </w:r>
      <w:r>
        <w:t xml:space="preserve">.</w:t>
      </w:r>
    </w:p>
    <w:p>
      <w:pPr>
        <w:numPr>
          <w:ilvl w:val="0"/>
          <w:numId w:val="1370"/>
        </w:numPr>
        <w:pStyle w:val="Compact"/>
      </w:pPr>
      <w:r>
        <w:t xml:space="preserve">Für Sermorelin, CJC-1295, Ipamorelin, GHRP-2, GHRP-6, Hexarelin und IGF-1 LR3 ist keine laufende Studie registriert (siehe jeweilige Kapitel).</w:t>
      </w:r>
    </w:p>
    <w:p>
      <w:pPr>
        <w:pStyle w:val="FirstParagraph"/>
      </w:pPr>
      <w:r>
        <w:rPr>
          <w:bCs/>
          <w:b/>
        </w:rPr>
        <w:t xml:space="preserve">Einschätzung des Autors:</w:t>
      </w:r>
      <w:r>
        <w:t xml:space="preserve"> </w:t>
      </w:r>
      <w:r>
        <w:t xml:space="preserve">Eine neue Zulassung eines Wachstumshormon-freisetzenden Peptids für Erwachsene halte ich bis 2035 für unwahrscheinlich. Begründung: Die Substanzen sind alt, kaum patentierbar, und die Sicherheitsfragen um dauerhaft erhöhte IGF-1-Spiegel (siehe Teil IV) machen große Studien teuer und riskant. Interessant ist ein anderer Trend: Weil starke Gewichtsabnahme auch Muskeln kostet, könnte die Wachstumshormon-Achse als möglicher Muskelschutz neue Aufmerksamkeit bekommen – die Studie mit LUM-201 und Semaglutid ist ein erstes Beispiel. Ob daraus ein Nutzen entsteht, ist völlig offen.</w:t>
      </w:r>
    </w:p>
    <w:bookmarkEnd w:id="2946"/>
    <w:bookmarkStart w:id="2950" w:name="gruppe-d-gehirn-schlaf-und-langlebigkeit"/>
    <w:p>
      <w:pPr>
        <w:pStyle w:val="Heading3"/>
      </w:pPr>
      <w:r>
        <w:t xml:space="preserve">Gruppe D – Gehirn, Schlaf und Langlebigkeit</w:t>
      </w:r>
    </w:p>
    <w:p>
      <w:pPr>
        <w:pStyle w:val="FirstParagraph"/>
      </w:pPr>
      <w:r>
        <w:rPr>
          <w:bCs/>
          <w:b/>
        </w:rPr>
        <w:t xml:space="preserve">Gesichert:</w:t>
      </w:r>
    </w:p>
    <w:p>
      <w:pPr>
        <w:numPr>
          <w:ilvl w:val="0"/>
          <w:numId w:val="1371"/>
        </w:numPr>
        <w:pStyle w:val="Compact"/>
      </w:pPr>
      <w:r>
        <w:t xml:space="preserve">Elamipretid (SS-31) ist in den USA seit September 2025 beschleunigt für das Barth-Syndrom zugelassen, gebunden an eine Bestätigungsstudie (4TAZPower, NCT07531251, Ende November 2029). Die Phase-3-Studie ReNEW bei trockener Makuladegeneration soll im September 2027 enden</w:t>
      </w:r>
      <w:r>
        <w:rPr>
          <w:rStyle w:val="FootnoteReference"/>
        </w:rPr>
        <w:footnoteReference w:id="2947"/>
      </w:r>
      <w:r>
        <w:t xml:space="preserve">.</w:t>
      </w:r>
    </w:p>
    <w:p>
      <w:pPr>
        <w:numPr>
          <w:ilvl w:val="0"/>
          <w:numId w:val="1371"/>
        </w:numPr>
        <w:pStyle w:val="Compact"/>
      </w:pPr>
      <w:r>
        <w:t xml:space="preserve">Zu Cerebrolysin laufen nur kleinere Studien, etwa bei CADASIL</w:t>
      </w:r>
      <w:r>
        <w:rPr>
          <w:rStyle w:val="FootnoteReference"/>
        </w:rPr>
        <w:footnoteReference w:id="2948"/>
      </w:r>
      <w:r>
        <w:t xml:space="preserve">.</w:t>
      </w:r>
    </w:p>
    <w:p>
      <w:pPr>
        <w:numPr>
          <w:ilvl w:val="0"/>
          <w:numId w:val="1371"/>
        </w:numPr>
        <w:pStyle w:val="Compact"/>
      </w:pPr>
      <w:r>
        <w:t xml:space="preserve">Für Semax, Selank, Dihexa, DSIP, Pinealon, Humanin, FOXO4-DRI und MOTS-c ist keine verlässlich registrierte Studie zur Gabe des Wirkstoffs verzeichnet. Für Epitalon gibt es nur eine unkontrollierte Studie, in der es einer von fünf Bestandteilen eines Hautserums ist</w:t>
      </w:r>
      <w:r>
        <w:rPr>
          <w:rStyle w:val="FootnoteReference"/>
        </w:rPr>
        <w:footnoteReference w:id="2949"/>
      </w:r>
      <w:r>
        <w:t xml:space="preserve">.</w:t>
      </w:r>
    </w:p>
    <w:p>
      <w:pPr>
        <w:numPr>
          <w:ilvl w:val="0"/>
          <w:numId w:val="1371"/>
        </w:numPr>
        <w:pStyle w:val="Compact"/>
      </w:pPr>
      <w:r>
        <w:t xml:space="preserve">In den USA wird die Einstufung mehrerer dieser Peptide für Apotheken-Rezepturen neu bewertet (siehe Kapitel Semax und Dihexa; Willis 2026, PMID 42752426).</w:t>
      </w:r>
    </w:p>
    <w:p>
      <w:pPr>
        <w:pStyle w:val="FirstParagraph"/>
      </w:pPr>
      <w:r>
        <w:rPr>
          <w:bCs/>
          <w:b/>
        </w:rPr>
        <w:t xml:space="preserve">Einschätzung des Autors:</w:t>
      </w:r>
      <w:r>
        <w:t xml:space="preserve"> </w:t>
      </w:r>
      <w:r>
        <w:t xml:space="preserve">Die Langlebigkeitspeptide werden bis 2035 voraussichtlich bleiben, was sie heute sind: Stoffe mit interessanten Tierdaten und großer Online-Nachfrage, aber ohne Nachweis eines Nutzens am Menschen. Begründung: Studien zu „gesundem Altern“ brauchen viele Jahre und klare Endpunkte, die es dafür noch kaum gibt; kein Hersteller hat ein erkennbares Programm. Sollten US-Behörden einzelne Peptide für Rezepturen freigeben, würde das die Verbreitung erhöhen, ohne die Datenlage zu verbessern. Elamipretid ist der einzige Wirkstoff dieser Gruppe mit einem realistischen Weg zu einer breiteren Zulassung, und auch das nur, wenn ReNEW positiv ausfällt.</w:t>
      </w:r>
    </w:p>
    <w:bookmarkEnd w:id="2950"/>
    <w:bookmarkStart w:id="2952" w:name="X87f4274df71fabf0a6d8cb2a40844406ec8f80a"/>
    <w:p>
      <w:pPr>
        <w:pStyle w:val="Heading3"/>
      </w:pPr>
      <w:r>
        <w:t xml:space="preserve">Gruppe E – Hormone, Sexualität und Pigmentierung</w:t>
      </w:r>
    </w:p>
    <w:p>
      <w:pPr>
        <w:pStyle w:val="FirstParagraph"/>
      </w:pPr>
      <w:r>
        <w:rPr>
          <w:bCs/>
          <w:b/>
        </w:rPr>
        <w:t xml:space="preserve">Gesichert:</w:t>
      </w:r>
    </w:p>
    <w:p>
      <w:pPr>
        <w:numPr>
          <w:ilvl w:val="0"/>
          <w:numId w:val="1372"/>
        </w:numPr>
        <w:pStyle w:val="Compact"/>
      </w:pPr>
      <w:r>
        <w:t xml:space="preserve">Die Phase-3-Studie zu Afamelanotid bei Vitiligo mit 200 Teilnehmenden war laut Register im Juni 2026 beendet; begutachtete Ergebnisse lagen im Oktober 2026 nicht vor</w:t>
      </w:r>
      <w:r>
        <w:rPr>
          <w:rStyle w:val="FootnoteReference"/>
        </w:rPr>
        <w:footnoteReference w:id="2951"/>
      </w:r>
      <w:r>
        <w:t xml:space="preserve">.</w:t>
      </w:r>
    </w:p>
    <w:p>
      <w:pPr>
        <w:numPr>
          <w:ilvl w:val="0"/>
          <w:numId w:val="1372"/>
        </w:numPr>
        <w:pStyle w:val="Compact"/>
      </w:pPr>
      <w:r>
        <w:t xml:space="preserve">Kisspeptin wird in kleinen Phase-2-Studien bei angeborenem Hormonmangel (NCT05896293, Ende Mai 2028) und bei hypothalamischer Amenorrhö (NCT07224438, Ende Mai 2030) untersucht.</w:t>
      </w:r>
    </w:p>
    <w:p>
      <w:pPr>
        <w:numPr>
          <w:ilvl w:val="0"/>
          <w:numId w:val="1372"/>
        </w:numPr>
        <w:pStyle w:val="Compact"/>
      </w:pPr>
      <w:r>
        <w:t xml:space="preserve">Oxytocin-Nasenspray wird als Ergänzung einer Paartherapie bei posttraumatischer Belastungsstörung mit 240 Teilnehmenden geprüft (NCT06194851, Ende September 2028).</w:t>
      </w:r>
    </w:p>
    <w:p>
      <w:pPr>
        <w:pStyle w:val="FirstParagraph"/>
      </w:pPr>
      <w:r>
        <w:rPr>
          <w:bCs/>
          <w:b/>
        </w:rPr>
        <w:t xml:space="preserve">Einschätzung des Autors:</w:t>
      </w:r>
      <w:r>
        <w:t xml:space="preserve"> </w:t>
      </w:r>
      <w:r>
        <w:t xml:space="preserve">Am ehesten ist bis 2030 eine Erweiterung der Afamelanotid-Zulassung auf Vitiligo denkbar – falls die Phase-3-Studie positiv ist. Kisspeptin dürfte ein Forschungs- und Diagnosewerkzeug bleiben; eine Zulassung bis 2035 setzt größere Vergleichsstudien voraus, die bisher fehlen. Beim Oxytocin-Nasenspray erwarte ich keine Zulassung für Autismus oder soziale Ängste, allenfalls Belege für eng umrissene Anwendungen in Kombination mit Psychotherapie. Melanotan II bleibt ein Graumarkt-Produkt.</w:t>
      </w:r>
    </w:p>
    <w:bookmarkEnd w:id="2952"/>
    <w:bookmarkStart w:id="2953" w:name="gruppe-f-kollagen-ernährung-und-kosmetik"/>
    <w:p>
      <w:pPr>
        <w:pStyle w:val="Heading3"/>
      </w:pPr>
      <w:r>
        <w:t xml:space="preserve">Gruppe F – Kollagen, Ernährung und Kosmetik</w:t>
      </w:r>
    </w:p>
    <w:p>
      <w:pPr>
        <w:pStyle w:val="FirstParagraph"/>
      </w:pPr>
      <w:r>
        <w:rPr>
          <w:bCs/>
          <w:b/>
        </w:rPr>
        <w:t xml:space="preserve">Gesichert:</w:t>
      </w:r>
    </w:p>
    <w:p>
      <w:pPr>
        <w:numPr>
          <w:ilvl w:val="0"/>
          <w:numId w:val="1373"/>
        </w:numPr>
        <w:pStyle w:val="Compact"/>
      </w:pPr>
      <w:r>
        <w:t xml:space="preserve">Eine placebokontrollierte Studie mit 204 Teilnehmenden prüft Kollagenhydrolysat bei Kniearthrose, Hauptendpunkt sind Schmerzen (NCT04998188, Ende Dezember 2027).</w:t>
      </w:r>
    </w:p>
    <w:p>
      <w:pPr>
        <w:numPr>
          <w:ilvl w:val="0"/>
          <w:numId w:val="1373"/>
        </w:numPr>
        <w:pStyle w:val="Compact"/>
      </w:pPr>
      <w:r>
        <w:t xml:space="preserve">Eine Phase-1/2-Studie mit 144 Teilnehmenden untersucht Carnosin bei peripherer arterieller Verschlusskrankheit, Hauptendpunkt ist die Gehstrecke in sechs Minuten (NCT06480760, Ende Oktober 2028).</w:t>
      </w:r>
    </w:p>
    <w:p>
      <w:pPr>
        <w:numPr>
          <w:ilvl w:val="0"/>
          <w:numId w:val="1373"/>
        </w:numPr>
        <w:pStyle w:val="Compact"/>
      </w:pPr>
      <w:r>
        <w:t xml:space="preserve">Für Lactotripeptide, Matrixyl und Argireline ist keine laufende Studie registriert.</w:t>
      </w:r>
    </w:p>
    <w:p>
      <w:pPr>
        <w:pStyle w:val="FirstParagraph"/>
      </w:pPr>
      <w:r>
        <w:rPr>
          <w:bCs/>
          <w:b/>
        </w:rPr>
        <w:t xml:space="preserve">Einschätzung des Autors:</w:t>
      </w:r>
      <w:r>
        <w:t xml:space="preserve"> </w:t>
      </w:r>
      <w:r>
        <w:t xml:space="preserve">Diese Gruppe wird Lebensmittel und Kosmetik bleiben; Arzneimittelzulassungen sind nicht zu erwarten, weil die Produkte bereits frei verkäuflich sind und niemand die Kosten eines Zulassungsprogramms tragen müsste. Was sich ändern könnte, ist die Qualität der Belege: Unabhängig finanzierte, vorab registrierte Studien wie die zur Kniearthrose werden zeigen, ob die kleinen Effekte aus herstellerfinanzierten Studien Bestand haben. Ich erwarte, dass die Effekte in solchen Studien eher kleiner ausfallen.</w:t>
      </w:r>
    </w:p>
    <w:bookmarkEnd w:id="2953"/>
    <w:bookmarkStart w:id="2972" w:name="übergreifende-themen"/>
    <w:p>
      <w:pPr>
        <w:pStyle w:val="Heading3"/>
      </w:pPr>
      <w:r>
        <w:t xml:space="preserve">Übergreifende Themen</w:t>
      </w:r>
    </w:p>
    <w:bookmarkStart w:id="2955" w:name="langzeitdaten"/>
    <w:p>
      <w:pPr>
        <w:pStyle w:val="Heading4"/>
      </w:pPr>
      <w:r>
        <w:t xml:space="preserve">Langzeitdaten</w:t>
      </w:r>
    </w:p>
    <w:p>
      <w:pPr>
        <w:pStyle w:val="FirstParagraph"/>
      </w:pPr>
      <w:r>
        <w:rPr>
          <w:bCs/>
          <w:b/>
        </w:rPr>
        <w:t xml:space="preserve">Gesichert:</w:t>
      </w:r>
      <w:r>
        <w:t xml:space="preserve"> </w:t>
      </w:r>
      <w:r>
        <w:t xml:space="preserve">Die WHO-Leitlinie zu GLP-1-Therapien bei Adipositas spricht nur eine bedingte Empfehlung aus und nennt begrenzte Langzeitdaten als einen der Gründe</w:t>
      </w:r>
      <w:r>
        <w:rPr>
          <w:rStyle w:val="FootnoteReference"/>
        </w:rPr>
        <w:footnoteReference w:id="2954"/>
      </w:r>
      <w:r>
        <w:t xml:space="preserve">. Die laufenden Endpunktstudien beobachten ihre Teilnehmenden über mehrere Jahre, aber kaum eine über zehn Jahre.</w:t>
      </w:r>
    </w:p>
    <w:p>
      <w:pPr>
        <w:pStyle w:val="BodyText"/>
      </w:pPr>
      <w:r>
        <w:rPr>
          <w:bCs/>
          <w:b/>
        </w:rPr>
        <w:t xml:space="preserve">Einschätzung des Autors:</w:t>
      </w:r>
      <w:r>
        <w:t xml:space="preserve"> </w:t>
      </w:r>
      <w:r>
        <w:t xml:space="preserve">Bis 2035 werden zehnjährige Daten vor allem aus nationalen Registern und Krankenkassendaten kommen, nicht aus randomisierten Studien. Sie werden seltene Nebenwirkungen besser erfassen, aber Ursache und Wirkung schwerer trennen können. Bei Kindern und Jugendlichen, für die mehrere Studien bis in die frühen 2030er-Jahre laufen, ist die Frage nach Langzeitfolgen besonders dringlich.</w:t>
      </w:r>
    </w:p>
    <w:bookmarkEnd w:id="2955"/>
    <w:bookmarkStart w:id="2960" w:name="erhaltungstherapie"/>
    <w:p>
      <w:pPr>
        <w:pStyle w:val="Heading4"/>
      </w:pPr>
      <w:r>
        <w:t xml:space="preserve">Erhaltungstherapie</w:t>
      </w:r>
    </w:p>
    <w:p>
      <w:pPr>
        <w:pStyle w:val="FirstParagraph"/>
      </w:pPr>
      <w:r>
        <w:rPr>
          <w:bCs/>
          <w:b/>
        </w:rPr>
        <w:t xml:space="preserve">Gesichert:</w:t>
      </w:r>
      <w:r>
        <w:t xml:space="preserve"> </w:t>
      </w:r>
      <w:r>
        <w:t xml:space="preserve">Nach dem Absetzen kehrt ein Großteil des verlorenen Gewichts zurück. In der STEP-1-Verlängerung waren es ein Jahr nach dem Ende der Semaglutid-Behandlung im Mittel zwei Drittel</w:t>
      </w:r>
      <w:r>
        <w:rPr>
          <w:rStyle w:val="FootnoteReference"/>
        </w:rPr>
        <w:footnoteReference w:id="2956"/>
      </w:r>
      <w:r>
        <w:t xml:space="preserve">. In SURMOUNT-4 nahmen Teilnehmende nach dem Wechsel von Tirzepatid auf Placebo im folgenden Jahr 14,0 % wieder zu</w:t>
      </w:r>
      <w:r>
        <w:rPr>
          <w:rStyle w:val="FootnoteReference"/>
        </w:rPr>
        <w:footnoteReference w:id="2957"/>
      </w:r>
      <w:r>
        <w:t xml:space="preserve">. Der Umstieg von der Spritze auf Orforglipron erhielt in ATTAIN-MAINTAIN einen großen Teil des Gewichtsverlusts</w:t>
      </w:r>
      <w:r>
        <w:rPr>
          <w:rStyle w:val="FootnoteReference"/>
        </w:rPr>
        <w:footnoteReference w:id="2958"/>
      </w:r>
      <w:r>
        <w:t xml:space="preserve">. Weitere Studien zum Gewichtserhalt laufen (TRIUMPH-6, NCT06859268; Umstieg auf monatliche Wirkstoffe, NCT07575399, NCT07845500). Modellrechnungen deuten an, dass seltenere Gaben einen Teil der Wirkung erhalten könnten; das ist bisher nicht in Studien geprüft und keine Grundlage für eigenmächtige Änderungen der Behandlung</w:t>
      </w:r>
      <w:r>
        <w:rPr>
          <w:rStyle w:val="FootnoteReference"/>
        </w:rPr>
        <w:footnoteReference w:id="2959"/>
      </w:r>
      <w:r>
        <w:t xml:space="preserve">.</w:t>
      </w:r>
    </w:p>
    <w:p>
      <w:pPr>
        <w:pStyle w:val="BodyText"/>
      </w:pPr>
      <w:r>
        <w:rPr>
          <w:bCs/>
          <w:b/>
        </w:rPr>
        <w:t xml:space="preserve">Einschätzung des Autors:</w:t>
      </w:r>
      <w:r>
        <w:t xml:space="preserve"> </w:t>
      </w:r>
      <w:r>
        <w:t xml:space="preserve">Bis 2030 wird sich ein Stufenmodell durchsetzen: zuerst eine Phase mit einem stark wirksamen Wirkstoff, dann eine Erhaltung mit einer Tablette, einem monatlichen Präparat oder einer niedrigeren Intensität. Begründung: Mehrere Hersteller testen genau diese Abfolge, und sie ist für Kostenträger attraktiv. Ob die Erhaltung lebenslang nötig ist oder bei manchen Menschen ein Absetzen ohne große Wiederzunahme gelingt, wird eine der wichtigsten offenen Fragen bleiben.</w:t>
      </w:r>
    </w:p>
    <w:bookmarkEnd w:id="2960"/>
    <w:bookmarkStart w:id="2962" w:name="personalisierung"/>
    <w:p>
      <w:pPr>
        <w:pStyle w:val="Heading4"/>
      </w:pPr>
      <w:r>
        <w:t xml:space="preserve">Personalisierung</w:t>
      </w:r>
    </w:p>
    <w:p>
      <w:pPr>
        <w:pStyle w:val="FirstParagraph"/>
      </w:pPr>
      <w:r>
        <w:rPr>
          <w:bCs/>
          <w:b/>
        </w:rPr>
        <w:t xml:space="preserve">Gesichert:</w:t>
      </w:r>
      <w:r>
        <w:t xml:space="preserve"> </w:t>
      </w:r>
      <w:r>
        <w:t xml:space="preserve">Präzisionsmedizin bei Adipositas gibt es bereits für seltene genetische Formen: Setmelanotid ist nur für bestimmte Gendefekte zugelassen (siehe Kapitel Setmelanotid). Orforglipron wird in einer Studie mit 2.001 Teilnehmenden bei Übergewicht geprüft, um das Fortschreiten zu Adipositas oder Folgeerkrankungen zu verhindern (ATTAIN-NOW, NCT07794579, Ende September 2030). Die WHO kündigt an, als Nächstes Kriterien zu erarbeiten, wer bei begrenzten Mitteln zuerst behandelt werden soll</w:t>
      </w:r>
      <w:r>
        <w:rPr>
          <w:rStyle w:val="FootnoteReference"/>
        </w:rPr>
        <w:footnoteReference w:id="2961"/>
      </w:r>
      <w:r>
        <w:t xml:space="preserve">.</w:t>
      </w:r>
    </w:p>
    <w:p>
      <w:pPr>
        <w:pStyle w:val="BodyText"/>
      </w:pPr>
      <w:r>
        <w:rPr>
          <w:bCs/>
          <w:b/>
        </w:rPr>
        <w:t xml:space="preserve">Einschätzung des Autors:</w:t>
      </w:r>
      <w:r>
        <w:t xml:space="preserve"> </w:t>
      </w:r>
      <w:r>
        <w:t xml:space="preserve">Ein verlässlicher Test, der vorab sagt, wer auf welchen Wirkstoff gut anspricht, ist bis 2030 nicht in Sicht. Personalisierung wird zunächst pragmatisch sein: nach Begleiterkrankungen, Verträglichkeit, Spritzenbereitschaft und Kosten. Die Frage, ob Medikamente schon vor dem Entstehen einer Adipositas eingesetzt werden sollen, wird ethisch und ökonomisch umstritten bleiben.</w:t>
      </w:r>
    </w:p>
    <w:bookmarkEnd w:id="2962"/>
    <w:bookmarkStart w:id="2966" w:name="regulierung-des-graumarkts"/>
    <w:p>
      <w:pPr>
        <w:pStyle w:val="Heading4"/>
      </w:pPr>
      <w:r>
        <w:t xml:space="preserve">Regulierung des Graumarkts</w:t>
      </w:r>
    </w:p>
    <w:p>
      <w:pPr>
        <w:pStyle w:val="FirstParagraph"/>
      </w:pPr>
      <w:r>
        <w:rPr>
          <w:bCs/>
          <w:b/>
        </w:rPr>
        <w:t xml:space="preserve">Gesichert:</w:t>
      </w:r>
      <w:r>
        <w:t xml:space="preserve"> </w:t>
      </w:r>
      <w:r>
        <w:t xml:space="preserve">Die Laboranalysen und Fallberichte aus Teil I und Teil IV zeigen Fälschungen, Fehldosierungen und Verunreinigungen. Inzwischen werden auch nicht zugelassene Wirkstoffe wie Retatrutid und Zenagamtid online verkauft</w:t>
      </w:r>
      <w:r>
        <w:rPr>
          <w:rStyle w:val="FootnoteReference"/>
        </w:rPr>
        <w:footnoteReference w:id="2963"/>
      </w:r>
      <w:r>
        <w:t xml:space="preserve">. In den USA wurden Apotheken-Kopien von Semaglutid und Tirzepatid nach dem Ende der Engpässe weitgehend beendet; abgewandelte Zubereitungen bestehen weiter</w:t>
      </w:r>
      <w:r>
        <w:rPr>
          <w:rStyle w:val="FootnoteReference"/>
        </w:rPr>
        <w:footnoteReference w:id="2964"/>
      </w:r>
      <w:r>
        <w:t xml:space="preserve">. Die Einstufung von Peptiden für Rezepturen wird in den USA neu verhandelt</w:t>
      </w:r>
      <w:r>
        <w:rPr>
          <w:rStyle w:val="FootnoteReference"/>
        </w:rPr>
        <w:footnoteReference w:id="2965"/>
      </w:r>
      <w:r>
        <w:t xml:space="preserve">.</w:t>
      </w:r>
    </w:p>
    <w:p>
      <w:pPr>
        <w:pStyle w:val="BodyText"/>
      </w:pPr>
      <w:r>
        <w:rPr>
          <w:bCs/>
          <w:b/>
        </w:rPr>
        <w:t xml:space="preserve">Einschätzung des Autors:</w:t>
      </w:r>
      <w:r>
        <w:t xml:space="preserve"> </w:t>
      </w:r>
      <w:r>
        <w:t xml:space="preserve">Der Graumarkt wird bis 2035 nicht verschwinden, aber sich verändern. Sinkende Preise für zugelassene Medikamente dürften den Anreiz für Fälschungen von Semaglutid verringern. Gleichzeitig wird jeder neue Wirkstoff, der in Studien Aufsehen erregt, schon vor seiner Zulassung als „Research Peptide“ angeboten werden. Ich erwarte strengere Kontrollen von Online-Händlern und Zahlungswegen in der EU, aber keine wirksame Lösung, solange Bestellungen aus Ländern mit schwacher Aufsicht möglich sind.</w:t>
      </w:r>
    </w:p>
    <w:bookmarkEnd w:id="2966"/>
    <w:bookmarkStart w:id="2971" w:name="künstliche-intelligenz-im-peptiddesign"/>
    <w:p>
      <w:pPr>
        <w:pStyle w:val="Heading4"/>
      </w:pPr>
      <w:r>
        <w:t xml:space="preserve">Künstliche Intelligenz im Peptiddesign</w:t>
      </w:r>
    </w:p>
    <w:p>
      <w:pPr>
        <w:pStyle w:val="FirstParagraph"/>
      </w:pPr>
      <w:r>
        <w:rPr>
          <w:bCs/>
          <w:b/>
        </w:rPr>
        <w:t xml:space="preserve">Gesichert:</w:t>
      </w:r>
      <w:r>
        <w:t xml:space="preserve"> </w:t>
      </w:r>
      <w:r>
        <w:t xml:space="preserve">Bisher stammen alle veröffentlichten Belege aus Labor- und Tierversuchen. Ein Forschungsteam entwarf mit Methoden des maschinellen Lernens 10.000 neue GLP-1-Rezeptor-Agonisten, wählte am Computer 60 aus und testete sie im Labor; zwei Kandidaten wirkten bei Mäusen etwa dreimal so lange wie Semaglutid</w:t>
      </w:r>
      <w:r>
        <w:rPr>
          <w:rStyle w:val="FootnoteReference"/>
        </w:rPr>
        <w:footnoteReference w:id="2967"/>
      </w:r>
      <w:r>
        <w:t xml:space="preserve">. Ein anderes Verfahren entwarf ringförmige Peptide, die gezielt an vorgegebene Eiweiße binden; die im Labor bestimmten Strukturen stimmten eng mit den Computermodellen überein</w:t>
      </w:r>
      <w:r>
        <w:rPr>
          <w:rStyle w:val="FootnoteReference"/>
        </w:rPr>
        <w:footnoteReference w:id="2968"/>
      </w:r>
      <w:r>
        <w:t xml:space="preserve">. Mit einem lernenden Modell wurden aus Bakterienpeptiden neue antimikrobielle Peptide abgeleitet, von denen eines bei Mäusen mit einer Infektion des Oberschenkels die Bakterienlast um über 95 % senkte</w:t>
      </w:r>
      <w:r>
        <w:rPr>
          <w:rStyle w:val="FootnoteReference"/>
        </w:rPr>
        <w:footnoteReference w:id="2969"/>
      </w:r>
      <w:r>
        <w:t xml:space="preserve">. Das orale PCSK9-Peptid Enlicitide wurde mit einem anderen Hochdurchsatzverfahren gefunden und ist bereits in Phase 3</w:t>
      </w:r>
      <w:r>
        <w:rPr>
          <w:rStyle w:val="FootnoteReference"/>
        </w:rPr>
        <w:footnoteReference w:id="2970"/>
      </w:r>
      <w:r>
        <w:t xml:space="preserve">.</w:t>
      </w:r>
    </w:p>
    <w:p>
      <w:pPr>
        <w:pStyle w:val="BodyText"/>
      </w:pPr>
      <w:r>
        <w:rPr>
          <w:bCs/>
          <w:b/>
        </w:rPr>
        <w:t xml:space="preserve">Einschätzung des Autors:</w:t>
      </w:r>
      <w:r>
        <w:t xml:space="preserve"> </w:t>
      </w:r>
      <w:r>
        <w:t xml:space="preserve">Bis 2030 werden die ersten mit KI-Methoden entworfenen Peptide in frühen Studien am Menschen sein; eine Zulassung bis 2035 ist möglich, aber nicht wahrscheinlich, weil auch ein schnell gefundenes Molekül alle klinischen Phasen durchlaufen muss. KI verkürzt die Suche nach Kandidaten, nicht die Prüfung am Menschen. Für Leserinnen und Leser heißt das: Angebote, die „KI-optimierte Peptide“ versprechen, sind Werbung, kein Wirksamkeitsnachweis.</w:t>
      </w:r>
    </w:p>
    <w:bookmarkEnd w:id="2971"/>
    <w:bookmarkEnd w:id="2972"/>
    <w:bookmarkStart w:id="2973" w:name="X924d4974aa28ba71253b30afb253645d4c802e0"/>
    <w:p>
      <w:pPr>
        <w:pStyle w:val="Heading3"/>
      </w:pPr>
      <w:r>
        <w:t xml:space="preserve">Zeitleiste: was bis 2032 im Register angekündigt 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Zeitraum</w:t>
            </w:r>
          </w:p>
        </w:tc>
        <w:tc>
          <w:tcPr/>
          <w:p>
            <w:pPr>
              <w:pStyle w:val="Compact"/>
              <w:jc w:val="left"/>
            </w:pPr>
            <w:r>
              <w:t xml:space="preserve">Erwartetes Ereignis laut Register</w:t>
            </w:r>
          </w:p>
        </w:tc>
        <w:tc>
          <w:tcPr/>
          <w:p>
            <w:pPr>
              <w:pStyle w:val="Compact"/>
              <w:jc w:val="left"/>
            </w:pPr>
            <w:r>
              <w:t xml:space="preserve">Wirkstoff</w:t>
            </w:r>
          </w:p>
        </w:tc>
        <w:tc>
          <w:tcPr/>
          <w:p>
            <w:pPr>
              <w:pStyle w:val="Compact"/>
              <w:jc w:val="left"/>
            </w:pPr>
            <w:r>
              <w:t xml:space="preserve">Studie</w:t>
            </w:r>
          </w:p>
        </w:tc>
      </w:tr>
      <w:tr>
        <w:tc>
          <w:tcPr/>
          <w:p>
            <w:pPr>
              <w:pStyle w:val="Compact"/>
              <w:jc w:val="left"/>
            </w:pPr>
            <w:r>
              <w:t xml:space="preserve">2026/2027</w:t>
            </w:r>
          </w:p>
        </w:tc>
        <w:tc>
          <w:tcPr/>
          <w:p>
            <w:pPr>
              <w:pStyle w:val="Compact"/>
              <w:jc w:val="left"/>
            </w:pPr>
            <w:r>
              <w:t xml:space="preserve">Ergebnisse Direktvergleich mit Tirzepatid</w:t>
            </w:r>
          </w:p>
        </w:tc>
        <w:tc>
          <w:tcPr/>
          <w:p>
            <w:pPr>
              <w:pStyle w:val="Compact"/>
              <w:jc w:val="left"/>
            </w:pPr>
            <w:r>
              <w:t xml:space="preserve">Retatrutid</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Herz-Kreislauf-Ergebnisse ohne Diabetes</w:t>
            </w:r>
          </w:p>
        </w:tc>
        <w:tc>
          <w:tcPr/>
          <w:p>
            <w:pPr>
              <w:pStyle w:val="Compact"/>
              <w:jc w:val="left"/>
            </w:pPr>
            <w:r>
              <w:t xml:space="preserve">Tirzepatid</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Herz-Kreislauf-Ergebnisse</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Darmkrebs-Nachsorge</w:t>
            </w:r>
          </w:p>
        </w:tc>
        <w:tc>
          <w:tcPr/>
          <w:p>
            <w:pPr>
              <w:pStyle w:val="Compact"/>
              <w:jc w:val="left"/>
            </w:pPr>
            <w:r>
              <w:t xml:space="preserve">Thymosin Alpha-1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Makuladegeneration</w:t>
            </w:r>
          </w:p>
        </w:tc>
        <w:tc>
          <w:tcPr/>
          <w:p>
            <w:pPr>
              <w:pStyle w:val="Compact"/>
              <w:jc w:val="left"/>
            </w:pPr>
            <w:r>
              <w:t xml:space="preserve">Elamipretid</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Wachstum bei Kindern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Herz- und Nierenereignisse</w:t>
            </w:r>
          </w:p>
        </w:tc>
        <w:tc>
          <w:tcPr/>
          <w:p>
            <w:pPr>
              <w:pStyle w:val="Compact"/>
              <w:jc w:val="left"/>
            </w:pPr>
            <w:r>
              <w:t xml:space="preserve">Retatrutid</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Herz-Kreislauf-Ergebnisse, Herzschwäche</w:t>
            </w:r>
          </w:p>
        </w:tc>
        <w:tc>
          <w:tcPr/>
          <w:p>
            <w:pPr>
              <w:pStyle w:val="Compact"/>
              <w:jc w:val="left"/>
            </w:pPr>
            <w:r>
              <w:t xml:space="preserve">Maridebart Cafraglutid</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Herz-Kreislauf-Ergebnisse</w:t>
            </w:r>
          </w:p>
        </w:tc>
        <w:tc>
          <w:tcPr/>
          <w:p>
            <w:pPr>
              <w:pStyle w:val="Compact"/>
              <w:jc w:val="left"/>
            </w:pPr>
            <w:r>
              <w:t xml:space="preserve">Zenagamtid</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Enlicitide (orales Peptid)</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schwere Leberereignisse</w:t>
            </w:r>
          </w:p>
        </w:tc>
        <w:tc>
          <w:tcPr/>
          <w:p>
            <w:pPr>
              <w:pStyle w:val="Compact"/>
              <w:jc w:val="left"/>
            </w:pPr>
            <w:r>
              <w:t xml:space="preserve">Tirzepatid, Retatrutid</w:t>
            </w:r>
          </w:p>
        </w:tc>
        <w:tc>
          <w:tcPr/>
          <w:p>
            <w:pPr>
              <w:pStyle w:val="Compact"/>
              <w:jc w:val="left"/>
            </w:pPr>
            <w:r>
              <w:t xml:space="preserve">NCT07165028</w:t>
            </w:r>
          </w:p>
        </w:tc>
      </w:tr>
    </w:tbl>
    <w:p>
      <w:pPr>
        <w:pStyle w:val="BodyText"/>
      </w:pPr>
      <w:r>
        <w:t xml:space="preserve">Die Jahreszahlen sind die im Register angegebenen Studienenden. Veröffentlichungen folgen meist später, und Verschiebungen sind häufig.</w:t>
      </w:r>
    </w:p>
    <w:bookmarkEnd w:id="2973"/>
    <w:bookmarkStart w:id="2974" w:name="fazit-des-buches"/>
    <w:p>
      <w:pPr>
        <w:pStyle w:val="Heading3"/>
      </w:pPr>
      <w:r>
        <w:t xml:space="preserve">Fazit des Buches</w:t>
      </w:r>
    </w:p>
    <w:p>
      <w:pPr>
        <w:pStyle w:val="FirstParagraph"/>
      </w:pPr>
      <w:r>
        <w:t xml:space="preserve">Von den Peptiden in diesem Buch haben nur wenige in großen Studien am Menschen bewiesen, was sie leisten – allen voran die GLP-1-basierten Medikamente, deren Nutzen bis zu weniger Herz-Kreislauf-Ereignissen belegt ist. Für die meisten Peptide, die im Internet als Wundermittel für Heilung, Muskeln oder ein langes Leben beworben werden, gibt es dagegen nur Tierversuche, kleine Studien oder gar keine Daten – und auch keine laufende große Studie, die das bald ändern würde. Die Zukunft der Peptid-Medizin entscheidet sich deshalb nicht in Online-Shops, sondern in den Endpunktstudien, die zwischen 2027 und 2032 enden. Wer sich für ein Peptid interessiert, fährt am besten mit drei Fragen: Gibt es randomisierte Studien am Menschen, ist das Produkt ein geprüftes Arzneimittel, und begleitet eine Ärztin oder ein Arzt die Anwendung?</w:t>
      </w:r>
    </w:p>
    <w:bookmarkEnd w:id="2974"/>
    <w:bookmarkEnd w:id="2975"/>
    <w:bookmarkEnd w:id="2976"/>
    <w:bookmarkStart w:id="2999" w:name="glossar"/>
    <w:p>
      <w:pPr>
        <w:pStyle w:val="Heading1"/>
      </w:pPr>
      <w:r>
        <w:t xml:space="preserve">Glossar</w:t>
      </w:r>
    </w:p>
    <w:p>
      <w:pPr>
        <w:pStyle w:val="FirstParagraph"/>
      </w:pPr>
      <w:r>
        <w:t xml:space="preserve">Die folgenden Erklärungen sind bewusst kurz gehalten. Ausführlichere Darstellungen findest du in den Kapiteln von Teil I, insbesondere in „Was Peptide sind – und was nicht“ und „Studien richtig lesen“.</w:t>
      </w:r>
    </w:p>
    <w:bookmarkStart w:id="2977" w:name="a"/>
    <w:p>
      <w:pPr>
        <w:pStyle w:val="Heading3"/>
      </w:pPr>
      <w:r>
        <w:t xml:space="preserve">A</w:t>
      </w:r>
    </w:p>
    <w:p>
      <w:pPr>
        <w:pStyle w:val="FirstParagraph"/>
      </w:pPr>
      <w:r>
        <w:rPr>
          <w:bCs/>
          <w:b/>
        </w:rPr>
        <w:t xml:space="preserve">Absolute Risikoreduktion</w:t>
      </w:r>
      <w:r>
        <w:t xml:space="preserve">: Der Unterschied in der Häufigkeit eines Ereignisses zwischen zwei Gruppen, angegeben in Prozentpunkten. Sinkt ein Risiko von 8 % auf 6,5 %, beträgt die absolute Risikoreduktion 1,5 Prozentpunkte.</w:t>
      </w:r>
    </w:p>
    <w:p>
      <w:pPr>
        <w:pStyle w:val="BodyText"/>
      </w:pPr>
      <w:r>
        <w:rPr>
          <w:bCs/>
          <w:b/>
        </w:rPr>
        <w:t xml:space="preserve">Adipositas</w:t>
      </w:r>
      <w:r>
        <w:t xml:space="preserve">: Krankhaftes Übergewicht, meist definiert als Body-Mass-Index von 30 oder mehr. Sie gilt als chronische Erkrankung mit erhöhtem Risiko für Diabetes, Herz-Kreislauf- und Gelenkerkrankungen.</w:t>
      </w:r>
    </w:p>
    <w:p>
      <w:pPr>
        <w:pStyle w:val="BodyText"/>
      </w:pPr>
      <w:r>
        <w:rPr>
          <w:bCs/>
          <w:b/>
        </w:rPr>
        <w:t xml:space="preserve">Agonist</w:t>
      </w:r>
      <w:r>
        <w:t xml:space="preserve">: Ein Stoff, der an einen Rezeptor bindet und ihn aktiviert, also ein Signal auslöst. Semaglutid ist zum Beispiel ein Agonist am GLP-1-Rezeptor.</w:t>
      </w:r>
    </w:p>
    <w:p>
      <w:pPr>
        <w:pStyle w:val="BodyText"/>
      </w:pPr>
      <w:r>
        <w:rPr>
          <w:bCs/>
          <w:b/>
        </w:rPr>
        <w:t xml:space="preserve">Akromegalie</w:t>
      </w:r>
      <w:r>
        <w:t xml:space="preserve">: Erkrankung durch eine dauerhafte Überproduktion von Wachstumshormon im Erwachsenenalter, meist durch einen gutartigen Tumor der Hirnanhangdrüse. Typisch sind vergrößerte Hände, Füße und Gesichtszüge.</w:t>
      </w:r>
    </w:p>
    <w:p>
      <w:pPr>
        <w:pStyle w:val="BodyText"/>
      </w:pPr>
      <w:r>
        <w:rPr>
          <w:bCs/>
          <w:b/>
        </w:rPr>
        <w:t xml:space="preserve">Albumin</w:t>
      </w:r>
      <w:r>
        <w:t xml:space="preserve">: Das häufigste Eiweiß im Blutplasma. Manche Peptid-Arzneimittel sind so gebaut, dass sie sich an Albumin binden und dadurch länger im Körper bleiben.</w:t>
      </w:r>
    </w:p>
    <w:p>
      <w:pPr>
        <w:pStyle w:val="BodyText"/>
      </w:pPr>
      <w:r>
        <w:rPr>
          <w:bCs/>
          <w:b/>
        </w:rPr>
        <w:t xml:space="preserve">Aminosäure</w:t>
      </w:r>
      <w:r>
        <w:t xml:space="preserve">: Grundbaustein von Peptiden und Proteinen. Der Mensch nutzt im Wesentlichen 20 Standard-Aminosäuren, die über Peptidbindungen zu Ketten verknüpft werden.</w:t>
      </w:r>
    </w:p>
    <w:p>
      <w:pPr>
        <w:pStyle w:val="BodyText"/>
      </w:pPr>
      <w:r>
        <w:rPr>
          <w:bCs/>
          <w:b/>
        </w:rPr>
        <w:t xml:space="preserve">Amylin</w:t>
      </w:r>
      <w:r>
        <w:t xml:space="preserve">: Ein Peptidhormon, das zusammen mit Insulin aus der Bauchspeicheldrüse ausgeschüttet wird und unter anderem Sättigung und Magenentleerung beeinflusst. Abwandlungen wie Pramlintid und Cagrilintid werden als Arzneimittel genutzt oder erforscht.</w:t>
      </w:r>
    </w:p>
    <w:p>
      <w:pPr>
        <w:pStyle w:val="BodyText"/>
      </w:pPr>
      <w:r>
        <w:rPr>
          <w:bCs/>
          <w:b/>
        </w:rPr>
        <w:t xml:space="preserve">Analogon</w:t>
      </w:r>
      <w:r>
        <w:t xml:space="preserve">: Ein Molekül, das einem natürlichen Vorbild nachgebildet, aber gezielt verändert wurde – etwa um es stabiler oder länger wirksam zu machen.</w:t>
      </w:r>
    </w:p>
    <w:p>
      <w:pPr>
        <w:pStyle w:val="BodyText"/>
      </w:pPr>
      <w:r>
        <w:rPr>
          <w:bCs/>
          <w:b/>
        </w:rPr>
        <w:t xml:space="preserve">Angiogenese</w:t>
      </w:r>
      <w:r>
        <w:t xml:space="preserve">: Neubildung von Blutgefäßen. Sie ist für die Wundheilung wichtig, kann aber auch das Wachstum von Tumoren fördern.</w:t>
      </w:r>
    </w:p>
    <w:p>
      <w:pPr>
        <w:pStyle w:val="BodyText"/>
      </w:pPr>
      <w:r>
        <w:rPr>
          <w:bCs/>
          <w:b/>
        </w:rPr>
        <w:t xml:space="preserve">Antagonist</w:t>
      </w:r>
      <w:r>
        <w:t xml:space="preserve">: Ein Stoff, der an einen Rezeptor bindet, ohne ihn zu aktivieren, und dadurch die Wirkung körpereigener Botenstoffe blockiert.</w:t>
      </w:r>
    </w:p>
    <w:p>
      <w:pPr>
        <w:pStyle w:val="BodyText"/>
      </w:pPr>
      <w:r>
        <w:rPr>
          <w:bCs/>
          <w:b/>
        </w:rPr>
        <w:t xml:space="preserve">Antikörper</w:t>
      </w:r>
      <w:r>
        <w:t xml:space="preserve">: Eiweißmoleküle des Immunsystems, die gezielt an fremde Strukturen binden. Gegen Peptid-Arzneimittel gebildete Antikörper können deren Wirkung abschwächen oder Reaktionen auslösen.</w:t>
      </w:r>
    </w:p>
    <w:p>
      <w:pPr>
        <w:pStyle w:val="BodyText"/>
      </w:pPr>
      <w:r>
        <w:rPr>
          <w:bCs/>
          <w:b/>
        </w:rPr>
        <w:t xml:space="preserve">Antimikrobielle Peptide</w:t>
      </w:r>
      <w:r>
        <w:t xml:space="preserve">: Körpereigene Peptide, die Teil der angeborenen Immunabwehr sind und Bakterien, Pilze oder Viren schädigen können. Ein Beispiel ist LL-37.</w:t>
      </w:r>
    </w:p>
    <w:p>
      <w:pPr>
        <w:pStyle w:val="BodyText"/>
      </w:pPr>
      <w:r>
        <w:rPr>
          <w:bCs/>
          <w:b/>
        </w:rPr>
        <w:t xml:space="preserve">Arzneimittel</w:t>
      </w:r>
      <w:r>
        <w:t xml:space="preserve">: Ein Stoff oder eine Zubereitung, die zur Heilung, Linderung oder Verhütung von Krankheiten bestimmt ist oder Körperfunktionen pharmakologisch, immunologisch oder metabolisch beeinflusst. In der EU braucht ein Arzneimittel vor dem Verkauf eine Zulassung.</w:t>
      </w:r>
    </w:p>
    <w:bookmarkEnd w:id="2977"/>
    <w:bookmarkStart w:id="2978" w:name="b"/>
    <w:p>
      <w:pPr>
        <w:pStyle w:val="Heading3"/>
      </w:pPr>
      <w:r>
        <w:t xml:space="preserve">B</w:t>
      </w:r>
    </w:p>
    <w:p>
      <w:pPr>
        <w:pStyle w:val="FirstParagraph"/>
      </w:pPr>
      <w:r>
        <w:rPr>
          <w:bCs/>
          <w:b/>
        </w:rPr>
        <w:t xml:space="preserve">Biologikum</w:t>
      </w:r>
      <w:r>
        <w:t xml:space="preserve">: Ein Arzneimittel, dessen Wirkstoff mit Hilfe lebender Zellen hergestellt wird, etwa gentechnisch in Bakterien oder Säugetierzellen. Viele größere Peptide und alle Antikörper-Medikamente gehören dazu.</w:t>
      </w:r>
    </w:p>
    <w:p>
      <w:pPr>
        <w:pStyle w:val="BodyText"/>
      </w:pPr>
      <w:r>
        <w:rPr>
          <w:bCs/>
          <w:b/>
        </w:rPr>
        <w:t xml:space="preserve">Biosimilar</w:t>
      </w:r>
      <w:r>
        <w:t xml:space="preserve">: Ein Nachfolgepräparat eines biologischen Arzneimittels nach Ablauf des Patentschutzes. Es muss dem Original in Qualität, Wirksamkeit und Sicherheit nachweislich sehr ähnlich sein.</w:t>
      </w:r>
    </w:p>
    <w:p>
      <w:pPr>
        <w:pStyle w:val="BodyText"/>
      </w:pPr>
      <w:r>
        <w:rPr>
          <w:bCs/>
          <w:b/>
        </w:rPr>
        <w:t xml:space="preserve">Bioverfügbarkeit</w:t>
      </w:r>
      <w:r>
        <w:t xml:space="preserve">: Der Anteil eines verabreichten Wirkstoffs, der unverändert im Blutkreislauf ankommt. Bei einer Infusion in die Vene beträgt sie 100 %, bei Peptid-Tabletten oft nur wenige Prozent oder weniger.</w:t>
      </w:r>
    </w:p>
    <w:p>
      <w:pPr>
        <w:pStyle w:val="BodyText"/>
      </w:pPr>
      <w:r>
        <w:rPr>
          <w:bCs/>
          <w:b/>
        </w:rPr>
        <w:t xml:space="preserve">BMI (Body-Mass-Index)</w:t>
      </w:r>
      <w:r>
        <w:t xml:space="preserve">: Körpergewicht in Kilogramm geteilt durch das Quadrat der Körpergröße in Metern. Grobes Maß für Unter-, Normal- und Übergewicht.</w:t>
      </w:r>
    </w:p>
    <w:bookmarkEnd w:id="2978"/>
    <w:bookmarkStart w:id="2979" w:name="c"/>
    <w:p>
      <w:pPr>
        <w:pStyle w:val="Heading3"/>
      </w:pPr>
      <w:r>
        <w:t xml:space="preserve">C</w:t>
      </w:r>
    </w:p>
    <w:p>
      <w:pPr>
        <w:pStyle w:val="FirstParagraph"/>
      </w:pPr>
      <w:r>
        <w:rPr>
          <w:bCs/>
          <w:b/>
        </w:rPr>
        <w:t xml:space="preserve">C-Terminus</w:t>
      </w:r>
      <w:r>
        <w:t xml:space="preserve">: Das Ende einer Peptidkette mit der freien Säuregruppe. Peptidsequenzen werden vom N-Terminus zum C-Terminus geschrieben.</w:t>
      </w:r>
    </w:p>
    <w:p>
      <w:pPr>
        <w:pStyle w:val="BodyText"/>
      </w:pPr>
      <w:r>
        <w:rPr>
          <w:bCs/>
          <w:b/>
        </w:rPr>
        <w:t xml:space="preserve">Compounding</w:t>
      </w:r>
      <w:r>
        <w:t xml:space="preserve">: In den USA die Herstellung von Arzneimitteln durch Apotheken selbst, etwa bei Lieferengpässen. Solche Zubereitungen sind keine zugelassenen Fertigarzneimittel.</w:t>
      </w:r>
    </w:p>
    <w:p>
      <w:pPr>
        <w:pStyle w:val="BodyText"/>
      </w:pPr>
      <w:r>
        <w:rPr>
          <w:bCs/>
          <w:b/>
        </w:rPr>
        <w:t xml:space="preserve">Confounding (Störgröße)</w:t>
      </w:r>
      <w:r>
        <w:t xml:space="preserve">: Ein Faktor, der sowohl mit einer Behandlung als auch mit einem Ergebnis zusammenhängt und so einen scheinbaren Zusammenhang erzeugen kann. Typisches Problem von Beobachtungsstudien.</w:t>
      </w:r>
    </w:p>
    <w:bookmarkEnd w:id="2979"/>
    <w:bookmarkStart w:id="2980" w:name="d"/>
    <w:p>
      <w:pPr>
        <w:pStyle w:val="Heading3"/>
      </w:pPr>
      <w:r>
        <w:t xml:space="preserve">D</w:t>
      </w:r>
    </w:p>
    <w:p>
      <w:pPr>
        <w:pStyle w:val="FirstParagraph"/>
      </w:pPr>
      <w:r>
        <w:rPr>
          <w:bCs/>
          <w:b/>
        </w:rPr>
        <w:t xml:space="preserve">Dalton</w:t>
      </w:r>
      <w:r>
        <w:t xml:space="preserve">: Maßeinheit für die Masse von Molekülen. Eine Aminosäure in einer Peptidkette wiegt im Durchschnitt etwas mehr als 100 Dalton.</w:t>
      </w:r>
    </w:p>
    <w:p>
      <w:pPr>
        <w:pStyle w:val="BodyText"/>
      </w:pPr>
      <w:r>
        <w:rPr>
          <w:bCs/>
          <w:b/>
        </w:rPr>
        <w:t xml:space="preserve">Dipeptidylpeptidase-4 (DPP-4)</w:t>
      </w:r>
      <w:r>
        <w:t xml:space="preserve">: Ein Enzym, das unter anderem das Darmhormon GLP-1 rasch abbaut. Hemmstoffe dieses Enzyms (Gliptine) werden als Diabetes-Tabletten eingesetzt.</w:t>
      </w:r>
    </w:p>
    <w:p>
      <w:pPr>
        <w:pStyle w:val="BodyText"/>
      </w:pPr>
      <w:r>
        <w:rPr>
          <w:bCs/>
          <w:b/>
        </w:rPr>
        <w:t xml:space="preserve">Doppelblind</w:t>
      </w:r>
      <w:r>
        <w:t xml:space="preserve">: Eine Studie, bei der weder die Teilnehmenden noch das Studienpersonal wissen, wer Wirkstoff und wer Placebo erhält. Das verringert den Einfluss von Erwartungen auf die Ergebnisse.</w:t>
      </w:r>
    </w:p>
    <w:bookmarkEnd w:id="2980"/>
    <w:bookmarkStart w:id="2981" w:name="e"/>
    <w:p>
      <w:pPr>
        <w:pStyle w:val="Heading3"/>
      </w:pPr>
      <w:r>
        <w:t xml:space="preserve">E</w:t>
      </w:r>
    </w:p>
    <w:p>
      <w:pPr>
        <w:pStyle w:val="FirstParagraph"/>
      </w:pPr>
      <w:r>
        <w:rPr>
          <w:bCs/>
          <w:b/>
        </w:rPr>
        <w:t xml:space="preserve">Endotoxine</w:t>
      </w:r>
      <w:r>
        <w:t xml:space="preserve">: Hitzestabile Bestandteile der Zellwand bestimmter Bakterien. Gelangen sie ins Blut, können sie Fieber, Entzündungen und Kreislaufreaktionen auslösen; sie bleiben auch nach Abtöten der Bakterien wirksam.</w:t>
      </w:r>
    </w:p>
    <w:p>
      <w:pPr>
        <w:pStyle w:val="BodyText"/>
      </w:pPr>
      <w:r>
        <w:rPr>
          <w:bCs/>
          <w:b/>
        </w:rPr>
        <w:t xml:space="preserve">Endpunkt</w:t>
      </w:r>
      <w:r>
        <w:t xml:space="preserve">: Das Merkmal, an dem in einer Studie der Erfolg einer Behandlung gemessen wird, etwa Gewichtsverlust, Blutzucker oder Herzinfarkte. Der wichtigste wird als primärer Endpunkt vor Studienbeginn festgelegt.</w:t>
      </w:r>
    </w:p>
    <w:p>
      <w:pPr>
        <w:pStyle w:val="BodyText"/>
      </w:pPr>
      <w:r>
        <w:rPr>
          <w:bCs/>
          <w:b/>
        </w:rPr>
        <w:t xml:space="preserve">Estimand</w:t>
      </w:r>
      <w:r>
        <w:t xml:space="preserve">: Eine genaue Beschreibung, welcher Behandlungseffekt in einer Studie geschätzt wird – zum Beispiel unabhängig davon, ob Teilnehmende die Behandlung abbrechen, oder nur für die Zeit der tatsächlichen Einnahme.</w:t>
      </w:r>
    </w:p>
    <w:p>
      <w:pPr>
        <w:pStyle w:val="BodyText"/>
      </w:pPr>
      <w:r>
        <w:rPr>
          <w:bCs/>
          <w:b/>
        </w:rPr>
        <w:t xml:space="preserve">EudraVigilance</w:t>
      </w:r>
      <w:r>
        <w:t xml:space="preserve">: Die Datenbank der Europäischen Arzneimittel-Agentur für Meldungen über Verdachtsfälle von Nebenwirkungen.</w:t>
      </w:r>
    </w:p>
    <w:p>
      <w:pPr>
        <w:pStyle w:val="BodyText"/>
      </w:pPr>
      <w:r>
        <w:rPr>
          <w:bCs/>
          <w:b/>
        </w:rPr>
        <w:t xml:space="preserve">Evidenzpyramide</w:t>
      </w:r>
      <w:r>
        <w:t xml:space="preserve">: Eine Rangordnung von Studientypen nach ihrer Aussagekraft, von Labor- und Tierstudien unten bis zu Meta-Analysen randomisierter Studien oben.</w:t>
      </w:r>
    </w:p>
    <w:p>
      <w:pPr>
        <w:pStyle w:val="BodyText"/>
      </w:pPr>
      <w:r>
        <w:rPr>
          <w:bCs/>
          <w:b/>
        </w:rPr>
        <w:t xml:space="preserve">Evidenzstufe</w:t>
      </w:r>
      <w:r>
        <w:t xml:space="preserve">: In diesem Buch eine Einstufung von A bis D, wie gut die Wirkung eines Peptids am Menschen belegt ist. A steht für mehrere große randomisierte Studien und Zulassung, D für ausschließlich Tier- und Laborstudien.</w:t>
      </w:r>
    </w:p>
    <w:bookmarkEnd w:id="2981"/>
    <w:bookmarkStart w:id="2982" w:name="f"/>
    <w:p>
      <w:pPr>
        <w:pStyle w:val="Heading3"/>
      </w:pPr>
      <w:r>
        <w:t xml:space="preserve">F</w:t>
      </w:r>
    </w:p>
    <w:p>
      <w:pPr>
        <w:pStyle w:val="FirstParagraph"/>
      </w:pPr>
      <w:r>
        <w:rPr>
          <w:bCs/>
          <w:b/>
        </w:rPr>
        <w:t xml:space="preserve">Fachinformation</w:t>
      </w:r>
      <w:r>
        <w:t xml:space="preserve">: Die für Ärztinnen, Ärzte und Apotheken bestimmte, behördlich genehmigte Information zu einem zugelassenen Arzneimittel mit Anwendungsgebieten, Dosierung, Gegenanzeigen und Nebenwirkungen.</w:t>
      </w:r>
    </w:p>
    <w:p>
      <w:pPr>
        <w:pStyle w:val="BodyText"/>
      </w:pPr>
      <w:r>
        <w:rPr>
          <w:bCs/>
          <w:b/>
        </w:rPr>
        <w:t xml:space="preserve">FAERS</w:t>
      </w:r>
      <w:r>
        <w:t xml:space="preserve">: Das Meldesystem der US-Arzneimittelbehörde FDA für Verdachtsfälle von Nebenwirkungen.</w:t>
      </w:r>
    </w:p>
    <w:p>
      <w:pPr>
        <w:pStyle w:val="BodyText"/>
      </w:pPr>
      <w:r>
        <w:rPr>
          <w:bCs/>
          <w:b/>
        </w:rPr>
        <w:t xml:space="preserve">Fallbericht</w:t>
      </w:r>
      <w:r>
        <w:t xml:space="preserve">: Die Beschreibung eines einzelnen Krankheitsfalls in einer Fachzeitschrift. Fallberichte sind wichtig, um seltene Nebenwirkungen zu erkennen, sagen aber wenig über Wirksamkeit.</w:t>
      </w:r>
    </w:p>
    <w:p>
      <w:pPr>
        <w:pStyle w:val="BodyText"/>
      </w:pPr>
      <w:r>
        <w:rPr>
          <w:bCs/>
          <w:b/>
        </w:rPr>
        <w:t xml:space="preserve">Festphasen-Peptidsynthese</w:t>
      </w:r>
      <w:r>
        <w:t xml:space="preserve">: Chemisches Verfahren, bei dem eine Peptidkette an einem festen Trägermaterial Baustein für Baustein aufgebaut wird. Grundlage der Herstellung der meisten kurzen Peptide.</w:t>
      </w:r>
    </w:p>
    <w:p>
      <w:pPr>
        <w:pStyle w:val="BodyText"/>
      </w:pPr>
      <w:r>
        <w:rPr>
          <w:bCs/>
          <w:b/>
        </w:rPr>
        <w:t xml:space="preserve">Funktionsarzneimittel</w:t>
      </w:r>
      <w:r>
        <w:t xml:space="preserve">: Rechtlicher Begriff für ein Produkt, das wegen seiner pharmakologischen, immunologischen oder metabolischen Wirkung als Arzneimittel gilt – unabhängig davon, wie es beworben wird.</w:t>
      </w:r>
    </w:p>
    <w:bookmarkEnd w:id="2982"/>
    <w:bookmarkStart w:id="2983" w:name="g"/>
    <w:p>
      <w:pPr>
        <w:pStyle w:val="Heading3"/>
      </w:pPr>
      <w:r>
        <w:t xml:space="preserve">G</w:t>
      </w:r>
    </w:p>
    <w:p>
      <w:pPr>
        <w:pStyle w:val="FirstParagraph"/>
      </w:pPr>
      <w:r>
        <w:rPr>
          <w:bCs/>
          <w:b/>
        </w:rPr>
        <w:t xml:space="preserve">Ghrelin</w:t>
      </w:r>
      <w:r>
        <w:t xml:space="preserve">: Ein Peptidhormon, das vor allem im Magen gebildet wird, Hunger auslöst und die Ausschüttung von Wachstumshormon anregt.</w:t>
      </w:r>
    </w:p>
    <w:p>
      <w:pPr>
        <w:pStyle w:val="BodyText"/>
      </w:pPr>
      <w:r>
        <w:rPr>
          <w:bCs/>
          <w:b/>
        </w:rPr>
        <w:t xml:space="preserve">GHRH (Growth-Hormone-Releasing-Hormon)</w:t>
      </w:r>
      <w:r>
        <w:t xml:space="preserve">: Ein Hormon aus dem Hypothalamus, das die Hirnanhangdrüse zur Ausschüttung von Wachstumshormon anregt. Sermorelin, Tesamorelin und CJC-1295 sind davon abgeleitet.</w:t>
      </w:r>
    </w:p>
    <w:p>
      <w:pPr>
        <w:pStyle w:val="BodyText"/>
      </w:pPr>
      <w:r>
        <w:rPr>
          <w:bCs/>
          <w:b/>
        </w:rPr>
        <w:t xml:space="preserve">GHRP (Growth-Hormone-Releasing-Peptide)</w:t>
      </w:r>
      <w:r>
        <w:t xml:space="preserve">: Eine Gruppe synthetischer Peptide, die über den Ghrelin-Rezeptor die Ausschüttung von Wachstumshormon steigern, etwa GHRP-2, GHRP-6, Hexarelin und Ipamorelin.</w:t>
      </w:r>
    </w:p>
    <w:p>
      <w:pPr>
        <w:pStyle w:val="BodyText"/>
      </w:pPr>
      <w:r>
        <w:rPr>
          <w:bCs/>
          <w:b/>
        </w:rPr>
        <w:t xml:space="preserve">GIP (glukoseabhängiges insulinotropes Polypeptid)</w:t>
      </w:r>
      <w:r>
        <w:t xml:space="preserve">: Ein Darmhormon aus der Gruppe der Inkretine. Tirzepatid aktiviert neben dem GLP-1- auch den GIP-Rezeptor.</w:t>
      </w:r>
    </w:p>
    <w:p>
      <w:pPr>
        <w:pStyle w:val="BodyText"/>
      </w:pPr>
      <w:r>
        <w:rPr>
          <w:bCs/>
          <w:b/>
        </w:rPr>
        <w:t xml:space="preserve">GLP-1 (Glucagon-like Peptide-1)</w:t>
      </w:r>
      <w:r>
        <w:t xml:space="preserve">: Ein Darmhormon, das nach dem Essen ausgeschüttet wird, die Insulinfreisetzung abhängig vom Blutzucker verstärkt, die Magenentleerung verlangsamt und das Sättigungsgefühl beeinflusst.</w:t>
      </w:r>
    </w:p>
    <w:p>
      <w:pPr>
        <w:pStyle w:val="BodyText"/>
      </w:pPr>
      <w:r>
        <w:rPr>
          <w:bCs/>
          <w:b/>
        </w:rPr>
        <w:t xml:space="preserve">GLP-1-Rezeptoragonist</w:t>
      </w:r>
      <w:r>
        <w:t xml:space="preserve">: Ein Wirkstoff, der den GLP-1-Rezeptor aktiviert, zum Beispiel Exenatid, Liraglutid, Dulaglutid oder Semaglutid.</w:t>
      </w:r>
    </w:p>
    <w:p>
      <w:pPr>
        <w:pStyle w:val="BodyText"/>
      </w:pPr>
      <w:r>
        <w:rPr>
          <w:bCs/>
          <w:b/>
        </w:rPr>
        <w:t xml:space="preserve">Glukagon</w:t>
      </w:r>
      <w:r>
        <w:t xml:space="preserve">: Ein Peptidhormon der Bauchspeicheldrüse, das den Blutzucker erhöht. Einige neue Wirkstoffe aktivieren zusätzlich den Glukagon-Rezeptor.</w:t>
      </w:r>
    </w:p>
    <w:p>
      <w:pPr>
        <w:pStyle w:val="BodyText"/>
      </w:pPr>
      <w:r>
        <w:rPr>
          <w:bCs/>
          <w:b/>
        </w:rPr>
        <w:t xml:space="preserve">GnRH (Gonadotropin-Releasing-Hormon)</w:t>
      </w:r>
      <w:r>
        <w:t xml:space="preserve">: Ein Hormon aus dem Hypothalamus, das die Ausschüttung der Sexualhormon-steuernden Hormone LH und FSH regelt. Gonadorelin ist eine synthetische Form.</w:t>
      </w:r>
    </w:p>
    <w:bookmarkEnd w:id="2983"/>
    <w:bookmarkStart w:id="2984" w:name="h"/>
    <w:p>
      <w:pPr>
        <w:pStyle w:val="Heading3"/>
      </w:pPr>
      <w:r>
        <w:t xml:space="preserve">H</w:t>
      </w:r>
    </w:p>
    <w:p>
      <w:pPr>
        <w:pStyle w:val="FirstParagraph"/>
      </w:pPr>
      <w:r>
        <w:rPr>
          <w:bCs/>
          <w:b/>
        </w:rPr>
        <w:t xml:space="preserve">Halbwertszeit</w:t>
      </w:r>
      <w:r>
        <w:t xml:space="preserve">: Die Zeit, nach der die Hälfte eines Wirkstoffs im Körper abgebaut oder ausgeschieden ist. Sie bestimmt maßgeblich, wie oft ein Arzneimittel gegeben werden muss.</w:t>
      </w:r>
    </w:p>
    <w:p>
      <w:pPr>
        <w:pStyle w:val="BodyText"/>
      </w:pPr>
      <w:r>
        <w:rPr>
          <w:bCs/>
          <w:b/>
        </w:rPr>
        <w:t xml:space="preserve">Harter Endpunkt</w:t>
      </w:r>
      <w:r>
        <w:t xml:space="preserve">: Ein Studienergebnis, das für Patientinnen und Patienten unmittelbar zählt, etwa Tod, Herzinfarkt, Schlaganfall oder Knochenbruch.</w:t>
      </w:r>
    </w:p>
    <w:p>
      <w:pPr>
        <w:pStyle w:val="BodyText"/>
      </w:pPr>
      <w:r>
        <w:rPr>
          <w:bCs/>
          <w:b/>
        </w:rPr>
        <w:t xml:space="preserve">Hazard Ratio</w:t>
      </w:r>
      <w:r>
        <w:t xml:space="preserve">: Ein Maß dafür, wie sich das Risiko für ein Ereignis über die Zeit zwischen zwei Gruppen unterscheidet. Ein Wert von 0,80 bedeutet ein um rund 20 % niedrigeres relatives Risiko.</w:t>
      </w:r>
    </w:p>
    <w:p>
      <w:pPr>
        <w:pStyle w:val="BodyText"/>
      </w:pPr>
      <w:r>
        <w:rPr>
          <w:bCs/>
          <w:b/>
        </w:rPr>
        <w:t xml:space="preserve">HbA1c</w:t>
      </w:r>
      <w:r>
        <w:t xml:space="preserve">: Der Anteil des roten Blutfarbstoffs, an den Zucker gebunden ist. Er spiegelt den durchschnittlichen Blutzucker der letzten zwei bis drei Monate wider und ist ein wichtiger Surrogat-Endpunkt in Diabetesstudien.</w:t>
      </w:r>
    </w:p>
    <w:p>
      <w:pPr>
        <w:pStyle w:val="BodyText"/>
      </w:pPr>
      <w:r>
        <w:rPr>
          <w:bCs/>
          <w:b/>
        </w:rPr>
        <w:t xml:space="preserve">HPLC (Hochleistungsflüssigchromatographie)</w:t>
      </w:r>
      <w:r>
        <w:t xml:space="preserve">: Ein Laborverfahren, mit dem sich Stoffgemische trennen und die Reinheit von Peptiden bestimmen lässt.</w:t>
      </w:r>
    </w:p>
    <w:p>
      <w:pPr>
        <w:pStyle w:val="BodyText"/>
      </w:pPr>
      <w:r>
        <w:rPr>
          <w:bCs/>
          <w:b/>
        </w:rPr>
        <w:t xml:space="preserve">Hydrolysat</w:t>
      </w:r>
      <w:r>
        <w:t xml:space="preserve">: Ein Gemisch aus Bruchstücken, das entsteht, wenn Eiweiße mit Enzymen oder Säure gespalten werden. Kollagenpeptide werden so gewonnen.</w:t>
      </w:r>
    </w:p>
    <w:p>
      <w:pPr>
        <w:pStyle w:val="BodyText"/>
      </w:pPr>
      <w:r>
        <w:rPr>
          <w:bCs/>
          <w:b/>
        </w:rPr>
        <w:t xml:space="preserve">Hypoglykämie</w:t>
      </w:r>
      <w:r>
        <w:t xml:space="preserve">: Unterzuckerung, also ein zu niedriger Blutzuckerspiegel. Sie kann zu Zittern, Schwitzen, Verwirrtheit und Bewusstlosigkeit führen und ist ein Notfall.</w:t>
      </w:r>
    </w:p>
    <w:p>
      <w:pPr>
        <w:pStyle w:val="BodyText"/>
      </w:pPr>
      <w:r>
        <w:rPr>
          <w:bCs/>
          <w:b/>
        </w:rPr>
        <w:t xml:space="preserve">Hypophyse (Hirnanhangdrüse)</w:t>
      </w:r>
      <w:r>
        <w:t xml:space="preserve">: Eine kleine Hormondrüse an der Schädelbasis, die unter anderem Wachstumshormon und die Steuerhormone für Schilddrüse, Nebennieren und Keimdrüsen ausschüttet.</w:t>
      </w:r>
    </w:p>
    <w:p>
      <w:pPr>
        <w:pStyle w:val="BodyText"/>
      </w:pPr>
      <w:r>
        <w:rPr>
          <w:bCs/>
          <w:b/>
        </w:rPr>
        <w:t xml:space="preserve">Hypothalamus</w:t>
      </w:r>
      <w:r>
        <w:t xml:space="preserve">: Eine Hirnregion, die über Freisetzungshormone die Hirnanhangdrüse steuert und an Hunger, Durst, Schlaf und Körpertemperatur beteiligt ist.</w:t>
      </w:r>
    </w:p>
    <w:bookmarkEnd w:id="2984"/>
    <w:bookmarkStart w:id="2985" w:name="i"/>
    <w:p>
      <w:pPr>
        <w:pStyle w:val="Heading3"/>
      </w:pPr>
      <w:r>
        <w:t xml:space="preserve">I</w:t>
      </w:r>
    </w:p>
    <w:p>
      <w:pPr>
        <w:pStyle w:val="FirstParagraph"/>
      </w:pPr>
      <w:r>
        <w:rPr>
          <w:bCs/>
          <w:b/>
        </w:rPr>
        <w:t xml:space="preserve">IGF-1 (insulinähnlicher Wachstumsfaktor 1)</w:t>
      </w:r>
      <w:r>
        <w:t xml:space="preserve">: Ein Wachstumsfaktor, der vor allem in der Leber unter dem Einfluss von Wachstumshormon gebildet wird. Er vermittelt viele Wirkungen des Wachstumshormons und dient als Laborwert zu dessen Beurteilung.</w:t>
      </w:r>
    </w:p>
    <w:p>
      <w:pPr>
        <w:pStyle w:val="BodyText"/>
      </w:pPr>
      <w:r>
        <w:rPr>
          <w:bCs/>
          <w:b/>
        </w:rPr>
        <w:t xml:space="preserve">Immunogenität</w:t>
      </w:r>
      <w:r>
        <w:t xml:space="preserve">: Die Eigenschaft eines Stoffes, eine Reaktion des Immunsystems auszulösen, etwa die Bildung von Antikörpern.</w:t>
      </w:r>
    </w:p>
    <w:p>
      <w:pPr>
        <w:pStyle w:val="BodyText"/>
      </w:pPr>
      <w:r>
        <w:rPr>
          <w:bCs/>
          <w:b/>
        </w:rPr>
        <w:t xml:space="preserve">Inkretine</w:t>
      </w:r>
      <w:r>
        <w:t xml:space="preserve">: Darmhormone, die nach einer Mahlzeit die Insulinausschüttung verstärken. Die wichtigsten sind GLP-1 und GIP.</w:t>
      </w:r>
    </w:p>
    <w:p>
      <w:pPr>
        <w:pStyle w:val="BodyText"/>
      </w:pPr>
      <w:r>
        <w:rPr>
          <w:bCs/>
          <w:b/>
        </w:rPr>
        <w:t xml:space="preserve">Insulin</w:t>
      </w:r>
      <w:r>
        <w:t xml:space="preserve">: Ein Peptidhormon der Bauchspeicheldrüse aus 51 Aminosäuren, das den Blutzucker senkt. Es war 1922 das erste als Arzneimittel eingesetzte Peptid.</w:t>
      </w:r>
    </w:p>
    <w:p>
      <w:pPr>
        <w:pStyle w:val="BodyText"/>
      </w:pPr>
      <w:r>
        <w:rPr>
          <w:bCs/>
          <w:b/>
        </w:rPr>
        <w:t xml:space="preserve">Intention-to-treat-Analyse</w:t>
      </w:r>
      <w:r>
        <w:t xml:space="preserve">: Auswertung einer Studie, bei der alle Teilnehmenden in der Gruppe gezählt werden, der sie zugeteilt wurden – auch wenn sie die Behandlung abgebrochen haben. Sie gilt als realistischere Schätzung des Effekts im Alltag.</w:t>
      </w:r>
    </w:p>
    <w:p>
      <w:pPr>
        <w:pStyle w:val="BodyText"/>
      </w:pPr>
      <w:r>
        <w:rPr>
          <w:bCs/>
          <w:b/>
        </w:rPr>
        <w:t xml:space="preserve">Interessenkonflikt</w:t>
      </w:r>
      <w:r>
        <w:t xml:space="preserve">: Eine Situation, in der finanzielle oder andere Interessen das Urteil von Forschenden oder Autoren beeinflussen könnten, etwa durch Finanzierung einer Studie durch den Hersteller.</w:t>
      </w:r>
    </w:p>
    <w:p>
      <w:pPr>
        <w:pStyle w:val="BodyText"/>
      </w:pPr>
      <w:r>
        <w:rPr>
          <w:bCs/>
          <w:b/>
        </w:rPr>
        <w:t xml:space="preserve">In vitro</w:t>
      </w:r>
      <w:r>
        <w:t xml:space="preserve">: „Im Glas“ – Versuche im Labor an Zellen, Geweben oder isolierten Molekülen außerhalb eines lebenden Organismus.</w:t>
      </w:r>
    </w:p>
    <w:bookmarkEnd w:id="2985"/>
    <w:bookmarkStart w:id="2986" w:name="k"/>
    <w:p>
      <w:pPr>
        <w:pStyle w:val="Heading3"/>
      </w:pPr>
      <w:r>
        <w:t xml:space="preserve">K</w:t>
      </w:r>
    </w:p>
    <w:p>
      <w:pPr>
        <w:pStyle w:val="FirstParagraph"/>
      </w:pPr>
      <w:r>
        <w:rPr>
          <w:bCs/>
          <w:b/>
        </w:rPr>
        <w:t xml:space="preserve">Kohortenstudie</w:t>
      </w:r>
      <w:r>
        <w:t xml:space="preserve">: Eine Beobachtungsstudie, die eine Gruppe von Menschen über längere Zeit verfolgt und vergleicht, wie häufig bei unterschiedlichen Eigenschaften oder Behandlungen bestimmte Ereignisse auftreten.</w:t>
      </w:r>
    </w:p>
    <w:p>
      <w:pPr>
        <w:pStyle w:val="BodyText"/>
      </w:pPr>
      <w:r>
        <w:rPr>
          <w:bCs/>
          <w:b/>
        </w:rPr>
        <w:t xml:space="preserve">Konfidenzintervall</w:t>
      </w:r>
      <w:r>
        <w:t xml:space="preserve">: Ein Bereich um ein Studienergebnis, in dem der wahre Wert mit einer bestimmten Wahrscheinlichkeit (meist 95 %) liegt. Breite Intervalle deuten auf eine unsichere Schätzung hin.</w:t>
      </w:r>
    </w:p>
    <w:p>
      <w:pPr>
        <w:pStyle w:val="BodyText"/>
      </w:pPr>
      <w:r>
        <w:rPr>
          <w:bCs/>
          <w:b/>
        </w:rPr>
        <w:t xml:space="preserve">Kontrollgruppe</w:t>
      </w:r>
      <w:r>
        <w:t xml:space="preserve">: Die Vergleichsgruppe in einer Studie, die keinen Wirkstoff, ein Placebo oder eine Standardbehandlung erhält.</w:t>
      </w:r>
    </w:p>
    <w:p>
      <w:pPr>
        <w:pStyle w:val="BodyText"/>
      </w:pPr>
      <w:r>
        <w:rPr>
          <w:bCs/>
          <w:b/>
        </w:rPr>
        <w:t xml:space="preserve">Kosmetikum</w:t>
      </w:r>
      <w:r>
        <w:t xml:space="preserve">: Ein Produkt zur äußerlichen Anwendung, das reinigt, pflegt, schützt oder das Aussehen verändert. Es darf keine arzneiliche Wirkung beanspruchen und braucht in der EU keine Zulassung.</w:t>
      </w:r>
    </w:p>
    <w:bookmarkEnd w:id="2986"/>
    <w:bookmarkStart w:id="2987" w:name="l"/>
    <w:p>
      <w:pPr>
        <w:pStyle w:val="Heading3"/>
      </w:pPr>
      <w:r>
        <w:t xml:space="preserve">L</w:t>
      </w:r>
    </w:p>
    <w:p>
      <w:pPr>
        <w:pStyle w:val="FirstParagraph"/>
      </w:pPr>
      <w:r>
        <w:rPr>
          <w:bCs/>
          <w:b/>
        </w:rPr>
        <w:t xml:space="preserve">Lyophilisat</w:t>
      </w:r>
      <w:r>
        <w:t xml:space="preserve">: Ein gefriergetrocknetes Pulver. Viele Peptide werden in dieser Form gelagert und müssen vor der Anwendung in einer Flüssigkeit aufgelöst werden.</w:t>
      </w:r>
    </w:p>
    <w:bookmarkEnd w:id="2987"/>
    <w:bookmarkStart w:id="2988" w:name="m"/>
    <w:p>
      <w:pPr>
        <w:pStyle w:val="Heading3"/>
      </w:pPr>
      <w:r>
        <w:t xml:space="preserve">M</w:t>
      </w:r>
    </w:p>
    <w:p>
      <w:pPr>
        <w:pStyle w:val="FirstParagraph"/>
      </w:pPr>
      <w:r>
        <w:rPr>
          <w:bCs/>
          <w:b/>
        </w:rPr>
        <w:t xml:space="preserve">Massenspektrometrie</w:t>
      </w:r>
      <w:r>
        <w:t xml:space="preserve">: Ein Messverfahren, das Moleküle nach ihrer Masse bestimmt. Damit lassen sich Peptide in Produkten und Körperflüssigkeiten eindeutig identifizieren, etwa in Dopingkontrollen.</w:t>
      </w:r>
    </w:p>
    <w:p>
      <w:pPr>
        <w:pStyle w:val="BodyText"/>
      </w:pPr>
      <w:r>
        <w:rPr>
          <w:bCs/>
          <w:b/>
        </w:rPr>
        <w:t xml:space="preserve">Melanocortin-Rezeptoren</w:t>
      </w:r>
      <w:r>
        <w:t xml:space="preserve">: Eine Familie von Rezeptoren, die unter anderem Hautpigmentierung, Appetit und Sexualfunktion beeinflussen. Afamelanotid, Bremelanotid, Melanotan II und Setmelanotid wirken an diesen Rezeptoren.</w:t>
      </w:r>
    </w:p>
    <w:p>
      <w:pPr>
        <w:pStyle w:val="BodyText"/>
      </w:pPr>
      <w:r>
        <w:rPr>
          <w:bCs/>
          <w:b/>
        </w:rPr>
        <w:t xml:space="preserve">Meta-Analyse</w:t>
      </w:r>
      <w:r>
        <w:t xml:space="preserve">: Eine statistische Zusammenfassung der Ergebnisse mehrerer Studien zur selben Frage. Sie ist nur so gut wie die Studien, die in sie eingehen.</w:t>
      </w:r>
    </w:p>
    <w:p>
      <w:pPr>
        <w:pStyle w:val="BodyText"/>
      </w:pPr>
      <w:r>
        <w:rPr>
          <w:bCs/>
          <w:b/>
        </w:rPr>
        <w:t xml:space="preserve">Mimetikum</w:t>
      </w:r>
      <w:r>
        <w:t xml:space="preserve">: Ein Stoff, der die Wirkung eines anderen nachahmt, ohne dessen Struktur zu haben – etwa ein kleines Molekül, das wie ein Peptidhormon einen Rezeptor aktiviert.</w:t>
      </w:r>
    </w:p>
    <w:bookmarkEnd w:id="2988"/>
    <w:bookmarkStart w:id="2989" w:name="n"/>
    <w:p>
      <w:pPr>
        <w:pStyle w:val="Heading3"/>
      </w:pPr>
      <w:r>
        <w:t xml:space="preserve">N</w:t>
      </w:r>
    </w:p>
    <w:p>
      <w:pPr>
        <w:pStyle w:val="FirstParagraph"/>
      </w:pPr>
      <w:r>
        <w:rPr>
          <w:bCs/>
          <w:b/>
        </w:rPr>
        <w:t xml:space="preserve">Nahrungsergänzungsmittel</w:t>
      </w:r>
      <w:r>
        <w:t xml:space="preserve">: Ein Lebensmittel, das die normale Ernährung mit Nährstoffen oder anderen Stoffen ergänzen soll. Es braucht keine Zulassung, darf aber keine pharmakologische Wirkung haben.</w:t>
      </w:r>
    </w:p>
    <w:p>
      <w:pPr>
        <w:pStyle w:val="BodyText"/>
      </w:pPr>
      <w:r>
        <w:rPr>
          <w:bCs/>
          <w:b/>
        </w:rPr>
        <w:t xml:space="preserve">NCT-Nummer</w:t>
      </w:r>
      <w:r>
        <w:t xml:space="preserve">: Die Kennnummer einer Studie im Register ClinicalTrials.gov, bestehend aus „NCT“ und acht Ziffern.</w:t>
      </w:r>
    </w:p>
    <w:p>
      <w:pPr>
        <w:pStyle w:val="BodyText"/>
      </w:pPr>
      <w:r>
        <w:rPr>
          <w:bCs/>
          <w:b/>
        </w:rPr>
        <w:t xml:space="preserve">Novel Food</w:t>
      </w:r>
      <w:r>
        <w:t xml:space="preserve">: In der EU ein Lebensmittel oder eine Zutat, die vor dem 15. Mai 1997 nicht in nennenswertem Umfang verzehrt wurde. Solche Produkte brauchen vor dem Verkauf eine Zulassung.</w:t>
      </w:r>
    </w:p>
    <w:p>
      <w:pPr>
        <w:pStyle w:val="BodyText"/>
      </w:pPr>
      <w:r>
        <w:rPr>
          <w:bCs/>
          <w:b/>
        </w:rPr>
        <w:t xml:space="preserve">N-Terminus</w:t>
      </w:r>
      <w:r>
        <w:t xml:space="preserve">: Der Anfang einer Peptidkette mit der freien Aminogruppe.</w:t>
      </w:r>
    </w:p>
    <w:p>
      <w:pPr>
        <w:pStyle w:val="BodyText"/>
      </w:pPr>
      <w:r>
        <w:rPr>
          <w:bCs/>
          <w:b/>
        </w:rPr>
        <w:t xml:space="preserve">Number Needed to Treat (NNT)</w:t>
      </w:r>
      <w:r>
        <w:t xml:space="preserve">: Die Zahl der Menschen, die eine bestimmte Zeit behandelt werden müssen, damit eine Person ein Ereignis vermeidet. Sie wird aus der absoluten Risikoreduktion berechnet.</w:t>
      </w:r>
    </w:p>
    <w:bookmarkEnd w:id="2989"/>
    <w:bookmarkStart w:id="2990" w:name="o"/>
    <w:p>
      <w:pPr>
        <w:pStyle w:val="Heading3"/>
      </w:pPr>
      <w:r>
        <w:t xml:space="preserve">O</w:t>
      </w:r>
    </w:p>
    <w:p>
      <w:pPr>
        <w:pStyle w:val="FirstParagraph"/>
      </w:pPr>
      <w:r>
        <w:rPr>
          <w:bCs/>
          <w:b/>
        </w:rPr>
        <w:t xml:space="preserve">Offene Studie</w:t>
      </w:r>
      <w:r>
        <w:t xml:space="preserve">: Eine Studie ohne Verblindung, in der Teilnehmende und Studienpersonal wissen, welche Behandlung gegeben wird.</w:t>
      </w:r>
    </w:p>
    <w:p>
      <w:pPr>
        <w:pStyle w:val="BodyText"/>
      </w:pPr>
      <w:r>
        <w:rPr>
          <w:bCs/>
          <w:b/>
        </w:rPr>
        <w:t xml:space="preserve">Off-Label-Use</w:t>
      </w:r>
      <w:r>
        <w:t xml:space="preserve">: Die Anwendung eines zugelassenen Arzneimittels außerhalb der zugelassenen Anwendungsgebiete, Dosierungen oder Personengruppen.</w:t>
      </w:r>
    </w:p>
    <w:p>
      <w:pPr>
        <w:pStyle w:val="BodyText"/>
      </w:pPr>
      <w:r>
        <w:rPr>
          <w:bCs/>
          <w:b/>
        </w:rPr>
        <w:t xml:space="preserve">Oligopeptid</w:t>
      </w:r>
      <w:r>
        <w:t xml:space="preserve">: Ein kurzes Peptid aus etwa zwei bis zehn Aminosäuren.</w:t>
      </w:r>
    </w:p>
    <w:bookmarkEnd w:id="2990"/>
    <w:bookmarkStart w:id="2991" w:name="p"/>
    <w:p>
      <w:pPr>
        <w:pStyle w:val="Heading3"/>
      </w:pPr>
      <w:r>
        <w:t xml:space="preserve">P</w:t>
      </w:r>
    </w:p>
    <w:p>
      <w:pPr>
        <w:pStyle w:val="FirstParagraph"/>
      </w:pPr>
      <w:r>
        <w:rPr>
          <w:bCs/>
          <w:b/>
        </w:rPr>
        <w:t xml:space="preserve">Pankreatitis</w:t>
      </w:r>
      <w:r>
        <w:t xml:space="preserve">: Entzündung der Bauchspeicheldrüse. Sie wird als mögliche, seltene Nebenwirkung von GLP-1-Medikamenten diskutiert.</w:t>
      </w:r>
    </w:p>
    <w:p>
      <w:pPr>
        <w:pStyle w:val="BodyText"/>
      </w:pPr>
      <w:r>
        <w:rPr>
          <w:bCs/>
          <w:b/>
        </w:rPr>
        <w:t xml:space="preserve">Peptid</w:t>
      </w:r>
      <w:r>
        <w:t xml:space="preserve">: Eine Kette aus Aminosäuren, die über Peptidbindungen verknüpft sind. Ab etwa 50 Aminosäuren spricht man meist von einem Protein.</w:t>
      </w:r>
    </w:p>
    <w:p>
      <w:pPr>
        <w:pStyle w:val="BodyText"/>
      </w:pPr>
      <w:r>
        <w:rPr>
          <w:bCs/>
          <w:b/>
        </w:rPr>
        <w:t xml:space="preserve">Peptidbindung</w:t>
      </w:r>
      <w:r>
        <w:t xml:space="preserve">: Die chemische Verbindung zwischen der Säuregruppe einer Aminosäure und der Aminogruppe der nächsten, bei deren Bildung Wasser abgespalten wird.</w:t>
      </w:r>
    </w:p>
    <w:p>
      <w:pPr>
        <w:pStyle w:val="BodyText"/>
      </w:pPr>
      <w:r>
        <w:rPr>
          <w:bCs/>
          <w:b/>
        </w:rPr>
        <w:t xml:space="preserve">Pharmakodynamik</w:t>
      </w:r>
      <w:r>
        <w:t xml:space="preserve">: Die Lehre davon, was ein Wirkstoff im Körper bewirkt – also seine Wirkungen und Wirkmechanismen.</w:t>
      </w:r>
    </w:p>
    <w:p>
      <w:pPr>
        <w:pStyle w:val="BodyText"/>
      </w:pPr>
      <w:r>
        <w:rPr>
          <w:bCs/>
          <w:b/>
        </w:rPr>
        <w:t xml:space="preserve">Pharmakokinetik</w:t>
      </w:r>
      <w:r>
        <w:t xml:space="preserve">: Die Lehre davon, was der Körper mit einem Wirkstoff macht – Aufnahme, Verteilung, Abbau und Ausscheidung.</w:t>
      </w:r>
    </w:p>
    <w:p>
      <w:pPr>
        <w:pStyle w:val="BodyText"/>
      </w:pPr>
      <w:r>
        <w:rPr>
          <w:bCs/>
          <w:b/>
        </w:rPr>
        <w:t xml:space="preserve">Pharmakovigilanz</w:t>
      </w:r>
      <w:r>
        <w:t xml:space="preserve">: Die systematische Überwachung von Arzneimitteln nach der Zulassung, um Nebenwirkungen zu erkennen und zu bewerten.</w:t>
      </w:r>
    </w:p>
    <w:p>
      <w:pPr>
        <w:pStyle w:val="BodyText"/>
      </w:pPr>
      <w:r>
        <w:rPr>
          <w:bCs/>
          <w:b/>
        </w:rPr>
        <w:t xml:space="preserve">Placebo</w:t>
      </w:r>
      <w:r>
        <w:t xml:space="preserve">: Ein Scheinpräparat ohne Wirkstoff, das in Studien zum Vergleich eingesetzt wird.</w:t>
      </w:r>
    </w:p>
    <w:p>
      <w:pPr>
        <w:pStyle w:val="BodyText"/>
      </w:pPr>
      <w:r>
        <w:rPr>
          <w:bCs/>
          <w:b/>
        </w:rPr>
        <w:t xml:space="preserve">Placebo-Effekt</w:t>
      </w:r>
      <w:r>
        <w:t xml:space="preserve">: Eine Verbesserung von Beschwerden, die nicht auf einen Wirkstoff, sondern auf Erwartungen, Zuwendung oder den natürlichen Verlauf zurückgeht.</w:t>
      </w:r>
    </w:p>
    <w:p>
      <w:pPr>
        <w:pStyle w:val="BodyText"/>
      </w:pPr>
      <w:r>
        <w:rPr>
          <w:bCs/>
          <w:b/>
        </w:rPr>
        <w:t xml:space="preserve">PMID</w:t>
      </w:r>
      <w:r>
        <w:t xml:space="preserve">: Die PubMed-Identifikationsnummer, eine eindeutige Nummer für jeden Eintrag in der Literaturdatenbank PubMed.</w:t>
      </w:r>
    </w:p>
    <w:p>
      <w:pPr>
        <w:pStyle w:val="BodyText"/>
      </w:pPr>
      <w:r>
        <w:rPr>
          <w:bCs/>
          <w:b/>
        </w:rPr>
        <w:t xml:space="preserve">Polypeptid</w:t>
      </w:r>
      <w:r>
        <w:t xml:space="preserve">: Eine längere Peptidkette, meist mit mehr als zehn Aminosäuren.</w:t>
      </w:r>
    </w:p>
    <w:p>
      <w:pPr>
        <w:pStyle w:val="BodyText"/>
      </w:pPr>
      <w:r>
        <w:rPr>
          <w:bCs/>
          <w:b/>
        </w:rPr>
        <w:t xml:space="preserve">Präklinische Studien</w:t>
      </w:r>
      <w:r>
        <w:t xml:space="preserve">: Untersuchungen im Labor und an Tieren, die vor den ersten Studien am Menschen durchgeführt werden.</w:t>
      </w:r>
    </w:p>
    <w:p>
      <w:pPr>
        <w:pStyle w:val="BodyText"/>
      </w:pPr>
      <w:r>
        <w:rPr>
          <w:bCs/>
          <w:b/>
        </w:rPr>
        <w:t xml:space="preserve">Präsentationsarzneimittel</w:t>
      </w:r>
      <w:r>
        <w:t xml:space="preserve">: Rechtlicher Begriff für ein Produkt, das als Arzneimittel gilt, weil es als Mittel gegen Krankheiten dargestellt oder beworben wird.</w:t>
      </w:r>
    </w:p>
    <w:p>
      <w:pPr>
        <w:pStyle w:val="BodyText"/>
      </w:pPr>
      <w:r>
        <w:rPr>
          <w:bCs/>
          <w:b/>
        </w:rPr>
        <w:t xml:space="preserve">Preprint</w:t>
      </w:r>
      <w:r>
        <w:t xml:space="preserve">: Eine wissenschaftliche Arbeit, die vor der Begutachtung durch Fachleute öffentlich gemacht wird.</w:t>
      </w:r>
    </w:p>
    <w:p>
      <w:pPr>
        <w:pStyle w:val="BodyText"/>
      </w:pPr>
      <w:r>
        <w:rPr>
          <w:bCs/>
          <w:b/>
        </w:rPr>
        <w:t xml:space="preserve">Protease</w:t>
      </w:r>
      <w:r>
        <w:t xml:space="preserve">: Ein Enzym, das Peptidbindungen spaltet und so Eiweiße und Peptide abbaut. Auch Peptidase genannt.</w:t>
      </w:r>
    </w:p>
    <w:p>
      <w:pPr>
        <w:pStyle w:val="BodyText"/>
      </w:pPr>
      <w:r>
        <w:rPr>
          <w:bCs/>
          <w:b/>
        </w:rPr>
        <w:t xml:space="preserve">Protein</w:t>
      </w:r>
      <w:r>
        <w:t xml:space="preserve">: Ein großes Eiweißmolekül aus meist mehr als 50 Aminosäuren mit einer bestimmten räumlichen Faltung.</w:t>
      </w:r>
    </w:p>
    <w:p>
      <w:pPr>
        <w:pStyle w:val="BodyText"/>
      </w:pPr>
      <w:r>
        <w:rPr>
          <w:bCs/>
          <w:b/>
        </w:rPr>
        <w:t xml:space="preserve">Publikationsbias</w:t>
      </w:r>
      <w:r>
        <w:t xml:space="preserve">: Die Verzerrung des Gesamtbildes, wenn Studien mit positiven Ergebnissen häufiger veröffentlicht werden als solche mit negativen.</w:t>
      </w:r>
    </w:p>
    <w:p>
      <w:pPr>
        <w:pStyle w:val="BodyText"/>
      </w:pPr>
      <w:r>
        <w:rPr>
          <w:bCs/>
          <w:b/>
        </w:rPr>
        <w:t xml:space="preserve">PubMed</w:t>
      </w:r>
      <w:r>
        <w:t xml:space="preserve">: Eine frei zugängliche Literaturdatenbank der US-amerikanischen National Library of Medicine mit Millionen Einträgen aus der biomedizinischen Forschung.</w:t>
      </w:r>
    </w:p>
    <w:p>
      <w:pPr>
        <w:pStyle w:val="BodyText"/>
      </w:pPr>
      <w:r>
        <w:rPr>
          <w:bCs/>
          <w:b/>
        </w:rPr>
        <w:t xml:space="preserve">p-Wert</w:t>
      </w:r>
      <w:r>
        <w:t xml:space="preserve">: Ein statistisches Maß dafür, wie wahrscheinlich ein mindestens so großer Unterschied wäre, wenn es in Wirklichkeit keinen Effekt gäbe. Werte unter 0,05 gelten üblicherweise als statistisch signifikant.</w:t>
      </w:r>
    </w:p>
    <w:bookmarkEnd w:id="2991"/>
    <w:bookmarkStart w:id="2992" w:name="r"/>
    <w:p>
      <w:pPr>
        <w:pStyle w:val="Heading3"/>
      </w:pPr>
      <w:r>
        <w:t xml:space="preserve">R</w:t>
      </w:r>
    </w:p>
    <w:p>
      <w:pPr>
        <w:pStyle w:val="FirstParagraph"/>
      </w:pPr>
      <w:r>
        <w:rPr>
          <w:bCs/>
          <w:b/>
        </w:rPr>
        <w:t xml:space="preserve">Randomisierung</w:t>
      </w:r>
      <w:r>
        <w:t xml:space="preserve">: Die zufällige Zuteilung von Teilnehmenden zu den Gruppen einer Studie. Sie sorgt dafür, dass sich die Gruppen nur in der Behandlung systematisch unterscheiden.</w:t>
      </w:r>
    </w:p>
    <w:p>
      <w:pPr>
        <w:pStyle w:val="BodyText"/>
      </w:pPr>
      <w:r>
        <w:rPr>
          <w:bCs/>
          <w:b/>
        </w:rPr>
        <w:t xml:space="preserve">RCT (randomisierte kontrollierte Studie)</w:t>
      </w:r>
      <w:r>
        <w:t xml:space="preserve">: Eine Studie mit zufälliger Zuteilung zu einer Behandlungs- und einer Kontrollgruppe. Sie gilt als zuverlässigster Weg, die Wirkung einer Behandlung nachzuweisen.</w:t>
      </w:r>
    </w:p>
    <w:p>
      <w:pPr>
        <w:pStyle w:val="BodyText"/>
      </w:pPr>
      <w:r>
        <w:rPr>
          <w:bCs/>
          <w:b/>
        </w:rPr>
        <w:t xml:space="preserve">Rekombinant</w:t>
      </w:r>
      <w:r>
        <w:t xml:space="preserve">: Gentechnisch hergestellt, indem die Bauanleitung für ein Peptid oder Protein in Bakterien, Hefen oder andere Zellen eingebracht wird.</w:t>
      </w:r>
    </w:p>
    <w:p>
      <w:pPr>
        <w:pStyle w:val="BodyText"/>
      </w:pPr>
      <w:r>
        <w:rPr>
          <w:bCs/>
          <w:b/>
        </w:rPr>
        <w:t xml:space="preserve">Relatives Risiko</w:t>
      </w:r>
      <w:r>
        <w:t xml:space="preserve">: Das Verhältnis der Ereignishäufigkeit in zwei Gruppen. Ein relatives Risiko von 0,5 bedeutet eine Halbierung – unabhängig davon, wie häufig das Ereignis insgesamt ist.</w:t>
      </w:r>
    </w:p>
    <w:p>
      <w:pPr>
        <w:pStyle w:val="BodyText"/>
      </w:pPr>
      <w:r>
        <w:rPr>
          <w:bCs/>
          <w:b/>
        </w:rPr>
        <w:t xml:space="preserve">Research Peptides</w:t>
      </w:r>
      <w:r>
        <w:t xml:space="preserve">: Peptide, die mit dem Hinweis „nur für Forschungszwecke“ oder „nicht zur Anwendung am Menschen“ verkauft werden, oft aber an Privatpersonen. Sie sind keine geprüften Arzneimittel.</w:t>
      </w:r>
    </w:p>
    <w:p>
      <w:pPr>
        <w:pStyle w:val="BodyText"/>
      </w:pPr>
      <w:r>
        <w:rPr>
          <w:bCs/>
          <w:b/>
        </w:rPr>
        <w:t xml:space="preserve">Rezeptor</w:t>
      </w:r>
      <w:r>
        <w:t xml:space="preserve">: Ein Eiweißmolekül, meist an der Zelloberfläche, an das ein Botenstoff bindet und dadurch ein Signal in der Zelle auslöst.</w:t>
      </w:r>
    </w:p>
    <w:p>
      <w:pPr>
        <w:pStyle w:val="BodyText"/>
      </w:pPr>
      <w:r>
        <w:rPr>
          <w:bCs/>
          <w:b/>
        </w:rPr>
        <w:t xml:space="preserve">Rhabdomyolyse</w:t>
      </w:r>
      <w:r>
        <w:t xml:space="preserve">: Ein Zerfall von Muskelgewebe, bei dem Muskelbestandteile ins Blut gelangen und die Nieren schädigen können.</w:t>
      </w:r>
    </w:p>
    <w:bookmarkEnd w:id="2992"/>
    <w:bookmarkStart w:id="2993" w:name="s"/>
    <w:p>
      <w:pPr>
        <w:pStyle w:val="Heading3"/>
      </w:pPr>
      <w:r>
        <w:t xml:space="preserve">S</w:t>
      </w:r>
    </w:p>
    <w:p>
      <w:pPr>
        <w:pStyle w:val="FirstParagraph"/>
      </w:pPr>
      <w:r>
        <w:rPr>
          <w:bCs/>
          <w:b/>
        </w:rPr>
        <w:t xml:space="preserve">Sekretagogum</w:t>
      </w:r>
      <w:r>
        <w:t xml:space="preserve">: Ein Stoff, der die Ausschüttung eines anderen Stoffes anregt. Wachstumshormon-Sekretagoga steigern die Freisetzung von Wachstumshormon.</w:t>
      </w:r>
    </w:p>
    <w:p>
      <w:pPr>
        <w:pStyle w:val="BodyText"/>
      </w:pPr>
      <w:r>
        <w:rPr>
          <w:bCs/>
          <w:b/>
        </w:rPr>
        <w:t xml:space="preserve">Sequenz</w:t>
      </w:r>
      <w:r>
        <w:t xml:space="preserve">: Die Reihenfolge der Aminosäuren in einer Peptidkette. Sie bestimmt die Eigenschaften des Peptids.</w:t>
      </w:r>
    </w:p>
    <w:p>
      <w:pPr>
        <w:pStyle w:val="BodyText"/>
      </w:pPr>
      <w:r>
        <w:rPr>
          <w:bCs/>
          <w:b/>
        </w:rPr>
        <w:t xml:space="preserve">Signifikanz (statistische)</w:t>
      </w:r>
      <w:r>
        <w:t xml:space="preserve">: Die Aussage, dass ein beobachteter Unterschied wahrscheinlich nicht allein durch Zufall entstanden ist. Sie sagt nichts darüber, ob der Unterschied groß oder bedeutsam ist.</w:t>
      </w:r>
    </w:p>
    <w:p>
      <w:pPr>
        <w:pStyle w:val="BodyText"/>
      </w:pPr>
      <w:r>
        <w:rPr>
          <w:bCs/>
          <w:b/>
        </w:rPr>
        <w:t xml:space="preserve">SNAC</w:t>
      </w:r>
      <w:r>
        <w:t xml:space="preserve">: Ein Hilfsstoff (Natrium-N-[8-(2-hydroxybenzoyl)amino]caprylat), der in der Semaglutid-Tablette die Aufnahme des Peptids im Magen ermöglicht.</w:t>
      </w:r>
    </w:p>
    <w:p>
      <w:pPr>
        <w:pStyle w:val="BodyText"/>
      </w:pPr>
      <w:r>
        <w:rPr>
          <w:bCs/>
          <w:b/>
        </w:rPr>
        <w:t xml:space="preserve">Sterilität</w:t>
      </w:r>
      <w:r>
        <w:t xml:space="preserve">: Freiheit von lebenden Mikroorganismen. Ein steriles Produkt kann dennoch Endotoxine enthalten.</w:t>
      </w:r>
    </w:p>
    <w:p>
      <w:pPr>
        <w:pStyle w:val="BodyText"/>
      </w:pPr>
      <w:r>
        <w:rPr>
          <w:bCs/>
          <w:b/>
        </w:rPr>
        <w:t xml:space="preserve">Studienphasen</w:t>
      </w:r>
      <w:r>
        <w:t xml:space="preserve">: Die Stufen der Arzneimittelprüfung am Menschen, von Phase 1 (Verträglichkeit an wenigen Personen) bis Phase 3 (große Vergleichsstudien) und Phase 4 (Beobachtung nach der Zulassung).</w:t>
      </w:r>
    </w:p>
    <w:p>
      <w:pPr>
        <w:pStyle w:val="BodyText"/>
      </w:pPr>
      <w:r>
        <w:rPr>
          <w:bCs/>
          <w:b/>
        </w:rPr>
        <w:t xml:space="preserve">Studienregister</w:t>
      </w:r>
      <w:r>
        <w:t xml:space="preserve">: Öffentliche Datenbanken, in denen klinische Studien vor Beginn eingetragen werden, etwa ClinicalTrials.gov oder das EU-Register.</w:t>
      </w:r>
    </w:p>
    <w:p>
      <w:pPr>
        <w:pStyle w:val="BodyText"/>
      </w:pPr>
      <w:r>
        <w:rPr>
          <w:bCs/>
          <w:b/>
        </w:rPr>
        <w:t xml:space="preserve">Subkutan</w:t>
      </w:r>
      <w:r>
        <w:t xml:space="preserve">: Unter die Haut, in das Unterhautfettgewebe gespritzt. Der häufigste Verabreichungsweg für Peptid-Arzneimittel.</w:t>
      </w:r>
    </w:p>
    <w:p>
      <w:pPr>
        <w:pStyle w:val="BodyText"/>
      </w:pPr>
      <w:r>
        <w:rPr>
          <w:bCs/>
          <w:b/>
        </w:rPr>
        <w:t xml:space="preserve">Surrogat-Endpunkt</w:t>
      </w:r>
      <w:r>
        <w:t xml:space="preserve">: Ein Messwert, der stellvertretend für ein klinisch bedeutsames Ereignis verwendet wird, etwa Blutzucker statt Herzinfarkt. Verbesserungen eines Surrogats bedeuten nicht automatisch einen Nutzen für Patientinnen und Patienten.</w:t>
      </w:r>
    </w:p>
    <w:p>
      <w:pPr>
        <w:pStyle w:val="BodyText"/>
      </w:pPr>
      <w:r>
        <w:rPr>
          <w:bCs/>
          <w:b/>
        </w:rPr>
        <w:t xml:space="preserve">Systematische Übersichtsarbeit</w:t>
      </w:r>
      <w:r>
        <w:t xml:space="preserve">: Eine Arbeit, die nach festgelegten Regeln alle verfügbaren Studien zu einer Frage sucht, bewertet und zusammenfasst.</w:t>
      </w:r>
    </w:p>
    <w:bookmarkEnd w:id="2993"/>
    <w:bookmarkStart w:id="2994" w:name="t"/>
    <w:p>
      <w:pPr>
        <w:pStyle w:val="Heading3"/>
      </w:pPr>
      <w:r>
        <w:t xml:space="preserve">T</w:t>
      </w:r>
    </w:p>
    <w:p>
      <w:pPr>
        <w:pStyle w:val="FirstParagraph"/>
      </w:pPr>
      <w:r>
        <w:rPr>
          <w:bCs/>
          <w:b/>
        </w:rPr>
        <w:t xml:space="preserve">Therapeutic Use Exemption (TUE)</w:t>
      </w:r>
      <w:r>
        <w:t xml:space="preserve">: Eine medizinische Ausnahmegenehmigung im Sport, die die Anwendung eines verbotenen, aber medizinisch notwendigen Arzneimittels erlaubt.</w:t>
      </w:r>
    </w:p>
    <w:p>
      <w:pPr>
        <w:pStyle w:val="BodyText"/>
      </w:pPr>
      <w:r>
        <w:rPr>
          <w:bCs/>
          <w:b/>
        </w:rPr>
        <w:t xml:space="preserve">Typ-2-Diabetes</w:t>
      </w:r>
      <w:r>
        <w:t xml:space="preserve">: Die häufigste Form der Zuckerkrankheit, bei der der Körper Insulin weniger wirksam nutzt und die Bauchspeicheldrüse nicht genug nachliefert. Häufig mit Übergewicht verbunden.</w:t>
      </w:r>
    </w:p>
    <w:bookmarkEnd w:id="2994"/>
    <w:bookmarkStart w:id="2995" w:name="u"/>
    <w:p>
      <w:pPr>
        <w:pStyle w:val="Heading3"/>
      </w:pPr>
      <w:r>
        <w:t xml:space="preserve">U</w:t>
      </w:r>
    </w:p>
    <w:p>
      <w:pPr>
        <w:pStyle w:val="FirstParagraph"/>
      </w:pPr>
      <w:r>
        <w:rPr>
          <w:bCs/>
          <w:b/>
        </w:rPr>
        <w:t xml:space="preserve">Unerwünschtes Ereignis</w:t>
      </w:r>
      <w:r>
        <w:t xml:space="preserve">: Jedes gesundheitliche Problem, das während einer Studie auftritt, unabhängig davon, ob es durch die Behandlung verursacht wurde. Erst der Vergleich mit der Kontrollgruppe zeigt, ob ein Zusammenhang wahrscheinlich ist.</w:t>
      </w:r>
    </w:p>
    <w:bookmarkEnd w:id="2995"/>
    <w:bookmarkStart w:id="2996" w:name="v"/>
    <w:p>
      <w:pPr>
        <w:pStyle w:val="Heading3"/>
      </w:pPr>
      <w:r>
        <w:t xml:space="preserve">V</w:t>
      </w:r>
    </w:p>
    <w:p>
      <w:pPr>
        <w:pStyle w:val="FirstParagraph"/>
      </w:pPr>
      <w:r>
        <w:rPr>
          <w:bCs/>
          <w:b/>
        </w:rPr>
        <w:t xml:space="preserve">Verblindung</w:t>
      </w:r>
      <w:r>
        <w:t xml:space="preserve">: Das Verbergen der Gruppenzuteilung vor Teilnehmenden und/oder Studienpersonal, um Erwartungseffekte zu vermeiden.</w:t>
      </w:r>
    </w:p>
    <w:p>
      <w:pPr>
        <w:pStyle w:val="BodyText"/>
      </w:pPr>
      <w:r>
        <w:rPr>
          <w:bCs/>
          <w:b/>
        </w:rPr>
        <w:t xml:space="preserve">Verunreinigung</w:t>
      </w:r>
      <w:r>
        <w:t xml:space="preserve">: Unerwünschte Bestandteile eines Produkts, etwa fehlerhafte Peptidketten aus der Synthese, Lösungsmittelreste, Metalle oder Bakterienbestandteile.</w:t>
      </w:r>
    </w:p>
    <w:bookmarkEnd w:id="2996"/>
    <w:bookmarkStart w:id="2997" w:name="w"/>
    <w:p>
      <w:pPr>
        <w:pStyle w:val="Heading3"/>
      </w:pPr>
      <w:r>
        <w:t xml:space="preserve">W</w:t>
      </w:r>
    </w:p>
    <w:p>
      <w:pPr>
        <w:pStyle w:val="FirstParagraph"/>
      </w:pPr>
      <w:r>
        <w:rPr>
          <w:bCs/>
          <w:b/>
        </w:rPr>
        <w:t xml:space="preserve">WADA (Welt-Anti-Doping-Agentur)</w:t>
      </w:r>
      <w:r>
        <w:t xml:space="preserve">: Die internationale Organisation, die jährlich die Liste der im Sport verbotenen Substanzen und Methoden herausgibt.</w:t>
      </w:r>
    </w:p>
    <w:p>
      <w:pPr>
        <w:pStyle w:val="BodyText"/>
      </w:pPr>
      <w:r>
        <w:rPr>
          <w:bCs/>
          <w:b/>
        </w:rPr>
        <w:t xml:space="preserve">Wachstumshormon (Somatotropin)</w:t>
      </w:r>
      <w:r>
        <w:t xml:space="preserve">: Ein Protein aus der Hirnanhangdrüse, das Wachstum, Stoffwechsel und Körperzusammensetzung beeinflusst. Viele Peptide in diesem Buch sollen seine Ausschüttung steigern.</w:t>
      </w:r>
    </w:p>
    <w:bookmarkEnd w:id="2997"/>
    <w:bookmarkStart w:id="2998" w:name="z"/>
    <w:p>
      <w:pPr>
        <w:pStyle w:val="Heading3"/>
      </w:pPr>
      <w:r>
        <w:t xml:space="preserve">Z</w:t>
      </w:r>
    </w:p>
    <w:p>
      <w:pPr>
        <w:pStyle w:val="FirstParagraph"/>
      </w:pPr>
      <w:r>
        <w:rPr>
          <w:bCs/>
          <w:b/>
        </w:rPr>
        <w:t xml:space="preserve">Zulassung</w:t>
      </w:r>
      <w:r>
        <w:t xml:space="preserve">: Die behördliche Genehmigung, ein Arzneimittel in den Verkehr zu bringen, nach Prüfung von Qualität, Wirksamkeit und Sicherheit.</w:t>
      </w:r>
    </w:p>
    <w:p>
      <w:pPr>
        <w:pStyle w:val="BodyText"/>
      </w:pPr>
      <w:r>
        <w:rPr>
          <w:bCs/>
          <w:b/>
        </w:rPr>
        <w:t xml:space="preserve">Zyklisches Peptid</w:t>
      </w:r>
      <w:r>
        <w:t xml:space="preserve">: Ein Peptid, dessen Kette zu einem Ring geschlossen ist. Ringstrukturen machen Peptide oft stabiler gegenüber Enzymen.</w:t>
      </w:r>
    </w:p>
    <w:bookmarkEnd w:id="2998"/>
    <w:bookmarkEnd w:id="2999"/>
    <w:bookmarkStart w:id="3015" w:name="methodik"/>
    <w:p>
      <w:pPr>
        <w:pStyle w:val="Heading1"/>
      </w:pPr>
      <w:r>
        <w:t xml:space="preserve">Methodik</w:t>
      </w:r>
    </w:p>
    <w:p>
      <w:pPr>
        <w:pStyle w:val="FirstParagraph"/>
      </w:pPr>
      <w:r>
        <w:t xml:space="preserve">Dieser Anhang beschreibt, wie die Studien für dieses Buch gesucht, ausgewählt und geprüft wurden. Er soll es dir ermöglichen, die Recherche nachzuvollziehen und bei Bedarf selbst zu wiederholen oder zu aktualisieren.</w:t>
      </w:r>
    </w:p>
    <w:bookmarkStart w:id="3000" w:name="datenbanken"/>
    <w:p>
      <w:pPr>
        <w:pStyle w:val="Heading3"/>
      </w:pPr>
      <w:r>
        <w:t xml:space="preserve">Datenbanken</w:t>
      </w:r>
    </w:p>
    <w:p>
      <w:pPr>
        <w:pStyle w:val="FirstParagraph"/>
      </w:pPr>
      <w:r>
        <w:t xml:space="preserve">Grundlage der Recherche sind zwei frei zugängliche Datenbanken:</w:t>
      </w:r>
    </w:p>
    <w:p>
      <w:pPr>
        <w:numPr>
          <w:ilvl w:val="0"/>
          <w:numId w:val="1374"/>
        </w:numPr>
        <w:pStyle w:val="Compact"/>
      </w:pPr>
      <w:r>
        <w:rPr>
          <w:bCs/>
          <w:b/>
        </w:rPr>
        <w:t xml:space="preserve">PubMed</w:t>
      </w:r>
      <w:r>
        <w:t xml:space="preserve"> </w:t>
      </w:r>
      <w:r>
        <w:t xml:space="preserve">(pubmed.ncbi.nlm.nih.gov), die Literaturdatenbank der US-amerikanischen National Library of Medicine. Sie verzeichnet Veröffentlichungen aus biomedizinischen Fachzeitschriften mit Titel, Autorinnen und Autoren, Zusammenfassung (Abstract) und Schlagwörtern. Jeder Eintrag hat eine eindeutige Nummer, die PMID.</w:t>
      </w:r>
    </w:p>
    <w:p>
      <w:pPr>
        <w:numPr>
          <w:ilvl w:val="0"/>
          <w:numId w:val="1374"/>
        </w:numPr>
        <w:pStyle w:val="Compact"/>
      </w:pPr>
      <w:r>
        <w:rPr>
          <w:bCs/>
          <w:b/>
        </w:rPr>
        <w:t xml:space="preserve">ClinicalTrials.gov</w:t>
      </w:r>
      <w:r>
        <w:t xml:space="preserve"> </w:t>
      </w:r>
      <w:r>
        <w:t xml:space="preserve">(clinicaltrials.gov), das Studienregister der US-amerikanischen National Institutes of Health. Hier werden klinische Studien aus aller Welt vor ihrem Beginn registriert, mit Design, geplanter Teilnehmerzahl, Endpunkten und Status. Jede Studie hat eine NCT-Nummer.</w:t>
      </w:r>
    </w:p>
    <w:p>
      <w:pPr>
        <w:pStyle w:val="FirstParagraph"/>
      </w:pPr>
      <w:r>
        <w:t xml:space="preserve">Beide Datenbanken wurden über ihre offiziellen, öffentlich zugänglichen Programmierschnittstellen abgefragt: PubMed über die E-Utilities des National Center for Biotechnology Information, ClinicalTrials.gov über die Programmierschnittstelle in Version 2. Andere Datenbanken wie Embase, Cochrane Library, Web of Science, das EU-Studienregister oder nationale Register wurden nicht systematisch durchsucht.</w:t>
      </w:r>
    </w:p>
    <w:bookmarkEnd w:id="3000"/>
    <w:bookmarkStart w:id="3001" w:name="abfragezeitraum"/>
    <w:p>
      <w:pPr>
        <w:pStyle w:val="Heading3"/>
      </w:pPr>
      <w:r>
        <w:t xml:space="preserve">Abfragezeitraum</w:t>
      </w:r>
    </w:p>
    <w:p>
      <w:pPr>
        <w:pStyle w:val="FirstParagraph"/>
      </w:pPr>
      <w:r>
        <w:t xml:space="preserve">Die systematischen Abfragen erfolgten im</w:t>
      </w:r>
      <w:r>
        <w:t xml:space="preserve"> </w:t>
      </w:r>
      <w:r>
        <w:rPr>
          <w:bCs/>
          <w:b/>
        </w:rPr>
        <w:t xml:space="preserve">Oktober 2026</w:t>
      </w:r>
      <w:r>
        <w:t xml:space="preserve">; die Zählung der Treffer für alle Peptide stammt vom 28. Oktober 2026. Ergänzende gezielte Suchen zu einzelnen Studien, Fallberichten und Übersichtsarbeiten wurden im selben Zeitraum durchgeführt. Später erschienene Studien sind nicht berücksichtigt. Der Stand des Buches ist November 2026.</w:t>
      </w:r>
    </w:p>
    <w:bookmarkEnd w:id="3001"/>
    <w:bookmarkStart w:id="3002" w:name="suchstrategie"/>
    <w:p>
      <w:pPr>
        <w:pStyle w:val="Heading3"/>
      </w:pPr>
      <w:r>
        <w:t xml:space="preserve">Suchstrategie</w:t>
      </w:r>
    </w:p>
    <w:p>
      <w:pPr>
        <w:pStyle w:val="FirstParagraph"/>
      </w:pPr>
      <w:r>
        <w:t xml:space="preserve">Für jedes der 58 Peptide und Vergleichsstoffe wurde ein eigener PubMed-Suchbegriff festgelegt. Er umfasst den internationalen Wirkstoffnamen sowie gebräuchliche Kurz-, Code- und Handelsbezeichnungen und sucht in Titel und Zusammenfassung (Kennzeichnung</w:t>
      </w:r>
      <w:r>
        <w:t xml:space="preserve"> </w:t>
      </w:r>
      <w:r>
        <w:rPr>
          <w:rStyle w:val="VerbatimChar"/>
        </w:rPr>
        <w:t xml:space="preserve">[tiab]</w:t>
      </w:r>
      <w:r>
        <w:t xml:space="preserve">) oder nur im Titel (</w:t>
      </w:r>
      <w:r>
        <w:rPr>
          <w:rStyle w:val="VerbatimChar"/>
        </w:rPr>
        <w:t xml:space="preserve">[ti]</w:t>
      </w:r>
      <w:r>
        <w:t xml:space="preserve">). Bei mehrdeutigen Begriffen wurde der Suchbegriff eingeschränkt, etwa bei Kollagenpeptiden auf Arbeiten zur Einnahme oder bei Kisspeptin auf Arbeiten zur Verabreichung des Peptids.</w:t>
      </w:r>
    </w:p>
    <w:p>
      <w:pPr>
        <w:pStyle w:val="BodyText"/>
      </w:pPr>
      <w:r>
        <w:t xml:space="preserve">Auf diesen Suchbegriff wurden drei Filter angewendet:</w:t>
      </w:r>
    </w:p>
    <w:p>
      <w:pPr>
        <w:pStyle w:val="BodyText"/>
      </w:pPr>
      <w:r>
        <w:rPr>
          <w:bCs/>
          <w:b/>
        </w:rPr>
        <w:t xml:space="preserve">Humanstudien.</w:t>
      </w:r>
      <w:r>
        <w:t xml:space="preserve"> </w:t>
      </w:r>
      <w:r>
        <w:t xml:space="preserve">Um klinische Studien am Menschen zu finden, wurde der Suchbegriff mit folgendem Filter kombiniert:</w:t>
      </w:r>
    </w:p>
    <w:p>
      <w:pPr>
        <w:pStyle w:val="BodyText"/>
      </w:pPr>
      <w:r>
        <w:rPr>
          <w:rStyle w:val="VerbatimChar"/>
        </w:rPr>
        <w:t xml:space="preserve">(clinical trial[pt] OR randomized controlled trial[pt]) AND humans[mh]</w:t>
      </w:r>
    </w:p>
    <w:p>
      <w:pPr>
        <w:pStyle w:val="BodyText"/>
      </w:pPr>
      <w:r>
        <w:t xml:space="preserve">Der Teil</w:t>
      </w:r>
      <w:r>
        <w:t xml:space="preserve"> </w:t>
      </w:r>
      <w:r>
        <w:rPr>
          <w:rStyle w:val="VerbatimChar"/>
        </w:rPr>
        <w:t xml:space="preserve">[pt]</w:t>
      </w:r>
      <w:r>
        <w:t xml:space="preserve"> </w:t>
      </w:r>
      <w:r>
        <w:t xml:space="preserve">sucht nach dem Publikationstyp, den PubMed jedem Artikel zuordnet;</w:t>
      </w:r>
      <w:r>
        <w:t xml:space="preserve"> </w:t>
      </w:r>
      <w:r>
        <w:rPr>
          <w:rStyle w:val="VerbatimChar"/>
        </w:rPr>
        <w:t xml:space="preserve">humans[mh]</w:t>
      </w:r>
      <w:r>
        <w:t xml:space="preserve"> </w:t>
      </w:r>
      <w:r>
        <w:t xml:space="preserve">steht für das Schlagwort „Menschen“ im Schlagwortsystem MeSH. Gefunden werden damit Artikel, die als klinische Studie oder als randomisierte kontrollierte Studie gekennzeichnet sind und Menschen betreffen.</w:t>
      </w:r>
    </w:p>
    <w:p>
      <w:pPr>
        <w:pStyle w:val="BodyText"/>
      </w:pPr>
      <w:r>
        <w:rPr>
          <w:bCs/>
          <w:b/>
        </w:rPr>
        <w:t xml:space="preserve">Meta-Analysen und Übersichtsarbeiten.</w:t>
      </w:r>
      <w:r>
        <w:t xml:space="preserve"> </w:t>
      </w:r>
      <w:r>
        <w:t xml:space="preserve">Für zusammenfassende Arbeiten wurde der Suchbegriff mit diesem Filter kombiniert:</w:t>
      </w:r>
    </w:p>
    <w:p>
      <w:pPr>
        <w:pStyle w:val="BodyText"/>
      </w:pPr>
      <w:r>
        <w:rPr>
          <w:rStyle w:val="VerbatimChar"/>
        </w:rPr>
        <w:t xml:space="preserve">(meta-analysis[pt] OR systematic review[pt])</w:t>
      </w:r>
    </w:p>
    <w:p>
      <w:pPr>
        <w:pStyle w:val="BodyText"/>
      </w:pPr>
      <w:r>
        <w:rPr>
          <w:bCs/>
          <w:b/>
        </w:rPr>
        <w:t xml:space="preserve">Präklinik.</w:t>
      </w:r>
      <w:r>
        <w:t xml:space="preserve"> </w:t>
      </w:r>
      <w:r>
        <w:t xml:space="preserve">Bei Peptiden mit weniger als 25 gefundenen Humanstudien wurden zusätzlich die relevantesten übrigen Arbeiten ohne den Humanstudien-Filter ausgewertet, um Tier- und Laborstudien, Fallberichte und Analysen von Graumarkt-Produkten zu erfassen.</w:t>
      </w:r>
    </w:p>
    <w:p>
      <w:pPr>
        <w:pStyle w:val="BodyText"/>
      </w:pPr>
      <w:r>
        <w:rPr>
          <w:bCs/>
          <w:b/>
        </w:rPr>
        <w:t xml:space="preserve">Registerstudien.</w:t>
      </w:r>
      <w:r>
        <w:t xml:space="preserve"> </w:t>
      </w:r>
      <w:r>
        <w:t xml:space="preserve">In ClinicalTrials.gov wurde für jedes Peptid ein eigener, meist einfacher Suchbegriff mit dem Wirkstoffnamen verwendet. Erfasst wurden alle Einträge unabhängig von Status und Studienphase.</w:t>
      </w:r>
    </w:p>
    <w:p>
      <w:pPr>
        <w:pStyle w:val="BodyText"/>
      </w:pPr>
      <w:r>
        <w:t xml:space="preserve">Über diese automatisierten Suchen hinaus wurde für jedes Kapitel gezielt nach den wichtigsten Zulassungs- und Endpunktstudien, großen Meta-Analysen, Studienprogrammen (zum Beispiel STEP, SURMOUNT oder SELECT), Sicherheitsdaten, Fallberichten und Laboranalysen von Graumarkt-Produkten gesucht. Für Teil I wurden außerdem Arbeiten zur Geschichte der Peptidmedizin, zu Darreichungsformen, zur Studienmethodik und zum Graumarkt recherchiert.</w:t>
      </w:r>
    </w:p>
    <w:bookmarkEnd w:id="3002"/>
    <w:bookmarkStart w:id="3009" w:name="suchbegriffe-je-peptid"/>
    <w:p>
      <w:pPr>
        <w:pStyle w:val="Heading3"/>
      </w:pPr>
      <w:r>
        <w:t xml:space="preserve">Suchbegriffe je Peptid</w:t>
      </w:r>
    </w:p>
    <w:p>
      <w:pPr>
        <w:pStyle w:val="FirstParagraph"/>
      </w:pPr>
      <w:r>
        <w:t xml:space="preserve">Die folgenden Tabellen geben die PubMed-Suchbegriffe wieder, die für die systematische Abfrage verwendet wurden. An jeden Begriff wurden die oben beschriebenen Filter angehängt. Ein Sternchen am Wortende steht für beliebige Wortendungen,</w:t>
      </w:r>
      <w:r>
        <w:t xml:space="preserve"> </w:t>
      </w:r>
      <w:r>
        <w:rPr>
          <w:rStyle w:val="VerbatimChar"/>
        </w:rPr>
        <w:t xml:space="preserve">OR</w:t>
      </w:r>
      <w:r>
        <w:t xml:space="preserve"> </w:t>
      </w:r>
      <w:r>
        <w:t xml:space="preserve">verknüpft alternative Bezeichnungen,</w:t>
      </w:r>
      <w:r>
        <w:t xml:space="preserve"> </w:t>
      </w:r>
      <w:r>
        <w:rPr>
          <w:rStyle w:val="VerbatimChar"/>
        </w:rPr>
        <w:t xml:space="preserve">AND</w:t>
      </w:r>
      <w:r>
        <w:t xml:space="preserve"> </w:t>
      </w:r>
      <w:r>
        <w:t xml:space="preserve">schränkt die Suche ein.</w:t>
      </w:r>
    </w:p>
    <w:bookmarkStart w:id="3003" w:name="a.-stoffwechsel-und-gewicht-1"/>
    <w:p>
      <w:pPr>
        <w:pStyle w:val="Heading4"/>
      </w:pPr>
      <w:r>
        <w:t xml:space="preserve">A. Stoffwechsel und Gewicht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Exenatid</w:t>
            </w:r>
          </w:p>
        </w:tc>
        <w:tc>
          <w:tcPr/>
          <w:p>
            <w:pPr>
              <w:pStyle w:val="Compact"/>
              <w:jc w:val="left"/>
            </w:pPr>
            <w:r>
              <w:rPr>
                <w:rStyle w:val="VerbatimChar"/>
              </w:rPr>
              <w:t xml:space="preserve">exenatide[tiab]</w:t>
            </w:r>
          </w:p>
        </w:tc>
      </w:tr>
      <w:tr>
        <w:tc>
          <w:tcPr/>
          <w:p>
            <w:pPr>
              <w:pStyle w:val="Compact"/>
              <w:jc w:val="left"/>
            </w:pPr>
            <w:r>
              <w:t xml:space="preserve">Liraglutid</w:t>
            </w:r>
          </w:p>
        </w:tc>
        <w:tc>
          <w:tcPr/>
          <w:p>
            <w:pPr>
              <w:pStyle w:val="Compact"/>
              <w:jc w:val="left"/>
            </w:pPr>
            <w:r>
              <w:rPr>
                <w:rStyle w:val="VerbatimChar"/>
              </w:rPr>
              <w:t xml:space="preserve">liraglutide[tiab]</w:t>
            </w:r>
          </w:p>
        </w:tc>
      </w:tr>
      <w:tr>
        <w:tc>
          <w:tcPr/>
          <w:p>
            <w:pPr>
              <w:pStyle w:val="Compact"/>
              <w:jc w:val="left"/>
            </w:pPr>
            <w:r>
              <w:t xml:space="preserve">Dulaglutid</w:t>
            </w:r>
          </w:p>
        </w:tc>
        <w:tc>
          <w:tcPr/>
          <w:p>
            <w:pPr>
              <w:pStyle w:val="Compact"/>
              <w:jc w:val="left"/>
            </w:pPr>
            <w:r>
              <w:rPr>
                <w:rStyle w:val="VerbatimChar"/>
              </w:rPr>
              <w:t xml:space="preserve">dulaglutide[tiab]</w:t>
            </w:r>
          </w:p>
        </w:tc>
      </w:tr>
      <w:tr>
        <w:tc>
          <w:tcPr/>
          <w:p>
            <w:pPr>
              <w:pStyle w:val="Compact"/>
              <w:jc w:val="left"/>
            </w:pPr>
            <w:r>
              <w:t xml:space="preserve">Semaglutid</w:t>
            </w:r>
          </w:p>
        </w:tc>
        <w:tc>
          <w:tcPr/>
          <w:p>
            <w:pPr>
              <w:pStyle w:val="Compact"/>
              <w:jc w:val="left"/>
            </w:pPr>
            <w:r>
              <w:rPr>
                <w:rStyle w:val="VerbatimChar"/>
              </w:rPr>
              <w:t xml:space="preserve">semaglutide[tiab]</w:t>
            </w:r>
          </w:p>
        </w:tc>
      </w:tr>
      <w:tr>
        <w:tc>
          <w:tcPr/>
          <w:p>
            <w:pPr>
              <w:pStyle w:val="Compact"/>
              <w:jc w:val="left"/>
            </w:pPr>
            <w:r>
              <w:t xml:space="preserve">Tirzepatid</w:t>
            </w:r>
          </w:p>
        </w:tc>
        <w:tc>
          <w:tcPr/>
          <w:p>
            <w:pPr>
              <w:pStyle w:val="Compact"/>
              <w:jc w:val="left"/>
            </w:pPr>
            <w:r>
              <w:rPr>
                <w:rStyle w:val="VerbatimChar"/>
              </w:rPr>
              <w:t xml:space="preserve">tirzepatide[tiab]</w:t>
            </w:r>
          </w:p>
        </w:tc>
      </w:tr>
      <w:tr>
        <w:tc>
          <w:tcPr/>
          <w:p>
            <w:pPr>
              <w:pStyle w:val="Compact"/>
              <w:jc w:val="left"/>
            </w:pPr>
            <w:r>
              <w:t xml:space="preserve">Retatrutid</w:t>
            </w:r>
          </w:p>
        </w:tc>
        <w:tc>
          <w:tcPr/>
          <w:p>
            <w:pPr>
              <w:pStyle w:val="Compact"/>
              <w:jc w:val="left"/>
            </w:pPr>
            <w:r>
              <w:rPr>
                <w:rStyle w:val="VerbatimChar"/>
              </w:rPr>
              <w:t xml:space="preserve">retatrutide[tiab]</w:t>
            </w:r>
          </w:p>
        </w:tc>
      </w:tr>
      <w:tr>
        <w:tc>
          <w:tcPr/>
          <w:p>
            <w:pPr>
              <w:pStyle w:val="Compact"/>
              <w:jc w:val="left"/>
            </w:pPr>
            <w:r>
              <w:t xml:space="preserve">Survodutid</w:t>
            </w:r>
          </w:p>
        </w:tc>
        <w:tc>
          <w:tcPr/>
          <w:p>
            <w:pPr>
              <w:pStyle w:val="Compact"/>
              <w:jc w:val="left"/>
            </w:pPr>
            <w:r>
              <w:rPr>
                <w:rStyle w:val="VerbatimChar"/>
              </w:rPr>
              <w:t xml:space="preserve">survodutide[tiab]</w:t>
            </w:r>
          </w:p>
        </w:tc>
      </w:tr>
      <w:tr>
        <w:tc>
          <w:tcPr/>
          <w:p>
            <w:pPr>
              <w:pStyle w:val="Compact"/>
              <w:jc w:val="left"/>
            </w:pPr>
            <w:r>
              <w:t xml:space="preserve">Mazdutid</w:t>
            </w:r>
          </w:p>
        </w:tc>
        <w:tc>
          <w:tcPr/>
          <w:p>
            <w:pPr>
              <w:pStyle w:val="Compact"/>
              <w:jc w:val="left"/>
            </w:pPr>
            <w:r>
              <w:rPr>
                <w:rStyle w:val="VerbatimChar"/>
              </w:rPr>
              <w:t xml:space="preserve">mazdutide[tiab]</w:t>
            </w:r>
          </w:p>
        </w:tc>
      </w:tr>
      <w:tr>
        <w:tc>
          <w:tcPr/>
          <w:p>
            <w:pPr>
              <w:pStyle w:val="Compact"/>
              <w:jc w:val="left"/>
            </w:pPr>
            <w:r>
              <w:t xml:space="preserve">Cagrilintid bzw. CagriSema</w:t>
            </w:r>
          </w:p>
        </w:tc>
        <w:tc>
          <w:tcPr/>
          <w:p>
            <w:pPr>
              <w:pStyle w:val="Compact"/>
              <w:jc w:val="left"/>
            </w:pPr>
            <w:r>
              <w:rPr>
                <w:rStyle w:val="VerbatimChar"/>
              </w:rPr>
              <w:t xml:space="preserve">cagrilintide[tiab]</w:t>
            </w:r>
          </w:p>
        </w:tc>
      </w:tr>
      <w:tr>
        <w:tc>
          <w:tcPr/>
          <w:p>
            <w:pPr>
              <w:pStyle w:val="Compact"/>
              <w:jc w:val="left"/>
            </w:pPr>
            <w:r>
              <w:t xml:space="preserve">Amycretin</w:t>
            </w:r>
          </w:p>
        </w:tc>
        <w:tc>
          <w:tcPr/>
          <w:p>
            <w:pPr>
              <w:pStyle w:val="Compact"/>
              <w:jc w:val="left"/>
            </w:pPr>
            <w:r>
              <w:rPr>
                <w:rStyle w:val="VerbatimChar"/>
              </w:rPr>
              <w:t xml:space="preserve">amycretin[tiab]</w:t>
            </w:r>
          </w:p>
        </w:tc>
      </w:tr>
      <w:tr>
        <w:tc>
          <w:tcPr/>
          <w:p>
            <w:pPr>
              <w:pStyle w:val="Compact"/>
              <w:jc w:val="left"/>
            </w:pPr>
            <w:r>
              <w:t xml:space="preserve">Maridebart Cafraglutid (MariTide)</w:t>
            </w:r>
          </w:p>
        </w:tc>
        <w:tc>
          <w:tcPr/>
          <w:p>
            <w:pPr>
              <w:pStyle w:val="Compact"/>
              <w:jc w:val="left"/>
            </w:pPr>
            <w:r>
              <w:rPr>
                <w:rStyle w:val="VerbatimChar"/>
              </w:rPr>
              <w:t xml:space="preserve">maridebart[tiab] OR AMG 133[tiab]</w:t>
            </w:r>
          </w:p>
        </w:tc>
      </w:tr>
      <w:tr>
        <w:tc>
          <w:tcPr/>
          <w:p>
            <w:pPr>
              <w:pStyle w:val="Compact"/>
              <w:jc w:val="left"/>
            </w:pPr>
            <w:r>
              <w:t xml:space="preserve">Pramlintid</w:t>
            </w:r>
          </w:p>
        </w:tc>
        <w:tc>
          <w:tcPr/>
          <w:p>
            <w:pPr>
              <w:pStyle w:val="Compact"/>
              <w:jc w:val="left"/>
            </w:pPr>
            <w:r>
              <w:rPr>
                <w:rStyle w:val="VerbatimChar"/>
              </w:rPr>
              <w:t xml:space="preserve">pramlintide[tiab]</w:t>
            </w:r>
          </w:p>
        </w:tc>
      </w:tr>
      <w:tr>
        <w:tc>
          <w:tcPr/>
          <w:p>
            <w:pPr>
              <w:pStyle w:val="Compact"/>
              <w:jc w:val="left"/>
            </w:pPr>
            <w:r>
              <w:t xml:space="preserve">Setmelanotid</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(Vergleich)</w:t>
            </w:r>
          </w:p>
        </w:tc>
        <w:tc>
          <w:tcPr/>
          <w:p>
            <w:pPr>
              <w:pStyle w:val="Compact"/>
              <w:jc w:val="left"/>
            </w:pPr>
            <w:r>
              <w:rPr>
                <w:rStyle w:val="VerbatimChar"/>
              </w:rPr>
              <w:t xml:space="preserve">orforglipron[tiab]</w:t>
            </w:r>
          </w:p>
        </w:tc>
      </w:tr>
    </w:tbl>
    <w:bookmarkEnd w:id="3003"/>
    <w:bookmarkStart w:id="3004" w:name="X3015189e268379062426343c7aa82640e988236"/>
    <w:p>
      <w:pPr>
        <w:pStyle w:val="Heading4"/>
      </w:pPr>
      <w:r>
        <w:t xml:space="preserve">B. Heilung, Regeneration und Immunsystem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bzw. Thymosin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 Alpha-1 (Thymalfasin)</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w:t>
            </w:r>
          </w:p>
        </w:tc>
        <w:tc>
          <w:tcPr/>
          <w:p>
            <w:pPr>
              <w:pStyle w:val="Compact"/>
              <w:jc w:val="left"/>
            </w:pPr>
            <w:r>
              <w:rPr>
                <w:rStyle w:val="VerbatimChar"/>
              </w:rPr>
              <w:t xml:space="preserve">ARA 290[tiab] OR ARA290[tiab] OR cibinetide[tiab]</w:t>
            </w:r>
          </w:p>
        </w:tc>
      </w:tr>
      <w:tr>
        <w:tc>
          <w:tcPr/>
          <w:p>
            <w:pPr>
              <w:pStyle w:val="Compact"/>
              <w:jc w:val="left"/>
            </w:pPr>
            <w:r>
              <w:t xml:space="preserve">Larazotid</w:t>
            </w:r>
          </w:p>
        </w:tc>
        <w:tc>
          <w:tcPr/>
          <w:p>
            <w:pPr>
              <w:pStyle w:val="Compact"/>
              <w:jc w:val="left"/>
            </w:pPr>
            <w:r>
              <w:rPr>
                <w:rStyle w:val="VerbatimChar"/>
              </w:rPr>
              <w:t xml:space="preserve">larazotide[tiab]</w:t>
            </w:r>
          </w:p>
        </w:tc>
      </w:tr>
      <w:tr>
        <w:tc>
          <w:tcPr/>
          <w:p>
            <w:pPr>
              <w:pStyle w:val="Compact"/>
              <w:jc w:val="left"/>
            </w:pPr>
            <w:r>
              <w:t xml:space="preserve">Thymalin bzw. Thymogen</w:t>
            </w:r>
          </w:p>
        </w:tc>
        <w:tc>
          <w:tcPr/>
          <w:p>
            <w:pPr>
              <w:pStyle w:val="Compact"/>
              <w:jc w:val="left"/>
            </w:pPr>
            <w:r>
              <w:rPr>
                <w:rStyle w:val="VerbatimChar"/>
              </w:rPr>
              <w:t xml:space="preserve">thymalin[tiab] OR thymogen[tiab]</w:t>
            </w:r>
          </w:p>
        </w:tc>
      </w:tr>
    </w:tbl>
    <w:bookmarkEnd w:id="3004"/>
    <w:bookmarkStart w:id="3005" w:name="c.-wachstumshormon-achse-1"/>
    <w:p>
      <w:pPr>
        <w:pStyle w:val="Heading4"/>
      </w:pPr>
      <w:r>
        <w:t xml:space="preserve">C. Wachstumshormon-Achse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Sermorelin</w:t>
            </w:r>
          </w:p>
        </w:tc>
        <w:tc>
          <w:tcPr/>
          <w:p>
            <w:pPr>
              <w:pStyle w:val="Compact"/>
              <w:jc w:val="left"/>
            </w:pPr>
            <w:r>
              <w:rPr>
                <w:rStyle w:val="VerbatimChar"/>
              </w:rPr>
              <w:t xml:space="preserve">sermorelin[tiab]</w:t>
            </w:r>
          </w:p>
        </w:tc>
      </w:tr>
      <w:tr>
        <w:tc>
          <w:tcPr/>
          <w:p>
            <w:pPr>
              <w:pStyle w:val="Compact"/>
              <w:jc w:val="left"/>
            </w:pPr>
            <w:r>
              <w:t xml:space="preserve">Tesamorelin</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w:t>
            </w:r>
          </w:p>
        </w:tc>
        <w:tc>
          <w:tcPr/>
          <w:p>
            <w:pPr>
              <w:pStyle w:val="Compact"/>
              <w:jc w:val="left"/>
            </w:pPr>
            <w:r>
              <w:rPr>
                <w:rStyle w:val="VerbatimChar"/>
              </w:rPr>
              <w:t xml:space="preserve">ipamorelin[tiab]</w:t>
            </w:r>
          </w:p>
        </w:tc>
      </w:tr>
      <w:tr>
        <w:tc>
          <w:tcPr/>
          <w:p>
            <w:pPr>
              <w:pStyle w:val="Compact"/>
              <w:jc w:val="left"/>
            </w:pPr>
            <w:r>
              <w:t xml:space="preserve">GHRP-2 (Pralmorelin)</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w:t>
            </w:r>
          </w:p>
        </w:tc>
        <w:tc>
          <w:tcPr/>
          <w:p>
            <w:pPr>
              <w:pStyle w:val="Compact"/>
              <w:jc w:val="left"/>
            </w:pPr>
            <w:r>
              <w:rPr>
                <w:rStyle w:val="VerbatimChar"/>
              </w:rPr>
              <w:t xml:space="preserve">macimorelin[tiab]</w:t>
            </w:r>
          </w:p>
        </w:tc>
      </w:tr>
      <w:tr>
        <w:tc>
          <w:tcPr/>
          <w:p>
            <w:pPr>
              <w:pStyle w:val="Compact"/>
              <w:jc w:val="left"/>
            </w:pPr>
            <w:r>
              <w:t xml:space="preserve">Mecasermin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(Vergleich)</w:t>
            </w:r>
          </w:p>
        </w:tc>
        <w:tc>
          <w:tcPr/>
          <w:p>
            <w:pPr>
              <w:pStyle w:val="Compact"/>
              <w:jc w:val="left"/>
            </w:pPr>
            <w:r>
              <w:rPr>
                <w:rStyle w:val="VerbatimChar"/>
              </w:rPr>
              <w:t xml:space="preserve">ibutamoren[tiab] OR MK-677[tiab] OR MK-0677[tiab]</w:t>
            </w:r>
          </w:p>
        </w:tc>
      </w:tr>
    </w:tbl>
    <w:bookmarkEnd w:id="3005"/>
    <w:bookmarkStart w:id="3006" w:name="d.-gehirn-schlaf-und-langlebigkeit-1"/>
    <w:p>
      <w:pPr>
        <w:pStyle w:val="Heading4"/>
      </w:pPr>
      <w:r>
        <w:t xml:space="preserve">D. Gehirn, Schlaf und Langlebigkeit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w:t>
            </w:r>
          </w:p>
        </w:tc>
        <w:tc>
          <w:tcPr/>
          <w:p>
            <w:pPr>
              <w:pStyle w:val="Compact"/>
              <w:jc w:val="left"/>
            </w:pPr>
            <w:r>
              <w:rPr>
                <w:rStyle w:val="VerbatimChar"/>
              </w:rPr>
              <w:t xml:space="preserve">humanin[tiab]</w:t>
            </w:r>
          </w:p>
        </w:tc>
      </w:tr>
      <w:tr>
        <w:tc>
          <w:tcPr/>
          <w:p>
            <w:pPr>
              <w:pStyle w:val="Compact"/>
              <w:jc w:val="left"/>
            </w:pPr>
            <w:r>
              <w:t xml:space="preserve">SS-31 (Elamipretid)</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3006"/>
    <w:bookmarkStart w:id="3007" w:name="Xd24107054445892bde950dc5c91f31cd49ad37e"/>
    <w:p>
      <w:pPr>
        <w:pStyle w:val="Heading4"/>
      </w:pPr>
      <w:r>
        <w:t xml:space="preserve">E. Hormone, Sexualität und Pigmentierung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Bremelanotid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w:t>
            </w:r>
          </w:p>
        </w:tc>
        <w:tc>
          <w:tcPr/>
          <w:p>
            <w:pPr>
              <w:pStyle w:val="Compact"/>
              <w:jc w:val="left"/>
            </w:pPr>
            <w:r>
              <w:rPr>
                <w:rStyle w:val="VerbatimChar"/>
              </w:rPr>
              <w:t xml:space="preserve">afamelanotide[tiab]</w:t>
            </w:r>
          </w:p>
        </w:tc>
      </w:tr>
      <w:tr>
        <w:tc>
          <w:tcPr/>
          <w:p>
            <w:pPr>
              <w:pStyle w:val="Compact"/>
              <w:jc w:val="left"/>
            </w:pPr>
            <w:r>
              <w:t xml:space="preserve">Kisspeptin</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 (intranasal)</w:t>
            </w:r>
          </w:p>
        </w:tc>
        <w:tc>
          <w:tcPr/>
          <w:p>
            <w:pPr>
              <w:pStyle w:val="Compact"/>
              <w:jc w:val="left"/>
            </w:pPr>
            <w:r>
              <w:rPr>
                <w:rStyle w:val="VerbatimChar"/>
              </w:rPr>
              <w:t xml:space="preserve">intranasal oxytocin[tiab]</w:t>
            </w:r>
          </w:p>
        </w:tc>
      </w:tr>
      <w:tr>
        <w:tc>
          <w:tcPr/>
          <w:p>
            <w:pPr>
              <w:pStyle w:val="Compact"/>
              <w:jc w:val="left"/>
            </w:pPr>
            <w:r>
              <w:t xml:space="preserve">Gonadorelin</w:t>
            </w:r>
          </w:p>
        </w:tc>
        <w:tc>
          <w:tcPr/>
          <w:p>
            <w:pPr>
              <w:pStyle w:val="Compact"/>
              <w:jc w:val="left"/>
            </w:pPr>
            <w:r>
              <w:rPr>
                <w:rStyle w:val="VerbatimChar"/>
              </w:rPr>
              <w:t xml:space="preserve">gonadorelin[tiab]</w:t>
            </w:r>
          </w:p>
        </w:tc>
      </w:tr>
    </w:tbl>
    <w:bookmarkEnd w:id="3007"/>
    <w:bookmarkStart w:id="3008" w:name="f.-kollagen-ernährung-und-kosmetik-1"/>
    <w:p>
      <w:pPr>
        <w:pStyle w:val="Heading4"/>
      </w:pPr>
      <w:r>
        <w:t xml:space="preserve">F. Kollagen, Ernährung und Kosmetik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Kollagenhydrolysat bzw. Kollagenpeptide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w:t>
            </w:r>
          </w:p>
        </w:tc>
        <w:tc>
          <w:tcPr/>
          <w:p>
            <w:pPr>
              <w:pStyle w:val="Compact"/>
              <w:jc w:val="left"/>
            </w:pPr>
            <w:r>
              <w:rPr>
                <w:rStyle w:val="VerbatimChar"/>
              </w:rPr>
              <w:t xml:space="preserve">carnosine[ti] AND (supplementation[tiab] OR oral[tiab])</w:t>
            </w:r>
          </w:p>
        </w:tc>
      </w:tr>
      <w:tr>
        <w:tc>
          <w:tcPr/>
          <w:p>
            <w:pPr>
              <w:pStyle w:val="Compact"/>
              <w:jc w:val="left"/>
            </w:pPr>
            <w:r>
              <w:t xml:space="preserve">GHK-Cu (Kupferpeptid)</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Palmitoyl-Pentapeptid-4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Acetyl-Hexapeptid-8 (Argireline)</w:t>
            </w:r>
          </w:p>
        </w:tc>
        <w:tc>
          <w:tcPr/>
          <w:p>
            <w:pPr>
              <w:pStyle w:val="Compact"/>
              <w:jc w:val="left"/>
            </w:pPr>
            <w:r>
              <w:rPr>
                <w:rStyle w:val="VerbatimChar"/>
              </w:rPr>
              <w:t xml:space="preserve">acetyl hexapeptide[tiab] OR argireline[tiab]</w:t>
            </w:r>
          </w:p>
        </w:tc>
      </w:tr>
    </w:tbl>
    <w:bookmarkEnd w:id="3008"/>
    <w:bookmarkEnd w:id="3009"/>
    <w:bookmarkStart w:id="3010" w:name="umfang-der-treffer"/>
    <w:p>
      <w:pPr>
        <w:pStyle w:val="Heading3"/>
      </w:pPr>
      <w:r>
        <w:t xml:space="preserve">Umfang der Treffer</w:t>
      </w:r>
    </w:p>
    <w:p>
      <w:pPr>
        <w:pStyle w:val="FirstParagraph"/>
      </w:pPr>
      <w:r>
        <w:t xml:space="preserve">Insgesamt ergaben die 58 Abfragen mit dem Humanstudien-Filter 3.216 Treffer, mit dem Filter für Meta-Analysen und Übersichtsarbeiten 1.739 Treffer. In ClinicalTrials.gov wurden 4.879 Registereinträge gefunden. Diese Summen enthalten Mehrfachzählungen, weil manche Studien mehrere Peptide betreffen – etwa Vergleichsstudien zwischen Semaglutid und Tirzepatid. Die Zahlen je Peptid werden zu Beginn des Abschnitts „Studien am Menschen“ im jeweiligen Kapitel genannt.</w:t>
      </w:r>
    </w:p>
    <w:p>
      <w:pPr>
        <w:pStyle w:val="BodyText"/>
      </w:pPr>
      <w:r>
        <w:t xml:space="preserve">Die Verteilung ist sehr ungleich: Auf die zugelassenen GLP-1-Medikamente entfallen Hunderte von Humanstudien, für viele Graumarkt-Peptide dagegen keine oder nur eine Handvoll.</w:t>
      </w:r>
    </w:p>
    <w:bookmarkEnd w:id="3010"/>
    <w:bookmarkStart w:id="3011" w:name="auswahl-und-auswertung"/>
    <w:p>
      <w:pPr>
        <w:pStyle w:val="Heading3"/>
      </w:pPr>
      <w:r>
        <w:t xml:space="preserve">Auswahl und Auswertung</w:t>
      </w:r>
    </w:p>
    <w:p>
      <w:pPr>
        <w:pStyle w:val="FirstParagraph"/>
      </w:pPr>
      <w:r>
        <w:t xml:space="preserve">Für jedes Peptid wurden alle Treffer mit dem Humanstudien-Filter als Kurzliste (Titel, Jahr, Fachzeitschrift, Erstautorin oder Erstautor) erfasst; sie bilden die Grundlage des Studienverzeichnisses im Anhang. Die nach PubMed-Relevanz wichtigsten Humanstudien und Übersichtsarbeiten wurden mit ihren Zusammenfassungen gelesen und ausgewertet, ergänzt um die gezielt gesuchten Arbeiten.</w:t>
      </w:r>
    </w:p>
    <w:p>
      <w:pPr>
        <w:pStyle w:val="BodyText"/>
      </w:pPr>
      <w:r>
        <w:t xml:space="preserve">Für die Darstellung im Text gilt:</w:t>
      </w:r>
    </w:p>
    <w:p>
      <w:pPr>
        <w:numPr>
          <w:ilvl w:val="0"/>
          <w:numId w:val="1375"/>
        </w:numPr>
        <w:pStyle w:val="Compact"/>
      </w:pPr>
      <w:r>
        <w:t xml:space="preserve">Jede genannte Studie wurde anhand ihres PubMed-Eintrags beziehungsweise Registereintrags gelesen.</w:t>
      </w:r>
    </w:p>
    <w:p>
      <w:pPr>
        <w:numPr>
          <w:ilvl w:val="0"/>
          <w:numId w:val="1375"/>
        </w:numPr>
        <w:pStyle w:val="Compact"/>
      </w:pPr>
      <w:r>
        <w:t xml:space="preserve">Zahlen – etwa Teilnehmerzahlen, Prozentwerte, Gewichtsveränderungen oder p-Werte – stammen ausschließlich aus der Zusammenfassung der Veröffentlichung oder aus dem Registereintrag. Was dort nicht belegt ist, wird nicht als Zahl genannt.</w:t>
      </w:r>
    </w:p>
    <w:p>
      <w:pPr>
        <w:numPr>
          <w:ilvl w:val="0"/>
          <w:numId w:val="1375"/>
        </w:numPr>
        <w:pStyle w:val="Compact"/>
      </w:pPr>
      <w:r>
        <w:t xml:space="preserve">Volltexte wurden nicht systematisch ausgewertet. Details, die nur im Volltext stehen, etwa einzelne Nebenwirkungsraten oder Untergruppen, fehlen daher teilweise.</w:t>
      </w:r>
    </w:p>
    <w:p>
      <w:pPr>
        <w:numPr>
          <w:ilvl w:val="0"/>
          <w:numId w:val="1375"/>
        </w:numPr>
        <w:pStyle w:val="Compact"/>
      </w:pPr>
      <w:r>
        <w:t xml:space="preserve">Tier- und Laborergebnisse werden ausdrücklich als solche gekennzeichnet.</w:t>
      </w:r>
    </w:p>
    <w:p>
      <w:pPr>
        <w:numPr>
          <w:ilvl w:val="0"/>
          <w:numId w:val="1375"/>
        </w:numPr>
        <w:pStyle w:val="Compact"/>
      </w:pPr>
      <w:r>
        <w:t xml:space="preserve">Bei laufenden Studien wird nur berichtet, was im Register steht. Sie werden als</w:t>
      </w:r>
      <w:r>
        <w:t xml:space="preserve"> </w:t>
      </w:r>
      <w:r>
        <w:rPr>
          <w:iCs/>
          <w:i/>
        </w:rPr>
        <w:t xml:space="preserve">gesichert</w:t>
      </w:r>
      <w:r>
        <w:t xml:space="preserve"> </w:t>
      </w:r>
      <w:r>
        <w:t xml:space="preserve">(registriert, laufend) gekennzeichnet, eigene Prognosen als</w:t>
      </w:r>
      <w:r>
        <w:t xml:space="preserve"> </w:t>
      </w:r>
      <w:r>
        <w:rPr>
          <w:iCs/>
          <w:i/>
        </w:rPr>
        <w:t xml:space="preserve">Einschätzung</w:t>
      </w:r>
      <w:r>
        <w:t xml:space="preserve">.</w:t>
      </w:r>
    </w:p>
    <w:bookmarkEnd w:id="3011"/>
    <w:bookmarkStart w:id="3012" w:name="evidenzstufen"/>
    <w:p>
      <w:pPr>
        <w:pStyle w:val="Heading3"/>
      </w:pPr>
      <w:r>
        <w:t xml:space="preserve">Evidenzstufen</w:t>
      </w:r>
    </w:p>
    <w:p>
      <w:pPr>
        <w:pStyle w:val="FirstParagraph"/>
      </w:pPr>
      <w:r>
        <w:t xml:space="preserve">Jedes Peptid erhielt eine Evidenzstufe nach folgenden Kriterien: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Kriterium</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Einstufung bezieht sich auf die Datenlage am Menschen insgesamt und auf das wichtigste untersuchte Anwendungsgebiet. Sie ist eine Bewertung des Autors auf Grundlage der ausgewerteten Studien und keine offizielle Klassifikation.</w:t>
      </w:r>
    </w:p>
    <w:bookmarkEnd w:id="3012"/>
    <w:bookmarkStart w:id="3013" w:name="grenzen-der-methodik"/>
    <w:p>
      <w:pPr>
        <w:pStyle w:val="Heading3"/>
      </w:pPr>
      <w:r>
        <w:t xml:space="preserve">Grenzen der Methodik</w:t>
      </w:r>
    </w:p>
    <w:p>
      <w:pPr>
        <w:pStyle w:val="FirstParagraph"/>
      </w:pPr>
      <w:r>
        <w:t xml:space="preserve">Wie jede Literaturrecherche hat auch diese Grenzen, die du bei der Lektüre berücksichtigen solltest:</w:t>
      </w:r>
    </w:p>
    <w:p>
      <w:pPr>
        <w:pStyle w:val="BodyText"/>
      </w:pPr>
      <w:r>
        <w:rPr>
          <w:bCs/>
          <w:b/>
        </w:rPr>
        <w:t xml:space="preserve">Treffer sind nicht gleich eigenständige Studien.</w:t>
      </w:r>
      <w:r>
        <w:t xml:space="preserve"> </w:t>
      </w:r>
      <w:r>
        <w:t xml:space="preserve">Eine große Studie wird oft in mehreren Artikeln veröffentlicht – Hauptergebnis, Untergruppen, Nachbeobachtung, Lebensqualität. Jeder dieser Artikel ist ein eigener Treffer. Umgekehrt können Studien in einem Artikel zusammengefasst sein. Die Trefferzahlen geben deshalb die Größenordnung der Forschung wieder, nicht die exakte Zahl unabhängiger Studien.</w:t>
      </w:r>
    </w:p>
    <w:p>
      <w:pPr>
        <w:pStyle w:val="BodyText"/>
      </w:pPr>
      <w:r>
        <w:rPr>
          <w:bCs/>
          <w:b/>
        </w:rPr>
        <w:t xml:space="preserve">Publikationstypen sind nicht immer korrekt.</w:t>
      </w:r>
      <w:r>
        <w:t xml:space="preserve"> </w:t>
      </w:r>
      <w:r>
        <w:t xml:space="preserve">Der Humanstudien-Filter beruht auf der Verschlagwortung durch PubMed. Manche Studien sind nicht als klinische Studie gekennzeichnet und fehlen deshalb; manche als klinische Studie gekennzeichnete Arbeiten sind bei näherem Hinsehen Beobachtungsstudien oder Laborarbeiten mit menschlichem Material. Sehr neue Artikel sind oft noch nicht vollständig verschlagwortet.</w:t>
      </w:r>
    </w:p>
    <w:p>
      <w:pPr>
        <w:pStyle w:val="BodyText"/>
      </w:pPr>
      <w:r>
        <w:rPr>
          <w:bCs/>
          <w:b/>
        </w:rPr>
        <w:t xml:space="preserve">Suchbegriffe können Lücken haben.</w:t>
      </w:r>
      <w:r>
        <w:t xml:space="preserve"> </w:t>
      </w:r>
      <w:r>
        <w:t xml:space="preserve">Ein Suchbegriff findet nur, was im Titel oder in der Zusammenfassung mit den gewählten Wörtern beschrieben ist. Studien, die einen Stoff nur unter einem Code-Namen oder in einer anderen Schreibweise führen, können fehlen. Umgekehrt können mehrdeutige Kürzel wie „KPV“ oder „SS-31“ auch Arbeiten zu ganz anderen Themen erfassen. Für die Kapitel wurden die Treffer deshalb gesichtet und nicht ungeprüft übernommen.</w:t>
      </w:r>
    </w:p>
    <w:p>
      <w:pPr>
        <w:pStyle w:val="BodyText"/>
      </w:pPr>
      <w:r>
        <w:rPr>
          <w:bCs/>
          <w:b/>
        </w:rPr>
        <w:t xml:space="preserve">Sprachen.</w:t>
      </w:r>
      <w:r>
        <w:t xml:space="preserve"> </w:t>
      </w:r>
      <w:r>
        <w:t xml:space="preserve">PubMed verzeichnet überwiegend englischsprachige Fachzeitschriften. Arbeiten, die nur in anderen Sprachen und in nicht verzeichneten Zeitschriften erschienen sind, fehlen weitgehend. Das betrifft besonders einige Peptide, die vor allem in Russland oder anderen Ländern Osteuropas erforscht und eingesetzt werden, etwa Semax, Selank, Epitalon oder Thymalin. Für sie ist die tatsächliche Studienlage möglicherweise umfangreicher, aber für internationale Leserinnen und Leser schwer überprüfbar.</w:t>
      </w:r>
    </w:p>
    <w:p>
      <w:pPr>
        <w:pStyle w:val="BodyText"/>
      </w:pPr>
      <w:r>
        <w:rPr>
          <w:bCs/>
          <w:b/>
        </w:rPr>
        <w:t xml:space="preserve">Nicht veröffentlichte Studien.</w:t>
      </w:r>
      <w:r>
        <w:t xml:space="preserve"> </w:t>
      </w:r>
      <w:r>
        <w:t xml:space="preserve">Studien, die nie veröffentlicht wurden, sind in PubMed nicht enthalten. Das Register ClinicalTrials.gov hilft, solche Lücken zu erkennen, erfasst aber nicht alle Studien weltweit.</w:t>
      </w:r>
    </w:p>
    <w:p>
      <w:pPr>
        <w:pStyle w:val="BodyText"/>
      </w:pPr>
      <w:r>
        <w:rPr>
          <w:bCs/>
          <w:b/>
        </w:rPr>
        <w:t xml:space="preserve">Nur Zusammenfassungen.</w:t>
      </w:r>
      <w:r>
        <w:t xml:space="preserve"> </w:t>
      </w:r>
      <w:r>
        <w:t xml:space="preserve">Die Auswertung beruht auf den Zusammenfassungen. Sie geben die Hauptergebnisse wieder, können aber Einschränkungen, Nebenwirkungen oder methodische Schwächen verkürzt darstellen.</w:t>
      </w:r>
    </w:p>
    <w:p>
      <w:pPr>
        <w:pStyle w:val="BodyText"/>
      </w:pPr>
      <w:r>
        <w:rPr>
          <w:bCs/>
          <w:b/>
        </w:rPr>
        <w:t xml:space="preserve">Momentaufnahme.</w:t>
      </w:r>
      <w:r>
        <w:t xml:space="preserve"> </w:t>
      </w:r>
      <w:r>
        <w:t xml:space="preserve">Die Recherche gibt den Stand vom Oktober 2026 wieder. In schnell wachsenden Feldern wie den GLP-1-Medikamenten erscheinen jede Woche neue Studien.</w:t>
      </w:r>
    </w:p>
    <w:bookmarkEnd w:id="3013"/>
    <w:bookmarkStart w:id="3014" w:name="qualitätsprüfung"/>
    <w:p>
      <w:pPr>
        <w:pStyle w:val="Heading3"/>
      </w:pPr>
      <w:r>
        <w:t xml:space="preserve">Qualitätsprüfung</w:t>
      </w:r>
    </w:p>
    <w:p>
      <w:pPr>
        <w:pStyle w:val="FirstParagraph"/>
      </w:pPr>
      <w:r>
        <w:t xml:space="preserve">Die Datenbankabfragen liefen über die genannten Schnittstellen mit eigens dafür geschriebenen Hilfsprogrammen. Für die Auswertung galten verbindliche Regeln: Jede Studie im Text wird mit PMID oder NCT-Nummer zitiert; jede Zahl muss aus einer tatsächlich abgerufenen Zusammenfassung oder einem Registereintrag stammen; Studien dürfen nur genannt werden, wenn ihr Eintrag zuvor abgerufen und gelesen wurde.</w:t>
      </w:r>
    </w:p>
    <w:p>
      <w:pPr>
        <w:pStyle w:val="BodyText"/>
      </w:pPr>
      <w:r>
        <w:t xml:space="preserve">Zusätzlich wurde jedes Kapitel mit einem Prüfprogramm kontrolliert. Es ruft für jede im Text genannte PMID und NCT-Nummer den Eintrag in PubMed beziehungsweise ClinicalTrials.gov ab und meldet als Fehler, wenn eine Nummer nicht existiert. Es vergleicht außerdem Erstautorin oder Erstautor und Erscheinungsjahr, die im Text vor der PMID stehen, mit dem Datenbankeintrag und weist auf Abweichungen hin. Schließlich sucht es nach unzulässigen Formulierungen wie Heilversprechen, Dosierungsempfehlungen oder Hinweisen auf Bezugsquellen. Ein Kapitel galt erst als fertig, wenn diese Prüfung ohne Fehler durchlief. Außerdem prüft das Programm, ob eine zitierte Arbeit inzwischen zurückgezogen wurde; solche Arbeiten sind im Text ausdrücklich gekennzeichnet. Zum Abschluss wurden rund 1.450 Textstellen mit Zahlen einzeln mit den Zusammenfassungen verglichen und, wo nötig, korrigiert.</w:t>
      </w:r>
    </w:p>
    <w:p>
      <w:pPr>
        <w:pStyle w:val="BodyText"/>
      </w:pPr>
      <w:r>
        <w:t xml:space="preserve">Diese Prüfung stellt sicher, dass jede zitierte Quelle existiert und richtig zugeordnet ist. Sie kann nicht vollständig ausschließen, dass ein Ergebnis im Text verkürzt oder missverständlich wiedergegeben ist. Deshalb sind alle Quellen so angegeben, dass du sie selbst nachschlagen kannst – wie das geht, steht im Abschnitt „Über dieses Buch“ am Anfang.</w:t>
      </w:r>
    </w:p>
    <w:bookmarkEnd w:id="3014"/>
    <w:bookmarkEnd w:id="3015"/>
    <w:bookmarkStart w:id="3074" w:name="studienverzeichnis"/>
    <w:p>
      <w:pPr>
        <w:pStyle w:val="Heading1"/>
      </w:pPr>
      <w:r>
        <w:t xml:space="preserve">Studienverzeichnis</w:t>
      </w:r>
    </w:p>
    <w:p>
      <w:pPr>
        <w:pStyle w:val="FirstParagraph"/>
      </w:pPr>
      <w:r>
        <w:t xml:space="preserve">Dieses Verzeichnis listet alle Veröffentlichungen klinischer Studien am Menschen, die die Recherche für die einzelnen Peptide in PubMed gefunden hat (Abfrage Oktober 2026, Filter siehe Methodik). Titel und Zeitschriften stehen in der Originalsprache. Jede Studie lässt sich über ihre PMID unter pubmed.ncbi.nlm.nih.gov nachschlagen. Nicht jeder Eintrag ist eine eigenständige Studie: Manche Studien wurden mehrfach ausgewertet und veröffentlicht.</w:t>
      </w:r>
      <w:r>
        <w:t xml:space="preserve"> </w:t>
      </w:r>
      <w:r>
        <w:t xml:space="preserve">Insgesamt: 3.216 Einträge.</w:t>
      </w:r>
    </w:p>
    <w:bookmarkStart w:id="3016" w:name="exenatid-437"/>
    <w:p>
      <w:pPr>
        <w:pStyle w:val="Heading2"/>
      </w:pPr>
      <w:r>
        <w:t xml:space="preserve">Exenatid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6"/>
    <w:bookmarkStart w:id="3017" w:name="liraglutid-613"/>
    <w:p>
      <w:pPr>
        <w:pStyle w:val="Heading2"/>
      </w:pPr>
      <w:r>
        <w:t xml:space="preserve">Liraglutid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7"/>
    <w:bookmarkStart w:id="3018" w:name="dulaglutid-158"/>
    <w:p>
      <w:pPr>
        <w:pStyle w:val="Heading2"/>
      </w:pPr>
      <w:r>
        <w:t xml:space="preserve">Dulaglutid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8"/>
    <w:bookmarkStart w:id="3019" w:name="semaglutid-342"/>
    <w:p>
      <w:pPr>
        <w:pStyle w:val="Heading2"/>
      </w:pPr>
      <w:r>
        <w:t xml:space="preserve">Semaglutid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9"/>
    <w:bookmarkStart w:id="3020" w:name="tirzepatid-144"/>
    <w:p>
      <w:pPr>
        <w:pStyle w:val="Heading2"/>
      </w:pPr>
      <w:r>
        <w:t xml:space="preserve">Tirzepatid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20"/>
    <w:bookmarkStart w:id="3021" w:name="retatrutid-10"/>
    <w:p>
      <w:pPr>
        <w:pStyle w:val="Heading2"/>
      </w:pPr>
      <w:r>
        <w:t xml:space="preserve">Retatrutid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21"/>
    <w:bookmarkStart w:id="3022" w:name="survodutid-10"/>
    <w:p>
      <w:pPr>
        <w:pStyle w:val="Heading2"/>
      </w:pPr>
      <w:r>
        <w:t xml:space="preserve">Survodutid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22"/>
    <w:bookmarkStart w:id="3023" w:name="mazdutid-9"/>
    <w:p>
      <w:pPr>
        <w:pStyle w:val="Heading2"/>
      </w:pPr>
      <w:r>
        <w:t xml:space="preserve">Mazdutid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3"/>
    <w:bookmarkStart w:id="3024" w:name="cagrilintid-und-cagrisema-15"/>
    <w:p>
      <w:pPr>
        <w:pStyle w:val="Heading2"/>
      </w:pPr>
      <w:r>
        <w:t xml:space="preserve">Cagrilintid und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4"/>
    <w:bookmarkStart w:id="3025" w:name="amycretin-zenagamtid-4"/>
    <w:p>
      <w:pPr>
        <w:pStyle w:val="Heading2"/>
      </w:pPr>
      <w:r>
        <w:t xml:space="preserve">Amycretin (Zenagamtid)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5"/>
    <w:bookmarkStart w:id="3026" w:name="maridebart-cafraglutid-maritide-2"/>
    <w:p>
      <w:pPr>
        <w:pStyle w:val="Heading2"/>
      </w:pPr>
      <w:r>
        <w:t xml:space="preserve">Maridebart Cafraglutid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6"/>
    <w:bookmarkStart w:id="3027" w:name="pramlintid-76"/>
    <w:p>
      <w:pPr>
        <w:pStyle w:val="Heading2"/>
      </w:pPr>
      <w:r>
        <w:t xml:space="preserve">Pramlintid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7"/>
    <w:bookmarkStart w:id="3028" w:name="setmelanotid-15"/>
    <w:p>
      <w:pPr>
        <w:pStyle w:val="Heading2"/>
      </w:pPr>
      <w:r>
        <w:t xml:space="preserve">Setmelanotid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8"/>
    <w:bookmarkStart w:id="3029" w:name="aod-9604-0"/>
    <w:p>
      <w:pPr>
        <w:pStyle w:val="Heading2"/>
      </w:pPr>
      <w:r>
        <w:t xml:space="preserve">AOD-9604 (0)</w:t>
      </w:r>
    </w:p>
    <w:p>
      <w:pPr>
        <w:pStyle w:val="FirstParagraph"/>
      </w:pPr>
      <w:r>
        <w:t xml:space="preserve">Keine Veröffentlichungen klinischer Studien am Menschen gefunden.</w:t>
      </w:r>
    </w:p>
    <w:bookmarkEnd w:id="3029"/>
    <w:bookmarkStart w:id="3030" w:name="orforglipron-zum-vergleich-20"/>
    <w:p>
      <w:pPr>
        <w:pStyle w:val="Heading2"/>
      </w:pPr>
      <w:r>
        <w:t xml:space="preserve">Orforglipron (zum Vergleich)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30"/>
    <w:bookmarkStart w:id="3031" w:name="bpc-157-0"/>
    <w:p>
      <w:pPr>
        <w:pStyle w:val="Heading2"/>
      </w:pPr>
      <w:r>
        <w:t xml:space="preserve">BPC-157 (0)</w:t>
      </w:r>
    </w:p>
    <w:p>
      <w:pPr>
        <w:pStyle w:val="FirstParagraph"/>
      </w:pPr>
      <w:r>
        <w:t xml:space="preserve">Keine Veröffentlichungen klinischer Studien am Menschen gefunden.</w:t>
      </w:r>
    </w:p>
    <w:bookmarkEnd w:id="3031"/>
    <w:bookmarkStart w:id="3032" w:name="tb-500-und-thymosin-beta-4-9"/>
    <w:p>
      <w:pPr>
        <w:pStyle w:val="Heading2"/>
      </w:pPr>
      <w:r>
        <w:t xml:space="preserve">TB-500 und Thymosin Beta-4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32"/>
    <w:bookmarkStart w:id="3033" w:name="thymosin-alpha-1-thymalfasin-90"/>
    <w:p>
      <w:pPr>
        <w:pStyle w:val="Heading2"/>
      </w:pPr>
      <w:r>
        <w:t xml:space="preserve">Thymosin Alpha-1 (Thymalfasin)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3"/>
    <w:bookmarkStart w:id="3034" w:name="kpv-0"/>
    <w:p>
      <w:pPr>
        <w:pStyle w:val="Heading2"/>
      </w:pPr>
      <w:r>
        <w:t xml:space="preserve">KPV (0)</w:t>
      </w:r>
    </w:p>
    <w:p>
      <w:pPr>
        <w:pStyle w:val="FirstParagraph"/>
      </w:pPr>
      <w:r>
        <w:t xml:space="preserve">Keine Veröffentlichungen klinischer Studien am Menschen gefunden.</w:t>
      </w:r>
    </w:p>
    <w:bookmarkEnd w:id="3034"/>
    <w:bookmarkStart w:id="3035"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5"/>
    <w:bookmarkStart w:id="3036" w:name="ara-290-cibinetid-5"/>
    <w:p>
      <w:pPr>
        <w:pStyle w:val="Heading2"/>
      </w:pPr>
      <w:r>
        <w:t xml:space="preserve">ARA-290 (Cibinetid)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6"/>
    <w:bookmarkStart w:id="3037" w:name="larazotid-4"/>
    <w:p>
      <w:pPr>
        <w:pStyle w:val="Heading2"/>
      </w:pPr>
      <w:r>
        <w:t xml:space="preserve">Larazotid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7"/>
    <w:bookmarkStart w:id="3038" w:name="thymalin-und-thymogen-17"/>
    <w:p>
      <w:pPr>
        <w:pStyle w:val="Heading2"/>
      </w:pPr>
      <w:r>
        <w:t xml:space="preserve">Thymalin und Thymogen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8"/>
    <w:bookmarkStart w:id="3039" w:name="sermorelin-0"/>
    <w:p>
      <w:pPr>
        <w:pStyle w:val="Heading2"/>
      </w:pPr>
      <w:r>
        <w:t xml:space="preserve">Sermorelin (0)</w:t>
      </w:r>
    </w:p>
    <w:p>
      <w:pPr>
        <w:pStyle w:val="FirstParagraph"/>
      </w:pPr>
      <w:r>
        <w:t xml:space="preserve">Keine Veröffentlichungen klinischer Studien am Menschen gefunden.</w:t>
      </w:r>
    </w:p>
    <w:bookmarkEnd w:id="3039"/>
    <w:bookmarkStart w:id="3040" w:name="tesamorelin-23"/>
    <w:p>
      <w:pPr>
        <w:pStyle w:val="Heading2"/>
      </w:pPr>
      <w:r>
        <w:t xml:space="preserve">Tesamorelin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40"/>
    <w:bookmarkStart w:id="3041"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41"/>
    <w:bookmarkStart w:id="3042" w:name="ipamorelin-2"/>
    <w:p>
      <w:pPr>
        <w:pStyle w:val="Heading2"/>
      </w:pPr>
      <w:r>
        <w:t xml:space="preserve">Ipamorelin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42"/>
    <w:bookmarkStart w:id="3043" w:name="ghrp-2-pralmorelin-55"/>
    <w:p>
      <w:pPr>
        <w:pStyle w:val="Heading2"/>
      </w:pPr>
      <w:r>
        <w:t xml:space="preserve">GHRP-2 (Pralmorelin)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3"/>
    <w:bookmarkStart w:id="3044"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4"/>
    <w:bookmarkStart w:id="3045" w:name="hexarelin-58"/>
    <w:p>
      <w:pPr>
        <w:pStyle w:val="Heading2"/>
      </w:pPr>
      <w:r>
        <w:t xml:space="preserve">Hexarelin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5"/>
    <w:bookmarkStart w:id="3046" w:name="macimorelin-4"/>
    <w:p>
      <w:pPr>
        <w:pStyle w:val="Heading2"/>
      </w:pPr>
      <w:r>
        <w:t xml:space="preserve">Macimorelin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6"/>
    <w:bookmarkStart w:id="3047" w:name="mecasermin-igf-1-21"/>
    <w:p>
      <w:pPr>
        <w:pStyle w:val="Heading2"/>
      </w:pPr>
      <w:r>
        <w:t xml:space="preserve">Mecasermin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7"/>
    <w:bookmarkStart w:id="3048" w:name="igf-1-lr3-0"/>
    <w:p>
      <w:pPr>
        <w:pStyle w:val="Heading2"/>
      </w:pPr>
      <w:r>
        <w:t xml:space="preserve">IGF-1 LR3 (0)</w:t>
      </w:r>
    </w:p>
    <w:p>
      <w:pPr>
        <w:pStyle w:val="FirstParagraph"/>
      </w:pPr>
      <w:r>
        <w:t xml:space="preserve">Keine Veröffentlichungen klinischer Studien am Menschen gefunden.</w:t>
      </w:r>
    </w:p>
    <w:bookmarkEnd w:id="3048"/>
    <w:bookmarkStart w:id="3049" w:name="ibutamoren-mk-677-19"/>
    <w:p>
      <w:pPr>
        <w:pStyle w:val="Heading2"/>
      </w:pPr>
      <w:r>
        <w:t xml:space="preserve">Ibutamoren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9"/>
    <w:bookmarkStart w:id="3050"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50"/>
    <w:bookmarkStart w:id="3051"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51"/>
    <w:bookmarkStart w:id="3052" w:name="cerebrolysin-88"/>
    <w:p>
      <w:pPr>
        <w:pStyle w:val="Heading2"/>
      </w:pPr>
      <w:r>
        <w:t xml:space="preserve">Cerebrolysin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52"/>
    <w:bookmarkStart w:id="3053" w:name="dihexa-0"/>
    <w:p>
      <w:pPr>
        <w:pStyle w:val="Heading2"/>
      </w:pPr>
      <w:r>
        <w:t xml:space="preserve">Dihexa (0)</w:t>
      </w:r>
    </w:p>
    <w:p>
      <w:pPr>
        <w:pStyle w:val="FirstParagraph"/>
      </w:pPr>
      <w:r>
        <w:t xml:space="preserve">Keine Veröffentlichungen klinischer Studien am Menschen gefunden.</w:t>
      </w:r>
    </w:p>
    <w:bookmarkEnd w:id="3053"/>
    <w:bookmarkStart w:id="3054" w:name="X660f7c32a74cb21325fb483ebf1c81f2a029efe"/>
    <w:p>
      <w:pPr>
        <w:pStyle w:val="Heading2"/>
      </w:pPr>
      <w:r>
        <w:t xml:space="preserve">DSIP (Delta-Schlaf-induzierendes Peptid)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4"/>
    <w:bookmarkStart w:id="3055"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5"/>
    <w:bookmarkStart w:id="3056"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6"/>
    <w:bookmarkStart w:id="3057"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7"/>
    <w:bookmarkStart w:id="3058" w:name="humanin-8"/>
    <w:p>
      <w:pPr>
        <w:pStyle w:val="Heading2"/>
      </w:pPr>
      <w:r>
        <w:t xml:space="preserve">Humanin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8"/>
    <w:bookmarkStart w:id="3059" w:name="ss-31-elamipretid-19"/>
    <w:p>
      <w:pPr>
        <w:pStyle w:val="Heading2"/>
      </w:pPr>
      <w:r>
        <w:t xml:space="preserve">SS-31 (Elamipretid)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9"/>
    <w:bookmarkStart w:id="3060" w:name="foxo4-dri-0"/>
    <w:p>
      <w:pPr>
        <w:pStyle w:val="Heading2"/>
      </w:pPr>
      <w:r>
        <w:t xml:space="preserve">FOXO4-DRI (0)</w:t>
      </w:r>
    </w:p>
    <w:p>
      <w:pPr>
        <w:pStyle w:val="FirstParagraph"/>
      </w:pPr>
      <w:r>
        <w:t xml:space="preserve">Keine Veröffentlichungen klinischer Studien am Menschen gefunden.</w:t>
      </w:r>
    </w:p>
    <w:bookmarkEnd w:id="3060"/>
    <w:bookmarkStart w:id="3061" w:name="glutathion-161"/>
    <w:p>
      <w:pPr>
        <w:pStyle w:val="Heading2"/>
      </w:pPr>
      <w:r>
        <w:t xml:space="preserve">Glutathion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61"/>
    <w:bookmarkStart w:id="3062" w:name="bremelanotid-pt-141-16"/>
    <w:p>
      <w:pPr>
        <w:pStyle w:val="Heading2"/>
      </w:pPr>
      <w:r>
        <w:t xml:space="preserve">Bremelanotid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62"/>
    <w:bookmarkStart w:id="3063"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3"/>
    <w:bookmarkStart w:id="3064" w:name="afamelanotid-10"/>
    <w:p>
      <w:pPr>
        <w:pStyle w:val="Heading2"/>
      </w:pPr>
      <w:r>
        <w:t xml:space="preserve">Afamelanotid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4"/>
    <w:bookmarkStart w:id="3065" w:name="kisspeptin-37"/>
    <w:p>
      <w:pPr>
        <w:pStyle w:val="Heading2"/>
      </w:pPr>
      <w:r>
        <w:t xml:space="preserve">Kisspeptin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5"/>
    <w:bookmarkStart w:id="3066" w:name="oxytocin-nasenspray-349"/>
    <w:p>
      <w:pPr>
        <w:pStyle w:val="Heading2"/>
      </w:pPr>
      <w:r>
        <w:t xml:space="preserve">Oxytocin (Nasenspray)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6"/>
    <w:bookmarkStart w:id="3067" w:name="gonadorelin-9"/>
    <w:p>
      <w:pPr>
        <w:pStyle w:val="Heading2"/>
      </w:pPr>
      <w:r>
        <w:t xml:space="preserve">Gonadorelin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7"/>
    <w:bookmarkStart w:id="3068" w:name="kollagenpeptide-kollagenhydrolysat-101"/>
    <w:p>
      <w:pPr>
        <w:pStyle w:val="Heading2"/>
      </w:pPr>
      <w:r>
        <w:t xml:space="preserve">Kollagenpeptide (Kollagenhydrolysat)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8"/>
    <w:bookmarkStart w:id="3069" w:name="lactotripeptide-vpp-und-ipp-21"/>
    <w:p>
      <w:pPr>
        <w:pStyle w:val="Heading2"/>
      </w:pPr>
      <w:r>
        <w:t xml:space="preserve">Lactotripeptide (VPP und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9"/>
    <w:bookmarkStart w:id="3070" w:name="carnosin-57"/>
    <w:p>
      <w:pPr>
        <w:pStyle w:val="Heading2"/>
      </w:pPr>
      <w:r>
        <w:t xml:space="preserve">Carnosin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70"/>
    <w:bookmarkStart w:id="3071" w:name="ghk-cu-kupferpeptid-1"/>
    <w:p>
      <w:pPr>
        <w:pStyle w:val="Heading2"/>
      </w:pPr>
      <w:r>
        <w:t xml:space="preserve">GHK-Cu (Kupferpeptid)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71"/>
    <w:bookmarkStart w:id="3072" w:name="palmitoyl-pentapeptid-4-matrixyl-1"/>
    <w:p>
      <w:pPr>
        <w:pStyle w:val="Heading2"/>
      </w:pPr>
      <w:r>
        <w:t xml:space="preserve">Palmitoyl-Pentapeptid-4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72"/>
    <w:bookmarkStart w:id="3073" w:name="acetyl-hexapeptid-8-argireline-3"/>
    <w:p>
      <w:pPr>
        <w:pStyle w:val="Heading2"/>
      </w:pPr>
      <w:r>
        <w:t xml:space="preserve">Acetyl-Hexapeptid-8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3"/>
    <w:bookmarkEnd w:id="3074"/>
    <w:bookmarkStart w:id="3075" w:name="über-den-autor"/>
    <w:p>
      <w:pPr>
        <w:pStyle w:val="Heading1"/>
      </w:pPr>
      <w:r>
        <w:t xml:space="preserve">Über den Autor</w:t>
      </w:r>
    </w:p>
    <w:p>
      <w:pPr>
        <w:pStyle w:val="FirstParagraph"/>
      </w:pPr>
      <w:r>
        <w:t xml:space="preserve">Josef Gallab beschäftigt sich seit mehr als fünf Jahren intensiv mit Peptiden, Sport und Biohacking. Ihn interessiert, was Gesundheit und Leistungsfähigkeit wirklich voranbringt – und was nur ein Versprechen bleibt.</w:t>
      </w:r>
    </w:p>
    <w:p>
      <w:pPr>
        <w:pStyle w:val="BodyText"/>
      </w:pPr>
      <w:r>
        <w:t xml:space="preserve">Die Szene, die Versprechen und die Erfahrungsberichte rund um viele der in diesem Buch beschriebenen Peptide kennt er aus nächster Nähe. Gerade deshalb ist ihm wichtig, Begeisterung und Beweislage sauber auseinanderzuhalten: das Potenzial der Peptide ernst zu nehmen, ohne die offenen Fragen zu verschweigen.</w:t>
      </w:r>
    </w:p>
    <w:p>
      <w:pPr>
        <w:pStyle w:val="BodyText"/>
      </w:pPr>
      <w:r>
        <w:t xml:space="preserve">Mit dem Peptid-Handbuch möchte er Leserinnen und Lesern das Werkzeug geben, das ihm selbst am Anfang gefehlt hat – einen ehrlichen Überblick über das, was die Studien wirklich zeigen.</w:t>
      </w:r>
    </w:p>
    <w:bookmarkEnd w:id="30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Ghanizada 2021, PMID 33772845.</w:t>
      </w:r>
    </w:p>
  </w:footnote>
  <w:footnote w:id="781">
    <w:p>
      <w:pPr>
        <w:pStyle w:val="FootnoteText"/>
      </w:pPr>
      <w:r>
        <w:rPr>
          <w:rStyle w:val="FootnoteReference"/>
        </w:rPr>
        <w:footnoteRef/>
      </w:r>
      <w:r>
        <w:t xml:space="preserve"> </w:t>
      </w:r>
      <w:r>
        <w:t xml:space="preserve">Smith 2008, PMID 18753666; Edelman 2006, PMID 17003291.</w:t>
      </w:r>
    </w:p>
  </w:footnote>
  <w:footnote w:id="782">
    <w:p>
      <w:pPr>
        <w:pStyle w:val="FootnoteText"/>
      </w:pPr>
      <w:r>
        <w:rPr>
          <w:rStyle w:val="FootnoteReference"/>
        </w:rPr>
        <w:footnoteRef/>
      </w:r>
      <w:r>
        <w:t xml:space="preserve"> </w:t>
      </w:r>
      <w:r>
        <w:t xml:space="preserve">Edelman 2006, PMID 17003291.</w:t>
      </w:r>
    </w:p>
  </w:footnote>
  <w:footnote w:id="783">
    <w:p>
      <w:pPr>
        <w:pStyle w:val="FootnoteText"/>
      </w:pPr>
      <w:r>
        <w:rPr>
          <w:rStyle w:val="FootnoteReference"/>
        </w:rPr>
        <w:footnoteRef/>
      </w:r>
      <w:r>
        <w:t xml:space="preserve"> </w:t>
      </w:r>
      <w:r>
        <w:t xml:space="preserve">Ghanizada 2021, PMID 33772845.</w:t>
      </w:r>
    </w:p>
  </w:footnote>
  <w:footnote w:id="786">
    <w:p>
      <w:pPr>
        <w:pStyle w:val="FootnoteText"/>
      </w:pPr>
      <w:r>
        <w:rPr>
          <w:rStyle w:val="FootnoteReference"/>
        </w:rPr>
        <w:footnoteRef/>
      </w:r>
      <w:r>
        <w:t xml:space="preserve"> </w:t>
      </w:r>
      <w:r>
        <w:t xml:space="preserve">NCT07340788.</w:t>
      </w:r>
    </w:p>
  </w:footnote>
  <w:footnote w:id="787">
    <w:p>
      <w:pPr>
        <w:pStyle w:val="FootnoteText"/>
      </w:pPr>
      <w:r>
        <w:rPr>
          <w:rStyle w:val="FootnoteReference"/>
        </w:rPr>
        <w:footnoteRef/>
      </w:r>
      <w:r>
        <w:t xml:space="preserve"> </w:t>
      </w:r>
      <w:r>
        <w:t xml:space="preserve">NCT07340775.</w:t>
      </w:r>
    </w:p>
  </w:footnote>
  <w:footnote w:id="788">
    <w:p>
      <w:pPr>
        <w:pStyle w:val="FootnoteText"/>
      </w:pPr>
      <w:r>
        <w:rPr>
          <w:rStyle w:val="FootnoteReference"/>
        </w:rPr>
        <w:footnoteRef/>
      </w:r>
      <w:r>
        <w:t xml:space="preserve"> </w:t>
      </w:r>
      <w:r>
        <w:t xml:space="preserve">NCT07506369.</w:t>
      </w:r>
    </w:p>
  </w:footnote>
  <w:footnote w:id="789">
    <w:p>
      <w:pPr>
        <w:pStyle w:val="FootnoteText"/>
      </w:pPr>
      <w:r>
        <w:rPr>
          <w:rStyle w:val="FootnoteReference"/>
        </w:rPr>
        <w:footnoteRef/>
      </w:r>
      <w:r>
        <w:t xml:space="preserve"> </w:t>
      </w:r>
      <w:r>
        <w:t xml:space="preserve">Odabassian 2025, PMID 41174925.</w:t>
      </w:r>
    </w:p>
  </w:footnote>
  <w:footnote w:id="793">
    <w:p>
      <w:pPr>
        <w:pStyle w:val="FootnoteText"/>
      </w:pPr>
      <w:r>
        <w:rPr>
          <w:rStyle w:val="FootnoteReference"/>
        </w:rPr>
        <w:footnoteRef/>
      </w:r>
      <w:r>
        <w:t xml:space="preserve"> </w:t>
      </w:r>
      <w:r>
        <w:t xml:space="preserve">Markham 2021, PMID 33638809.</w:t>
      </w:r>
    </w:p>
  </w:footnote>
  <w:footnote w:id="796">
    <w:p>
      <w:pPr>
        <w:pStyle w:val="FootnoteText"/>
      </w:pPr>
      <w:r>
        <w:rPr>
          <w:rStyle w:val="FootnoteReference"/>
        </w:rPr>
        <w:footnoteRef/>
      </w:r>
      <w:r>
        <w:t xml:space="preserve"> </w:t>
      </w:r>
      <w:r>
        <w:t xml:space="preserve">Kühnen 2016, PMID 27468060.</w:t>
      </w:r>
    </w:p>
  </w:footnote>
  <w:footnote w:id="797">
    <w:p>
      <w:pPr>
        <w:pStyle w:val="FootnoteText"/>
      </w:pPr>
      <w:r>
        <w:rPr>
          <w:rStyle w:val="FootnoteReference"/>
        </w:rPr>
        <w:footnoteRef/>
      </w:r>
      <w:r>
        <w:t xml:space="preserve"> </w:t>
      </w:r>
      <w:r>
        <w:t xml:space="preserve">Clément 2018, PMID 29736023.</w:t>
      </w:r>
    </w:p>
  </w:footnote>
  <w:footnote w:id="798">
    <w:p>
      <w:pPr>
        <w:pStyle w:val="FootnoteText"/>
      </w:pPr>
      <w:r>
        <w:rPr>
          <w:rStyle w:val="FootnoteReference"/>
        </w:rPr>
        <w:footnoteRef/>
      </w:r>
      <w:r>
        <w:t xml:space="preserve"> </w:t>
      </w:r>
      <w:r>
        <w:t xml:space="preserve">Clément 2020, PMID 33137293.</w:t>
      </w:r>
    </w:p>
  </w:footnote>
  <w:footnote w:id="800">
    <w:p>
      <w:pPr>
        <w:pStyle w:val="FootnoteText"/>
      </w:pPr>
      <w:r>
        <w:rPr>
          <w:rStyle w:val="FootnoteReference"/>
        </w:rPr>
        <w:footnoteRef/>
      </w:r>
      <w:r>
        <w:t xml:space="preserve"> </w:t>
      </w:r>
      <w:r>
        <w:t xml:space="preserve">Haqq 2022, PMID 36356613.</w:t>
      </w:r>
    </w:p>
  </w:footnote>
  <w:footnote w:id="801">
    <w:p>
      <w:pPr>
        <w:pStyle w:val="FootnoteText"/>
      </w:pPr>
      <w:r>
        <w:rPr>
          <w:rStyle w:val="FootnoteReference"/>
        </w:rPr>
        <w:footnoteRef/>
      </w:r>
      <w:r>
        <w:t xml:space="preserve"> </w:t>
      </w:r>
      <w:r>
        <w:t xml:space="preserve">Argente 2026, PMID 41703984.</w:t>
      </w:r>
    </w:p>
  </w:footnote>
  <w:footnote w:id="803">
    <w:p>
      <w:pPr>
        <w:pStyle w:val="FootnoteText"/>
      </w:pPr>
      <w:r>
        <w:rPr>
          <w:rStyle w:val="FootnoteReference"/>
        </w:rPr>
        <w:footnoteRef/>
      </w:r>
      <w:r>
        <w:t xml:space="preserve"> </w:t>
      </w:r>
      <w:r>
        <w:t xml:space="preserve">Argente 2025, PMID 39549719.</w:t>
      </w:r>
    </w:p>
  </w:footnote>
  <w:footnote w:id="805">
    <w:p>
      <w:pPr>
        <w:pStyle w:val="FootnoteText"/>
      </w:pPr>
      <w:r>
        <w:rPr>
          <w:rStyle w:val="FootnoteReference"/>
        </w:rPr>
        <w:footnoteRef/>
      </w:r>
      <w:r>
        <w:t xml:space="preserve"> </w:t>
      </w:r>
      <w:r>
        <w:t xml:space="preserve">Roth 2024, PMID 38697184.</w:t>
      </w:r>
    </w:p>
  </w:footnote>
  <w:footnote w:id="806">
    <w:p>
      <w:pPr>
        <w:pStyle w:val="FootnoteText"/>
      </w:pPr>
      <w:r>
        <w:rPr>
          <w:rStyle w:val="FootnoteReference"/>
        </w:rPr>
        <w:footnoteRef/>
      </w:r>
      <w:r>
        <w:t xml:space="preserve"> </w:t>
      </w:r>
      <w:r>
        <w:t xml:space="preserve">Miller 2026, PMID 42418774.</w:t>
      </w:r>
    </w:p>
  </w:footnote>
  <w:footnote w:id="808">
    <w:p>
      <w:pPr>
        <w:pStyle w:val="FootnoteText"/>
      </w:pPr>
      <w:r>
        <w:rPr>
          <w:rStyle w:val="FootnoteReference"/>
        </w:rPr>
        <w:footnoteRef/>
      </w:r>
      <w:r>
        <w:t xml:space="preserve"> </w:t>
      </w:r>
      <w:r>
        <w:t xml:space="preserve">Collet 2017, PMID 29031731.</w:t>
      </w:r>
    </w:p>
  </w:footnote>
  <w:footnote w:id="809">
    <w:p>
      <w:pPr>
        <w:pStyle w:val="FootnoteText"/>
      </w:pPr>
      <w:r>
        <w:rPr>
          <w:rStyle w:val="FootnoteReference"/>
        </w:rPr>
        <w:footnoteRef/>
      </w:r>
      <w:r>
        <w:t xml:space="preserve"> </w:t>
      </w:r>
      <w:r>
        <w:t xml:space="preserve">NCT05093634.</w:t>
      </w:r>
    </w:p>
  </w:footnote>
  <w:footnote w:id="812">
    <w:p>
      <w:pPr>
        <w:pStyle w:val="FootnoteText"/>
      </w:pPr>
      <w:r>
        <w:rPr>
          <w:rStyle w:val="FootnoteReference"/>
        </w:rPr>
        <w:footnoteRef/>
      </w:r>
      <w:r>
        <w:t xml:space="preserve"> </w:t>
      </w:r>
      <w:r>
        <w:t xml:space="preserve">Collet 2017, PMID 29031731.</w:t>
      </w:r>
    </w:p>
  </w:footnote>
  <w:footnote w:id="814">
    <w:p>
      <w:pPr>
        <w:pStyle w:val="FootnoteText"/>
      </w:pPr>
      <w:r>
        <w:rPr>
          <w:rStyle w:val="FootnoteReference"/>
        </w:rPr>
        <w:footnoteRef/>
      </w:r>
      <w:r>
        <w:t xml:space="preserve"> </w:t>
      </w:r>
      <w:r>
        <w:t xml:space="preserve">Sridharan 2026, PMID 39924461.</w:t>
      </w:r>
    </w:p>
  </w:footnote>
  <w:footnote w:id="815">
    <w:p>
      <w:pPr>
        <w:pStyle w:val="FootnoteText"/>
      </w:pPr>
      <w:r>
        <w:rPr>
          <w:rStyle w:val="FootnoteReference"/>
        </w:rPr>
        <w:footnoteRef/>
      </w:r>
      <w:r>
        <w:t xml:space="preserve"> </w:t>
      </w:r>
      <w:r>
        <w:t xml:space="preserve">Kanti 2021, PMID 34058738.</w:t>
      </w:r>
    </w:p>
  </w:footnote>
  <w:footnote w:id="816">
    <w:p>
      <w:pPr>
        <w:pStyle w:val="FootnoteText"/>
      </w:pPr>
      <w:r>
        <w:rPr>
          <w:rStyle w:val="FootnoteReference"/>
        </w:rPr>
        <w:footnoteRef/>
      </w:r>
      <w:r>
        <w:t xml:space="preserve"> </w:t>
      </w:r>
      <w:r>
        <w:t xml:space="preserve">Sridharan 2026, PMID 39924461.</w:t>
      </w:r>
    </w:p>
  </w:footnote>
  <w:footnote w:id="817">
    <w:p>
      <w:pPr>
        <w:pStyle w:val="FootnoteText"/>
      </w:pPr>
      <w:r>
        <w:rPr>
          <w:rStyle w:val="FootnoteReference"/>
        </w:rPr>
        <w:footnoteRef/>
      </w:r>
      <w:r>
        <w:t xml:space="preserve"> </w:t>
      </w:r>
      <w:r>
        <w:t xml:space="preserve">Miller 2026, PMID 42418774.</w:t>
      </w:r>
    </w:p>
  </w:footnote>
  <w:footnote w:id="818">
    <w:p>
      <w:pPr>
        <w:pStyle w:val="FootnoteText"/>
      </w:pPr>
      <w:r>
        <w:rPr>
          <w:rStyle w:val="FootnoteReference"/>
        </w:rPr>
        <w:footnoteRef/>
      </w:r>
      <w:r>
        <w:t xml:space="preserve"> </w:t>
      </w:r>
      <w:r>
        <w:t xml:space="preserve">Haqq 2022, PMID 36356613.</w:t>
      </w:r>
    </w:p>
  </w:footnote>
  <w:footnote w:id="821">
    <w:p>
      <w:pPr>
        <w:pStyle w:val="FootnoteText"/>
      </w:pPr>
      <w:r>
        <w:rPr>
          <w:rStyle w:val="FootnoteReference"/>
        </w:rPr>
        <w:footnoteRef/>
      </w:r>
      <w:r>
        <w:t xml:space="preserve"> </w:t>
      </w:r>
      <w:r>
        <w:t xml:space="preserve">NCT05774756.</w:t>
      </w:r>
    </w:p>
  </w:footnote>
  <w:footnote w:id="822">
    <w:p>
      <w:pPr>
        <w:pStyle w:val="FootnoteText"/>
      </w:pPr>
      <w:r>
        <w:rPr>
          <w:rStyle w:val="FootnoteReference"/>
        </w:rPr>
        <w:footnoteRef/>
      </w:r>
      <w:r>
        <w:t xml:space="preserve"> </w:t>
      </w:r>
      <w:r>
        <w:t xml:space="preserve">NCT06760546.</w:t>
      </w:r>
    </w:p>
  </w:footnote>
  <w:footnote w:id="823">
    <w:p>
      <w:pPr>
        <w:pStyle w:val="FootnoteText"/>
      </w:pPr>
      <w:r>
        <w:rPr>
          <w:rStyle w:val="FootnoteReference"/>
        </w:rPr>
        <w:footnoteRef/>
      </w:r>
      <w:r>
        <w:t xml:space="preserve"> </w:t>
      </w:r>
      <w:r>
        <w:t xml:space="preserve">NCT06772597.</w:t>
      </w:r>
    </w:p>
  </w:footnote>
  <w:footnote w:id="824">
    <w:p>
      <w:pPr>
        <w:pStyle w:val="FootnoteText"/>
      </w:pPr>
      <w:r>
        <w:rPr>
          <w:rStyle w:val="FootnoteReference"/>
        </w:rPr>
        <w:footnoteRef/>
      </w:r>
      <w:r>
        <w:t xml:space="preserve"> </w:t>
      </w:r>
      <w:r>
        <w:t xml:space="preserve">NCT07674290.</w:t>
      </w:r>
    </w:p>
  </w:footnote>
  <w:footnote w:id="825">
    <w:p>
      <w:pPr>
        <w:pStyle w:val="FootnoteText"/>
      </w:pPr>
      <w:r>
        <w:rPr>
          <w:rStyle w:val="FootnoteReference"/>
        </w:rPr>
        <w:footnoteRef/>
      </w:r>
      <w:r>
        <w:t xml:space="preserve"> </w:t>
      </w:r>
      <w:r>
        <w:t xml:space="preserve">NCT05093634.</w:t>
      </w:r>
    </w:p>
  </w:footnote>
  <w:footnote w:id="826">
    <w:p>
      <w:pPr>
        <w:pStyle w:val="FootnoteText"/>
      </w:pPr>
      <w:r>
        <w:rPr>
          <w:rStyle w:val="FootnoteReference"/>
        </w:rPr>
        <w:footnoteRef/>
      </w:r>
      <w:r>
        <w:t xml:space="preserve"> </w:t>
      </w:r>
      <w:r>
        <w:t xml:space="preserve">NCT04963231.</w:t>
      </w:r>
    </w:p>
  </w:footnote>
  <w:footnote w:id="830">
    <w:p>
      <w:pPr>
        <w:pStyle w:val="FootnoteText"/>
      </w:pPr>
      <w:r>
        <w:rPr>
          <w:rStyle w:val="FootnoteReference"/>
        </w:rPr>
        <w:footnoteRef/>
      </w:r>
      <w:r>
        <w:t xml:space="preserve"> </w:t>
      </w:r>
      <w:r>
        <w:t xml:space="preserve">Cox 2015, PMID 25208511.</w:t>
      </w:r>
    </w:p>
  </w:footnote>
  <w:footnote w:id="832">
    <w:p>
      <w:pPr>
        <w:pStyle w:val="FootnoteText"/>
      </w:pPr>
      <w:r>
        <w:rPr>
          <w:rStyle w:val="FootnoteReference"/>
        </w:rPr>
        <w:footnoteRef/>
      </w:r>
      <w:r>
        <w:t xml:space="preserve"> </w:t>
      </w:r>
      <w:r>
        <w:t xml:space="preserve">Wade 1982, PMID 6751009.</w:t>
      </w:r>
    </w:p>
  </w:footnote>
  <w:footnote w:id="833">
    <w:p>
      <w:pPr>
        <w:pStyle w:val="FootnoteText"/>
      </w:pPr>
      <w:r>
        <w:rPr>
          <w:rStyle w:val="FootnoteReference"/>
        </w:rPr>
        <w:footnoteRef/>
      </w:r>
      <w:r>
        <w:t xml:space="preserve"> </w:t>
      </w:r>
      <w:r>
        <w:t xml:space="preserve">Heffernan 2001, PMID 11673763.</w:t>
      </w:r>
    </w:p>
  </w:footnote>
  <w:footnote w:id="834">
    <w:p>
      <w:pPr>
        <w:pStyle w:val="FootnoteText"/>
      </w:pPr>
      <w:r>
        <w:rPr>
          <w:rStyle w:val="FootnoteReference"/>
        </w:rPr>
        <w:footnoteRef/>
      </w:r>
      <w:r>
        <w:t xml:space="preserve"> </w:t>
      </w:r>
      <w:r>
        <w:t xml:space="preserve">Heffernan 2001, PMID 11713213.</w:t>
      </w:r>
    </w:p>
  </w:footnote>
  <w:footnote w:id="836">
    <w:p>
      <w:pPr>
        <w:pStyle w:val="FootnoteText"/>
      </w:pPr>
      <w:r>
        <w:rPr>
          <w:rStyle w:val="FootnoteReference"/>
        </w:rPr>
        <w:footnoteRef/>
      </w:r>
      <w:r>
        <w:t xml:space="preserve"> </w:t>
      </w:r>
      <w:r>
        <w:t xml:space="preserve">Wilding 2004, PMID 15134286; Halford 2006, PMID 16625817.</w:t>
      </w:r>
    </w:p>
  </w:footnote>
  <w:footnote w:id="838">
    <w:p>
      <w:pPr>
        <w:pStyle w:val="FootnoteText"/>
      </w:pPr>
      <w:r>
        <w:rPr>
          <w:rStyle w:val="FootnoteReference"/>
        </w:rPr>
        <w:footnoteRef/>
      </w:r>
      <w:r>
        <w:t xml:space="preserve"> </w:t>
      </w:r>
      <w:r>
        <w:t xml:space="preserve">Ng 2000, PMID 11146367.</w:t>
      </w:r>
    </w:p>
  </w:footnote>
  <w:footnote w:id="839">
    <w:p>
      <w:pPr>
        <w:pStyle w:val="FootnoteText"/>
      </w:pPr>
      <w:r>
        <w:rPr>
          <w:rStyle w:val="FootnoteReference"/>
        </w:rPr>
        <w:footnoteRef/>
      </w:r>
      <w:r>
        <w:t xml:space="preserve"> </w:t>
      </w:r>
      <w:r>
        <w:t xml:space="preserve">Heffernan 2001, PMID 11673763.</w:t>
      </w:r>
    </w:p>
  </w:footnote>
  <w:footnote w:id="840">
    <w:p>
      <w:pPr>
        <w:pStyle w:val="FootnoteText"/>
      </w:pPr>
      <w:r>
        <w:rPr>
          <w:rStyle w:val="FootnoteReference"/>
        </w:rPr>
        <w:footnoteRef/>
      </w:r>
      <w:r>
        <w:t xml:space="preserve"> </w:t>
      </w:r>
      <w:r>
        <w:t xml:space="preserve">Natera 1994, PMID 7987248.</w:t>
      </w:r>
    </w:p>
  </w:footnote>
  <w:footnote w:id="841">
    <w:p>
      <w:pPr>
        <w:pStyle w:val="FootnoteText"/>
      </w:pPr>
      <w:r>
        <w:rPr>
          <w:rStyle w:val="FootnoteReference"/>
        </w:rPr>
        <w:footnoteRef/>
      </w:r>
      <w:r>
        <w:t xml:space="preserve"> </w:t>
      </w:r>
      <w:r>
        <w:t xml:space="preserve">Kwon 2015, PMID 26275694.</w:t>
      </w:r>
    </w:p>
  </w:footnote>
  <w:footnote w:id="843">
    <w:p>
      <w:pPr>
        <w:pStyle w:val="FootnoteText"/>
      </w:pPr>
      <w:r>
        <w:rPr>
          <w:rStyle w:val="FootnoteReference"/>
        </w:rPr>
        <w:footnoteRef/>
      </w:r>
      <w:r>
        <w:t xml:space="preserve"> </w:t>
      </w:r>
      <w:r>
        <w:t xml:space="preserve">Cox 2015, PMID 25208511.</w:t>
      </w:r>
    </w:p>
  </w:footnote>
  <w:footnote w:id="844">
    <w:p>
      <w:pPr>
        <w:pStyle w:val="FootnoteText"/>
      </w:pPr>
      <w:r>
        <w:rPr>
          <w:rStyle w:val="FootnoteReference"/>
        </w:rPr>
        <w:footnoteRef/>
      </w:r>
      <w:r>
        <w:t xml:space="preserve"> </w:t>
      </w:r>
      <w:r>
        <w:t xml:space="preserve">Vanhee 2014, PMID 24976118.</w:t>
      </w:r>
    </w:p>
  </w:footnote>
  <w:footnote w:id="845">
    <w:p>
      <w:pPr>
        <w:pStyle w:val="FootnoteText"/>
      </w:pPr>
      <w:r>
        <w:rPr>
          <w:rStyle w:val="FootnoteReference"/>
        </w:rPr>
        <w:footnoteRef/>
      </w:r>
      <w:r>
        <w:t xml:space="preserve"> </w:t>
      </w:r>
      <w:r>
        <w:t xml:space="preserve">Mendias 2026, PMID 41966639; Dominikowski 2026, PMID 42395176.</w:t>
      </w:r>
    </w:p>
  </w:footnote>
  <w:footnote w:id="846">
    <w:p>
      <w:pPr>
        <w:pStyle w:val="FootnoteText"/>
      </w:pPr>
      <w:r>
        <w:rPr>
          <w:rStyle w:val="FootnoteReference"/>
        </w:rPr>
        <w:footnoteRef/>
      </w:r>
      <w:r>
        <w:t xml:space="preserve"> </w:t>
      </w:r>
      <w:r>
        <w:t xml:space="preserve">Coutinho 2026, PMID 41880199.</w:t>
      </w:r>
    </w:p>
  </w:footnote>
  <w:footnote w:id="847">
    <w:p>
      <w:pPr>
        <w:pStyle w:val="FootnoteText"/>
      </w:pPr>
      <w:r>
        <w:rPr>
          <w:rStyle w:val="FootnoteReference"/>
        </w:rPr>
        <w:footnoteRef/>
      </w:r>
      <w:r>
        <w:t xml:space="preserve"> </w:t>
      </w:r>
      <w:r>
        <w:t xml:space="preserve">Heffernan 2001, PMID 11673763.</w:t>
      </w:r>
    </w:p>
  </w:footnote>
  <w:footnote w:id="849">
    <w:p>
      <w:pPr>
        <w:pStyle w:val="FootnoteText"/>
      </w:pPr>
      <w:r>
        <w:rPr>
          <w:rStyle w:val="FootnoteReference"/>
        </w:rPr>
        <w:footnoteRef/>
      </w:r>
      <w:r>
        <w:t xml:space="preserve"> </w:t>
      </w:r>
      <w:r>
        <w:t xml:space="preserve">Cox 2015, PMID 25208511.</w:t>
      </w:r>
    </w:p>
  </w:footnote>
  <w:footnote w:id="850">
    <w:p>
      <w:pPr>
        <w:pStyle w:val="FootnoteText"/>
      </w:pPr>
      <w:r>
        <w:rPr>
          <w:rStyle w:val="FootnoteReference"/>
        </w:rPr>
        <w:footnoteRef/>
      </w:r>
      <w:r>
        <w:t xml:space="preserve"> </w:t>
      </w:r>
      <w:r>
        <w:t xml:space="preserve">Orlovius 2013, PMID 24124033.</w:t>
      </w:r>
    </w:p>
  </w:footnote>
  <w:footnote w:id="856">
    <w:p>
      <w:pPr>
        <w:pStyle w:val="FootnoteText"/>
      </w:pPr>
      <w:r>
        <w:rPr>
          <w:rStyle w:val="FootnoteReference"/>
        </w:rPr>
        <w:footnoteRef/>
      </w:r>
      <w:r>
        <w:t xml:space="preserve"> </w:t>
      </w:r>
      <w:r>
        <w:t xml:space="preserve">Rosenstock 2026, PMID 41765029.</w:t>
      </w:r>
    </w:p>
  </w:footnote>
  <w:footnote w:id="858">
    <w:p>
      <w:pPr>
        <w:pStyle w:val="FootnoteText"/>
      </w:pPr>
      <w:r>
        <w:rPr>
          <w:rStyle w:val="FootnoteReference"/>
        </w:rPr>
        <w:footnoteRef/>
      </w:r>
      <w:r>
        <w:t xml:space="preserve"> </w:t>
      </w:r>
      <w:r>
        <w:t xml:space="preserve">Rosenstock 2025, PMID 40808573.</w:t>
      </w:r>
    </w:p>
  </w:footnote>
  <w:footnote w:id="860">
    <w:p>
      <w:pPr>
        <w:pStyle w:val="FootnoteText"/>
      </w:pPr>
      <w:r>
        <w:rPr>
          <w:rStyle w:val="FootnoteReference"/>
        </w:rPr>
        <w:footnoteRef/>
      </w:r>
      <w:r>
        <w:t xml:space="preserve"> </w:t>
      </w:r>
      <w:r>
        <w:t xml:space="preserve">Wharton 2025, PMID 40960239.</w:t>
      </w:r>
    </w:p>
  </w:footnote>
  <w:footnote w:id="861">
    <w:p>
      <w:pPr>
        <w:pStyle w:val="FootnoteText"/>
      </w:pPr>
      <w:r>
        <w:rPr>
          <w:rStyle w:val="FootnoteReference"/>
        </w:rPr>
        <w:footnoteRef/>
      </w:r>
      <w:r>
        <w:t xml:space="preserve"> </w:t>
      </w:r>
      <w:r>
        <w:t xml:space="preserve">Wharton 2023, PMID 37351564.</w:t>
      </w:r>
    </w:p>
  </w:footnote>
  <w:footnote w:id="862">
    <w:p>
      <w:pPr>
        <w:pStyle w:val="FootnoteText"/>
      </w:pPr>
      <w:r>
        <w:rPr>
          <w:rStyle w:val="FootnoteReference"/>
        </w:rPr>
        <w:footnoteRef/>
      </w:r>
      <w:r>
        <w:t xml:space="preserve"> </w:t>
      </w:r>
      <w:r>
        <w:t xml:space="preserve">Horn 2026, PMID 41275875.</w:t>
      </w:r>
    </w:p>
  </w:footnote>
  <w:footnote w:id="863">
    <w:p>
      <w:pPr>
        <w:pStyle w:val="FootnoteText"/>
      </w:pPr>
      <w:r>
        <w:rPr>
          <w:rStyle w:val="FootnoteReference"/>
        </w:rPr>
        <w:footnoteRef/>
      </w:r>
      <w:r>
        <w:t xml:space="preserve"> </w:t>
      </w:r>
      <w:r>
        <w:t xml:space="preserve">Aronne 2026, PMID 42120723.</w:t>
      </w:r>
    </w:p>
  </w:footnote>
  <w:footnote w:id="865">
    <w:p>
      <w:pPr>
        <w:pStyle w:val="FootnoteText"/>
      </w:pPr>
      <w:r>
        <w:rPr>
          <w:rStyle w:val="FootnoteReference"/>
        </w:rPr>
        <w:footnoteRef/>
      </w:r>
      <w:r>
        <w:t xml:space="preserve"> </w:t>
      </w:r>
      <w:r>
        <w:t xml:space="preserve">Rosenstock 2025, PMID 40544435.</w:t>
      </w:r>
    </w:p>
  </w:footnote>
  <w:footnote w:id="866">
    <w:p>
      <w:pPr>
        <w:pStyle w:val="FootnoteText"/>
      </w:pPr>
      <w:r>
        <w:rPr>
          <w:rStyle w:val="FootnoteReference"/>
        </w:rPr>
        <w:footnoteRef/>
      </w:r>
      <w:r>
        <w:t xml:space="preserve"> </w:t>
      </w:r>
      <w:r>
        <w:t xml:space="preserve">Welch 2026, PMID 42259339.</w:t>
      </w:r>
    </w:p>
  </w:footnote>
  <w:footnote w:id="867">
    <w:p>
      <w:pPr>
        <w:pStyle w:val="FootnoteText"/>
      </w:pPr>
      <w:r>
        <w:rPr>
          <w:rStyle w:val="FootnoteReference"/>
        </w:rPr>
        <w:footnoteRef/>
      </w:r>
      <w:r>
        <w:t xml:space="preserve"> </w:t>
      </w:r>
      <w:r>
        <w:t xml:space="preserve">Rosenstock 2026, PMID 41765029.</w:t>
      </w:r>
    </w:p>
  </w:footnote>
  <w:footnote w:id="868">
    <w:p>
      <w:pPr>
        <w:pStyle w:val="FootnoteText"/>
      </w:pPr>
      <w:r>
        <w:rPr>
          <w:rStyle w:val="FootnoteReference"/>
        </w:rPr>
        <w:footnoteRef/>
      </w:r>
      <w:r>
        <w:t xml:space="preserve"> </w:t>
      </w:r>
      <w:r>
        <w:t xml:space="preserve">Klein 2026, PMID 42815506.</w:t>
      </w:r>
    </w:p>
  </w:footnote>
  <w:footnote w:id="871">
    <w:p>
      <w:pPr>
        <w:pStyle w:val="FootnoteText"/>
      </w:pPr>
      <w:r>
        <w:rPr>
          <w:rStyle w:val="FootnoteReference"/>
        </w:rPr>
        <w:footnoteRef/>
      </w:r>
      <w:r>
        <w:t xml:space="preserve"> </w:t>
      </w:r>
      <w:r>
        <w:t xml:space="preserve">NCT05469126, NCT05573230, NCT06370728, NCT06704763.</w:t>
      </w:r>
    </w:p>
  </w:footnote>
  <w:footnote w:id="873">
    <w:p>
      <w:pPr>
        <w:pStyle w:val="FootnoteText"/>
      </w:pPr>
      <w:r>
        <w:rPr>
          <w:rStyle w:val="FootnoteReference"/>
        </w:rPr>
        <w:footnoteRef/>
      </w:r>
      <w:r>
        <w:t xml:space="preserve"> </w:t>
      </w:r>
      <w:r>
        <w:t xml:space="preserve">Klein 2026, PMID 42815506.</w:t>
      </w:r>
    </w:p>
  </w:footnote>
  <w:footnote w:id="874">
    <w:p>
      <w:pPr>
        <w:pStyle w:val="FootnoteText"/>
      </w:pPr>
      <w:r>
        <w:rPr>
          <w:rStyle w:val="FootnoteReference"/>
        </w:rPr>
        <w:footnoteRef/>
      </w:r>
      <w:r>
        <w:t xml:space="preserve"> </w:t>
      </w:r>
      <w:r>
        <w:t xml:space="preserve">Wharton 2025, PMID 40960239.</w:t>
      </w:r>
    </w:p>
  </w:footnote>
  <w:footnote w:id="875">
    <w:p>
      <w:pPr>
        <w:pStyle w:val="FootnoteText"/>
      </w:pPr>
      <w:r>
        <w:rPr>
          <w:rStyle w:val="FootnoteReference"/>
        </w:rPr>
        <w:footnoteRef/>
      </w:r>
      <w:r>
        <w:t xml:space="preserve"> </w:t>
      </w:r>
      <w:r>
        <w:t xml:space="preserve">Rosenstock 2026, PMID 41765029.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Klein 2026, PMID 42815506.</w:t>
      </w:r>
    </w:p>
  </w:footnote>
  <w:footnote w:id="878">
    <w:p>
      <w:pPr>
        <w:pStyle w:val="FootnoteText"/>
      </w:pPr>
      <w:r>
        <w:rPr>
          <w:rStyle w:val="FootnoteReference"/>
        </w:rPr>
        <w:footnoteRef/>
      </w:r>
      <w:r>
        <w:t xml:space="preserve"> </w:t>
      </w:r>
      <w:r>
        <w:t xml:space="preserve">NCT07241390.</w:t>
      </w:r>
    </w:p>
  </w:footnote>
  <w:footnote w:id="879">
    <w:p>
      <w:pPr>
        <w:pStyle w:val="FootnoteText"/>
      </w:pPr>
      <w:r>
        <w:rPr>
          <w:rStyle w:val="FootnoteReference"/>
        </w:rPr>
        <w:footnoteRef/>
      </w:r>
      <w:r>
        <w:t xml:space="preserve"> </w:t>
      </w:r>
      <w:r>
        <w:t xml:space="preserve">Wharton 2026, PMID 42338042.</w:t>
      </w:r>
    </w:p>
  </w:footnote>
  <w:footnote w:id="882">
    <w:p>
      <w:pPr>
        <w:pStyle w:val="FootnoteText"/>
      </w:pPr>
      <w:r>
        <w:rPr>
          <w:rStyle w:val="FootnoteReference"/>
        </w:rPr>
        <w:footnoteRef/>
      </w:r>
      <w:r>
        <w:t xml:space="preserve"> </w:t>
      </w:r>
      <w:r>
        <w:t xml:space="preserve">NCT07223593.</w:t>
      </w:r>
    </w:p>
  </w:footnote>
  <w:footnote w:id="883">
    <w:p>
      <w:pPr>
        <w:pStyle w:val="FootnoteText"/>
      </w:pPr>
      <w:r>
        <w:rPr>
          <w:rStyle w:val="FootnoteReference"/>
        </w:rPr>
        <w:footnoteRef/>
      </w:r>
      <w:r>
        <w:t xml:space="preserve"> </w:t>
      </w:r>
      <w:r>
        <w:t xml:space="preserve">NCT06948422, NCT06948435, NCT06952530.</w:t>
      </w:r>
    </w:p>
  </w:footnote>
  <w:footnote w:id="884">
    <w:p>
      <w:pPr>
        <w:pStyle w:val="FootnoteText"/>
      </w:pPr>
      <w:r>
        <w:rPr>
          <w:rStyle w:val="FootnoteReference"/>
        </w:rPr>
        <w:footnoteRef/>
      </w:r>
      <w:r>
        <w:t xml:space="preserve"> </w:t>
      </w:r>
      <w:r>
        <w:t xml:space="preserve">NCT07153471.</w:t>
      </w:r>
    </w:p>
  </w:footnote>
  <w:footnote w:id="885">
    <w:p>
      <w:pPr>
        <w:pStyle w:val="FootnoteText"/>
      </w:pPr>
      <w:r>
        <w:rPr>
          <w:rStyle w:val="FootnoteReference"/>
        </w:rPr>
        <w:footnoteRef/>
      </w:r>
      <w:r>
        <w:t xml:space="preserve"> </w:t>
      </w:r>
      <w:r>
        <w:t xml:space="preserve">NCT07202884.</w:t>
      </w:r>
    </w:p>
  </w:footnote>
  <w:footnote w:id="886">
    <w:p>
      <w:pPr>
        <w:pStyle w:val="FootnoteText"/>
      </w:pPr>
      <w:r>
        <w:rPr>
          <w:rStyle w:val="FootnoteReference"/>
        </w:rPr>
        <w:footnoteRef/>
      </w:r>
      <w:r>
        <w:t xml:space="preserve"> </w:t>
      </w:r>
      <w:r>
        <w:t xml:space="preserve">NCT06672939.</w:t>
      </w:r>
    </w:p>
  </w:footnote>
  <w:footnote w:id="887">
    <w:p>
      <w:pPr>
        <w:pStyle w:val="FootnoteText"/>
      </w:pPr>
      <w:r>
        <w:rPr>
          <w:rStyle w:val="FootnoteReference"/>
        </w:rPr>
        <w:footnoteRef/>
      </w:r>
      <w:r>
        <w:t xml:space="preserve"> </w:t>
      </w:r>
      <w:r>
        <w:t xml:space="preserve">NCT07668336.</w:t>
      </w:r>
    </w:p>
  </w:footnote>
  <w:footnote w:id="888">
    <w:p>
      <w:pPr>
        <w:pStyle w:val="FootnoteText"/>
      </w:pPr>
      <w:r>
        <w:rPr>
          <w:rStyle w:val="FootnoteReference"/>
        </w:rPr>
        <w:footnoteRef/>
      </w:r>
      <w:r>
        <w:t xml:space="preserve"> </w:t>
      </w:r>
      <w:r>
        <w:t xml:space="preserve">NCT06649045.</w:t>
      </w:r>
    </w:p>
  </w:footnote>
  <w:footnote w:id="896">
    <w:p>
      <w:pPr>
        <w:pStyle w:val="FootnoteText"/>
      </w:pPr>
      <w:r>
        <w:rPr>
          <w:rStyle w:val="FootnoteReference"/>
        </w:rPr>
        <w:footnoteRef/>
      </w:r>
      <w:r>
        <w:t xml:space="preserve"> </w:t>
      </w:r>
      <w:r>
        <w:t xml:space="preserve">Cox 2017, PMID 28035768.</w:t>
      </w:r>
    </w:p>
  </w:footnote>
  <w:footnote w:id="898">
    <w:p>
      <w:pPr>
        <w:pStyle w:val="FootnoteText"/>
      </w:pPr>
      <w:r>
        <w:rPr>
          <w:rStyle w:val="FootnoteReference"/>
        </w:rPr>
        <w:footnoteRef/>
      </w:r>
      <w:r>
        <w:t xml:space="preserve"> </w:t>
      </w:r>
      <w:r>
        <w:t xml:space="preserve">Hsieh 2017, PMID 27847966.</w:t>
      </w:r>
    </w:p>
  </w:footnote>
  <w:footnote w:id="899">
    <w:p>
      <w:pPr>
        <w:pStyle w:val="FootnoteText"/>
      </w:pPr>
      <w:r>
        <w:rPr>
          <w:rStyle w:val="FootnoteReference"/>
        </w:rPr>
        <w:footnoteRef/>
      </w:r>
      <w:r>
        <w:t xml:space="preserve"> </w:t>
      </w:r>
      <w:r>
        <w:t xml:space="preserve">Zhang 2026, PMID 41606641.</w:t>
      </w:r>
    </w:p>
  </w:footnote>
  <w:footnote w:id="900">
    <w:p>
      <w:pPr>
        <w:pStyle w:val="FootnoteText"/>
      </w:pPr>
      <w:r>
        <w:rPr>
          <w:rStyle w:val="FootnoteReference"/>
        </w:rPr>
        <w:footnoteRef/>
      </w:r>
      <w:r>
        <w:t xml:space="preserve"> </w:t>
      </w:r>
      <w:r>
        <w:t xml:space="preserve">Chang 2011, PMID 21030672.</w:t>
      </w:r>
    </w:p>
  </w:footnote>
  <w:footnote w:id="901">
    <w:p>
      <w:pPr>
        <w:pStyle w:val="FootnoteText"/>
      </w:pPr>
      <w:r>
        <w:rPr>
          <w:rStyle w:val="FootnoteReference"/>
        </w:rPr>
        <w:footnoteRef/>
      </w:r>
      <w:r>
        <w:t xml:space="preserve"> </w:t>
      </w:r>
      <w:r>
        <w:t xml:space="preserve">Chang 2014, PMID 25415472.</w:t>
      </w:r>
    </w:p>
  </w:footnote>
  <w:footnote w:id="902">
    <w:p>
      <w:pPr>
        <w:pStyle w:val="FootnoteText"/>
      </w:pPr>
      <w:r>
        <w:rPr>
          <w:rStyle w:val="FootnoteReference"/>
        </w:rPr>
        <w:footnoteRef/>
      </w:r>
      <w:r>
        <w:t xml:space="preserve"> </w:t>
      </w:r>
      <w:r>
        <w:t xml:space="preserve">Sikiric 2025, PMID 40573323.</w:t>
      </w:r>
    </w:p>
  </w:footnote>
  <w:footnote w:id="903">
    <w:p>
      <w:pPr>
        <w:pStyle w:val="FootnoteText"/>
      </w:pPr>
      <w:r>
        <w:rPr>
          <w:rStyle w:val="FootnoteReference"/>
        </w:rPr>
        <w:footnoteRef/>
      </w:r>
      <w:r>
        <w:t xml:space="preserve"> </w:t>
      </w:r>
      <w:r>
        <w:t xml:space="preserve">Mateescu 2026, PMID 42198317.</w:t>
      </w:r>
    </w:p>
  </w:footnote>
  <w:footnote w:id="905">
    <w:p>
      <w:pPr>
        <w:pStyle w:val="FootnoteText"/>
      </w:pPr>
      <w:r>
        <w:rPr>
          <w:rStyle w:val="FootnoteReference"/>
        </w:rPr>
        <w:footnoteRef/>
      </w:r>
      <w:r>
        <w:t xml:space="preserve"> </w:t>
      </w:r>
      <w:r>
        <w:t xml:space="preserve">Poolton 2026, PMID 42885452.</w:t>
      </w:r>
    </w:p>
  </w:footnote>
  <w:footnote w:id="906">
    <w:p>
      <w:pPr>
        <w:pStyle w:val="FootnoteText"/>
      </w:pPr>
      <w:r>
        <w:rPr>
          <w:rStyle w:val="FootnoteReference"/>
        </w:rPr>
        <w:footnoteRef/>
      </w:r>
      <w:r>
        <w:t xml:space="preserve"> </w:t>
      </w:r>
      <w:r>
        <w:t xml:space="preserve">Lee 2021, PMID 34324435.</w:t>
      </w:r>
    </w:p>
  </w:footnote>
  <w:footnote w:id="907">
    <w:p>
      <w:pPr>
        <w:pStyle w:val="FootnoteText"/>
      </w:pPr>
      <w:r>
        <w:rPr>
          <w:rStyle w:val="FootnoteReference"/>
        </w:rPr>
        <w:footnoteRef/>
      </w:r>
      <w:r>
        <w:t xml:space="preserve"> </w:t>
      </w:r>
      <w:r>
        <w:t xml:space="preserve">Lee 2024, PMID 39325560.</w:t>
      </w:r>
    </w:p>
  </w:footnote>
  <w:footnote w:id="908">
    <w:p>
      <w:pPr>
        <w:pStyle w:val="FootnoteText"/>
      </w:pPr>
      <w:r>
        <w:rPr>
          <w:rStyle w:val="FootnoteReference"/>
        </w:rPr>
        <w:footnoteRef/>
      </w:r>
      <w:r>
        <w:t xml:space="preserve"> </w:t>
      </w:r>
      <w:r>
        <w:t xml:space="preserve">Lee 2025, PMID 40131143.</w:t>
      </w:r>
    </w:p>
  </w:footnote>
  <w:footnote w:id="909">
    <w:p>
      <w:pPr>
        <w:pStyle w:val="FootnoteText"/>
      </w:pPr>
      <w:r>
        <w:rPr>
          <w:rStyle w:val="FootnoteReference"/>
        </w:rPr>
        <w:footnoteRef/>
      </w:r>
      <w:r>
        <w:t xml:space="preserve"> </w:t>
      </w:r>
      <w:r>
        <w:t xml:space="preserve">Poolton 2026, PMID 42885452.</w:t>
      </w:r>
    </w:p>
  </w:footnote>
  <w:footnote w:id="910">
    <w:p>
      <w:pPr>
        <w:pStyle w:val="FootnoteText"/>
      </w:pPr>
      <w:r>
        <w:rPr>
          <w:rStyle w:val="FootnoteReference"/>
        </w:rPr>
        <w:footnoteRef/>
      </w:r>
      <w:r>
        <w:t xml:space="preserve"> </w:t>
      </w:r>
      <w:r>
        <w:t xml:space="preserve">Vasireddi 2025, PMID 40756949.</w:t>
      </w:r>
    </w:p>
  </w:footnote>
  <w:footnote w:id="911">
    <w:p>
      <w:pPr>
        <w:pStyle w:val="FootnoteText"/>
      </w:pPr>
      <w:r>
        <w:rPr>
          <w:rStyle w:val="FootnoteReference"/>
        </w:rPr>
        <w:footnoteRef/>
      </w:r>
      <w:r>
        <w:t xml:space="preserve"> </w:t>
      </w:r>
      <w:r>
        <w:t xml:space="preserve">Tham 2026, PMID 42937313; Tewari 2026, PMID 42578445.</w:t>
      </w:r>
    </w:p>
  </w:footnote>
  <w:footnote w:id="913">
    <w:p>
      <w:pPr>
        <w:pStyle w:val="FootnoteText"/>
      </w:pPr>
      <w:r>
        <w:rPr>
          <w:rStyle w:val="FootnoteReference"/>
        </w:rPr>
        <w:footnoteRef/>
      </w:r>
      <w:r>
        <w:t xml:space="preserve"> </w:t>
      </w:r>
      <w:r>
        <w:t xml:space="preserve">Staresinic 2003, PMID 14554208.</w:t>
      </w:r>
    </w:p>
  </w:footnote>
  <w:footnote w:id="914">
    <w:p>
      <w:pPr>
        <w:pStyle w:val="FootnoteText"/>
      </w:pPr>
      <w:r>
        <w:rPr>
          <w:rStyle w:val="FootnoteReference"/>
        </w:rPr>
        <w:footnoteRef/>
      </w:r>
      <w:r>
        <w:t xml:space="preserve"> </w:t>
      </w:r>
      <w:r>
        <w:t xml:space="preserve">Seiwerth 2021, PMID 34267654.</w:t>
      </w:r>
    </w:p>
  </w:footnote>
  <w:footnote w:id="915">
    <w:p>
      <w:pPr>
        <w:pStyle w:val="FootnoteText"/>
      </w:pPr>
      <w:r>
        <w:rPr>
          <w:rStyle w:val="FootnoteReference"/>
        </w:rPr>
        <w:footnoteRef/>
      </w:r>
      <w:r>
        <w:t xml:space="preserve"> </w:t>
      </w:r>
      <w:r>
        <w:t xml:space="preserve">NCT02637284.</w:t>
      </w:r>
    </w:p>
  </w:footnote>
  <w:footnote w:id="918">
    <w:p>
      <w:pPr>
        <w:pStyle w:val="FootnoteText"/>
      </w:pPr>
      <w:r>
        <w:rPr>
          <w:rStyle w:val="FootnoteReference"/>
        </w:rPr>
        <w:footnoteRef/>
      </w:r>
      <w:r>
        <w:t xml:space="preserve"> </w:t>
      </w:r>
      <w:r>
        <w:t xml:space="preserve">Gwyer 2019, PMID 30915550.</w:t>
      </w:r>
    </w:p>
  </w:footnote>
  <w:footnote w:id="919">
    <w:p>
      <w:pPr>
        <w:pStyle w:val="FootnoteText"/>
      </w:pPr>
      <w:r>
        <w:rPr>
          <w:rStyle w:val="FootnoteReference"/>
        </w:rPr>
        <w:footnoteRef/>
      </w:r>
      <w:r>
        <w:t xml:space="preserve"> </w:t>
      </w:r>
      <w:r>
        <w:t xml:space="preserve">Demirtaş 2026, PMID 42794771.</w:t>
      </w:r>
    </w:p>
  </w:footnote>
  <w:footnote w:id="920">
    <w:p>
      <w:pPr>
        <w:pStyle w:val="FootnoteText"/>
      </w:pPr>
      <w:r>
        <w:rPr>
          <w:rStyle w:val="FootnoteReference"/>
        </w:rPr>
        <w:footnoteRef/>
      </w:r>
      <w:r>
        <w:t xml:space="preserve"> </w:t>
      </w:r>
      <w:r>
        <w:t xml:space="preserve">Whitehouse 2025, PMID 40759852.</w:t>
      </w:r>
    </w:p>
  </w:footnote>
  <w:footnote w:id="923">
    <w:p>
      <w:pPr>
        <w:pStyle w:val="FootnoteText"/>
      </w:pPr>
      <w:r>
        <w:rPr>
          <w:rStyle w:val="FootnoteReference"/>
        </w:rPr>
        <w:footnoteRef/>
      </w:r>
      <w:r>
        <w:t xml:space="preserve"> </w:t>
      </w:r>
      <w:r>
        <w:t xml:space="preserve">He 2022, PMID 36588717.</w:t>
      </w:r>
    </w:p>
  </w:footnote>
  <w:footnote w:id="924">
    <w:p>
      <w:pPr>
        <w:pStyle w:val="FootnoteText"/>
      </w:pPr>
      <w:r>
        <w:rPr>
          <w:rStyle w:val="FootnoteReference"/>
        </w:rPr>
        <w:footnoteRef/>
      </w:r>
      <w:r>
        <w:t xml:space="preserve"> </w:t>
      </w:r>
      <w:r>
        <w:t xml:space="preserve">Xu 2020, PMID 32334036.</w:t>
      </w:r>
    </w:p>
  </w:footnote>
  <w:footnote w:id="927">
    <w:p>
      <w:pPr>
        <w:pStyle w:val="FootnoteText"/>
      </w:pPr>
      <w:r>
        <w:rPr>
          <w:rStyle w:val="FootnoteReference"/>
        </w:rPr>
        <w:footnoteRef/>
      </w:r>
      <w:r>
        <w:t xml:space="preserve"> </w:t>
      </w:r>
      <w:r>
        <w:t xml:space="preserve">Poolton 2026, PMID 42885452.</w:t>
      </w:r>
    </w:p>
  </w:footnote>
  <w:footnote w:id="929">
    <w:p>
      <w:pPr>
        <w:pStyle w:val="FootnoteText"/>
      </w:pPr>
      <w:r>
        <w:rPr>
          <w:rStyle w:val="FootnoteReference"/>
        </w:rPr>
        <w:footnoteRef/>
      </w:r>
      <w:r>
        <w:t xml:space="preserve"> </w:t>
      </w:r>
      <w:r>
        <w:t xml:space="preserve">Hsieh 2017, PMID 27847966.</w:t>
      </w:r>
    </w:p>
  </w:footnote>
  <w:footnote w:id="930">
    <w:p>
      <w:pPr>
        <w:pStyle w:val="FootnoteText"/>
      </w:pPr>
      <w:r>
        <w:rPr>
          <w:rStyle w:val="FootnoteReference"/>
        </w:rPr>
        <w:footnoteRef/>
      </w:r>
      <w:r>
        <w:t xml:space="preserve"> </w:t>
      </w:r>
      <w:r>
        <w:t xml:space="preserve">Moiz 2026, PMID 42757290.</w:t>
      </w:r>
    </w:p>
  </w:footnote>
  <w:footnote w:id="931">
    <w:p>
      <w:pPr>
        <w:pStyle w:val="FootnoteText"/>
      </w:pPr>
      <w:r>
        <w:rPr>
          <w:rStyle w:val="FootnoteReference"/>
        </w:rPr>
        <w:footnoteRef/>
      </w:r>
      <w:r>
        <w:t xml:space="preserve"> </w:t>
      </w:r>
      <w:r>
        <w:t xml:space="preserve">Sikiric 2025, PMID 40573323.</w:t>
      </w:r>
    </w:p>
  </w:footnote>
  <w:footnote w:id="933">
    <w:p>
      <w:pPr>
        <w:pStyle w:val="FootnoteText"/>
      </w:pPr>
      <w:r>
        <w:rPr>
          <w:rStyle w:val="FootnoteReference"/>
        </w:rPr>
        <w:footnoteRef/>
      </w:r>
      <w:r>
        <w:t xml:space="preserve"> </w:t>
      </w:r>
      <w:r>
        <w:t xml:space="preserve">Tham 2026, PMID 42937313; Mendias 2026, PMID 41966639.</w:t>
      </w:r>
    </w:p>
  </w:footnote>
  <w:footnote w:id="934">
    <w:p>
      <w:pPr>
        <w:pStyle w:val="FootnoteText"/>
      </w:pPr>
      <w:r>
        <w:rPr>
          <w:rStyle w:val="FootnoteReference"/>
        </w:rPr>
        <w:footnoteRef/>
      </w:r>
      <w:r>
        <w:t xml:space="preserve"> </w:t>
      </w:r>
      <w:r>
        <w:t xml:space="preserve">Cox 2017, PMID 28035768.</w:t>
      </w:r>
    </w:p>
  </w:footnote>
  <w:footnote w:id="936">
    <w:p>
      <w:pPr>
        <w:pStyle w:val="FootnoteText"/>
      </w:pPr>
      <w:r>
        <w:rPr>
          <w:rStyle w:val="FootnoteReference"/>
        </w:rPr>
        <w:footnoteRef/>
      </w:r>
      <w:r>
        <w:t xml:space="preserve"> </w:t>
      </w:r>
      <w:r>
        <w:t xml:space="preserve">Sikiric 2025, PMID 40573323.</w:t>
      </w:r>
    </w:p>
  </w:footnote>
  <w:footnote w:id="937">
    <w:p>
      <w:pPr>
        <w:pStyle w:val="FootnoteText"/>
      </w:pPr>
      <w:r>
        <w:rPr>
          <w:rStyle w:val="FootnoteReference"/>
        </w:rPr>
        <w:footnoteRef/>
      </w:r>
      <w:r>
        <w:t xml:space="preserve"> </w:t>
      </w:r>
      <w:r>
        <w:t xml:space="preserve">Mendias 2026, PMID 41966639.</w:t>
      </w:r>
    </w:p>
  </w:footnote>
  <w:footnote w:id="940">
    <w:p>
      <w:pPr>
        <w:pStyle w:val="FootnoteText"/>
      </w:pPr>
      <w:r>
        <w:rPr>
          <w:rStyle w:val="FootnoteReference"/>
        </w:rPr>
        <w:footnoteRef/>
      </w:r>
      <w:r>
        <w:t xml:space="preserve"> </w:t>
      </w:r>
      <w:r>
        <w:t xml:space="preserve">Willis 2026, PMID 42752426.</w:t>
      </w:r>
    </w:p>
  </w:footnote>
  <w:footnote w:id="941">
    <w:p>
      <w:pPr>
        <w:pStyle w:val="FootnoteText"/>
      </w:pPr>
      <w:r>
        <w:rPr>
          <w:rStyle w:val="FootnoteReference"/>
        </w:rPr>
        <w:footnoteRef/>
      </w:r>
      <w:r>
        <w:t xml:space="preserve"> </w:t>
      </w:r>
      <w:r>
        <w:t xml:space="preserve">Józwiak 2025, PMID 40005999.</w:t>
      </w:r>
    </w:p>
  </w:footnote>
  <w:footnote w:id="942">
    <w:p>
      <w:pPr>
        <w:pStyle w:val="FootnoteText"/>
      </w:pPr>
      <w:r>
        <w:rPr>
          <w:rStyle w:val="FootnoteReference"/>
        </w:rPr>
        <w:footnoteRef/>
      </w:r>
      <w:r>
        <w:t xml:space="preserve"> </w:t>
      </w:r>
      <w:r>
        <w:t xml:space="preserve">Tian 2023, PMID 37959764.</w:t>
      </w:r>
    </w:p>
  </w:footnote>
  <w:footnote w:id="944">
    <w:p>
      <w:pPr>
        <w:pStyle w:val="FootnoteText"/>
      </w:pPr>
      <w:r>
        <w:rPr>
          <w:rStyle w:val="FootnoteReference"/>
        </w:rPr>
        <w:footnoteRef/>
      </w:r>
      <w:r>
        <w:t xml:space="preserve"> </w:t>
      </w:r>
      <w:r>
        <w:t xml:space="preserve">NCT07437547.</w:t>
      </w:r>
    </w:p>
  </w:footnote>
  <w:footnote w:id="945">
    <w:p>
      <w:pPr>
        <w:pStyle w:val="FootnoteText"/>
      </w:pPr>
      <w:r>
        <w:rPr>
          <w:rStyle w:val="FootnoteReference"/>
        </w:rPr>
        <w:footnoteRef/>
      </w:r>
      <w:r>
        <w:t xml:space="preserve"> </w:t>
      </w:r>
      <w:r>
        <w:t xml:space="preserve">NCT07487363.</w:t>
      </w:r>
    </w:p>
  </w:footnote>
  <w:footnote w:id="946">
    <w:p>
      <w:pPr>
        <w:pStyle w:val="FootnoteText"/>
      </w:pPr>
      <w:r>
        <w:rPr>
          <w:rStyle w:val="FootnoteReference"/>
        </w:rPr>
        <w:footnoteRef/>
      </w:r>
      <w:r>
        <w:t xml:space="preserve"> </w:t>
      </w:r>
      <w:r>
        <w:t xml:space="preserve">NCT07803250.</w:t>
      </w:r>
    </w:p>
  </w:footnote>
  <w:footnote w:id="947">
    <w:p>
      <w:pPr>
        <w:pStyle w:val="FootnoteText"/>
      </w:pPr>
      <w:r>
        <w:rPr>
          <w:rStyle w:val="FootnoteReference"/>
        </w:rPr>
        <w:footnoteRef/>
      </w:r>
      <w:r>
        <w:t xml:space="preserve"> </w:t>
      </w:r>
      <w:r>
        <w:t xml:space="preserve">NCT07752381.</w:t>
      </w:r>
    </w:p>
  </w:footnote>
  <w:footnote w:id="948">
    <w:p>
      <w:pPr>
        <w:pStyle w:val="FootnoteText"/>
      </w:pPr>
      <w:r>
        <w:rPr>
          <w:rStyle w:val="FootnoteReference"/>
        </w:rPr>
        <w:footnoteRef/>
      </w:r>
      <w:r>
        <w:t xml:space="preserve"> </w:t>
      </w:r>
      <w:r>
        <w:t xml:space="preserve">Mateescu 2026, PMID 42198317.</w:t>
      </w:r>
    </w:p>
  </w:footnote>
  <w:footnote w:id="950">
    <w:p>
      <w:pPr>
        <w:pStyle w:val="FootnoteText"/>
      </w:pPr>
      <w:r>
        <w:rPr>
          <w:rStyle w:val="FootnoteReference"/>
        </w:rPr>
        <w:footnoteRef/>
      </w:r>
      <w:r>
        <w:t xml:space="preserve"> </w:t>
      </w:r>
      <w:r>
        <w:t xml:space="preserve">Poolton 2026, PMID 42885452.</w:t>
      </w:r>
    </w:p>
  </w:footnote>
  <w:footnote w:id="951">
    <w:p>
      <w:pPr>
        <w:pStyle w:val="FootnoteText"/>
      </w:pPr>
      <w:r>
        <w:rPr>
          <w:rStyle w:val="FootnoteReference"/>
        </w:rPr>
        <w:footnoteRef/>
      </w:r>
      <w:r>
        <w:t xml:space="preserve"> </w:t>
      </w:r>
      <w:r>
        <w:t xml:space="preserve">NCT07803250.</w:t>
      </w:r>
    </w:p>
  </w:footnote>
  <w:footnote w:id="954">
    <w:p>
      <w:pPr>
        <w:pStyle w:val="FootnoteText"/>
      </w:pPr>
      <w:r>
        <w:rPr>
          <w:rStyle w:val="FootnoteReference"/>
        </w:rPr>
        <w:footnoteRef/>
      </w:r>
      <w:r>
        <w:t xml:space="preserve"> </w:t>
      </w:r>
      <w:r>
        <w:t xml:space="preserve">Esposito 2012, PMID 22962027.</w:t>
      </w:r>
    </w:p>
  </w:footnote>
  <w:footnote w:id="956">
    <w:p>
      <w:pPr>
        <w:pStyle w:val="FootnoteText"/>
      </w:pPr>
      <w:r>
        <w:rPr>
          <w:rStyle w:val="FootnoteReference"/>
        </w:rPr>
        <w:footnoteRef/>
      </w:r>
      <w:r>
        <w:t xml:space="preserve"> </w:t>
      </w:r>
      <w:r>
        <w:t xml:space="preserve">Sosne 2010, PMID 20179146.</w:t>
      </w:r>
    </w:p>
  </w:footnote>
  <w:footnote w:id="957">
    <w:p>
      <w:pPr>
        <w:pStyle w:val="FootnoteText"/>
      </w:pPr>
      <w:r>
        <w:rPr>
          <w:rStyle w:val="FootnoteReference"/>
        </w:rPr>
        <w:footnoteRef/>
      </w:r>
      <w:r>
        <w:t xml:space="preserve"> </w:t>
      </w:r>
      <w:r>
        <w:t xml:space="preserve">Philp 2003, PMID 14500546.</w:t>
      </w:r>
    </w:p>
  </w:footnote>
  <w:footnote w:id="958">
    <w:p>
      <w:pPr>
        <w:pStyle w:val="FootnoteText"/>
      </w:pPr>
      <w:r>
        <w:rPr>
          <w:rStyle w:val="FootnoteReference"/>
        </w:rPr>
        <w:footnoteRef/>
      </w:r>
      <w:r>
        <w:t xml:space="preserve"> </w:t>
      </w:r>
      <w:r>
        <w:t xml:space="preserve">Rahaman 2024, PMID 38382158.</w:t>
      </w:r>
    </w:p>
  </w:footnote>
  <w:footnote w:id="959">
    <w:p>
      <w:pPr>
        <w:pStyle w:val="FootnoteText"/>
      </w:pPr>
      <w:r>
        <w:rPr>
          <w:rStyle w:val="FootnoteReference"/>
        </w:rPr>
        <w:footnoteRef/>
      </w:r>
      <w:r>
        <w:t xml:space="preserve"> </w:t>
      </w:r>
      <w:r>
        <w:t xml:space="preserve">Tham 2026, PMID 42937313.</w:t>
      </w:r>
    </w:p>
  </w:footnote>
  <w:footnote w:id="961">
    <w:p>
      <w:pPr>
        <w:pStyle w:val="FootnoteText"/>
      </w:pPr>
      <w:r>
        <w:rPr>
          <w:rStyle w:val="FootnoteReference"/>
        </w:rPr>
        <w:footnoteRef/>
      </w:r>
      <w:r>
        <w:t xml:space="preserve"> </w:t>
      </w:r>
      <w:r>
        <w:t xml:space="preserve">Sosne 2015, PMID 25826322.</w:t>
      </w:r>
    </w:p>
  </w:footnote>
  <w:footnote w:id="962">
    <w:p>
      <w:pPr>
        <w:pStyle w:val="FootnoteText"/>
      </w:pPr>
      <w:r>
        <w:rPr>
          <w:rStyle w:val="FootnoteReference"/>
        </w:rPr>
        <w:footnoteRef/>
      </w:r>
      <w:r>
        <w:t xml:space="preserve"> </w:t>
      </w:r>
      <w:r>
        <w:t xml:space="preserve">Sosne 2015, PMID 26056426.</w:t>
      </w:r>
    </w:p>
  </w:footnote>
  <w:footnote w:id="963">
    <w:p>
      <w:pPr>
        <w:pStyle w:val="FootnoteText"/>
      </w:pPr>
      <w:r>
        <w:rPr>
          <w:rStyle w:val="FootnoteReference"/>
        </w:rPr>
        <w:footnoteRef/>
      </w:r>
      <w:r>
        <w:t xml:space="preserve"> </w:t>
      </w:r>
      <w:r>
        <w:t xml:space="preserve">NCT02974907; NCT03937882.</w:t>
      </w:r>
    </w:p>
  </w:footnote>
  <w:footnote w:id="964">
    <w:p>
      <w:pPr>
        <w:pStyle w:val="FootnoteText"/>
      </w:pPr>
      <w:r>
        <w:rPr>
          <w:rStyle w:val="FootnoteReference"/>
        </w:rPr>
        <w:footnoteRef/>
      </w:r>
      <w:r>
        <w:t xml:space="preserve"> </w:t>
      </w:r>
      <w:r>
        <w:t xml:space="preserve">Sosne 2022, PMID 36613994.</w:t>
      </w:r>
    </w:p>
  </w:footnote>
  <w:footnote w:id="965">
    <w:p>
      <w:pPr>
        <w:pStyle w:val="FootnoteText"/>
      </w:pPr>
      <w:r>
        <w:rPr>
          <w:rStyle w:val="FootnoteReference"/>
        </w:rPr>
        <w:footnoteRef/>
      </w:r>
      <w:r>
        <w:t xml:space="preserve"> </w:t>
      </w:r>
      <w:r>
        <w:t xml:space="preserve">Kruoch 2025, PMID 41347649.</w:t>
      </w:r>
    </w:p>
  </w:footnote>
  <w:footnote w:id="967">
    <w:p>
      <w:pPr>
        <w:pStyle w:val="FootnoteText"/>
      </w:pPr>
      <w:r>
        <w:rPr>
          <w:rStyle w:val="FootnoteReference"/>
        </w:rPr>
        <w:footnoteRef/>
      </w:r>
      <w:r>
        <w:t xml:space="preserve"> </w:t>
      </w:r>
      <w:r>
        <w:t xml:space="preserve">Zhang 2025, PMID 41229390.</w:t>
      </w:r>
    </w:p>
  </w:footnote>
  <w:footnote w:id="969">
    <w:p>
      <w:pPr>
        <w:pStyle w:val="FootnoteText"/>
      </w:pPr>
      <w:r>
        <w:rPr>
          <w:rStyle w:val="FootnoteReference"/>
        </w:rPr>
        <w:footnoteRef/>
      </w:r>
      <w:r>
        <w:t xml:space="preserve"> </w:t>
      </w:r>
      <w:r>
        <w:t xml:space="preserve">Guarnera 2010, PMID 20536470.</w:t>
      </w:r>
    </w:p>
  </w:footnote>
  <w:footnote w:id="970">
    <w:p>
      <w:pPr>
        <w:pStyle w:val="FootnoteText"/>
      </w:pPr>
      <w:r>
        <w:rPr>
          <w:rStyle w:val="FootnoteReference"/>
        </w:rPr>
        <w:footnoteRef/>
      </w:r>
      <w:r>
        <w:t xml:space="preserve"> </w:t>
      </w:r>
      <w:r>
        <w:t xml:space="preserve">NCT00311766.</w:t>
      </w:r>
    </w:p>
  </w:footnote>
  <w:footnote w:id="972">
    <w:p>
      <w:pPr>
        <w:pStyle w:val="FootnoteText"/>
      </w:pPr>
      <w:r>
        <w:rPr>
          <w:rStyle w:val="FootnoteReference"/>
        </w:rPr>
        <w:footnoteRef/>
      </w:r>
      <w:r>
        <w:t xml:space="preserve"> </w:t>
      </w:r>
      <w:r>
        <w:t xml:space="preserve">NCT07487363.</w:t>
      </w:r>
    </w:p>
  </w:footnote>
  <w:footnote w:id="973">
    <w:p>
      <w:pPr>
        <w:pStyle w:val="FootnoteText"/>
      </w:pPr>
      <w:r>
        <w:rPr>
          <w:rStyle w:val="FootnoteReference"/>
        </w:rPr>
        <w:footnoteRef/>
      </w:r>
      <w:r>
        <w:t xml:space="preserve"> </w:t>
      </w:r>
      <w:r>
        <w:t xml:space="preserve">Lee 2021, PMID 34324435.</w:t>
      </w:r>
    </w:p>
  </w:footnote>
  <w:footnote w:id="976">
    <w:p>
      <w:pPr>
        <w:pStyle w:val="FootnoteText"/>
      </w:pPr>
      <w:r>
        <w:rPr>
          <w:rStyle w:val="FootnoteReference"/>
        </w:rPr>
        <w:footnoteRef/>
      </w:r>
      <w:r>
        <w:t xml:space="preserve"> </w:t>
      </w:r>
      <w:r>
        <w:t xml:space="preserve">Bock-Marquette 2004, PMID 15565145.</w:t>
      </w:r>
    </w:p>
  </w:footnote>
  <w:footnote w:id="977">
    <w:p>
      <w:pPr>
        <w:pStyle w:val="FootnoteText"/>
      </w:pPr>
      <w:r>
        <w:rPr>
          <w:rStyle w:val="FootnoteReference"/>
        </w:rPr>
        <w:footnoteRef/>
      </w:r>
      <w:r>
        <w:t xml:space="preserve"> </w:t>
      </w:r>
      <w:r>
        <w:t xml:space="preserve">Smart 2007, PMID 17108969.</w:t>
      </w:r>
    </w:p>
  </w:footnote>
  <w:footnote w:id="978">
    <w:p>
      <w:pPr>
        <w:pStyle w:val="FootnoteText"/>
      </w:pPr>
      <w:r>
        <w:rPr>
          <w:rStyle w:val="FootnoteReference"/>
        </w:rPr>
        <w:footnoteRef/>
      </w:r>
      <w:r>
        <w:t xml:space="preserve"> </w:t>
      </w:r>
      <w:r>
        <w:t xml:space="preserve">Kispert 2012, PMID 22019445.</w:t>
      </w:r>
    </w:p>
  </w:footnote>
  <w:footnote w:id="979">
    <w:p>
      <w:pPr>
        <w:pStyle w:val="FootnoteText"/>
      </w:pPr>
      <w:r>
        <w:rPr>
          <w:rStyle w:val="FootnoteReference"/>
        </w:rPr>
        <w:footnoteRef/>
      </w:r>
      <w:r>
        <w:t xml:space="preserve"> </w:t>
      </w:r>
      <w:r>
        <w:t xml:space="preserve">Tao 2024, PMID 38757041.</w:t>
      </w:r>
    </w:p>
  </w:footnote>
  <w:footnote w:id="980">
    <w:p>
      <w:pPr>
        <w:pStyle w:val="FootnoteText"/>
      </w:pPr>
      <w:r>
        <w:rPr>
          <w:rStyle w:val="FootnoteReference"/>
        </w:rPr>
        <w:footnoteRef/>
      </w:r>
      <w:r>
        <w:t xml:space="preserve"> </w:t>
      </w:r>
      <w:r>
        <w:t xml:space="preserve">Brady 2014, PMID 25042765.</w:t>
      </w:r>
    </w:p>
  </w:footnote>
  <w:footnote w:id="981">
    <w:p>
      <w:pPr>
        <w:pStyle w:val="FootnoteText"/>
      </w:pPr>
      <w:r>
        <w:rPr>
          <w:rStyle w:val="FootnoteReference"/>
        </w:rPr>
        <w:footnoteRef/>
      </w:r>
      <w:r>
        <w:t xml:space="preserve"> </w:t>
      </w:r>
      <w:r>
        <w:t xml:space="preserve">Tham 2026, PMID 42937313.</w:t>
      </w:r>
    </w:p>
  </w:footnote>
  <w:footnote w:id="982">
    <w:p>
      <w:pPr>
        <w:pStyle w:val="FootnoteText"/>
      </w:pPr>
      <w:r>
        <w:rPr>
          <w:rStyle w:val="FootnoteReference"/>
        </w:rPr>
        <w:footnoteRef/>
      </w:r>
      <w:r>
        <w:t xml:space="preserve"> </w:t>
      </w:r>
      <w:r>
        <w:t xml:space="preserve">Biçer 2026, PMID 42542926.</w:t>
      </w:r>
    </w:p>
  </w:footnote>
  <w:footnote w:id="984">
    <w:p>
      <w:pPr>
        <w:pStyle w:val="FootnoteText"/>
      </w:pPr>
      <w:r>
        <w:rPr>
          <w:rStyle w:val="FootnoteReference"/>
        </w:rPr>
        <w:footnoteRef/>
      </w:r>
      <w:r>
        <w:t xml:space="preserve"> </w:t>
      </w:r>
      <w:r>
        <w:t xml:space="preserve">Ruff 2010, PMID 20536472.</w:t>
      </w:r>
    </w:p>
  </w:footnote>
  <w:footnote w:id="985">
    <w:p>
      <w:pPr>
        <w:pStyle w:val="FootnoteText"/>
      </w:pPr>
      <w:r>
        <w:rPr>
          <w:rStyle w:val="FootnoteReference"/>
        </w:rPr>
        <w:footnoteRef/>
      </w:r>
      <w:r>
        <w:t xml:space="preserve"> </w:t>
      </w:r>
      <w:r>
        <w:t xml:space="preserve">Wang 2021, PMID 34346165.</w:t>
      </w:r>
    </w:p>
  </w:footnote>
  <w:footnote w:id="987">
    <w:p>
      <w:pPr>
        <w:pStyle w:val="FootnoteText"/>
      </w:pPr>
      <w:r>
        <w:rPr>
          <w:rStyle w:val="FootnoteReference"/>
        </w:rPr>
        <w:footnoteRef/>
      </w:r>
      <w:r>
        <w:t xml:space="preserve"> </w:t>
      </w:r>
      <w:r>
        <w:t xml:space="preserve">Wang 2016, PMID 27596300.</w:t>
      </w:r>
    </w:p>
  </w:footnote>
  <w:footnote w:id="988">
    <w:p>
      <w:pPr>
        <w:pStyle w:val="FootnoteText"/>
      </w:pPr>
      <w:r>
        <w:rPr>
          <w:rStyle w:val="FootnoteReference"/>
        </w:rPr>
        <w:footnoteRef/>
      </w:r>
      <w:r>
        <w:t xml:space="preserve"> </w:t>
      </w:r>
      <w:r>
        <w:t xml:space="preserve">Larsson 2007, PMID 17495241.</w:t>
      </w:r>
    </w:p>
  </w:footnote>
  <w:footnote w:id="990">
    <w:p>
      <w:pPr>
        <w:pStyle w:val="FootnoteText"/>
      </w:pPr>
      <w:r>
        <w:rPr>
          <w:rStyle w:val="FootnoteReference"/>
        </w:rPr>
        <w:footnoteRef/>
      </w:r>
      <w:r>
        <w:t xml:space="preserve"> </w:t>
      </w:r>
      <w:r>
        <w:t xml:space="preserve">Delcourt 2023, PMID 36482504.</w:t>
      </w:r>
    </w:p>
  </w:footnote>
  <w:footnote w:id="991">
    <w:p>
      <w:pPr>
        <w:pStyle w:val="FootnoteText"/>
      </w:pPr>
      <w:r>
        <w:rPr>
          <w:rStyle w:val="FootnoteReference"/>
        </w:rPr>
        <w:footnoteRef/>
      </w:r>
      <w:r>
        <w:t xml:space="preserve"> </w:t>
      </w:r>
      <w:r>
        <w:t xml:space="preserve">Ho 2012, PMID 23084823.</w:t>
      </w:r>
    </w:p>
  </w:footnote>
  <w:footnote w:id="994">
    <w:p>
      <w:pPr>
        <w:pStyle w:val="FootnoteText"/>
      </w:pPr>
      <w:r>
        <w:rPr>
          <w:rStyle w:val="FootnoteReference"/>
        </w:rPr>
        <w:footnoteRef/>
      </w:r>
      <w:r>
        <w:t xml:space="preserve"> </w:t>
      </w:r>
      <w:r>
        <w:t xml:space="preserve">Willis 2026, PMID 42752426.</w:t>
      </w:r>
    </w:p>
  </w:footnote>
  <w:footnote w:id="995">
    <w:p>
      <w:pPr>
        <w:pStyle w:val="FootnoteText"/>
      </w:pPr>
      <w:r>
        <w:rPr>
          <w:rStyle w:val="FootnoteReference"/>
        </w:rPr>
        <w:footnoteRef/>
      </w:r>
      <w:r>
        <w:t xml:space="preserve"> </w:t>
      </w:r>
      <w:r>
        <w:t xml:space="preserve">Delcourt 2025, PMID 39314109.</w:t>
      </w:r>
    </w:p>
  </w:footnote>
  <w:footnote w:id="997">
    <w:p>
      <w:pPr>
        <w:pStyle w:val="FootnoteText"/>
      </w:pPr>
      <w:r>
        <w:rPr>
          <w:rStyle w:val="FootnoteReference"/>
        </w:rPr>
        <w:footnoteRef/>
      </w:r>
      <w:r>
        <w:t xml:space="preserve"> </w:t>
      </w:r>
      <w:r>
        <w:t xml:space="preserve">NCT05555589.</w:t>
      </w:r>
    </w:p>
  </w:footnote>
  <w:footnote w:id="998">
    <w:p>
      <w:pPr>
        <w:pStyle w:val="FootnoteText"/>
      </w:pPr>
      <w:r>
        <w:rPr>
          <w:rStyle w:val="FootnoteReference"/>
        </w:rPr>
        <w:footnoteRef/>
      </w:r>
      <w:r>
        <w:t xml:space="preserve"> </w:t>
      </w:r>
      <w:r>
        <w:t xml:space="preserve">NCT07586865.</w:t>
      </w:r>
    </w:p>
  </w:footnote>
  <w:footnote w:id="999">
    <w:p>
      <w:pPr>
        <w:pStyle w:val="FootnoteText"/>
      </w:pPr>
      <w:r>
        <w:rPr>
          <w:rStyle w:val="FootnoteReference"/>
        </w:rPr>
        <w:footnoteRef/>
      </w:r>
      <w:r>
        <w:t xml:space="preserve"> </w:t>
      </w:r>
      <w:r>
        <w:t xml:space="preserve">NCT05485818; NCT05984134.</w:t>
      </w:r>
    </w:p>
  </w:footnote>
  <w:footnote w:id="1001">
    <w:p>
      <w:pPr>
        <w:pStyle w:val="FootnoteText"/>
      </w:pPr>
      <w:r>
        <w:rPr>
          <w:rStyle w:val="FootnoteReference"/>
        </w:rPr>
        <w:footnoteRef/>
      </w:r>
      <w:r>
        <w:t xml:space="preserve"> </w:t>
      </w:r>
      <w:r>
        <w:t xml:space="preserve">Zhang 2025, PMID 41229390.</w:t>
      </w:r>
    </w:p>
  </w:footnote>
  <w:footnote w:id="1004">
    <w:p>
      <w:pPr>
        <w:pStyle w:val="FootnoteText"/>
      </w:pPr>
      <w:r>
        <w:rPr>
          <w:rStyle w:val="FootnoteReference"/>
        </w:rPr>
        <w:footnoteRef/>
      </w:r>
      <w:r>
        <w:t xml:space="preserve"> </w:t>
      </w:r>
      <w:r>
        <w:t xml:space="preserve">Iino 2005, PMID 15850471.</w:t>
      </w:r>
    </w:p>
  </w:footnote>
  <w:footnote w:id="1005">
    <w:p>
      <w:pPr>
        <w:pStyle w:val="FootnoteText"/>
      </w:pPr>
      <w:r>
        <w:rPr>
          <w:rStyle w:val="FootnoteReference"/>
        </w:rPr>
        <w:footnoteRef/>
      </w:r>
      <w:r>
        <w:t xml:space="preserve"> </w:t>
      </w:r>
      <w:r>
        <w:t xml:space="preserve">Dinetz 2024, PMID 38308608.</w:t>
      </w:r>
    </w:p>
  </w:footnote>
  <w:footnote w:id="1007">
    <w:p>
      <w:pPr>
        <w:pStyle w:val="FootnoteText"/>
      </w:pPr>
      <w:r>
        <w:rPr>
          <w:rStyle w:val="FootnoteReference"/>
        </w:rPr>
        <w:footnoteRef/>
      </w:r>
      <w:r>
        <w:t xml:space="preserve"> </w:t>
      </w:r>
      <w:r>
        <w:t xml:space="preserve">Garaci 2007, PMID 17600290.</w:t>
      </w:r>
    </w:p>
  </w:footnote>
  <w:footnote w:id="1008">
    <w:p>
      <w:pPr>
        <w:pStyle w:val="FootnoteText"/>
      </w:pPr>
      <w:r>
        <w:rPr>
          <w:rStyle w:val="FootnoteReference"/>
        </w:rPr>
        <w:footnoteRef/>
      </w:r>
      <w:r>
        <w:t xml:space="preserve"> </w:t>
      </w:r>
      <w:r>
        <w:t xml:space="preserve">Ancell 2001, PMID 11381492.</w:t>
      </w:r>
    </w:p>
  </w:footnote>
  <w:footnote w:id="1010">
    <w:p>
      <w:pPr>
        <w:pStyle w:val="FootnoteText"/>
      </w:pPr>
      <w:r>
        <w:rPr>
          <w:rStyle w:val="FootnoteReference"/>
        </w:rPr>
        <w:footnoteRef/>
      </w:r>
      <w:r>
        <w:t xml:space="preserve"> </w:t>
      </w:r>
      <w:r>
        <w:t xml:space="preserve">Dinetz 2024, PMID 38308608.</w:t>
      </w:r>
    </w:p>
  </w:footnote>
  <w:footnote w:id="1012">
    <w:p>
      <w:pPr>
        <w:pStyle w:val="FootnoteText"/>
      </w:pPr>
      <w:r>
        <w:rPr>
          <w:rStyle w:val="FootnoteReference"/>
        </w:rPr>
        <w:footnoteRef/>
      </w:r>
      <w:r>
        <w:t xml:space="preserve"> </w:t>
      </w:r>
      <w:r>
        <w:t xml:space="preserve">Chien 1998, PMID 9581695.</w:t>
      </w:r>
    </w:p>
  </w:footnote>
  <w:footnote w:id="1013">
    <w:p>
      <w:pPr>
        <w:pStyle w:val="FootnoteText"/>
      </w:pPr>
      <w:r>
        <w:rPr>
          <w:rStyle w:val="FootnoteReference"/>
        </w:rPr>
        <w:footnoteRef/>
      </w:r>
      <w:r>
        <w:t xml:space="preserve"> </w:t>
      </w:r>
      <w:r>
        <w:t xml:space="preserve">Mutchnick 1999, PMID 10607256.</w:t>
      </w:r>
    </w:p>
  </w:footnote>
  <w:footnote w:id="1014">
    <w:p>
      <w:pPr>
        <w:pStyle w:val="FootnoteText"/>
      </w:pPr>
      <w:r>
        <w:rPr>
          <w:rStyle w:val="FootnoteReference"/>
        </w:rPr>
        <w:footnoteRef/>
      </w:r>
      <w:r>
        <w:t xml:space="preserve"> </w:t>
      </w:r>
      <w:r>
        <w:t xml:space="preserve">Yang 2008, PMID 18078676.</w:t>
      </w:r>
    </w:p>
  </w:footnote>
  <w:footnote w:id="1015">
    <w:p>
      <w:pPr>
        <w:pStyle w:val="FootnoteText"/>
      </w:pPr>
      <w:r>
        <w:rPr>
          <w:rStyle w:val="FootnoteReference"/>
        </w:rPr>
        <w:footnoteRef/>
      </w:r>
      <w:r>
        <w:t xml:space="preserve"> </w:t>
      </w:r>
      <w:r>
        <w:t xml:space="preserve">Wu 2018, PMID 30063860.</w:t>
      </w:r>
    </w:p>
  </w:footnote>
  <w:footnote w:id="1016">
    <w:p>
      <w:pPr>
        <w:pStyle w:val="FootnoteText"/>
      </w:pPr>
      <w:r>
        <w:rPr>
          <w:rStyle w:val="FootnoteReference"/>
        </w:rPr>
        <w:footnoteRef/>
      </w:r>
      <w:r>
        <w:t xml:space="preserve"> </w:t>
      </w:r>
      <w:r>
        <w:t xml:space="preserve">Peng 2020, PMID 33076834.</w:t>
      </w:r>
    </w:p>
  </w:footnote>
  <w:footnote w:id="1017">
    <w:p>
      <w:pPr>
        <w:pStyle w:val="FootnoteText"/>
      </w:pPr>
      <w:r>
        <w:rPr>
          <w:rStyle w:val="FootnoteReference"/>
        </w:rPr>
        <w:footnoteRef/>
      </w:r>
      <w:r>
        <w:t xml:space="preserve"> </w:t>
      </w:r>
      <w:r>
        <w:t xml:space="preserve">Chen 2022, PMID 35616850.</w:t>
      </w:r>
    </w:p>
  </w:footnote>
  <w:footnote w:id="1018">
    <w:p>
      <w:pPr>
        <w:pStyle w:val="FootnoteText"/>
      </w:pPr>
      <w:r>
        <w:rPr>
          <w:rStyle w:val="FootnoteReference"/>
        </w:rPr>
        <w:footnoteRef/>
      </w:r>
      <w:r>
        <w:t xml:space="preserve"> </w:t>
      </w:r>
      <w:r>
        <w:t xml:space="preserve">Sherman 1998, PMID 9537454; Andreone 2004, PMID 14738560.</w:t>
      </w:r>
    </w:p>
  </w:footnote>
  <w:footnote w:id="1020">
    <w:p>
      <w:pPr>
        <w:pStyle w:val="FootnoteText"/>
      </w:pPr>
      <w:r>
        <w:rPr>
          <w:rStyle w:val="FootnoteReference"/>
        </w:rPr>
        <w:footnoteRef/>
      </w:r>
      <w:r>
        <w:t xml:space="preserve"> </w:t>
      </w:r>
      <w:r>
        <w:t xml:space="preserve">Wu 2013, PMID 23327199.</w:t>
      </w:r>
    </w:p>
  </w:footnote>
  <w:footnote w:id="1021">
    <w:p>
      <w:pPr>
        <w:pStyle w:val="FootnoteText"/>
      </w:pPr>
      <w:r>
        <w:rPr>
          <w:rStyle w:val="FootnoteReference"/>
        </w:rPr>
        <w:footnoteRef/>
      </w:r>
      <w:r>
        <w:t xml:space="preserve"> </w:t>
      </w:r>
      <w:r>
        <w:t xml:space="preserve">Wu 2025, PMID 39814420.</w:t>
      </w:r>
    </w:p>
  </w:footnote>
  <w:footnote w:id="1022">
    <w:p>
      <w:pPr>
        <w:pStyle w:val="FootnoteText"/>
      </w:pPr>
      <w:r>
        <w:rPr>
          <w:rStyle w:val="FootnoteReference"/>
        </w:rPr>
        <w:footnoteRef/>
      </w:r>
      <w:r>
        <w:t xml:space="preserve"> </w:t>
      </w:r>
      <w:r>
        <w:t xml:space="preserve">Gu 2025, PMID 40969554.</w:t>
      </w:r>
    </w:p>
  </w:footnote>
  <w:footnote w:id="1023">
    <w:p>
      <w:pPr>
        <w:pStyle w:val="FootnoteText"/>
      </w:pPr>
      <w:r>
        <w:rPr>
          <w:rStyle w:val="FootnoteReference"/>
        </w:rPr>
        <w:footnoteRef/>
      </w:r>
      <w:r>
        <w:t xml:space="preserve"> </w:t>
      </w:r>
      <w:r>
        <w:t xml:space="preserve">Luo 2026, PMID 42205841.</w:t>
      </w:r>
    </w:p>
  </w:footnote>
  <w:footnote w:id="1025">
    <w:p>
      <w:pPr>
        <w:pStyle w:val="FootnoteText"/>
      </w:pPr>
      <w:r>
        <w:rPr>
          <w:rStyle w:val="FootnoteReference"/>
        </w:rPr>
        <w:footnoteRef/>
      </w:r>
      <w:r>
        <w:t xml:space="preserve"> </w:t>
      </w:r>
      <w:r>
        <w:t xml:space="preserve">Liu 2020, PMID 32442287.</w:t>
      </w:r>
    </w:p>
  </w:footnote>
  <w:footnote w:id="1026">
    <w:p>
      <w:pPr>
        <w:pStyle w:val="FootnoteText"/>
      </w:pPr>
      <w:r>
        <w:rPr>
          <w:rStyle w:val="FootnoteReference"/>
        </w:rPr>
        <w:footnoteRef/>
      </w:r>
      <w:r>
        <w:t xml:space="preserve"> </w:t>
      </w:r>
      <w:r>
        <w:t xml:space="preserve">Liu 2021, PMID 34408744.</w:t>
      </w:r>
    </w:p>
  </w:footnote>
  <w:footnote w:id="1027">
    <w:p>
      <w:pPr>
        <w:pStyle w:val="FootnoteText"/>
      </w:pPr>
      <w:r>
        <w:rPr>
          <w:rStyle w:val="FootnoteReference"/>
        </w:rPr>
        <w:footnoteRef/>
      </w:r>
      <w:r>
        <w:t xml:space="preserve"> </w:t>
      </w:r>
      <w:r>
        <w:t xml:space="preserve">Shehadeh 2023, PMID 36056913.</w:t>
      </w:r>
    </w:p>
  </w:footnote>
  <w:footnote w:id="1028">
    <w:p>
      <w:pPr>
        <w:pStyle w:val="FootnoteText"/>
      </w:pPr>
      <w:r>
        <w:rPr>
          <w:rStyle w:val="FootnoteReference"/>
        </w:rPr>
        <w:footnoteRef/>
      </w:r>
      <w:r>
        <w:t xml:space="preserve"> </w:t>
      </w:r>
      <w:r>
        <w:t xml:space="preserve">Shang 2023, PMID 36527881.</w:t>
      </w:r>
    </w:p>
  </w:footnote>
  <w:footnote w:id="1029">
    <w:p>
      <w:pPr>
        <w:pStyle w:val="FootnoteText"/>
      </w:pPr>
      <w:r>
        <w:rPr>
          <w:rStyle w:val="FootnoteReference"/>
        </w:rPr>
        <w:footnoteRef/>
      </w:r>
      <w:r>
        <w:t xml:space="preserve"> </w:t>
      </w:r>
      <w:r>
        <w:t xml:space="preserve">Soeroto 2023, PMID 37845598.</w:t>
      </w:r>
    </w:p>
  </w:footnote>
  <w:footnote w:id="1031">
    <w:p>
      <w:pPr>
        <w:pStyle w:val="FootnoteText"/>
      </w:pPr>
      <w:r>
        <w:rPr>
          <w:rStyle w:val="FootnoteReference"/>
        </w:rPr>
        <w:footnoteRef/>
      </w:r>
      <w:r>
        <w:t xml:space="preserve"> </w:t>
      </w:r>
      <w:r>
        <w:t xml:space="preserve">Maio 2010, PMID 20194853.</w:t>
      </w:r>
    </w:p>
  </w:footnote>
  <w:footnote w:id="1032">
    <w:p>
      <w:pPr>
        <w:pStyle w:val="FootnoteText"/>
      </w:pPr>
      <w:r>
        <w:rPr>
          <w:rStyle w:val="FootnoteReference"/>
        </w:rPr>
        <w:footnoteRef/>
      </w:r>
      <w:r>
        <w:t xml:space="preserve"> </w:t>
      </w:r>
      <w:r>
        <w:t xml:space="preserve">Kim 2026, PMID 42797537.</w:t>
      </w:r>
    </w:p>
  </w:footnote>
  <w:footnote w:id="1033">
    <w:p>
      <w:pPr>
        <w:pStyle w:val="FootnoteText"/>
      </w:pPr>
      <w:r>
        <w:rPr>
          <w:rStyle w:val="FootnoteReference"/>
        </w:rPr>
        <w:footnoteRef/>
      </w:r>
      <w:r>
        <w:t xml:space="preserve"> </w:t>
      </w:r>
      <w:r>
        <w:t xml:space="preserve">Xu 2026, PMID 41749205.</w:t>
      </w:r>
    </w:p>
  </w:footnote>
  <w:footnote w:id="1035">
    <w:p>
      <w:pPr>
        <w:pStyle w:val="FootnoteText"/>
      </w:pPr>
      <w:r>
        <w:rPr>
          <w:rStyle w:val="FootnoteReference"/>
        </w:rPr>
        <w:footnoteRef/>
      </w:r>
      <w:r>
        <w:t xml:space="preserve"> </w:t>
      </w:r>
      <w:r>
        <w:t xml:space="preserve">Gravenstein 1989, PMID 2642497.</w:t>
      </w:r>
    </w:p>
  </w:footnote>
  <w:footnote w:id="1036">
    <w:p>
      <w:pPr>
        <w:pStyle w:val="FootnoteText"/>
      </w:pPr>
      <w:r>
        <w:rPr>
          <w:rStyle w:val="FootnoteReference"/>
        </w:rPr>
        <w:footnoteRef/>
      </w:r>
      <w:r>
        <w:t xml:space="preserve"> </w:t>
      </w:r>
      <w:r>
        <w:t xml:space="preserve">Tuthill 2023, PMID 36881981.</w:t>
      </w:r>
    </w:p>
  </w:footnote>
  <w:footnote w:id="1037">
    <w:p>
      <w:pPr>
        <w:pStyle w:val="FootnoteText"/>
      </w:pPr>
      <w:r>
        <w:rPr>
          <w:rStyle w:val="FootnoteReference"/>
        </w:rPr>
        <w:footnoteRef/>
      </w:r>
      <w:r>
        <w:t xml:space="preserve"> </w:t>
      </w:r>
      <w:r>
        <w:t xml:space="preserve">NCT06821100.</w:t>
      </w:r>
    </w:p>
  </w:footnote>
  <w:footnote w:id="1040">
    <w:p>
      <w:pPr>
        <w:pStyle w:val="FootnoteText"/>
      </w:pPr>
      <w:r>
        <w:rPr>
          <w:rStyle w:val="FootnoteReference"/>
        </w:rPr>
        <w:footnoteRef/>
      </w:r>
      <w:r>
        <w:t xml:space="preserve"> </w:t>
      </w:r>
      <w:r>
        <w:t xml:space="preserve">Garaci 2007, PMID 17600290.</w:t>
      </w:r>
    </w:p>
  </w:footnote>
  <w:footnote w:id="1042">
    <w:p>
      <w:pPr>
        <w:pStyle w:val="FootnoteText"/>
      </w:pPr>
      <w:r>
        <w:rPr>
          <w:rStyle w:val="FootnoteReference"/>
        </w:rPr>
        <w:footnoteRef/>
      </w:r>
      <w:r>
        <w:t xml:space="preserve"> </w:t>
      </w:r>
      <w:r>
        <w:t xml:space="preserve">Ancell 2001, PMID 11381492.</w:t>
      </w:r>
    </w:p>
  </w:footnote>
  <w:footnote w:id="1043">
    <w:p>
      <w:pPr>
        <w:pStyle w:val="FootnoteText"/>
      </w:pPr>
      <w:r>
        <w:rPr>
          <w:rStyle w:val="FootnoteReference"/>
        </w:rPr>
        <w:footnoteRef/>
      </w:r>
      <w:r>
        <w:t xml:space="preserve"> </w:t>
      </w:r>
      <w:r>
        <w:t xml:space="preserve">Wu 2025, PMID 39814420.</w:t>
      </w:r>
    </w:p>
  </w:footnote>
  <w:footnote w:id="1044">
    <w:p>
      <w:pPr>
        <w:pStyle w:val="FootnoteText"/>
      </w:pPr>
      <w:r>
        <w:rPr>
          <w:rStyle w:val="FootnoteReference"/>
        </w:rPr>
        <w:footnoteRef/>
      </w:r>
      <w:r>
        <w:t xml:space="preserve"> </w:t>
      </w:r>
      <w:r>
        <w:t xml:space="preserve">Iino 2005, PMID 15850471.</w:t>
      </w:r>
    </w:p>
  </w:footnote>
  <w:footnote w:id="1046">
    <w:p>
      <w:pPr>
        <w:pStyle w:val="FootnoteText"/>
      </w:pPr>
      <w:r>
        <w:rPr>
          <w:rStyle w:val="FootnoteReference"/>
        </w:rPr>
        <w:footnoteRef/>
      </w:r>
      <w:r>
        <w:t xml:space="preserve"> </w:t>
      </w:r>
      <w:r>
        <w:t xml:space="preserve">Wu 2025, PMID 39814420.</w:t>
      </w:r>
    </w:p>
  </w:footnote>
  <w:footnote w:id="1047">
    <w:p>
      <w:pPr>
        <w:pStyle w:val="FootnoteText"/>
      </w:pPr>
      <w:r>
        <w:rPr>
          <w:rStyle w:val="FootnoteReference"/>
        </w:rPr>
        <w:footnoteRef/>
      </w:r>
      <w:r>
        <w:t xml:space="preserve"> </w:t>
      </w:r>
      <w:r>
        <w:t xml:space="preserve">Liu 2021, PMID 34408744.</w:t>
      </w:r>
    </w:p>
  </w:footnote>
  <w:footnote w:id="1048">
    <w:p>
      <w:pPr>
        <w:pStyle w:val="FootnoteText"/>
      </w:pPr>
      <w:r>
        <w:rPr>
          <w:rStyle w:val="FootnoteReference"/>
        </w:rPr>
        <w:footnoteRef/>
      </w:r>
      <w:r>
        <w:t xml:space="preserve"> </w:t>
      </w:r>
      <w:r>
        <w:t xml:space="preserve">Kim 2026, PMID 42797537.</w:t>
      </w:r>
    </w:p>
  </w:footnote>
  <w:footnote w:id="1051">
    <w:p>
      <w:pPr>
        <w:pStyle w:val="FootnoteText"/>
      </w:pPr>
      <w:r>
        <w:rPr>
          <w:rStyle w:val="FootnoteReference"/>
        </w:rPr>
        <w:footnoteRef/>
      </w:r>
      <w:r>
        <w:t xml:space="preserve"> </w:t>
      </w:r>
      <w:r>
        <w:t xml:space="preserve">Dinetz 2024, PMID 38308608.</w:t>
      </w:r>
    </w:p>
  </w:footnote>
  <w:footnote w:id="1052">
    <w:p>
      <w:pPr>
        <w:pStyle w:val="FootnoteText"/>
      </w:pPr>
      <w:r>
        <w:rPr>
          <w:rStyle w:val="FootnoteReference"/>
        </w:rPr>
        <w:footnoteRef/>
      </w:r>
      <w:r>
        <w:t xml:space="preserve"> </w:t>
      </w:r>
      <w:r>
        <w:t xml:space="preserve">Willis 2026, PMID 42752426.</w:t>
      </w:r>
    </w:p>
  </w:footnote>
  <w:footnote w:id="1054">
    <w:p>
      <w:pPr>
        <w:pStyle w:val="FootnoteText"/>
      </w:pPr>
      <w:r>
        <w:rPr>
          <w:rStyle w:val="FootnoteReference"/>
        </w:rPr>
        <w:footnoteRef/>
      </w:r>
      <w:r>
        <w:t xml:space="preserve"> </w:t>
      </w:r>
      <w:r>
        <w:t xml:space="preserve">NCT05086614.</w:t>
      </w:r>
    </w:p>
  </w:footnote>
  <w:footnote w:id="1055">
    <w:p>
      <w:pPr>
        <w:pStyle w:val="FootnoteText"/>
      </w:pPr>
      <w:r>
        <w:rPr>
          <w:rStyle w:val="FootnoteReference"/>
        </w:rPr>
        <w:footnoteRef/>
      </w:r>
      <w:r>
        <w:t xml:space="preserve"> </w:t>
      </w:r>
      <w:r>
        <w:t xml:space="preserve">NCT07884201.</w:t>
      </w:r>
    </w:p>
  </w:footnote>
  <w:footnote w:id="1056">
    <w:p>
      <w:pPr>
        <w:pStyle w:val="FootnoteText"/>
      </w:pPr>
      <w:r>
        <w:rPr>
          <w:rStyle w:val="FootnoteReference"/>
        </w:rPr>
        <w:footnoteRef/>
      </w:r>
      <w:r>
        <w:t xml:space="preserve"> </w:t>
      </w:r>
      <w:r>
        <w:t xml:space="preserve">NCT07866118.</w:t>
      </w:r>
    </w:p>
  </w:footnote>
  <w:footnote w:id="1057">
    <w:p>
      <w:pPr>
        <w:pStyle w:val="FootnoteText"/>
      </w:pPr>
      <w:r>
        <w:rPr>
          <w:rStyle w:val="FootnoteReference"/>
        </w:rPr>
        <w:footnoteRef/>
      </w:r>
      <w:r>
        <w:t xml:space="preserve"> </w:t>
      </w:r>
      <w:r>
        <w:t xml:space="preserve">NCT06821100.</w:t>
      </w:r>
    </w:p>
  </w:footnote>
  <w:footnote w:id="1059">
    <w:p>
      <w:pPr>
        <w:pStyle w:val="FootnoteText"/>
      </w:pPr>
      <w:r>
        <w:rPr>
          <w:rStyle w:val="FootnoteReference"/>
        </w:rPr>
        <w:footnoteRef/>
      </w:r>
      <w:r>
        <w:t xml:space="preserve"> </w:t>
      </w:r>
      <w:r>
        <w:t xml:space="preserve">Wu 2025, PMID 39814420.</w:t>
      </w:r>
    </w:p>
  </w:footnote>
  <w:footnote w:id="1060">
    <w:p>
      <w:pPr>
        <w:pStyle w:val="FootnoteText"/>
      </w:pPr>
      <w:r>
        <w:rPr>
          <w:rStyle w:val="FootnoteReference"/>
        </w:rPr>
        <w:footnoteRef/>
      </w:r>
      <w:r>
        <w:t xml:space="preserve"> </w:t>
      </w:r>
      <w:r>
        <w:t xml:space="preserve">Ke 2022, PMID 35713670.</w:t>
      </w:r>
    </w:p>
  </w:footnote>
  <w:footnote w:id="1061">
    <w:p>
      <w:pPr>
        <w:pStyle w:val="FootnoteText"/>
      </w:pPr>
      <w:r>
        <w:rPr>
          <w:rStyle w:val="FootnoteReference"/>
        </w:rPr>
        <w:footnoteRef/>
      </w:r>
      <w:r>
        <w:t xml:space="preserve"> </w:t>
      </w:r>
      <w:r>
        <w:t xml:space="preserve">Wu 2018, PMID 30063860.</w:t>
      </w:r>
    </w:p>
  </w:footnote>
  <w:footnote w:id="1064">
    <w:p>
      <w:pPr>
        <w:pStyle w:val="FootnoteText"/>
      </w:pPr>
      <w:r>
        <w:rPr>
          <w:rStyle w:val="FootnoteReference"/>
        </w:rPr>
        <w:footnoteRef/>
      </w:r>
      <w:r>
        <w:t xml:space="preserve"> </w:t>
      </w:r>
      <w:r>
        <w:t xml:space="preserve">Cutuli 2000, PMID 10670585.</w:t>
      </w:r>
    </w:p>
  </w:footnote>
  <w:footnote w:id="1066">
    <w:p>
      <w:pPr>
        <w:pStyle w:val="FootnoteText"/>
      </w:pPr>
      <w:r>
        <w:rPr>
          <w:rStyle w:val="FootnoteReference"/>
        </w:rPr>
        <w:footnoteRef/>
      </w:r>
      <w:r>
        <w:t xml:space="preserve"> </w:t>
      </w:r>
      <w:r>
        <w:t xml:space="preserve">Catania 1998, PMID 9700761.</w:t>
      </w:r>
    </w:p>
  </w:footnote>
  <w:footnote w:id="1067">
    <w:p>
      <w:pPr>
        <w:pStyle w:val="FootnoteText"/>
      </w:pPr>
      <w:r>
        <w:rPr>
          <w:rStyle w:val="FootnoteReference"/>
        </w:rPr>
        <w:footnoteRef/>
      </w:r>
      <w:r>
        <w:t xml:space="preserve"> </w:t>
      </w:r>
      <w:r>
        <w:t xml:space="preserve">Getting 2003, PMID 12750433.</w:t>
      </w:r>
    </w:p>
  </w:footnote>
  <w:footnote w:id="1068">
    <w:p>
      <w:pPr>
        <w:pStyle w:val="FootnoteText"/>
      </w:pPr>
      <w:r>
        <w:rPr>
          <w:rStyle w:val="FootnoteReference"/>
        </w:rPr>
        <w:footnoteRef/>
      </w:r>
      <w:r>
        <w:t xml:space="preserve"> </w:t>
      </w:r>
      <w:r>
        <w:t xml:space="preserve">Dalmasso 2008, PMID 18061177.</w:t>
      </w:r>
    </w:p>
  </w:footnote>
  <w:footnote w:id="1069">
    <w:p>
      <w:pPr>
        <w:pStyle w:val="FootnoteText"/>
      </w:pPr>
      <w:r>
        <w:rPr>
          <w:rStyle w:val="FootnoteReference"/>
        </w:rPr>
        <w:footnoteRef/>
      </w:r>
      <w:r>
        <w:t xml:space="preserve"> </w:t>
      </w:r>
      <w:r>
        <w:t xml:space="preserve">Cutuli 2000, PMID 10670585.</w:t>
      </w:r>
    </w:p>
  </w:footnote>
  <w:footnote w:id="1071">
    <w:p>
      <w:pPr>
        <w:pStyle w:val="FootnoteText"/>
      </w:pPr>
      <w:r>
        <w:rPr>
          <w:rStyle w:val="FootnoteReference"/>
        </w:rPr>
        <w:footnoteRef/>
      </w:r>
      <w:r>
        <w:t xml:space="preserve"> </w:t>
      </w:r>
      <w:r>
        <w:t xml:space="preserve">Catania 1998, PMID 9700761.</w:t>
      </w:r>
    </w:p>
  </w:footnote>
  <w:footnote w:id="1072">
    <w:p>
      <w:pPr>
        <w:pStyle w:val="FootnoteText"/>
      </w:pPr>
      <w:r>
        <w:rPr>
          <w:rStyle w:val="FootnoteReference"/>
        </w:rPr>
        <w:footnoteRef/>
      </w:r>
      <w:r>
        <w:t xml:space="preserve"> </w:t>
      </w:r>
      <w:r>
        <w:t xml:space="preserve">Elliott 2004, PMID 15102092.</w:t>
      </w:r>
    </w:p>
  </w:footnote>
  <w:footnote w:id="1073">
    <w:p>
      <w:pPr>
        <w:pStyle w:val="FootnoteText"/>
      </w:pPr>
      <w:r>
        <w:rPr>
          <w:rStyle w:val="FootnoteReference"/>
        </w:rPr>
        <w:footnoteRef/>
      </w:r>
      <w:r>
        <w:t xml:space="preserve"> </w:t>
      </w:r>
      <w:r>
        <w:t xml:space="preserve">Pawar 2017, PMID 28343991.</w:t>
      </w:r>
    </w:p>
  </w:footnote>
  <w:footnote w:id="1074">
    <w:p>
      <w:pPr>
        <w:pStyle w:val="FootnoteText"/>
      </w:pPr>
      <w:r>
        <w:rPr>
          <w:rStyle w:val="FootnoteReference"/>
        </w:rPr>
        <w:footnoteRef/>
      </w:r>
      <w:r>
        <w:t xml:space="preserve"> </w:t>
      </w:r>
      <w:r>
        <w:t xml:space="preserve">Gatti 2006, PMID 16413580.</w:t>
      </w:r>
    </w:p>
  </w:footnote>
  <w:footnote w:id="1078">
    <w:p>
      <w:pPr>
        <w:pStyle w:val="FootnoteText"/>
      </w:pPr>
      <w:r>
        <w:rPr>
          <w:rStyle w:val="FootnoteReference"/>
        </w:rPr>
        <w:footnoteRef/>
      </w:r>
      <w:r>
        <w:t xml:space="preserve"> </w:t>
      </w:r>
      <w:r>
        <w:t xml:space="preserve">Cutuli 2000, PMID 10670585.</w:t>
      </w:r>
    </w:p>
  </w:footnote>
  <w:footnote w:id="1079">
    <w:p>
      <w:pPr>
        <w:pStyle w:val="FootnoteText"/>
      </w:pPr>
      <w:r>
        <w:rPr>
          <w:rStyle w:val="FootnoteReference"/>
        </w:rPr>
        <w:footnoteRef/>
      </w:r>
      <w:r>
        <w:t xml:space="preserve"> </w:t>
      </w:r>
      <w:r>
        <w:t xml:space="preserve">Coutinho 2026, PMID 41880199.</w:t>
      </w:r>
    </w:p>
  </w:footnote>
  <w:footnote w:id="1084">
    <w:p>
      <w:pPr>
        <w:pStyle w:val="FootnoteText"/>
      </w:pPr>
      <w:r>
        <w:rPr>
          <w:rStyle w:val="FootnoteReference"/>
        </w:rPr>
        <w:footnoteRef/>
      </w:r>
      <w:r>
        <w:t xml:space="preserve"> </w:t>
      </w:r>
      <w:r>
        <w:t xml:space="preserve">Dalmasso 2008, PMID 18061177; Kannengiesser 2008, PMID 18092346.</w:t>
      </w:r>
    </w:p>
  </w:footnote>
  <w:footnote w:id="1087">
    <w:p>
      <w:pPr>
        <w:pStyle w:val="FootnoteText"/>
      </w:pPr>
      <w:r>
        <w:rPr>
          <w:rStyle w:val="FootnoteReference"/>
        </w:rPr>
        <w:footnoteRef/>
      </w:r>
      <w:r>
        <w:t xml:space="preserve"> </w:t>
      </w:r>
      <w:r>
        <w:t xml:space="preserve">Gombart 2005, PMID 15985530.</w:t>
      </w:r>
    </w:p>
  </w:footnote>
  <w:footnote w:id="1089">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Lande 2007, PMID 17873860.</w:t>
      </w:r>
    </w:p>
  </w:footnote>
  <w:footnote w:id="1091">
    <w:p>
      <w:pPr>
        <w:pStyle w:val="FootnoteText"/>
      </w:pPr>
      <w:r>
        <w:rPr>
          <w:rStyle w:val="FootnoteReference"/>
        </w:rPr>
        <w:footnoteRef/>
      </w:r>
      <w:r>
        <w:t xml:space="preserve"> </w:t>
      </w:r>
      <w:r>
        <w:t xml:space="preserve">Lande 2014, PMID 25470744.</w:t>
      </w:r>
    </w:p>
  </w:footnote>
  <w:footnote w:id="1092">
    <w:p>
      <w:pPr>
        <w:pStyle w:val="FootnoteText"/>
      </w:pPr>
      <w:r>
        <w:rPr>
          <w:rStyle w:val="FootnoteReference"/>
        </w:rPr>
        <w:footnoteRef/>
      </w:r>
      <w:r>
        <w:t xml:space="preserve"> </w:t>
      </w:r>
      <w:r>
        <w:t xml:space="preserve">Yamasaki 2007, PMID 17676051.</w:t>
      </w:r>
    </w:p>
  </w:footnote>
  <w:footnote w:id="1094">
    <w:p>
      <w:pPr>
        <w:pStyle w:val="FootnoteText"/>
      </w:pPr>
      <w:r>
        <w:rPr>
          <w:rStyle w:val="FootnoteReference"/>
        </w:rPr>
        <w:footnoteRef/>
      </w:r>
      <w:r>
        <w:t xml:space="preserve"> </w:t>
      </w:r>
      <w:r>
        <w:t xml:space="preserve">Grönberg 2014, PMID 25041740.</w:t>
      </w:r>
    </w:p>
  </w:footnote>
  <w:footnote w:id="1095">
    <w:p>
      <w:pPr>
        <w:pStyle w:val="FootnoteText"/>
      </w:pPr>
      <w:r>
        <w:rPr>
          <w:rStyle w:val="FootnoteReference"/>
        </w:rPr>
        <w:footnoteRef/>
      </w:r>
      <w:r>
        <w:t xml:space="preserve"> </w:t>
      </w:r>
      <w:r>
        <w:t xml:space="preserve">Mahlapuu 2021, PMID 34687253.</w:t>
      </w:r>
    </w:p>
  </w:footnote>
  <w:footnote w:id="1096">
    <w:p>
      <w:pPr>
        <w:pStyle w:val="FootnoteText"/>
      </w:pPr>
      <w:r>
        <w:rPr>
          <w:rStyle w:val="FootnoteReference"/>
        </w:rPr>
        <w:footnoteRef/>
      </w:r>
      <w:r>
        <w:t xml:space="preserve"> </w:t>
      </w:r>
      <w:r>
        <w:t xml:space="preserve">Miranda 2023, PMID 37480520.</w:t>
      </w:r>
    </w:p>
  </w:footnote>
  <w:footnote w:id="1097">
    <w:p>
      <w:pPr>
        <w:pStyle w:val="FootnoteText"/>
      </w:pPr>
      <w:r>
        <w:rPr>
          <w:rStyle w:val="FootnoteReference"/>
        </w:rPr>
        <w:footnoteRef/>
      </w:r>
      <w:r>
        <w:t xml:space="preserve"> </w:t>
      </w:r>
      <w:r>
        <w:t xml:space="preserve">Zhao 2023, PMID 37605995.</w:t>
      </w:r>
    </w:p>
  </w:footnote>
  <w:footnote w:id="1099">
    <w:p>
      <w:pPr>
        <w:pStyle w:val="FootnoteText"/>
      </w:pPr>
      <w:r>
        <w:rPr>
          <w:rStyle w:val="FootnoteReference"/>
        </w:rPr>
        <w:footnoteRef/>
      </w:r>
      <w:r>
        <w:t xml:space="preserve"> </w:t>
      </w:r>
      <w:r>
        <w:t xml:space="preserve">Majewski 2017, PMID 28956425.</w:t>
      </w:r>
    </w:p>
  </w:footnote>
  <w:footnote w:id="1100">
    <w:p>
      <w:pPr>
        <w:pStyle w:val="FootnoteText"/>
      </w:pPr>
      <w:r>
        <w:rPr>
          <w:rStyle w:val="FootnoteReference"/>
        </w:rPr>
        <w:footnoteRef/>
      </w:r>
      <w:r>
        <w:t xml:space="preserve"> </w:t>
      </w:r>
      <w:r>
        <w:t xml:space="preserve">Savonius 2018, PMID 28827496.</w:t>
      </w:r>
    </w:p>
  </w:footnote>
  <w:footnote w:id="1101">
    <w:p>
      <w:pPr>
        <w:pStyle w:val="FootnoteText"/>
      </w:pPr>
      <w:r>
        <w:rPr>
          <w:rStyle w:val="FootnoteReference"/>
        </w:rPr>
        <w:footnoteRef/>
      </w:r>
      <w:r>
        <w:t xml:space="preserve"> </w:t>
      </w:r>
      <w:r>
        <w:t xml:space="preserve">Quraishi 2015, PMID 26086941.</w:t>
      </w:r>
    </w:p>
  </w:footnote>
  <w:footnote w:id="1103">
    <w:p>
      <w:pPr>
        <w:pStyle w:val="FootnoteText"/>
      </w:pPr>
      <w:r>
        <w:rPr>
          <w:rStyle w:val="FootnoteReference"/>
        </w:rPr>
        <w:footnoteRef/>
      </w:r>
      <w:r>
        <w:t xml:space="preserve"> </w:t>
      </w:r>
      <w:r>
        <w:t xml:space="preserve">Mily 2015, PMID 26394045.</w:t>
      </w:r>
    </w:p>
  </w:footnote>
  <w:footnote w:id="1106">
    <w:p>
      <w:pPr>
        <w:pStyle w:val="FootnoteText"/>
      </w:pPr>
      <w:r>
        <w:rPr>
          <w:rStyle w:val="FootnoteReference"/>
        </w:rPr>
        <w:footnoteRef/>
      </w:r>
      <w:r>
        <w:t xml:space="preserve"> </w:t>
      </w:r>
      <w:r>
        <w:t xml:space="preserve">Chen 2018, PMID 29843147.</w:t>
      </w:r>
    </w:p>
  </w:footnote>
  <w:footnote w:id="1107">
    <w:p>
      <w:pPr>
        <w:pStyle w:val="FootnoteText"/>
      </w:pPr>
      <w:r>
        <w:rPr>
          <w:rStyle w:val="FootnoteReference"/>
        </w:rPr>
        <w:footnoteRef/>
      </w:r>
      <w:r>
        <w:t xml:space="preserve"> </w:t>
      </w:r>
      <w:r>
        <w:t xml:space="preserve">Gombart 2005, PMID 15985530.</w:t>
      </w:r>
    </w:p>
  </w:footnote>
  <w:footnote w:id="1109">
    <w:p>
      <w:pPr>
        <w:pStyle w:val="FootnoteText"/>
      </w:pPr>
      <w:r>
        <w:rPr>
          <w:rStyle w:val="FootnoteReference"/>
        </w:rPr>
        <w:footnoteRef/>
      </w:r>
      <w:r>
        <w:t xml:space="preserve"> </w:t>
      </w:r>
      <w:r>
        <w:t xml:space="preserve">Grönberg 2014, PMID 25041740; Mahlapuu 2021, PMID 34687253.</w:t>
      </w:r>
    </w:p>
  </w:footnote>
  <w:footnote w:id="1110">
    <w:p>
      <w:pPr>
        <w:pStyle w:val="FootnoteText"/>
      </w:pPr>
      <w:r>
        <w:rPr>
          <w:rStyle w:val="FootnoteReference"/>
        </w:rPr>
        <w:footnoteRef/>
      </w:r>
      <w:r>
        <w:t xml:space="preserve"> </w:t>
      </w:r>
      <w:r>
        <w:t xml:space="preserve">Dolkar 2018, PMID 29665030.</w:t>
      </w:r>
    </w:p>
  </w:footnote>
  <w:footnote w:id="1112">
    <w:p>
      <w:pPr>
        <w:pStyle w:val="FootnoteText"/>
      </w:pPr>
      <w:r>
        <w:rPr>
          <w:rStyle w:val="FootnoteReference"/>
        </w:rPr>
        <w:footnoteRef/>
      </w:r>
      <w:r>
        <w:t xml:space="preserve"> </w:t>
      </w:r>
      <w:r>
        <w:t xml:space="preserve">Lande 2007, PMID 17873860; Lande 2014, PMID 25470744.</w:t>
      </w:r>
    </w:p>
  </w:footnote>
  <w:footnote w:id="1113">
    <w:p>
      <w:pPr>
        <w:pStyle w:val="FootnoteText"/>
      </w:pPr>
      <w:r>
        <w:rPr>
          <w:rStyle w:val="FootnoteReference"/>
        </w:rPr>
        <w:footnoteRef/>
      </w:r>
      <w:r>
        <w:t xml:space="preserve"> </w:t>
      </w:r>
      <w:r>
        <w:t xml:space="preserve">Yamasaki 2007, PMID 17676051.</w:t>
      </w:r>
    </w:p>
  </w:footnote>
  <w:footnote w:id="1114">
    <w:p>
      <w:pPr>
        <w:pStyle w:val="FootnoteText"/>
      </w:pPr>
      <w:r>
        <w:rPr>
          <w:rStyle w:val="FootnoteReference"/>
        </w:rPr>
        <w:footnoteRef/>
      </w:r>
      <w:r>
        <w:t xml:space="preserve"> </w:t>
      </w:r>
      <w:r>
        <w:t xml:space="preserve">Chen 2018, PMID 29843147.</w:t>
      </w:r>
    </w:p>
  </w:footnote>
  <w:footnote w:id="1119">
    <w:p>
      <w:pPr>
        <w:pStyle w:val="FootnoteText"/>
      </w:pPr>
      <w:r>
        <w:rPr>
          <w:rStyle w:val="FootnoteReference"/>
        </w:rPr>
        <w:footnoteRef/>
      </w:r>
      <w:r>
        <w:t xml:space="preserve"> </w:t>
      </w:r>
      <w:r>
        <w:t xml:space="preserve">Mahlapuu 2021, PMID 34687253.</w:t>
      </w:r>
    </w:p>
  </w:footnote>
  <w:footnote w:id="1122">
    <w:p>
      <w:pPr>
        <w:pStyle w:val="FootnoteText"/>
      </w:pPr>
      <w:r>
        <w:rPr>
          <w:rStyle w:val="FootnoteReference"/>
        </w:rPr>
        <w:footnoteRef/>
      </w:r>
      <w:r>
        <w:t xml:space="preserve"> </w:t>
      </w:r>
      <w:r>
        <w:t xml:space="preserve">Winicki 2022, PMID 36741836.</w:t>
      </w:r>
    </w:p>
  </w:footnote>
  <w:footnote w:id="1123">
    <w:p>
      <w:pPr>
        <w:pStyle w:val="FootnoteText"/>
      </w:pPr>
      <w:r>
        <w:rPr>
          <w:rStyle w:val="FootnoteReference"/>
        </w:rPr>
        <w:footnoteRef/>
      </w:r>
      <w:r>
        <w:t xml:space="preserve"> </w:t>
      </w:r>
      <w:r>
        <w:t xml:space="preserve">Thomas 2017, PMID 28941172.</w:t>
      </w:r>
    </w:p>
  </w:footnote>
  <w:footnote w:id="1125">
    <w:p>
      <w:pPr>
        <w:pStyle w:val="FootnoteText"/>
      </w:pPr>
      <w:r>
        <w:rPr>
          <w:rStyle w:val="FootnoteReference"/>
        </w:rPr>
        <w:footnoteRef/>
      </w:r>
      <w:r>
        <w:t xml:space="preserve"> </w:t>
      </w:r>
      <w:r>
        <w:t xml:space="preserve">Swartjes 2014, PMID 24529189.</w:t>
      </w:r>
    </w:p>
  </w:footnote>
  <w:footnote w:id="1126">
    <w:p>
      <w:pPr>
        <w:pStyle w:val="FootnoteText"/>
      </w:pPr>
      <w:r>
        <w:rPr>
          <w:rStyle w:val="FootnoteReference"/>
        </w:rPr>
        <w:footnoteRef/>
      </w:r>
      <w:r>
        <w:t xml:space="preserve"> </w:t>
      </w:r>
      <w:r>
        <w:t xml:space="preserve">Thomas 2017, PMID 28941172.</w:t>
      </w:r>
    </w:p>
  </w:footnote>
  <w:footnote w:id="1128">
    <w:p>
      <w:pPr>
        <w:pStyle w:val="FootnoteText"/>
      </w:pPr>
      <w:r>
        <w:rPr>
          <w:rStyle w:val="FootnoteReference"/>
        </w:rPr>
        <w:footnoteRef/>
      </w:r>
      <w:r>
        <w:t xml:space="preserve"> </w:t>
      </w:r>
      <w:r>
        <w:t xml:space="preserve">Heij 2012, PMID 23168581.</w:t>
      </w:r>
    </w:p>
  </w:footnote>
  <w:footnote w:id="1129">
    <w:p>
      <w:pPr>
        <w:pStyle w:val="FootnoteText"/>
      </w:pPr>
      <w:r>
        <w:rPr>
          <w:rStyle w:val="FootnoteReference"/>
        </w:rPr>
        <w:footnoteRef/>
      </w:r>
      <w:r>
        <w:t xml:space="preserve"> </w:t>
      </w:r>
      <w:r>
        <w:t xml:space="preserve">Culver 2017, PMID 28475703.</w:t>
      </w:r>
    </w:p>
  </w:footnote>
  <w:footnote w:id="1130">
    <w:p>
      <w:pPr>
        <w:pStyle w:val="FootnoteText"/>
      </w:pPr>
      <w:r>
        <w:rPr>
          <w:rStyle w:val="FootnoteReference"/>
        </w:rPr>
        <w:footnoteRef/>
      </w:r>
      <w:r>
        <w:t xml:space="preserve"> </w:t>
      </w:r>
      <w:r>
        <w:t xml:space="preserve">van Velzen 2014, PMID 24555851.</w:t>
      </w:r>
    </w:p>
  </w:footnote>
  <w:footnote w:id="1132">
    <w:p>
      <w:pPr>
        <w:pStyle w:val="FootnoteText"/>
      </w:pPr>
      <w:r>
        <w:rPr>
          <w:rStyle w:val="FootnoteReference"/>
        </w:rPr>
        <w:footnoteRef/>
      </w:r>
      <w:r>
        <w:t xml:space="preserve"> </w:t>
      </w:r>
      <w:r>
        <w:t xml:space="preserve">Brines 2015, PMID 25387363.</w:t>
      </w:r>
    </w:p>
  </w:footnote>
  <w:footnote w:id="1133">
    <w:p>
      <w:pPr>
        <w:pStyle w:val="FootnoteText"/>
      </w:pPr>
      <w:r>
        <w:rPr>
          <w:rStyle w:val="FootnoteReference"/>
        </w:rPr>
        <w:footnoteRef/>
      </w:r>
      <w:r>
        <w:t xml:space="preserve"> </w:t>
      </w:r>
      <w:r>
        <w:t xml:space="preserve">NCT01933529.</w:t>
      </w:r>
    </w:p>
  </w:footnote>
  <w:footnote w:id="1134">
    <w:p>
      <w:pPr>
        <w:pStyle w:val="FootnoteText"/>
      </w:pPr>
      <w:r>
        <w:rPr>
          <w:rStyle w:val="FootnoteReference"/>
        </w:rPr>
        <w:footnoteRef/>
      </w:r>
      <w:r>
        <w:t xml:space="preserve"> </w:t>
      </w:r>
      <w:r>
        <w:t xml:space="preserve">Lois 2020, PMID 32674280.</w:t>
      </w:r>
    </w:p>
  </w:footnote>
  <w:footnote w:id="1137">
    <w:p>
      <w:pPr>
        <w:pStyle w:val="FootnoteText"/>
      </w:pPr>
      <w:r>
        <w:rPr>
          <w:rStyle w:val="FootnoteReference"/>
        </w:rPr>
        <w:footnoteRef/>
      </w:r>
      <w:r>
        <w:t xml:space="preserve"> </w:t>
      </w:r>
      <w:r>
        <w:t xml:space="preserve">Swartjes 2014, PMID 24529189; Pulman 2013, PMID 23262243.</w:t>
      </w:r>
    </w:p>
  </w:footnote>
  <w:footnote w:id="1138">
    <w:p>
      <w:pPr>
        <w:pStyle w:val="FootnoteText"/>
      </w:pPr>
      <w:r>
        <w:rPr>
          <w:rStyle w:val="FootnoteReference"/>
        </w:rPr>
        <w:footnoteRef/>
      </w:r>
      <w:r>
        <w:t xml:space="preserve"> </w:t>
      </w:r>
      <w:r>
        <w:t xml:space="preserve">van Rijt 2013, PMID 23302512.</w:t>
      </w:r>
    </w:p>
  </w:footnote>
  <w:footnote w:id="1139">
    <w:p>
      <w:pPr>
        <w:pStyle w:val="FootnoteText"/>
      </w:pPr>
      <w:r>
        <w:rPr>
          <w:rStyle w:val="FootnoteReference"/>
        </w:rPr>
        <w:footnoteRef/>
      </w:r>
      <w:r>
        <w:t xml:space="preserve"> </w:t>
      </w:r>
      <w:r>
        <w:t xml:space="preserve">Muller 2016, PMID 26736179.</w:t>
      </w:r>
    </w:p>
  </w:footnote>
  <w:footnote w:id="1140">
    <w:p>
      <w:pPr>
        <w:pStyle w:val="FootnoteText"/>
      </w:pPr>
      <w:r>
        <w:rPr>
          <w:rStyle w:val="FootnoteReference"/>
        </w:rPr>
        <w:footnoteRef/>
      </w:r>
      <w:r>
        <w:t xml:space="preserve"> </w:t>
      </w:r>
      <w:r>
        <w:t xml:space="preserve">Al-Onaizi 2022, PMID 34343617.</w:t>
      </w:r>
    </w:p>
  </w:footnote>
  <w:footnote w:id="1141">
    <w:p>
      <w:pPr>
        <w:pStyle w:val="FootnoteText"/>
      </w:pPr>
      <w:r>
        <w:rPr>
          <w:rStyle w:val="FootnoteReference"/>
        </w:rPr>
        <w:footnoteRef/>
      </w:r>
      <w:r>
        <w:t xml:space="preserve"> </w:t>
      </w:r>
      <w:r>
        <w:t xml:space="preserve">Winicki 2022, PMID 36741836.</w:t>
      </w:r>
    </w:p>
  </w:footnote>
  <w:footnote w:id="1143">
    <w:p>
      <w:pPr>
        <w:pStyle w:val="FootnoteText"/>
      </w:pPr>
      <w:r>
        <w:rPr>
          <w:rStyle w:val="FootnoteReference"/>
        </w:rPr>
        <w:footnoteRef/>
      </w:r>
      <w:r>
        <w:t xml:space="preserve"> </w:t>
      </w:r>
      <w:r>
        <w:t xml:space="preserve">Heij 2012, PMID 23168581; Brines 2015, PMID 25387363.</w:t>
      </w:r>
    </w:p>
  </w:footnote>
  <w:footnote w:id="1144">
    <w:p>
      <w:pPr>
        <w:pStyle w:val="FootnoteText"/>
      </w:pPr>
      <w:r>
        <w:rPr>
          <w:rStyle w:val="FootnoteReference"/>
        </w:rPr>
        <w:footnoteRef/>
      </w:r>
      <w:r>
        <w:t xml:space="preserve"> </w:t>
      </w:r>
      <w:r>
        <w:t xml:space="preserve">Lois 2020, PMID 32674280.</w:t>
      </w:r>
    </w:p>
  </w:footnote>
  <w:footnote w:id="1149">
    <w:p>
      <w:pPr>
        <w:pStyle w:val="FootnoteText"/>
      </w:pPr>
      <w:r>
        <w:rPr>
          <w:rStyle w:val="FootnoteReference"/>
        </w:rPr>
        <w:footnoteRef/>
      </w:r>
      <w:r>
        <w:t xml:space="preserve"> </w:t>
      </w:r>
      <w:r>
        <w:t xml:space="preserve">NCT02039687.</w:t>
      </w:r>
    </w:p>
  </w:footnote>
  <w:footnote w:id="1150">
    <w:p>
      <w:pPr>
        <w:pStyle w:val="FootnoteText"/>
      </w:pPr>
      <w:r>
        <w:rPr>
          <w:rStyle w:val="FootnoteReference"/>
        </w:rPr>
        <w:footnoteRef/>
      </w:r>
      <w:r>
        <w:t xml:space="preserve"> </w:t>
      </w:r>
      <w:r>
        <w:t xml:space="preserve">NCT06626971.</w:t>
      </w:r>
    </w:p>
  </w:footnote>
  <w:footnote w:id="1152">
    <w:p>
      <w:pPr>
        <w:pStyle w:val="FootnoteText"/>
      </w:pPr>
      <w:r>
        <w:rPr>
          <w:rStyle w:val="FootnoteReference"/>
        </w:rPr>
        <w:footnoteRef/>
      </w:r>
      <w:r>
        <w:t xml:space="preserve"> </w:t>
      </w:r>
      <w:r>
        <w:t xml:space="preserve">Culver 2017, PMID 28475703.</w:t>
      </w:r>
    </w:p>
  </w:footnote>
  <w:footnote w:id="1155">
    <w:p>
      <w:pPr>
        <w:pStyle w:val="FootnoteText"/>
      </w:pPr>
      <w:r>
        <w:rPr>
          <w:rStyle w:val="FootnoteReference"/>
        </w:rPr>
        <w:footnoteRef/>
      </w:r>
      <w:r>
        <w:t xml:space="preserve"> </w:t>
      </w:r>
      <w:r>
        <w:t xml:space="preserve">Gopalakrishnan 2012, PMID 22401908.</w:t>
      </w:r>
    </w:p>
  </w:footnote>
  <w:footnote w:id="1157">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Slifer 2021, PMID 33881350.</w:t>
      </w:r>
    </w:p>
  </w:footnote>
  <w:footnote w:id="1160">
    <w:p>
      <w:pPr>
        <w:pStyle w:val="FootnoteText"/>
      </w:pPr>
      <w:r>
        <w:rPr>
          <w:rStyle w:val="FootnoteReference"/>
        </w:rPr>
        <w:footnoteRef/>
      </w:r>
      <w:r>
        <w:t xml:space="preserve"> </w:t>
      </w:r>
      <w:r>
        <w:t xml:space="preserve">Hoilat 2022, PMID 34339872.</w:t>
      </w:r>
    </w:p>
  </w:footnote>
  <w:footnote w:id="1161">
    <w:p>
      <w:pPr>
        <w:pStyle w:val="FootnoteText"/>
      </w:pPr>
      <w:r>
        <w:rPr>
          <w:rStyle w:val="FootnoteReference"/>
        </w:rPr>
        <w:footnoteRef/>
      </w:r>
      <w:r>
        <w:t xml:space="preserve"> </w:t>
      </w:r>
      <w:r>
        <w:t xml:space="preserve">Leffler 2012, PMID 22825365; Kelly 2013, PMID 23163616.</w:t>
      </w:r>
    </w:p>
  </w:footnote>
  <w:footnote w:id="1162">
    <w:p>
      <w:pPr>
        <w:pStyle w:val="FootnoteText"/>
      </w:pPr>
      <w:r>
        <w:rPr>
          <w:rStyle w:val="FootnoteReference"/>
        </w:rPr>
        <w:footnoteRef/>
      </w:r>
      <w:r>
        <w:t xml:space="preserve"> </w:t>
      </w:r>
      <w:r>
        <w:t xml:space="preserve">Kelly 2013, PMID 23163616.</w:t>
      </w:r>
    </w:p>
  </w:footnote>
  <w:footnote w:id="1163">
    <w:p>
      <w:pPr>
        <w:pStyle w:val="FootnoteText"/>
      </w:pPr>
      <w:r>
        <w:rPr>
          <w:rStyle w:val="FootnoteReference"/>
        </w:rPr>
        <w:footnoteRef/>
      </w:r>
      <w:r>
        <w:t xml:space="preserve"> </w:t>
      </w:r>
      <w:r>
        <w:t xml:space="preserve">Leffler 2015, PMID 25683116.</w:t>
      </w:r>
    </w:p>
  </w:footnote>
  <w:footnote w:id="1164">
    <w:p>
      <w:pPr>
        <w:pStyle w:val="FootnoteText"/>
      </w:pPr>
      <w:r>
        <w:rPr>
          <w:rStyle w:val="FootnoteReference"/>
        </w:rPr>
        <w:footnoteRef/>
      </w:r>
      <w:r>
        <w:t xml:space="preserve"> </w:t>
      </w:r>
      <w:r>
        <w:t xml:space="preserve">Hoilat 2022, PMID 34339872.</w:t>
      </w:r>
    </w:p>
  </w:footnote>
  <w:footnote w:id="1166">
    <w:p>
      <w:pPr>
        <w:pStyle w:val="FootnoteText"/>
      </w:pPr>
      <w:r>
        <w:rPr>
          <w:rStyle w:val="FootnoteReference"/>
        </w:rPr>
        <w:footnoteRef/>
      </w:r>
      <w:r>
        <w:t xml:space="preserve"> </w:t>
      </w:r>
      <w:r>
        <w:t xml:space="preserve">NCT03569007.</w:t>
      </w:r>
    </w:p>
  </w:footnote>
  <w:footnote w:id="1167">
    <w:p>
      <w:pPr>
        <w:pStyle w:val="FootnoteText"/>
      </w:pPr>
      <w:r>
        <w:rPr>
          <w:rStyle w:val="FootnoteReference"/>
        </w:rPr>
        <w:footnoteRef/>
      </w:r>
      <w:r>
        <w:t xml:space="preserve"> </w:t>
      </w:r>
      <w:r>
        <w:t xml:space="preserve">D’heedene 2024, PMID 38648685.</w:t>
      </w:r>
    </w:p>
  </w:footnote>
  <w:footnote w:id="1168">
    <w:p>
      <w:pPr>
        <w:pStyle w:val="FootnoteText"/>
      </w:pPr>
      <w:r>
        <w:rPr>
          <w:rStyle w:val="FootnoteReference"/>
        </w:rPr>
        <w:footnoteRef/>
      </w:r>
      <w:r>
        <w:t xml:space="preserve"> </w:t>
      </w:r>
      <w:r>
        <w:t xml:space="preserve">Girbal-González 2025, PMID 41010485.</w:t>
      </w:r>
    </w:p>
  </w:footnote>
  <w:footnote w:id="1170">
    <w:p>
      <w:pPr>
        <w:pStyle w:val="FootnoteText"/>
      </w:pPr>
      <w:r>
        <w:rPr>
          <w:rStyle w:val="FootnoteReference"/>
        </w:rPr>
        <w:footnoteRef/>
      </w:r>
      <w:r>
        <w:t xml:space="preserve"> </w:t>
      </w:r>
      <w:r>
        <w:t xml:space="preserve">Yonker 2022, PMID 35211683.</w:t>
      </w:r>
    </w:p>
  </w:footnote>
  <w:footnote w:id="1171">
    <w:p>
      <w:pPr>
        <w:pStyle w:val="FootnoteText"/>
      </w:pPr>
      <w:r>
        <w:rPr>
          <w:rStyle w:val="FootnoteReference"/>
        </w:rPr>
        <w:footnoteRef/>
      </w:r>
      <w:r>
        <w:t xml:space="preserve"> </w:t>
      </w:r>
      <w:r>
        <w:t xml:space="preserve">Yonker 2025, PMID 40737433.</w:t>
      </w:r>
    </w:p>
  </w:footnote>
  <w:footnote w:id="1172">
    <w:p>
      <w:pPr>
        <w:pStyle w:val="FootnoteText"/>
      </w:pPr>
      <w:r>
        <w:rPr>
          <w:rStyle w:val="FootnoteReference"/>
        </w:rPr>
        <w:footnoteRef/>
      </w:r>
      <w:r>
        <w:t xml:space="preserve"> </w:t>
      </w:r>
      <w:r>
        <w:t xml:space="preserve">NCT05022303.</w:t>
      </w:r>
    </w:p>
  </w:footnote>
  <w:footnote w:id="1173">
    <w:p>
      <w:pPr>
        <w:pStyle w:val="FootnoteText"/>
      </w:pPr>
      <w:r>
        <w:rPr>
          <w:rStyle w:val="FootnoteReference"/>
        </w:rPr>
        <w:footnoteRef/>
      </w:r>
      <w:r>
        <w:t xml:space="preserve"> </w:t>
      </w:r>
      <w:r>
        <w:t xml:space="preserve">NCT05747534.</w:t>
      </w:r>
    </w:p>
  </w:footnote>
  <w:footnote w:id="1176">
    <w:p>
      <w:pPr>
        <w:pStyle w:val="FootnoteText"/>
      </w:pPr>
      <w:r>
        <w:rPr>
          <w:rStyle w:val="FootnoteReference"/>
        </w:rPr>
        <w:footnoteRef/>
      </w:r>
      <w:r>
        <w:t xml:space="preserve"> </w:t>
      </w:r>
      <w:r>
        <w:t xml:space="preserve">Tajik 2020, PMID 32332732.</w:t>
      </w:r>
    </w:p>
  </w:footnote>
  <w:footnote w:id="1177">
    <w:p>
      <w:pPr>
        <w:pStyle w:val="FootnoteText"/>
      </w:pPr>
      <w:r>
        <w:rPr>
          <w:rStyle w:val="FootnoteReference"/>
        </w:rPr>
        <w:footnoteRef/>
      </w:r>
      <w:r>
        <w:t xml:space="preserve"> </w:t>
      </w:r>
      <w:r>
        <w:t xml:space="preserve">Slifer 2021, PMID 33881350.</w:t>
      </w:r>
    </w:p>
  </w:footnote>
  <w:footnote w:id="1178">
    <w:p>
      <w:pPr>
        <w:pStyle w:val="FootnoteText"/>
      </w:pPr>
      <w:r>
        <w:rPr>
          <w:rStyle w:val="FootnoteReference"/>
        </w:rPr>
        <w:footnoteRef/>
      </w:r>
      <w:r>
        <w:t xml:space="preserve"> </w:t>
      </w:r>
      <w:r>
        <w:t xml:space="preserve">Karahan 2024, PMID 38441784; Caliskan 2021, PMID 34791921.</w:t>
      </w:r>
    </w:p>
  </w:footnote>
  <w:footnote w:id="1180">
    <w:p>
      <w:pPr>
        <w:pStyle w:val="FootnoteText"/>
      </w:pPr>
      <w:r>
        <w:rPr>
          <w:rStyle w:val="FootnoteReference"/>
        </w:rPr>
        <w:footnoteRef/>
      </w:r>
      <w:r>
        <w:t xml:space="preserve"> </w:t>
      </w:r>
      <w:r>
        <w:t xml:space="preserve">Leffler 2012, PMID 22825365.</w:t>
      </w:r>
    </w:p>
  </w:footnote>
  <w:footnote w:id="1181">
    <w:p>
      <w:pPr>
        <w:pStyle w:val="FootnoteText"/>
      </w:pPr>
      <w:r>
        <w:rPr>
          <w:rStyle w:val="FootnoteReference"/>
        </w:rPr>
        <w:footnoteRef/>
      </w:r>
      <w:r>
        <w:t xml:space="preserve"> </w:t>
      </w:r>
      <w:r>
        <w:t xml:space="preserve">Leffler 2015, PMID 25683116.</w:t>
      </w:r>
    </w:p>
  </w:footnote>
  <w:footnote w:id="1182">
    <w:p>
      <w:pPr>
        <w:pStyle w:val="FootnoteText"/>
      </w:pPr>
      <w:r>
        <w:rPr>
          <w:rStyle w:val="FootnoteReference"/>
        </w:rPr>
        <w:footnoteRef/>
      </w:r>
      <w:r>
        <w:t xml:space="preserve"> </w:t>
      </w:r>
      <w:r>
        <w:t xml:space="preserve">Hoilat 2022, PMID 34339872.</w:t>
      </w:r>
    </w:p>
  </w:footnote>
  <w:footnote w:id="1187">
    <w:p>
      <w:pPr>
        <w:pStyle w:val="FootnoteText"/>
      </w:pPr>
      <w:r>
        <w:rPr>
          <w:rStyle w:val="FootnoteReference"/>
        </w:rPr>
        <w:footnoteRef/>
      </w:r>
      <w:r>
        <w:t xml:space="preserve"> </w:t>
      </w:r>
      <w:r>
        <w:t xml:space="preserve">NCT05747534.</w:t>
      </w:r>
    </w:p>
  </w:footnote>
  <w:footnote w:id="1188">
    <w:p>
      <w:pPr>
        <w:pStyle w:val="FootnoteText"/>
      </w:pPr>
      <w:r>
        <w:rPr>
          <w:rStyle w:val="FootnoteReference"/>
        </w:rPr>
        <w:footnoteRef/>
      </w:r>
      <w:r>
        <w:t xml:space="preserve"> </w:t>
      </w:r>
      <w:r>
        <w:t xml:space="preserve">D’heedene 2024, PMID 38648685.</w:t>
      </w:r>
    </w:p>
  </w:footnote>
  <w:footnote w:id="1190">
    <w:p>
      <w:pPr>
        <w:pStyle w:val="FootnoteText"/>
      </w:pPr>
      <w:r>
        <w:rPr>
          <w:rStyle w:val="FootnoteReference"/>
        </w:rPr>
        <w:footnoteRef/>
      </w:r>
      <w:r>
        <w:t xml:space="preserve"> </w:t>
      </w:r>
      <w:r>
        <w:t xml:space="preserve">Leffler 2015, PMID 25683116.</w:t>
      </w:r>
    </w:p>
  </w:footnote>
  <w:footnote w:id="1193">
    <w:p>
      <w:pPr>
        <w:pStyle w:val="FootnoteText"/>
      </w:pPr>
      <w:r>
        <w:rPr>
          <w:rStyle w:val="FootnoteReference"/>
        </w:rPr>
        <w:footnoteRef/>
      </w:r>
      <w:r>
        <w:t xml:space="preserve"> </w:t>
      </w:r>
      <w:r>
        <w:t xml:space="preserve">Morozov 1997, PMID 9637345.</w:t>
      </w:r>
    </w:p>
  </w:footnote>
  <w:footnote w:id="1194">
    <w:p>
      <w:pPr>
        <w:pStyle w:val="FootnoteText"/>
      </w:pPr>
      <w:r>
        <w:rPr>
          <w:rStyle w:val="FootnoteReference"/>
        </w:rPr>
        <w:footnoteRef/>
      </w:r>
      <w:r>
        <w:t xml:space="preserve"> </w:t>
      </w:r>
      <w:r>
        <w:t xml:space="preserve">Linkova 2023, PMID 37686182.</w:t>
      </w:r>
    </w:p>
  </w:footnote>
  <w:footnote w:id="1195">
    <w:p>
      <w:pPr>
        <w:pStyle w:val="FootnoteText"/>
      </w:pPr>
      <w:r>
        <w:rPr>
          <w:rStyle w:val="FootnoteReference"/>
        </w:rPr>
        <w:footnoteRef/>
      </w:r>
      <w:r>
        <w:t xml:space="preserve"> </w:t>
      </w:r>
      <w:r>
        <w:t xml:space="preserve">Anisimov 2000, PMID 11707921.</w:t>
      </w:r>
    </w:p>
  </w:footnote>
  <w:footnote w:id="1197">
    <w:p>
      <w:pPr>
        <w:pStyle w:val="FootnoteText"/>
      </w:pPr>
      <w:r>
        <w:rPr>
          <w:rStyle w:val="FootnoteReference"/>
        </w:rPr>
        <w:footnoteRef/>
      </w:r>
      <w:r>
        <w:t xml:space="preserve"> </w:t>
      </w:r>
      <w:r>
        <w:t xml:space="preserve">Morozov 1997, PMID 9637345.</w:t>
      </w:r>
    </w:p>
  </w:footnote>
  <w:footnote w:id="1198">
    <w:p>
      <w:pPr>
        <w:pStyle w:val="FootnoteText"/>
      </w:pPr>
      <w:r>
        <w:rPr>
          <w:rStyle w:val="FootnoteReference"/>
        </w:rPr>
        <w:footnoteRef/>
      </w:r>
      <w:r>
        <w:t xml:space="preserve"> </w:t>
      </w:r>
      <w:r>
        <w:t xml:space="preserve">Khavinson 2002, PMID 12374906.</w:t>
      </w:r>
    </w:p>
  </w:footnote>
  <w:footnote w:id="1199">
    <w:p>
      <w:pPr>
        <w:pStyle w:val="FootnoteText"/>
      </w:pPr>
      <w:r>
        <w:rPr>
          <w:rStyle w:val="FootnoteReference"/>
        </w:rPr>
        <w:footnoteRef/>
      </w:r>
      <w:r>
        <w:t xml:space="preserve"> </w:t>
      </w:r>
      <w:r>
        <w:t xml:space="preserve">Linkova 2023, PMID 37686182.</w:t>
      </w:r>
    </w:p>
  </w:footnote>
  <w:footnote w:id="1201">
    <w:p>
      <w:pPr>
        <w:pStyle w:val="FootnoteText"/>
      </w:pPr>
      <w:r>
        <w:rPr>
          <w:rStyle w:val="FootnoteReference"/>
        </w:rPr>
        <w:footnoteRef/>
      </w:r>
      <w:r>
        <w:t xml:space="preserve"> </w:t>
      </w:r>
      <w:r>
        <w:t xml:space="preserve">Khavinson 2003, PMID 14523363.</w:t>
      </w:r>
    </w:p>
  </w:footnote>
  <w:footnote w:id="1203">
    <w:p>
      <w:pPr>
        <w:pStyle w:val="FootnoteText"/>
      </w:pPr>
      <w:r>
        <w:rPr>
          <w:rStyle w:val="FootnoteReference"/>
        </w:rPr>
        <w:footnoteRef/>
      </w:r>
      <w:r>
        <w:t xml:space="preserve"> </w:t>
      </w:r>
      <w:r>
        <w:t xml:space="preserve">Kuznik 2022, PMID 36169363.</w:t>
      </w:r>
    </w:p>
  </w:footnote>
  <w:footnote w:id="1204">
    <w:p>
      <w:pPr>
        <w:pStyle w:val="FootnoteText"/>
      </w:pPr>
      <w:r>
        <w:rPr>
          <w:rStyle w:val="FootnoteReference"/>
        </w:rPr>
        <w:footnoteRef/>
      </w:r>
      <w:r>
        <w:t xml:space="preserve"> </w:t>
      </w:r>
      <w:r>
        <w:t xml:space="preserve">Khavinson 2021, PMID 33575961.</w:t>
      </w:r>
    </w:p>
  </w:footnote>
  <w:footnote w:id="1206">
    <w:p>
      <w:pPr>
        <w:pStyle w:val="FootnoteText"/>
      </w:pPr>
      <w:r>
        <w:rPr>
          <w:rStyle w:val="FootnoteReference"/>
        </w:rPr>
        <w:footnoteRef/>
      </w:r>
      <w:r>
        <w:t xml:space="preserve"> </w:t>
      </w:r>
      <w:r>
        <w:t xml:space="preserve">Smirnov 2011, PMID 21957588.</w:t>
      </w:r>
    </w:p>
  </w:footnote>
  <w:footnote w:id="1210">
    <w:p>
      <w:pPr>
        <w:pStyle w:val="FootnoteText"/>
      </w:pPr>
      <w:r>
        <w:rPr>
          <w:rStyle w:val="FootnoteReference"/>
        </w:rPr>
        <w:footnoteRef/>
      </w:r>
      <w:r>
        <w:t xml:space="preserve"> </w:t>
      </w:r>
      <w:r>
        <w:t xml:space="preserve">Anisimov 2000, PMID 11707921.</w:t>
      </w:r>
    </w:p>
  </w:footnote>
  <w:footnote w:id="1211">
    <w:p>
      <w:pPr>
        <w:pStyle w:val="FootnoteText"/>
      </w:pPr>
      <w:r>
        <w:rPr>
          <w:rStyle w:val="FootnoteReference"/>
        </w:rPr>
        <w:footnoteRef/>
      </w:r>
      <w:r>
        <w:t xml:space="preserve"> </w:t>
      </w:r>
      <w:r>
        <w:t xml:space="preserve">Khavinson 2020, PMID 33237528.</w:t>
      </w:r>
    </w:p>
  </w:footnote>
  <w:footnote w:id="1219">
    <w:p>
      <w:pPr>
        <w:pStyle w:val="FootnoteText"/>
      </w:pPr>
      <w:r>
        <w:rPr>
          <w:rStyle w:val="FootnoteReference"/>
        </w:rPr>
        <w:footnoteRef/>
      </w:r>
      <w:r>
        <w:t xml:space="preserve"> </w:t>
      </w:r>
      <w:r>
        <w:t xml:space="preserve">Khavinson 2003, PMID 14523363.</w:t>
      </w:r>
    </w:p>
  </w:footnote>
  <w:footnote w:id="1223">
    <w:p>
      <w:pPr>
        <w:pStyle w:val="FootnoteText"/>
      </w:pPr>
      <w:r>
        <w:rPr>
          <w:rStyle w:val="FootnoteReference"/>
        </w:rPr>
        <w:footnoteRef/>
      </w:r>
      <w:r>
        <w:t xml:space="preserve"> </w:t>
      </w:r>
      <w:r>
        <w:t xml:space="preserve">Kojima 1999, PMID 10604470.</w:t>
      </w:r>
    </w:p>
  </w:footnote>
  <w:footnote w:id="1225">
    <w:p>
      <w:pPr>
        <w:pStyle w:val="FootnoteText"/>
      </w:pPr>
      <w:r>
        <w:rPr>
          <w:rStyle w:val="FootnoteReference"/>
        </w:rPr>
        <w:footnoteRef/>
      </w:r>
      <w:r>
        <w:t xml:space="preserve"> </w:t>
      </w:r>
      <w:r>
        <w:t xml:space="preserve">Liu 2008, PMID 18347346.</w:t>
      </w:r>
    </w:p>
  </w:footnote>
  <w:footnote w:id="1226">
    <w:p>
      <w:pPr>
        <w:pStyle w:val="FootnoteText"/>
      </w:pPr>
      <w:r>
        <w:rPr>
          <w:rStyle w:val="FootnoteReference"/>
        </w:rPr>
        <w:footnoteRef/>
      </w:r>
      <w:r>
        <w:t xml:space="preserve"> </w:t>
      </w:r>
      <w:r>
        <w:t xml:space="preserve">Liu 2007, PMID 17227934.</w:t>
      </w:r>
    </w:p>
  </w:footnote>
  <w:footnote w:id="1228">
    <w:p>
      <w:pPr>
        <w:pStyle w:val="FootnoteText"/>
      </w:pPr>
      <w:r>
        <w:rPr>
          <w:rStyle w:val="FootnoteReference"/>
        </w:rPr>
        <w:footnoteRef/>
      </w:r>
      <w:r>
        <w:t xml:space="preserve"> </w:t>
      </w:r>
      <w:r>
        <w:t xml:space="preserve">Renehan 2004, PMID 15110491.</w:t>
      </w:r>
    </w:p>
  </w:footnote>
  <w:footnote w:id="1229">
    <w:p>
      <w:pPr>
        <w:pStyle w:val="FootnoteText"/>
      </w:pPr>
      <w:r>
        <w:rPr>
          <w:rStyle w:val="FootnoteReference"/>
        </w:rPr>
        <w:footnoteRef/>
      </w:r>
      <w:r>
        <w:t xml:space="preserve"> </w:t>
      </w:r>
      <w:r>
        <w:t xml:space="preserve">Murphy 2020, PMID 32169310; Murphy 2020, PMID 31884074.</w:t>
      </w:r>
    </w:p>
  </w:footnote>
  <w:footnote w:id="1230">
    <w:p>
      <w:pPr>
        <w:pStyle w:val="FootnoteText"/>
      </w:pPr>
      <w:r>
        <w:rPr>
          <w:rStyle w:val="FootnoteReference"/>
        </w:rPr>
        <w:footnoteRef/>
      </w:r>
      <w:r>
        <w:t xml:space="preserve"> </w:t>
      </w:r>
      <w:r>
        <w:t xml:space="preserve">Dal 2018, PMID 29590449.</w:t>
      </w:r>
    </w:p>
  </w:footnote>
  <w:footnote w:id="1231">
    <w:p>
      <w:pPr>
        <w:pStyle w:val="FootnoteText"/>
      </w:pPr>
      <w:r>
        <w:rPr>
          <w:rStyle w:val="FootnoteReference"/>
        </w:rPr>
        <w:footnoteRef/>
      </w:r>
      <w:r>
        <w:t xml:space="preserve"> </w:t>
      </w:r>
      <w:r>
        <w:t xml:space="preserve">Guevara-Aguirre 2011, PMID 21325617.</w:t>
      </w:r>
    </w:p>
  </w:footnote>
  <w:footnote w:id="1232">
    <w:p>
      <w:pPr>
        <w:pStyle w:val="FootnoteText"/>
      </w:pPr>
      <w:r>
        <w:rPr>
          <w:rStyle w:val="FootnoteReference"/>
        </w:rPr>
        <w:footnoteRef/>
      </w:r>
      <w:r>
        <w:t xml:space="preserve"> </w:t>
      </w:r>
      <w:r>
        <w:t xml:space="preserve">Swerdlow 2017, PMID 28187225.</w:t>
      </w:r>
    </w:p>
  </w:footnote>
  <w:footnote w:id="1233">
    <w:p>
      <w:pPr>
        <w:pStyle w:val="FootnoteText"/>
      </w:pPr>
      <w:r>
        <w:rPr>
          <w:rStyle w:val="FootnoteReference"/>
        </w:rPr>
        <w:footnoteRef/>
      </w:r>
      <w:r>
        <w:t xml:space="preserve"> </w:t>
      </w:r>
      <w:r>
        <w:t xml:space="preserve">Child 2015, PMID 25810462.</w:t>
      </w:r>
    </w:p>
  </w:footnote>
  <w:footnote w:id="1237">
    <w:p>
      <w:pPr>
        <w:pStyle w:val="FootnoteText"/>
      </w:pPr>
      <w:r>
        <w:rPr>
          <w:rStyle w:val="FootnoteReference"/>
        </w:rPr>
        <w:footnoteRef/>
      </w:r>
      <w:r>
        <w:t xml:space="preserve"> </w:t>
      </w:r>
      <w:r>
        <w:t xml:space="preserve">Prakash 1999, PMID 18031173.</w:t>
      </w:r>
    </w:p>
  </w:footnote>
  <w:footnote w:id="1239">
    <w:p>
      <w:pPr>
        <w:pStyle w:val="FootnoteText"/>
      </w:pPr>
      <w:r>
        <w:rPr>
          <w:rStyle w:val="FootnoteReference"/>
        </w:rPr>
        <w:footnoteRef/>
      </w:r>
      <w:r>
        <w:t xml:space="preserve"> </w:t>
      </w:r>
      <w:r>
        <w:t xml:space="preserve">Esposito 2003, PMID 14499707.</w:t>
      </w:r>
    </w:p>
  </w:footnote>
  <w:footnote w:id="1241">
    <w:p>
      <w:pPr>
        <w:pStyle w:val="FootnoteText"/>
      </w:pPr>
      <w:r>
        <w:rPr>
          <w:rStyle w:val="FootnoteReference"/>
        </w:rPr>
        <w:footnoteRef/>
      </w:r>
      <w:r>
        <w:t xml:space="preserve"> </w:t>
      </w:r>
      <w:r>
        <w:t xml:space="preserve">Thorner 1996, PMID 8772599.</w:t>
      </w:r>
    </w:p>
  </w:footnote>
  <w:footnote w:id="1242">
    <w:p>
      <w:pPr>
        <w:pStyle w:val="FootnoteText"/>
      </w:pPr>
      <w:r>
        <w:rPr>
          <w:rStyle w:val="FootnoteReference"/>
        </w:rPr>
        <w:footnoteRef/>
      </w:r>
      <w:r>
        <w:t xml:space="preserve"> </w:t>
      </w:r>
      <w:r>
        <w:t xml:space="preserve">Ross 1987, PMID 2879138.</w:t>
      </w:r>
    </w:p>
  </w:footnote>
  <w:footnote w:id="1243">
    <w:p>
      <w:pPr>
        <w:pStyle w:val="FootnoteText"/>
      </w:pPr>
      <w:r>
        <w:rPr>
          <w:rStyle w:val="FootnoteReference"/>
        </w:rPr>
        <w:footnoteRef/>
      </w:r>
      <w:r>
        <w:t xml:space="preserve"> </w:t>
      </w:r>
      <w:r>
        <w:t xml:space="preserve">Neyzi 1993, PMID 8329826.</w:t>
      </w:r>
    </w:p>
  </w:footnote>
  <w:footnote w:id="1244">
    <w:p>
      <w:pPr>
        <w:pStyle w:val="FootnoteText"/>
      </w:pPr>
      <w:r>
        <w:rPr>
          <w:rStyle w:val="FootnoteReference"/>
        </w:rPr>
        <w:footnoteRef/>
      </w:r>
      <w:r>
        <w:t xml:space="preserve"> </w:t>
      </w:r>
      <w:r>
        <w:t xml:space="preserve">Prakash 1999, PMID 18031173.</w:t>
      </w:r>
    </w:p>
  </w:footnote>
  <w:footnote w:id="1245">
    <w:p>
      <w:pPr>
        <w:pStyle w:val="FootnoteText"/>
      </w:pPr>
      <w:r>
        <w:rPr>
          <w:rStyle w:val="FootnoteReference"/>
        </w:rPr>
        <w:footnoteRef/>
      </w:r>
      <w:r>
        <w:t xml:space="preserve"> </w:t>
      </w:r>
      <w:r>
        <w:t xml:space="preserve">Kirk 1994, PMID 7955460.</w:t>
      </w:r>
    </w:p>
  </w:footnote>
  <w:footnote w:id="1247">
    <w:p>
      <w:pPr>
        <w:pStyle w:val="FootnoteText"/>
      </w:pPr>
      <w:r>
        <w:rPr>
          <w:rStyle w:val="FootnoteReference"/>
        </w:rPr>
        <w:footnoteRef/>
      </w:r>
      <w:r>
        <w:t xml:space="preserve"> </w:t>
      </w:r>
      <w:r>
        <w:t xml:space="preserve">Khorram 1997, PMID 9141536.</w:t>
      </w:r>
    </w:p>
  </w:footnote>
  <w:footnote w:id="1248">
    <w:p>
      <w:pPr>
        <w:pStyle w:val="FootnoteText"/>
      </w:pPr>
      <w:r>
        <w:rPr>
          <w:rStyle w:val="FootnoteReference"/>
        </w:rPr>
        <w:footnoteRef/>
      </w:r>
      <w:r>
        <w:t xml:space="preserve"> </w:t>
      </w:r>
      <w:r>
        <w:t xml:space="preserve">Khorram 1997, PMID 9360512.</w:t>
      </w:r>
    </w:p>
  </w:footnote>
  <w:footnote w:id="1249">
    <w:p>
      <w:pPr>
        <w:pStyle w:val="FootnoteText"/>
      </w:pPr>
      <w:r>
        <w:rPr>
          <w:rStyle w:val="FootnoteReference"/>
        </w:rPr>
        <w:footnoteRef/>
      </w:r>
      <w:r>
        <w:t xml:space="preserve"> </w:t>
      </w:r>
      <w:r>
        <w:t xml:space="preserve">Vittone 1997, PMID 9005976.</w:t>
      </w:r>
    </w:p>
  </w:footnote>
  <w:footnote w:id="1250">
    <w:p>
      <w:pPr>
        <w:pStyle w:val="FootnoteText"/>
      </w:pPr>
      <w:r>
        <w:rPr>
          <w:rStyle w:val="FootnoteReference"/>
        </w:rPr>
        <w:footnoteRef/>
      </w:r>
      <w:r>
        <w:t xml:space="preserve"> </w:t>
      </w:r>
      <w:r>
        <w:t xml:space="preserve">NCT00807365, NCT01410799.</w:t>
      </w:r>
    </w:p>
  </w:footnote>
  <w:footnote w:id="1252">
    <w:p>
      <w:pPr>
        <w:pStyle w:val="FootnoteText"/>
      </w:pPr>
      <w:r>
        <w:rPr>
          <w:rStyle w:val="FootnoteReference"/>
        </w:rPr>
        <w:footnoteRef/>
      </w:r>
      <w:r>
        <w:t xml:space="preserve"> </w:t>
      </w:r>
      <w:r>
        <w:t xml:space="preserve">Prakash 1999, PMID 18031173.</w:t>
      </w:r>
    </w:p>
  </w:footnote>
  <w:footnote w:id="1253">
    <w:p>
      <w:pPr>
        <w:pStyle w:val="FootnoteText"/>
      </w:pPr>
      <w:r>
        <w:rPr>
          <w:rStyle w:val="FootnoteReference"/>
        </w:rPr>
        <w:footnoteRef/>
      </w:r>
      <w:r>
        <w:t xml:space="preserve"> </w:t>
      </w:r>
      <w:r>
        <w:t xml:space="preserve">Garcia 2013, PMID 23559086.</w:t>
      </w:r>
    </w:p>
  </w:footnote>
  <w:footnote w:id="1255">
    <w:p>
      <w:pPr>
        <w:pStyle w:val="FootnoteText"/>
      </w:pPr>
      <w:r>
        <w:rPr>
          <w:rStyle w:val="FootnoteReference"/>
        </w:rPr>
        <w:footnoteRef/>
      </w:r>
      <w:r>
        <w:t xml:space="preserve"> </w:t>
      </w:r>
      <w:r>
        <w:t xml:space="preserve">Sigalos 2017, PMID 28830317.</w:t>
      </w:r>
    </w:p>
  </w:footnote>
  <w:footnote w:id="1258">
    <w:p>
      <w:pPr>
        <w:pStyle w:val="FootnoteText"/>
      </w:pPr>
      <w:r>
        <w:rPr>
          <w:rStyle w:val="FootnoteReference"/>
        </w:rPr>
        <w:footnoteRef/>
      </w:r>
      <w:r>
        <w:t xml:space="preserve"> </w:t>
      </w:r>
      <w:r>
        <w:t xml:space="preserve">Esposito 2003, PMID 14499707.</w:t>
      </w:r>
    </w:p>
  </w:footnote>
  <w:footnote w:id="1259">
    <w:p>
      <w:pPr>
        <w:pStyle w:val="FootnoteText"/>
      </w:pPr>
      <w:r>
        <w:rPr>
          <w:rStyle w:val="FootnoteReference"/>
        </w:rPr>
        <w:footnoteRef/>
      </w:r>
      <w:r>
        <w:t xml:space="preserve"> </w:t>
      </w:r>
      <w:r>
        <w:t xml:space="preserve">Chang 2021, PMID 33842627.</w:t>
      </w:r>
    </w:p>
  </w:footnote>
  <w:footnote w:id="1261">
    <w:p>
      <w:pPr>
        <w:pStyle w:val="FootnoteText"/>
      </w:pPr>
      <w:r>
        <w:rPr>
          <w:rStyle w:val="FootnoteReference"/>
        </w:rPr>
        <w:footnoteRef/>
      </w:r>
      <w:r>
        <w:t xml:space="preserve"> </w:t>
      </w:r>
      <w:r>
        <w:t xml:space="preserve">Prakash 1999, PMID 18031173.</w:t>
      </w:r>
    </w:p>
  </w:footnote>
  <w:footnote w:id="1262">
    <w:p>
      <w:pPr>
        <w:pStyle w:val="FootnoteText"/>
      </w:pPr>
      <w:r>
        <w:rPr>
          <w:rStyle w:val="FootnoteReference"/>
        </w:rPr>
        <w:footnoteRef/>
      </w:r>
      <w:r>
        <w:t xml:space="preserve"> </w:t>
      </w:r>
      <w:r>
        <w:t xml:space="preserve">Ross 1987, PMID 2879138.</w:t>
      </w:r>
    </w:p>
  </w:footnote>
  <w:footnote w:id="1263">
    <w:p>
      <w:pPr>
        <w:pStyle w:val="FootnoteText"/>
      </w:pPr>
      <w:r>
        <w:rPr>
          <w:rStyle w:val="FootnoteReference"/>
        </w:rPr>
        <w:footnoteRef/>
      </w:r>
      <w:r>
        <w:t xml:space="preserve"> </w:t>
      </w:r>
      <w:r>
        <w:t xml:space="preserve">Kirk 1994, PMID 7955460; Khorram 1997, PMID 9141536.</w:t>
      </w:r>
    </w:p>
  </w:footnote>
  <w:footnote w:id="1264">
    <w:p>
      <w:pPr>
        <w:pStyle w:val="FootnoteText"/>
      </w:pPr>
      <w:r>
        <w:rPr>
          <w:rStyle w:val="FootnoteReference"/>
        </w:rPr>
        <w:footnoteRef/>
      </w:r>
      <w:r>
        <w:t xml:space="preserve"> </w:t>
      </w:r>
      <w:r>
        <w:t xml:space="preserve">Perez 2026, PMID 42465868.</w:t>
      </w:r>
    </w:p>
  </w:footnote>
  <w:footnote w:id="1265">
    <w:p>
      <w:pPr>
        <w:pStyle w:val="FootnoteText"/>
      </w:pPr>
      <w:r>
        <w:rPr>
          <w:rStyle w:val="FootnoteReference"/>
        </w:rPr>
        <w:footnoteRef/>
      </w:r>
      <w:r>
        <w:t xml:space="preserve"> </w:t>
      </w:r>
      <w:r>
        <w:t xml:space="preserve">Venhuis 2016, PMID 26456392.</w:t>
      </w:r>
    </w:p>
  </w:footnote>
  <w:footnote w:id="1267">
    <w:p>
      <w:pPr>
        <w:pStyle w:val="FootnoteText"/>
      </w:pPr>
      <w:r>
        <w:rPr>
          <w:rStyle w:val="FootnoteReference"/>
        </w:rPr>
        <w:footnoteRef/>
      </w:r>
      <w:r>
        <w:t xml:space="preserve"> </w:t>
      </w:r>
      <w:r>
        <w:t xml:space="preserve">Garcia 2013, PMID 23559086.</w:t>
      </w:r>
    </w:p>
  </w:footnote>
  <w:footnote w:id="1268">
    <w:p>
      <w:pPr>
        <w:pStyle w:val="FootnoteText"/>
      </w:pPr>
      <w:r>
        <w:rPr>
          <w:rStyle w:val="FootnoteReference"/>
        </w:rPr>
        <w:footnoteRef/>
      </w:r>
      <w:r>
        <w:t xml:space="preserve"> </w:t>
      </w:r>
      <w:r>
        <w:t xml:space="preserve">Willis 2026, PMID 42752426.</w:t>
      </w:r>
    </w:p>
  </w:footnote>
  <w:footnote w:id="1269">
    <w:p>
      <w:pPr>
        <w:pStyle w:val="FootnoteText"/>
      </w:pPr>
      <w:r>
        <w:rPr>
          <w:rStyle w:val="FootnoteReference"/>
        </w:rPr>
        <w:footnoteRef/>
      </w:r>
      <w:r>
        <w:t xml:space="preserve"> </w:t>
      </w:r>
      <w:r>
        <w:t xml:space="preserve">Memdouh 2021, PMID 34665524.</w:t>
      </w:r>
    </w:p>
  </w:footnote>
  <w:footnote w:id="1274">
    <w:p>
      <w:pPr>
        <w:pStyle w:val="FootnoteText"/>
      </w:pPr>
      <w:r>
        <w:rPr>
          <w:rStyle w:val="FootnoteReference"/>
        </w:rPr>
        <w:footnoteRef/>
      </w:r>
      <w:r>
        <w:t xml:space="preserve"> </w:t>
      </w:r>
      <w:r>
        <w:t xml:space="preserve">Falutz 2010, PMID 20101189.</w:t>
      </w:r>
    </w:p>
  </w:footnote>
  <w:footnote w:id="1275">
    <w:p>
      <w:pPr>
        <w:pStyle w:val="FootnoteText"/>
      </w:pPr>
      <w:r>
        <w:rPr>
          <w:rStyle w:val="FootnoteReference"/>
        </w:rPr>
        <w:footnoteRef/>
      </w:r>
      <w:r>
        <w:t xml:space="preserve"> </w:t>
      </w:r>
      <w:r>
        <w:t xml:space="preserve">FDA-Zulassung berichtet bei Traynor 2010, PMID 21115997.</w:t>
      </w:r>
    </w:p>
  </w:footnote>
  <w:footnote w:id="1278">
    <w:p>
      <w:pPr>
        <w:pStyle w:val="FootnoteText"/>
      </w:pPr>
      <w:r>
        <w:rPr>
          <w:rStyle w:val="FootnoteReference"/>
        </w:rPr>
        <w:footnoteRef/>
      </w:r>
      <w:r>
        <w:t xml:space="preserve"> </w:t>
      </w:r>
      <w:r>
        <w:t xml:space="preserve">Falutz 2007, PMID 18057338.</w:t>
      </w:r>
    </w:p>
  </w:footnote>
  <w:footnote w:id="1279">
    <w:p>
      <w:pPr>
        <w:pStyle w:val="FootnoteText"/>
      </w:pPr>
      <w:r>
        <w:rPr>
          <w:rStyle w:val="FootnoteReference"/>
        </w:rPr>
        <w:footnoteRef/>
      </w:r>
      <w:r>
        <w:t xml:space="preserve"> </w:t>
      </w:r>
      <w:r>
        <w:t xml:space="preserve">Falutz 2008, PMID 18690162.</w:t>
      </w:r>
    </w:p>
  </w:footnote>
  <w:footnote w:id="1280">
    <w:p>
      <w:pPr>
        <w:pStyle w:val="FootnoteText"/>
      </w:pPr>
      <w:r>
        <w:rPr>
          <w:rStyle w:val="FootnoteReference"/>
        </w:rPr>
        <w:footnoteRef/>
      </w:r>
      <w:r>
        <w:t xml:space="preserve"> </w:t>
      </w:r>
      <w:r>
        <w:t xml:space="preserve">Falutz 2010, PMID 20101189.</w:t>
      </w:r>
    </w:p>
  </w:footnote>
  <w:footnote w:id="1281">
    <w:p>
      <w:pPr>
        <w:pStyle w:val="FootnoteText"/>
      </w:pPr>
      <w:r>
        <w:rPr>
          <w:rStyle w:val="FootnoteReference"/>
        </w:rPr>
        <w:footnoteRef/>
      </w:r>
      <w:r>
        <w:t xml:space="preserve"> </w:t>
      </w:r>
      <w:r>
        <w:t xml:space="preserve">Falutz 2010, PMID 20554713.</w:t>
      </w:r>
    </w:p>
  </w:footnote>
  <w:footnote w:id="1282">
    <w:p>
      <w:pPr>
        <w:pStyle w:val="FootnoteText"/>
      </w:pPr>
      <w:r>
        <w:rPr>
          <w:rStyle w:val="FootnoteReference"/>
        </w:rPr>
        <w:footnoteRef/>
      </w:r>
      <w:r>
        <w:t xml:space="preserve"> </w:t>
      </w:r>
      <w:r>
        <w:t xml:space="preserve">Stanley 2012, PMID 22495074.</w:t>
      </w:r>
    </w:p>
  </w:footnote>
  <w:footnote w:id="1284">
    <w:p>
      <w:pPr>
        <w:pStyle w:val="FootnoteText"/>
      </w:pPr>
      <w:r>
        <w:rPr>
          <w:rStyle w:val="FootnoteReference"/>
        </w:rPr>
        <w:footnoteRef/>
      </w:r>
      <w:r>
        <w:t xml:space="preserve"> </w:t>
      </w:r>
      <w:r>
        <w:t xml:space="preserve">Stanley 2014, PMID 25038357.</w:t>
      </w:r>
    </w:p>
  </w:footnote>
  <w:footnote w:id="1285">
    <w:p>
      <w:pPr>
        <w:pStyle w:val="FootnoteText"/>
      </w:pPr>
      <w:r>
        <w:rPr>
          <w:rStyle w:val="FootnoteReference"/>
        </w:rPr>
        <w:footnoteRef/>
      </w:r>
      <w:r>
        <w:t xml:space="preserve"> </w:t>
      </w:r>
      <w:r>
        <w:t xml:space="preserve">Stanley 2019, PMID 31611038.</w:t>
      </w:r>
    </w:p>
  </w:footnote>
  <w:footnote w:id="1287">
    <w:p>
      <w:pPr>
        <w:pStyle w:val="FootnoteText"/>
      </w:pPr>
      <w:r>
        <w:rPr>
          <w:rStyle w:val="FootnoteReference"/>
        </w:rPr>
        <w:footnoteRef/>
      </w:r>
      <w:r>
        <w:t xml:space="preserve"> </w:t>
      </w:r>
      <w:r>
        <w:t xml:space="preserve">Makimura 2012, PMID 23015655.</w:t>
      </w:r>
    </w:p>
  </w:footnote>
  <w:footnote w:id="1288">
    <w:p>
      <w:pPr>
        <w:pStyle w:val="FootnoteText"/>
      </w:pPr>
      <w:r>
        <w:rPr>
          <w:rStyle w:val="FootnoteReference"/>
        </w:rPr>
        <w:footnoteRef/>
      </w:r>
      <w:r>
        <w:t xml:space="preserve"> </w:t>
      </w:r>
      <w:r>
        <w:t xml:space="preserve">Clemmons 2017, PMID 28617838.</w:t>
      </w:r>
    </w:p>
  </w:footnote>
  <w:footnote w:id="1289">
    <w:p>
      <w:pPr>
        <w:pStyle w:val="FootnoteText"/>
      </w:pPr>
      <w:r>
        <w:rPr>
          <w:rStyle w:val="FootnoteReference"/>
        </w:rPr>
        <w:footnoteRef/>
      </w:r>
      <w:r>
        <w:t xml:space="preserve"> </w:t>
      </w:r>
      <w:r>
        <w:t xml:space="preserve">Baker 2012, PMID 22869065.</w:t>
      </w:r>
    </w:p>
  </w:footnote>
  <w:footnote w:id="1290">
    <w:p>
      <w:pPr>
        <w:pStyle w:val="FootnoteText"/>
      </w:pPr>
      <w:r>
        <w:rPr>
          <w:rStyle w:val="FootnoteReference"/>
        </w:rPr>
        <w:footnoteRef/>
      </w:r>
      <w:r>
        <w:t xml:space="preserve"> </w:t>
      </w:r>
      <w:r>
        <w:t xml:space="preserve">Ellis 2025, PMID 39813152.</w:t>
      </w:r>
    </w:p>
  </w:footnote>
  <w:footnote w:id="1292">
    <w:p>
      <w:pPr>
        <w:pStyle w:val="FootnoteText"/>
      </w:pPr>
      <w:r>
        <w:rPr>
          <w:rStyle w:val="FootnoteReference"/>
        </w:rPr>
        <w:footnoteRef/>
      </w:r>
      <w:r>
        <w:t xml:space="preserve"> </w:t>
      </w:r>
      <w:r>
        <w:t xml:space="preserve">Ditta 2026, PMID 42538058.</w:t>
      </w:r>
    </w:p>
  </w:footnote>
  <w:footnote w:id="1293">
    <w:p>
      <w:pPr>
        <w:pStyle w:val="FootnoteText"/>
      </w:pPr>
      <w:r>
        <w:rPr>
          <w:rStyle w:val="FootnoteReference"/>
        </w:rPr>
        <w:footnoteRef/>
      </w:r>
      <w:r>
        <w:t xml:space="preserve"> </w:t>
      </w:r>
      <w:r>
        <w:t xml:space="preserve">Badran 2026, PMID 41545261.</w:t>
      </w:r>
    </w:p>
  </w:footnote>
  <w:footnote w:id="1296">
    <w:p>
      <w:pPr>
        <w:pStyle w:val="FootnoteText"/>
      </w:pPr>
      <w:r>
        <w:rPr>
          <w:rStyle w:val="FootnoteReference"/>
        </w:rPr>
        <w:footnoteRef/>
      </w:r>
      <w:r>
        <w:t xml:space="preserve"> </w:t>
      </w:r>
      <w:r>
        <w:t xml:space="preserve">Tuffaha 2016, PMID 27192539.</w:t>
      </w:r>
    </w:p>
  </w:footnote>
  <w:footnote w:id="1297">
    <w:p>
      <w:pPr>
        <w:pStyle w:val="FootnoteText"/>
      </w:pPr>
      <w:r>
        <w:rPr>
          <w:rStyle w:val="FootnoteReference"/>
        </w:rPr>
        <w:footnoteRef/>
      </w:r>
      <w:r>
        <w:t xml:space="preserve"> </w:t>
      </w:r>
      <w:r>
        <w:t xml:space="preserve">NCT03150511.</w:t>
      </w:r>
    </w:p>
  </w:footnote>
  <w:footnote w:id="1298">
    <w:p>
      <w:pPr>
        <w:pStyle w:val="FootnoteText"/>
      </w:pPr>
      <w:r>
        <w:rPr>
          <w:rStyle w:val="FootnoteReference"/>
        </w:rPr>
        <w:footnoteRef/>
      </w:r>
      <w:r>
        <w:t xml:space="preserve"> </w:t>
      </w:r>
      <w:r>
        <w:t xml:space="preserve">Fourman 2020, PMID 32701508.</w:t>
      </w:r>
    </w:p>
  </w:footnote>
  <w:footnote w:id="1300">
    <w:p>
      <w:pPr>
        <w:pStyle w:val="FootnoteText"/>
      </w:pPr>
      <w:r>
        <w:rPr>
          <w:rStyle w:val="FootnoteReference"/>
        </w:rPr>
        <w:footnoteRef/>
      </w:r>
      <w:r>
        <w:t xml:space="preserve"> </w:t>
      </w:r>
      <w:r>
        <w:t xml:space="preserve">Stanley 2019, PMID 31611038.</w:t>
      </w:r>
    </w:p>
  </w:footnote>
  <w:footnote w:id="1301">
    <w:p>
      <w:pPr>
        <w:pStyle w:val="FootnoteText"/>
      </w:pPr>
      <w:r>
        <w:rPr>
          <w:rStyle w:val="FootnoteReference"/>
        </w:rPr>
        <w:footnoteRef/>
      </w:r>
      <w:r>
        <w:t xml:space="preserve"> </w:t>
      </w:r>
      <w:r>
        <w:t xml:space="preserve">Badran 2026, PMID 41545261.</w:t>
      </w:r>
    </w:p>
  </w:footnote>
  <w:footnote w:id="1302">
    <w:p>
      <w:pPr>
        <w:pStyle w:val="FootnoteText"/>
      </w:pPr>
      <w:r>
        <w:rPr>
          <w:rStyle w:val="FootnoteReference"/>
        </w:rPr>
        <w:footnoteRef/>
      </w:r>
      <w:r>
        <w:t xml:space="preserve"> </w:t>
      </w:r>
      <w:r>
        <w:t xml:space="preserve">Stanley 2014, PMID 25038357.</w:t>
      </w:r>
    </w:p>
  </w:footnote>
  <w:footnote w:id="1303">
    <w:p>
      <w:pPr>
        <w:pStyle w:val="FootnoteText"/>
      </w:pPr>
      <w:r>
        <w:rPr>
          <w:rStyle w:val="FootnoteReference"/>
        </w:rPr>
        <w:footnoteRef/>
      </w:r>
      <w:r>
        <w:t xml:space="preserve"> </w:t>
      </w:r>
      <w:r>
        <w:t xml:space="preserve">Stanley 2012, PMID 22495074.</w:t>
      </w:r>
    </w:p>
  </w:footnote>
  <w:footnote w:id="1304">
    <w:p>
      <w:pPr>
        <w:pStyle w:val="FootnoteText"/>
      </w:pPr>
      <w:r>
        <w:rPr>
          <w:rStyle w:val="FootnoteReference"/>
        </w:rPr>
        <w:footnoteRef/>
      </w:r>
      <w:r>
        <w:t xml:space="preserve"> </w:t>
      </w:r>
      <w:r>
        <w:t xml:space="preserve">Falutz 2007, PMID 18057338.</w:t>
      </w:r>
    </w:p>
  </w:footnote>
  <w:footnote w:id="1305">
    <w:p>
      <w:pPr>
        <w:pStyle w:val="FootnoteText"/>
      </w:pPr>
      <w:r>
        <w:rPr>
          <w:rStyle w:val="FootnoteReference"/>
        </w:rPr>
        <w:footnoteRef/>
      </w:r>
      <w:r>
        <w:t xml:space="preserve"> </w:t>
      </w:r>
      <w:r>
        <w:t xml:space="preserve">Falutz 2008, PMID 18690162.</w:t>
      </w:r>
    </w:p>
  </w:footnote>
  <w:footnote w:id="1306">
    <w:p>
      <w:pPr>
        <w:pStyle w:val="FootnoteText"/>
      </w:pPr>
      <w:r>
        <w:rPr>
          <w:rStyle w:val="FootnoteReference"/>
        </w:rPr>
        <w:footnoteRef/>
      </w:r>
      <w:r>
        <w:t xml:space="preserve"> </w:t>
      </w:r>
      <w:r>
        <w:t xml:space="preserve">NCT01579695.</w:t>
      </w:r>
    </w:p>
  </w:footnote>
  <w:footnote w:id="1307">
    <w:p>
      <w:pPr>
        <w:pStyle w:val="FootnoteText"/>
      </w:pPr>
      <w:r>
        <w:rPr>
          <w:rStyle w:val="FootnoteReference"/>
        </w:rPr>
        <w:footnoteRef/>
      </w:r>
      <w:r>
        <w:t xml:space="preserve"> </w:t>
      </w:r>
      <w:r>
        <w:t xml:space="preserve">NCT01591902.</w:t>
      </w:r>
    </w:p>
  </w:footnote>
  <w:footnote w:id="1309">
    <w:p>
      <w:pPr>
        <w:pStyle w:val="FootnoteText"/>
      </w:pPr>
      <w:r>
        <w:rPr>
          <w:rStyle w:val="FootnoteReference"/>
        </w:rPr>
        <w:footnoteRef/>
      </w:r>
      <w:r>
        <w:t xml:space="preserve"> </w:t>
      </w:r>
      <w:r>
        <w:t xml:space="preserve">Memdouh 2021, PMID 34665524.</w:t>
      </w:r>
    </w:p>
  </w:footnote>
  <w:footnote w:id="1314">
    <w:p>
      <w:pPr>
        <w:pStyle w:val="FootnoteText"/>
      </w:pPr>
      <w:r>
        <w:rPr>
          <w:rStyle w:val="FootnoteReference"/>
        </w:rPr>
        <w:footnoteRef/>
      </w:r>
      <w:r>
        <w:t xml:space="preserve"> </w:t>
      </w:r>
      <w:r>
        <w:t xml:space="preserve">Jetté 2005, PMID 15817669.</w:t>
      </w:r>
    </w:p>
  </w:footnote>
  <w:footnote w:id="1316">
    <w:p>
      <w:pPr>
        <w:pStyle w:val="FootnoteText"/>
      </w:pPr>
      <w:r>
        <w:rPr>
          <w:rStyle w:val="FootnoteReference"/>
        </w:rPr>
        <w:footnoteRef/>
      </w:r>
      <w:r>
        <w:t xml:space="preserve"> </w:t>
      </w:r>
      <w:r>
        <w:t xml:space="preserve">Jetté 2005, PMID 15817669.</w:t>
      </w:r>
    </w:p>
  </w:footnote>
  <w:footnote w:id="1318">
    <w:p>
      <w:pPr>
        <w:pStyle w:val="FootnoteText"/>
      </w:pPr>
      <w:r>
        <w:rPr>
          <w:rStyle w:val="FootnoteReference"/>
        </w:rPr>
        <w:footnoteRef/>
      </w:r>
      <w:r>
        <w:t xml:space="preserve"> </w:t>
      </w:r>
      <w:r>
        <w:t xml:space="preserve">Teichman 2006, PMID 16352683.</w:t>
      </w:r>
    </w:p>
  </w:footnote>
  <w:footnote w:id="1319">
    <w:p>
      <w:pPr>
        <w:pStyle w:val="FootnoteText"/>
      </w:pPr>
      <w:r>
        <w:rPr>
          <w:rStyle w:val="FootnoteReference"/>
        </w:rPr>
        <w:footnoteRef/>
      </w:r>
      <w:r>
        <w:t xml:space="preserve"> </w:t>
      </w:r>
      <w:r>
        <w:t xml:space="preserve">Ionescu 2006, PMID 17018654.</w:t>
      </w:r>
    </w:p>
  </w:footnote>
  <w:footnote w:id="1320">
    <w:p>
      <w:pPr>
        <w:pStyle w:val="FootnoteText"/>
      </w:pPr>
      <w:r>
        <w:rPr>
          <w:rStyle w:val="FootnoteReference"/>
        </w:rPr>
        <w:footnoteRef/>
      </w:r>
      <w:r>
        <w:t xml:space="preserve"> </w:t>
      </w:r>
      <w:r>
        <w:t xml:space="preserve">Sackmann-Sala 2009, PMID 19386527.</w:t>
      </w:r>
    </w:p>
  </w:footnote>
  <w:footnote w:id="1321">
    <w:p>
      <w:pPr>
        <w:pStyle w:val="FootnoteText"/>
      </w:pPr>
      <w:r>
        <w:rPr>
          <w:rStyle w:val="FootnoteReference"/>
        </w:rPr>
        <w:footnoteRef/>
      </w:r>
      <w:r>
        <w:t xml:space="preserve"> </w:t>
      </w:r>
      <w:r>
        <w:t xml:space="preserve">NCT00267527.</w:t>
      </w:r>
    </w:p>
  </w:footnote>
  <w:footnote w:id="1324">
    <w:p>
      <w:pPr>
        <w:pStyle w:val="FootnoteText"/>
      </w:pPr>
      <w:r>
        <w:rPr>
          <w:rStyle w:val="FootnoteReference"/>
        </w:rPr>
        <w:footnoteRef/>
      </w:r>
      <w:r>
        <w:t xml:space="preserve"> </w:t>
      </w:r>
      <w:r>
        <w:t xml:space="preserve">Jetté 2005, PMID 15817669.</w:t>
      </w:r>
    </w:p>
  </w:footnote>
  <w:footnote w:id="1325">
    <w:p>
      <w:pPr>
        <w:pStyle w:val="FootnoteText"/>
      </w:pPr>
      <w:r>
        <w:rPr>
          <w:rStyle w:val="FootnoteReference"/>
        </w:rPr>
        <w:footnoteRef/>
      </w:r>
      <w:r>
        <w:t xml:space="preserve"> </w:t>
      </w:r>
      <w:r>
        <w:t xml:space="preserve">Alba 2006, PMID 16822960.</w:t>
      </w:r>
    </w:p>
  </w:footnote>
  <w:footnote w:id="1327">
    <w:p>
      <w:pPr>
        <w:pStyle w:val="FootnoteText"/>
      </w:pPr>
      <w:r>
        <w:rPr>
          <w:rStyle w:val="FootnoteReference"/>
        </w:rPr>
        <w:footnoteRef/>
      </w:r>
      <w:r>
        <w:t xml:space="preserve"> </w:t>
      </w:r>
      <w:r>
        <w:t xml:space="preserve">Teichman 2006, PMID 16352683.</w:t>
      </w:r>
    </w:p>
  </w:footnote>
  <w:footnote w:id="1328">
    <w:p>
      <w:pPr>
        <w:pStyle w:val="FootnoteText"/>
      </w:pPr>
      <w:r>
        <w:rPr>
          <w:rStyle w:val="FootnoteReference"/>
        </w:rPr>
        <w:footnoteRef/>
      </w:r>
      <w:r>
        <w:t xml:space="preserve"> </w:t>
      </w:r>
      <w:r>
        <w:t xml:space="preserve">Henninge 2010, PMID 21204297.</w:t>
      </w:r>
    </w:p>
  </w:footnote>
  <w:footnote w:id="1329">
    <w:p>
      <w:pPr>
        <w:pStyle w:val="FootnoteText"/>
      </w:pPr>
      <w:r>
        <w:rPr>
          <w:rStyle w:val="FootnoteReference"/>
        </w:rPr>
        <w:footnoteRef/>
      </w:r>
      <w:r>
        <w:t xml:space="preserve"> </w:t>
      </w:r>
      <w:r>
        <w:t xml:space="preserve">Gajda 2019, PMID 30136411.</w:t>
      </w:r>
    </w:p>
  </w:footnote>
  <w:footnote w:id="1330">
    <w:p>
      <w:pPr>
        <w:pStyle w:val="FootnoteText"/>
      </w:pPr>
      <w:r>
        <w:rPr>
          <w:rStyle w:val="FootnoteReference"/>
        </w:rPr>
        <w:footnoteRef/>
      </w:r>
      <w:r>
        <w:t xml:space="preserve"> </w:t>
      </w:r>
      <w:r>
        <w:t xml:space="preserve">Van Hout 2016, PMID 26771670.</w:t>
      </w:r>
    </w:p>
  </w:footnote>
  <w:footnote w:id="1332">
    <w:p>
      <w:pPr>
        <w:pStyle w:val="FootnoteText"/>
      </w:pPr>
      <w:r>
        <w:rPr>
          <w:rStyle w:val="FootnoteReference"/>
        </w:rPr>
        <w:footnoteRef/>
      </w:r>
      <w:r>
        <w:t xml:space="preserve"> </w:t>
      </w:r>
      <w:r>
        <w:t xml:space="preserve">Willis 2026, PMID 42752426.</w:t>
      </w:r>
    </w:p>
  </w:footnote>
  <w:footnote w:id="1333">
    <w:p>
      <w:pPr>
        <w:pStyle w:val="FootnoteText"/>
      </w:pPr>
      <w:r>
        <w:rPr>
          <w:rStyle w:val="FootnoteReference"/>
        </w:rPr>
        <w:footnoteRef/>
      </w:r>
      <w:r>
        <w:t xml:space="preserve"> </w:t>
      </w:r>
      <w:r>
        <w:t xml:space="preserve">Memdouh 2021, PMID 34665524.</w:t>
      </w:r>
    </w:p>
  </w:footnote>
  <w:footnote w:id="1334">
    <w:p>
      <w:pPr>
        <w:pStyle w:val="FootnoteText"/>
      </w:pPr>
      <w:r>
        <w:rPr>
          <w:rStyle w:val="FootnoteReference"/>
        </w:rPr>
        <w:footnoteRef/>
      </w:r>
      <w:r>
        <w:t xml:space="preserve"> </w:t>
      </w:r>
      <w:r>
        <w:t xml:space="preserve">Timms 2019, PMID 30938069.</w:t>
      </w:r>
    </w:p>
  </w:footnote>
  <w:footnote w:id="1339">
    <w:p>
      <w:pPr>
        <w:pStyle w:val="FootnoteText"/>
      </w:pPr>
      <w:r>
        <w:rPr>
          <w:rStyle w:val="FootnoteReference"/>
        </w:rPr>
        <w:footnoteRef/>
      </w:r>
      <w:r>
        <w:t xml:space="preserve"> </w:t>
      </w:r>
      <w:r>
        <w:t xml:space="preserve">Raun 1998, PMID 9849822.</w:t>
      </w:r>
    </w:p>
  </w:footnote>
  <w:footnote w:id="1341">
    <w:p>
      <w:pPr>
        <w:pStyle w:val="FootnoteText"/>
      </w:pPr>
      <w:r>
        <w:rPr>
          <w:rStyle w:val="FootnoteReference"/>
        </w:rPr>
        <w:footnoteRef/>
      </w:r>
      <w:r>
        <w:t xml:space="preserve"> </w:t>
      </w:r>
      <w:r>
        <w:t xml:space="preserve">Kojima 1999, PMID 10604470.</w:t>
      </w:r>
    </w:p>
  </w:footnote>
  <w:footnote w:id="1342">
    <w:p>
      <w:pPr>
        <w:pStyle w:val="FootnoteText"/>
      </w:pPr>
      <w:r>
        <w:rPr>
          <w:rStyle w:val="FootnoteReference"/>
        </w:rPr>
        <w:footnoteRef/>
      </w:r>
      <w:r>
        <w:t xml:space="preserve"> </w:t>
      </w:r>
      <w:r>
        <w:t xml:space="preserve">Raun 1998, PMID 9849822.</w:t>
      </w:r>
    </w:p>
  </w:footnote>
  <w:footnote w:id="1344">
    <w:p>
      <w:pPr>
        <w:pStyle w:val="FootnoteText"/>
      </w:pPr>
      <w:r>
        <w:rPr>
          <w:rStyle w:val="FootnoteReference"/>
        </w:rPr>
        <w:footnoteRef/>
      </w:r>
      <w:r>
        <w:t xml:space="preserve"> </w:t>
      </w:r>
      <w:r>
        <w:t xml:space="preserve">NCT07717866.</w:t>
      </w:r>
    </w:p>
  </w:footnote>
  <w:footnote w:id="1345">
    <w:p>
      <w:pPr>
        <w:pStyle w:val="FootnoteText"/>
      </w:pPr>
      <w:r>
        <w:rPr>
          <w:rStyle w:val="FootnoteReference"/>
        </w:rPr>
        <w:footnoteRef/>
      </w:r>
      <w:r>
        <w:t xml:space="preserve"> </w:t>
      </w:r>
      <w:r>
        <w:t xml:space="preserve">Gobburu 1999, PMID 10496658.</w:t>
      </w:r>
    </w:p>
  </w:footnote>
  <w:footnote w:id="1346">
    <w:p>
      <w:pPr>
        <w:pStyle w:val="FootnoteText"/>
      </w:pPr>
      <w:r>
        <w:rPr>
          <w:rStyle w:val="FootnoteReference"/>
        </w:rPr>
        <w:footnoteRef/>
      </w:r>
      <w:r>
        <w:t xml:space="preserve"> </w:t>
      </w:r>
      <w:r>
        <w:t xml:space="preserve">Beck 2014, PMID 25331030.</w:t>
      </w:r>
    </w:p>
  </w:footnote>
  <w:footnote w:id="1347">
    <w:p>
      <w:pPr>
        <w:pStyle w:val="FootnoteText"/>
      </w:pPr>
      <w:r>
        <w:rPr>
          <w:rStyle w:val="FootnoteReference"/>
        </w:rPr>
        <w:footnoteRef/>
      </w:r>
      <w:r>
        <w:t xml:space="preserve"> </w:t>
      </w:r>
      <w:r>
        <w:t xml:space="preserve">NCT01280344.</w:t>
      </w:r>
    </w:p>
  </w:footnote>
  <w:footnote w:id="1349">
    <w:p>
      <w:pPr>
        <w:pStyle w:val="FootnoteText"/>
      </w:pPr>
      <w:r>
        <w:rPr>
          <w:rStyle w:val="FootnoteReference"/>
        </w:rPr>
        <w:footnoteRef/>
      </w:r>
      <w:r>
        <w:t xml:space="preserve"> </w:t>
      </w:r>
      <w:r>
        <w:t xml:space="preserve">Venkova 2009, PMID 19289567.</w:t>
      </w:r>
    </w:p>
  </w:footnote>
  <w:footnote w:id="1350">
    <w:p>
      <w:pPr>
        <w:pStyle w:val="FootnoteText"/>
      </w:pPr>
      <w:r>
        <w:rPr>
          <w:rStyle w:val="FootnoteReference"/>
        </w:rPr>
        <w:footnoteRef/>
      </w:r>
      <w:r>
        <w:t xml:space="preserve"> </w:t>
      </w:r>
      <w:r>
        <w:t xml:space="preserve">Johansen 1999, PMID 10373343.</w:t>
      </w:r>
    </w:p>
  </w:footnote>
  <w:footnote w:id="1351">
    <w:p>
      <w:pPr>
        <w:pStyle w:val="FootnoteText"/>
      </w:pPr>
      <w:r>
        <w:rPr>
          <w:rStyle w:val="FootnoteReference"/>
        </w:rPr>
        <w:footnoteRef/>
      </w:r>
      <w:r>
        <w:t xml:space="preserve"> </w:t>
      </w:r>
      <w:r>
        <w:t xml:space="preserve">Raun 1998, PMID 9849822.</w:t>
      </w:r>
    </w:p>
  </w:footnote>
  <w:footnote w:id="1353">
    <w:p>
      <w:pPr>
        <w:pStyle w:val="FootnoteText"/>
      </w:pPr>
      <w:r>
        <w:rPr>
          <w:rStyle w:val="FootnoteReference"/>
        </w:rPr>
        <w:footnoteRef/>
      </w:r>
      <w:r>
        <w:t xml:space="preserve"> </w:t>
      </w:r>
      <w:r>
        <w:t xml:space="preserve">Beck 2014, PMID 25331030.</w:t>
      </w:r>
    </w:p>
  </w:footnote>
  <w:footnote w:id="1354">
    <w:p>
      <w:pPr>
        <w:pStyle w:val="FootnoteText"/>
      </w:pPr>
      <w:r>
        <w:rPr>
          <w:rStyle w:val="FootnoteReference"/>
        </w:rPr>
        <w:footnoteRef/>
      </w:r>
      <w:r>
        <w:t xml:space="preserve"> </w:t>
      </w:r>
      <w:r>
        <w:t xml:space="preserve">Krug 2018, PMID 29864719; Gajda 2019, PMID 30136411.</w:t>
      </w:r>
    </w:p>
  </w:footnote>
  <w:footnote w:id="1356">
    <w:p>
      <w:pPr>
        <w:pStyle w:val="FootnoteText"/>
      </w:pPr>
      <w:r>
        <w:rPr>
          <w:rStyle w:val="FootnoteReference"/>
        </w:rPr>
        <w:footnoteRef/>
      </w:r>
      <w:r>
        <w:t xml:space="preserve"> </w:t>
      </w:r>
      <w:r>
        <w:t xml:space="preserve">Willis 2026, PMID 42752426.</w:t>
      </w:r>
    </w:p>
  </w:footnote>
  <w:footnote w:id="1357">
    <w:p>
      <w:pPr>
        <w:pStyle w:val="FootnoteText"/>
      </w:pPr>
      <w:r>
        <w:rPr>
          <w:rStyle w:val="FootnoteReference"/>
        </w:rPr>
        <w:footnoteRef/>
      </w:r>
      <w:r>
        <w:t xml:space="preserve"> </w:t>
      </w:r>
      <w:r>
        <w:t xml:space="preserve">Semenistaya 2015, PMID 25869809.</w:t>
      </w:r>
    </w:p>
  </w:footnote>
  <w:footnote w:id="1362">
    <w:p>
      <w:pPr>
        <w:pStyle w:val="FootnoteText"/>
      </w:pPr>
      <w:r>
        <w:rPr>
          <w:rStyle w:val="FootnoteReference"/>
        </w:rPr>
        <w:footnoteRef/>
      </w:r>
      <w:r>
        <w:t xml:space="preserve"> </w:t>
      </w:r>
      <w:r>
        <w:t xml:space="preserve">Doi 2004, PMID 15646370.</w:t>
      </w:r>
    </w:p>
  </w:footnote>
  <w:footnote w:id="1363">
    <w:p>
      <w:pPr>
        <w:pStyle w:val="FootnoteText"/>
      </w:pPr>
      <w:r>
        <w:rPr>
          <w:rStyle w:val="FootnoteReference"/>
        </w:rPr>
        <w:footnoteRef/>
      </w:r>
      <w:r>
        <w:t xml:space="preserve"> </w:t>
      </w:r>
      <w:r>
        <w:t xml:space="preserve">anonymes Wirkstoffprofil in Drugs R D 2004, PMID 15230633.</w:t>
      </w:r>
    </w:p>
  </w:footnote>
  <w:footnote w:id="1365">
    <w:p>
      <w:pPr>
        <w:pStyle w:val="FootnoteText"/>
      </w:pPr>
      <w:r>
        <w:rPr>
          <w:rStyle w:val="FootnoteReference"/>
        </w:rPr>
        <w:footnoteRef/>
      </w:r>
      <w:r>
        <w:t xml:space="preserve"> </w:t>
      </w:r>
      <w:r>
        <w:t xml:space="preserve">Kojima 1999, PMID 10604470.</w:t>
      </w:r>
    </w:p>
  </w:footnote>
  <w:footnote w:id="1366">
    <w:p>
      <w:pPr>
        <w:pStyle w:val="FootnoteText"/>
      </w:pPr>
      <w:r>
        <w:rPr>
          <w:rStyle w:val="FootnoteReference"/>
        </w:rPr>
        <w:footnoteRef/>
      </w:r>
      <w:r>
        <w:t xml:space="preserve"> </w:t>
      </w:r>
      <w:r>
        <w:t xml:space="preserve">Doi 2004, PMID 15646370.</w:t>
      </w:r>
    </w:p>
  </w:footnote>
  <w:footnote w:id="1368">
    <w:p>
      <w:pPr>
        <w:pStyle w:val="FootnoteText"/>
      </w:pPr>
      <w:r>
        <w:rPr>
          <w:rStyle w:val="FootnoteReference"/>
        </w:rPr>
        <w:footnoteRef/>
      </w:r>
      <w:r>
        <w:t xml:space="preserve"> </w:t>
      </w:r>
      <w:r>
        <w:t xml:space="preserve">Chihara 2007, PMID 17609397.</w:t>
      </w:r>
    </w:p>
  </w:footnote>
  <w:footnote w:id="1369">
    <w:p>
      <w:pPr>
        <w:pStyle w:val="FootnoteText"/>
      </w:pPr>
      <w:r>
        <w:rPr>
          <w:rStyle w:val="FootnoteReference"/>
        </w:rPr>
        <w:footnoteRef/>
      </w:r>
      <w:r>
        <w:t xml:space="preserve"> </w:t>
      </w:r>
      <w:r>
        <w:t xml:space="preserve">Kinoshita 2013, PMID 23079545.</w:t>
      </w:r>
    </w:p>
  </w:footnote>
  <w:footnote w:id="1370">
    <w:p>
      <w:pPr>
        <w:pStyle w:val="FootnoteText"/>
      </w:pPr>
      <w:r>
        <w:rPr>
          <w:rStyle w:val="FootnoteReference"/>
        </w:rPr>
        <w:footnoteRef/>
      </w:r>
      <w:r>
        <w:t xml:space="preserve"> </w:t>
      </w:r>
      <w:r>
        <w:t xml:space="preserve">Arimura 2016, PMID 27020037.</w:t>
      </w:r>
    </w:p>
  </w:footnote>
  <w:footnote w:id="1371">
    <w:p>
      <w:pPr>
        <w:pStyle w:val="FootnoteText"/>
      </w:pPr>
      <w:r>
        <w:rPr>
          <w:rStyle w:val="FootnoteReference"/>
        </w:rPr>
        <w:footnoteRef/>
      </w:r>
      <w:r>
        <w:t xml:space="preserve"> </w:t>
      </w:r>
      <w:r>
        <w:t xml:space="preserve">Hayakawa 2018, PMID 30324179.</w:t>
      </w:r>
    </w:p>
  </w:footnote>
  <w:footnote w:id="1373">
    <w:p>
      <w:pPr>
        <w:pStyle w:val="FootnoteText"/>
      </w:pPr>
      <w:r>
        <w:rPr>
          <w:rStyle w:val="FootnoteReference"/>
        </w:rPr>
        <w:footnoteRef/>
      </w:r>
      <w:r>
        <w:t xml:space="preserve"> </w:t>
      </w:r>
      <w:r>
        <w:t xml:space="preserve">Mericq 1998, PMID 9661608.</w:t>
      </w:r>
    </w:p>
  </w:footnote>
  <w:footnote w:id="1374">
    <w:p>
      <w:pPr>
        <w:pStyle w:val="FootnoteText"/>
      </w:pPr>
      <w:r>
        <w:rPr>
          <w:rStyle w:val="FootnoteReference"/>
        </w:rPr>
        <w:footnoteRef/>
      </w:r>
      <w:r>
        <w:t xml:space="preserve"> </w:t>
      </w:r>
      <w:r>
        <w:t xml:space="preserve">Pihoker 1997, PMID 9390009.</w:t>
      </w:r>
    </w:p>
  </w:footnote>
  <w:footnote w:id="1375">
    <w:p>
      <w:pPr>
        <w:pStyle w:val="FootnoteText"/>
      </w:pPr>
      <w:r>
        <w:rPr>
          <w:rStyle w:val="FootnoteReference"/>
        </w:rPr>
        <w:footnoteRef/>
      </w:r>
      <w:r>
        <w:t xml:space="preserve"> </w:t>
      </w:r>
      <w:r>
        <w:t xml:space="preserve">Mericq 2003, PMID 14513874.</w:t>
      </w:r>
    </w:p>
  </w:footnote>
  <w:footnote w:id="1376">
    <w:p>
      <w:pPr>
        <w:pStyle w:val="FootnoteText"/>
      </w:pPr>
      <w:r>
        <w:rPr>
          <w:rStyle w:val="FootnoteReference"/>
        </w:rPr>
        <w:footnoteRef/>
      </w:r>
      <w:r>
        <w:t xml:space="preserve"> </w:t>
      </w:r>
      <w:r>
        <w:t xml:space="preserve">anonymes Wirkstoffprofil in Drugs R D 2004, PMID 15230633.</w:t>
      </w:r>
    </w:p>
  </w:footnote>
  <w:footnote w:id="1378">
    <w:p>
      <w:pPr>
        <w:pStyle w:val="FootnoteText"/>
      </w:pPr>
      <w:r>
        <w:rPr>
          <w:rStyle w:val="FootnoteReference"/>
        </w:rPr>
        <w:footnoteRef/>
      </w:r>
      <w:r>
        <w:t xml:space="preserve"> </w:t>
      </w:r>
      <w:r>
        <w:t xml:space="preserve">Laferrère 2006, PMID 16861611.</w:t>
      </w:r>
    </w:p>
  </w:footnote>
  <w:footnote w:id="1379">
    <w:p>
      <w:pPr>
        <w:pStyle w:val="FootnoteText"/>
      </w:pPr>
      <w:r>
        <w:rPr>
          <w:rStyle w:val="FootnoteReference"/>
        </w:rPr>
        <w:footnoteRef/>
      </w:r>
      <w:r>
        <w:t xml:space="preserve"> </w:t>
      </w:r>
      <w:r>
        <w:t xml:space="preserve">Van den Berghe 1999, PMID 10199772.</w:t>
      </w:r>
    </w:p>
  </w:footnote>
  <w:footnote w:id="1382">
    <w:p>
      <w:pPr>
        <w:pStyle w:val="FootnoteText"/>
      </w:pPr>
      <w:r>
        <w:rPr>
          <w:rStyle w:val="FootnoteReference"/>
        </w:rPr>
        <w:footnoteRef/>
      </w:r>
      <w:r>
        <w:t xml:space="preserve"> </w:t>
      </w:r>
      <w:r>
        <w:t xml:space="preserve">Doi 2004, PMID 15646370.</w:t>
      </w:r>
    </w:p>
  </w:footnote>
  <w:footnote w:id="1383">
    <w:p>
      <w:pPr>
        <w:pStyle w:val="FootnoteText"/>
      </w:pPr>
      <w:r>
        <w:rPr>
          <w:rStyle w:val="FootnoteReference"/>
        </w:rPr>
        <w:footnoteRef/>
      </w:r>
      <w:r>
        <w:t xml:space="preserve"> </w:t>
      </w:r>
      <w:r>
        <w:t xml:space="preserve">Raun 1998, PMID 9849822.</w:t>
      </w:r>
    </w:p>
  </w:footnote>
  <w:footnote w:id="1385">
    <w:p>
      <w:pPr>
        <w:pStyle w:val="FootnoteText"/>
      </w:pPr>
      <w:r>
        <w:rPr>
          <w:rStyle w:val="FootnoteReference"/>
        </w:rPr>
        <w:footnoteRef/>
      </w:r>
      <w:r>
        <w:t xml:space="preserve"> </w:t>
      </w:r>
      <w:r>
        <w:t xml:space="preserve">Mericq 2003, PMID 14513874; Laferrère 2006, PMID 16861611.</w:t>
      </w:r>
    </w:p>
  </w:footnote>
  <w:footnote w:id="1386">
    <w:p>
      <w:pPr>
        <w:pStyle w:val="FootnoteText"/>
      </w:pPr>
      <w:r>
        <w:rPr>
          <w:rStyle w:val="FootnoteReference"/>
        </w:rPr>
        <w:footnoteRef/>
      </w:r>
      <w:r>
        <w:t xml:space="preserve"> </w:t>
      </w:r>
      <w:r>
        <w:t xml:space="preserve">Arimura 2016, PMID 27020037.</w:t>
      </w:r>
    </w:p>
  </w:footnote>
  <w:footnote w:id="1387">
    <w:p>
      <w:pPr>
        <w:pStyle w:val="FootnoteText"/>
      </w:pPr>
      <w:r>
        <w:rPr>
          <w:rStyle w:val="FootnoteReference"/>
        </w:rPr>
        <w:footnoteRef/>
      </w:r>
      <w:r>
        <w:t xml:space="preserve"> </w:t>
      </w:r>
      <w:r>
        <w:t xml:space="preserve">Sigalos 2018, PMID 28400207.</w:t>
      </w:r>
    </w:p>
  </w:footnote>
  <w:footnote w:id="1388">
    <w:p>
      <w:pPr>
        <w:pStyle w:val="FootnoteText"/>
      </w:pPr>
      <w:r>
        <w:rPr>
          <w:rStyle w:val="FootnoteReference"/>
        </w:rPr>
        <w:footnoteRef/>
      </w:r>
      <w:r>
        <w:t xml:space="preserve"> </w:t>
      </w:r>
      <w:r>
        <w:t xml:space="preserve">Krug 2018, PMID 29864719; Gajda 2019, PMID 30136411.</w:t>
      </w:r>
    </w:p>
  </w:footnote>
  <w:footnote w:id="1390">
    <w:p>
      <w:pPr>
        <w:pStyle w:val="FootnoteText"/>
      </w:pPr>
      <w:r>
        <w:rPr>
          <w:rStyle w:val="FootnoteReference"/>
        </w:rPr>
        <w:footnoteRef/>
      </w:r>
      <w:r>
        <w:t xml:space="preserve"> </w:t>
      </w:r>
      <w:r>
        <w:t xml:space="preserve">Semenistaya 2015, PMID 25869809.</w:t>
      </w:r>
    </w:p>
  </w:footnote>
  <w:footnote w:id="1395">
    <w:p>
      <w:pPr>
        <w:pStyle w:val="FootnoteText"/>
      </w:pPr>
      <w:r>
        <w:rPr>
          <w:rStyle w:val="FootnoteReference"/>
        </w:rPr>
        <w:footnoteRef/>
      </w:r>
      <w:r>
        <w:t xml:space="preserve"> </w:t>
      </w:r>
      <w:r>
        <w:t xml:space="preserve">Bowers 1984, PMID 6714155.</w:t>
      </w:r>
    </w:p>
  </w:footnote>
  <w:footnote w:id="1397">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Kojima 1999, PMID 10604470.</w:t>
      </w:r>
    </w:p>
  </w:footnote>
  <w:footnote w:id="1400">
    <w:p>
      <w:pPr>
        <w:pStyle w:val="FootnoteText"/>
      </w:pPr>
      <w:r>
        <w:rPr>
          <w:rStyle w:val="FootnoteReference"/>
        </w:rPr>
        <w:footnoteRef/>
      </w:r>
      <w:r>
        <w:t xml:space="preserve"> </w:t>
      </w:r>
      <w:r>
        <w:t xml:space="preserve">Popovic 2000, PMID 11030292.</w:t>
      </w:r>
    </w:p>
  </w:footnote>
  <w:footnote w:id="1401">
    <w:p>
      <w:pPr>
        <w:pStyle w:val="FootnoteText"/>
      </w:pPr>
      <w:r>
        <w:rPr>
          <w:rStyle w:val="FootnoteReference"/>
        </w:rPr>
        <w:footnoteRef/>
      </w:r>
      <w:r>
        <w:t xml:space="preserve"> </w:t>
      </w:r>
      <w:r>
        <w:t xml:space="preserve">Petersenn 2002, PMID 11980622.</w:t>
      </w:r>
    </w:p>
  </w:footnote>
  <w:footnote w:id="1402">
    <w:p>
      <w:pPr>
        <w:pStyle w:val="FootnoteText"/>
      </w:pPr>
      <w:r>
        <w:rPr>
          <w:rStyle w:val="FootnoteReference"/>
        </w:rPr>
        <w:footnoteRef/>
      </w:r>
      <w:r>
        <w:t xml:space="preserve"> </w:t>
      </w:r>
      <w:r>
        <w:t xml:space="preserve">Leal-Cerro 1995, PMID 7788011.</w:t>
      </w:r>
    </w:p>
  </w:footnote>
  <w:footnote w:id="1403">
    <w:p>
      <w:pPr>
        <w:pStyle w:val="FootnoteText"/>
      </w:pPr>
      <w:r>
        <w:rPr>
          <w:rStyle w:val="FootnoteReference"/>
        </w:rPr>
        <w:footnoteRef/>
      </w:r>
      <w:r>
        <w:t xml:space="preserve"> </w:t>
      </w:r>
      <w:r>
        <w:t xml:space="preserve">Alaioubi 2010, PMID 19946832.</w:t>
      </w:r>
    </w:p>
  </w:footnote>
  <w:footnote w:id="1405">
    <w:p>
      <w:pPr>
        <w:pStyle w:val="FootnoteText"/>
      </w:pPr>
      <w:r>
        <w:rPr>
          <w:rStyle w:val="FootnoteReference"/>
        </w:rPr>
        <w:footnoteRef/>
      </w:r>
      <w:r>
        <w:t xml:space="preserve"> </w:t>
      </w:r>
      <w:r>
        <w:t xml:space="preserve">Cabrales 2013, PMID 23099431.</w:t>
      </w:r>
    </w:p>
  </w:footnote>
  <w:footnote w:id="1406">
    <w:p>
      <w:pPr>
        <w:pStyle w:val="FootnoteText"/>
      </w:pPr>
      <w:r>
        <w:rPr>
          <w:rStyle w:val="FootnoteReference"/>
        </w:rPr>
        <w:footnoteRef/>
      </w:r>
      <w:r>
        <w:t xml:space="preserve"> </w:t>
      </w:r>
      <w:r>
        <w:t xml:space="preserve">Frieboes 1995, PMID 7617137.</w:t>
      </w:r>
    </w:p>
  </w:footnote>
  <w:footnote w:id="1407">
    <w:p>
      <w:pPr>
        <w:pStyle w:val="FootnoteText"/>
      </w:pPr>
      <w:r>
        <w:rPr>
          <w:rStyle w:val="FootnoteReference"/>
        </w:rPr>
        <w:footnoteRef/>
      </w:r>
      <w:r>
        <w:t xml:space="preserve"> </w:t>
      </w:r>
      <w:r>
        <w:t xml:space="preserve">Micic 1995, PMID 7734029.</w:t>
      </w:r>
    </w:p>
  </w:footnote>
  <w:footnote w:id="1408">
    <w:p>
      <w:pPr>
        <w:pStyle w:val="FootnoteText"/>
      </w:pPr>
      <w:r>
        <w:rPr>
          <w:rStyle w:val="FootnoteReference"/>
        </w:rPr>
        <w:footnoteRef/>
      </w:r>
      <w:r>
        <w:t xml:space="preserve"> </w:t>
      </w:r>
      <w:r>
        <w:t xml:space="preserve">Bellone 1995, PMID 7581965.</w:t>
      </w:r>
    </w:p>
  </w:footnote>
  <w:footnote w:id="1411">
    <w:p>
      <w:pPr>
        <w:pStyle w:val="FootnoteText"/>
      </w:pPr>
      <w:r>
        <w:rPr>
          <w:rStyle w:val="FootnoteReference"/>
        </w:rPr>
        <w:footnoteRef/>
      </w:r>
      <w:r>
        <w:t xml:space="preserve"> </w:t>
      </w:r>
      <w:r>
        <w:t xml:space="preserve">Berlanga-Acosta 2024, PMID 38873418.</w:t>
      </w:r>
    </w:p>
  </w:footnote>
  <w:footnote w:id="1412">
    <w:p>
      <w:pPr>
        <w:pStyle w:val="FootnoteText"/>
      </w:pPr>
      <w:r>
        <w:rPr>
          <w:rStyle w:val="FootnoteReference"/>
        </w:rPr>
        <w:footnoteRef/>
      </w:r>
      <w:r>
        <w:t xml:space="preserve"> </w:t>
      </w:r>
      <w:r>
        <w:t xml:space="preserve">Cibrián 2006, PMID 16417467.</w:t>
      </w:r>
    </w:p>
  </w:footnote>
  <w:footnote w:id="1413">
    <w:p>
      <w:pPr>
        <w:pStyle w:val="FootnoteText"/>
      </w:pPr>
      <w:r>
        <w:rPr>
          <w:rStyle w:val="FootnoteReference"/>
        </w:rPr>
        <w:footnoteRef/>
      </w:r>
      <w:r>
        <w:t xml:space="preserve"> </w:t>
      </w:r>
      <w:r>
        <w:t xml:space="preserve">del Barco 2011, PMID 21697595.</w:t>
      </w:r>
    </w:p>
  </w:footnote>
  <w:footnote w:id="1415">
    <w:p>
      <w:pPr>
        <w:pStyle w:val="FootnoteText"/>
      </w:pPr>
      <w:r>
        <w:rPr>
          <w:rStyle w:val="FootnoteReference"/>
        </w:rPr>
        <w:footnoteRef/>
      </w:r>
      <w:r>
        <w:t xml:space="preserve"> </w:t>
      </w:r>
      <w:r>
        <w:t xml:space="preserve">Petersenn 2002, PMID 11980622.</w:t>
      </w:r>
    </w:p>
  </w:footnote>
  <w:footnote w:id="1416">
    <w:p>
      <w:pPr>
        <w:pStyle w:val="FootnoteText"/>
      </w:pPr>
      <w:r>
        <w:rPr>
          <w:rStyle w:val="FootnoteReference"/>
        </w:rPr>
        <w:footnoteRef/>
      </w:r>
      <w:r>
        <w:t xml:space="preserve"> </w:t>
      </w:r>
      <w:r>
        <w:t xml:space="preserve">Frieboes 1995, PMID 7617137.</w:t>
      </w:r>
    </w:p>
  </w:footnote>
  <w:footnote w:id="1417">
    <w:p>
      <w:pPr>
        <w:pStyle w:val="FootnoteText"/>
      </w:pPr>
      <w:r>
        <w:rPr>
          <w:rStyle w:val="FootnoteReference"/>
        </w:rPr>
        <w:footnoteRef/>
      </w:r>
      <w:r>
        <w:t xml:space="preserve"> </w:t>
      </w:r>
      <w:r>
        <w:t xml:space="preserve">Perez 2026, PMID 42465868.</w:t>
      </w:r>
    </w:p>
  </w:footnote>
  <w:footnote w:id="1418">
    <w:p>
      <w:pPr>
        <w:pStyle w:val="FootnoteText"/>
      </w:pPr>
      <w:r>
        <w:rPr>
          <w:rStyle w:val="FootnoteReference"/>
        </w:rPr>
        <w:footnoteRef/>
      </w:r>
      <w:r>
        <w:t xml:space="preserve"> </w:t>
      </w:r>
      <w:r>
        <w:t xml:space="preserve">Krug 2018, PMID 29864719.</w:t>
      </w:r>
    </w:p>
  </w:footnote>
  <w:footnote w:id="1420">
    <w:p>
      <w:pPr>
        <w:pStyle w:val="FootnoteText"/>
      </w:pPr>
      <w:r>
        <w:rPr>
          <w:rStyle w:val="FootnoteReference"/>
        </w:rPr>
        <w:footnoteRef/>
      </w:r>
      <w:r>
        <w:t xml:space="preserve"> </w:t>
      </w:r>
      <w:r>
        <w:t xml:space="preserve">Semenistaya 2015, PMID 25869809.</w:t>
      </w:r>
    </w:p>
  </w:footnote>
  <w:footnote w:id="1425">
    <w:p>
      <w:pPr>
        <w:pStyle w:val="FootnoteText"/>
      </w:pPr>
      <w:r>
        <w:rPr>
          <w:rStyle w:val="FootnoteReference"/>
        </w:rPr>
        <w:footnoteRef/>
      </w:r>
      <w:r>
        <w:t xml:space="preserve"> </w:t>
      </w:r>
      <w:r>
        <w:t xml:space="preserve">Imbimbo 1994, PMID 7957536.</w:t>
      </w:r>
    </w:p>
  </w:footnote>
  <w:footnote w:id="1426">
    <w:p>
      <w:pPr>
        <w:pStyle w:val="FootnoteText"/>
      </w:pPr>
      <w:r>
        <w:rPr>
          <w:rStyle w:val="FootnoteReference"/>
        </w:rPr>
        <w:footnoteRef/>
      </w:r>
      <w:r>
        <w:t xml:space="preserve"> </w:t>
      </w:r>
      <w:r>
        <w:t xml:space="preserve">Mao 2014, PMID 25278975.</w:t>
      </w:r>
    </w:p>
  </w:footnote>
  <w:footnote w:id="1428">
    <w:p>
      <w:pPr>
        <w:pStyle w:val="FootnoteText"/>
      </w:pPr>
      <w:r>
        <w:rPr>
          <w:rStyle w:val="FootnoteReference"/>
        </w:rPr>
        <w:footnoteRef/>
      </w:r>
      <w:r>
        <w:t xml:space="preserve"> </w:t>
      </w:r>
      <w:r>
        <w:t xml:space="preserve">Loche 1995, PMID 7673411.</w:t>
      </w:r>
    </w:p>
  </w:footnote>
  <w:footnote w:id="1430">
    <w:p>
      <w:pPr>
        <w:pStyle w:val="FootnoteText"/>
      </w:pPr>
      <w:r>
        <w:rPr>
          <w:rStyle w:val="FootnoteReference"/>
        </w:rPr>
        <w:footnoteRef/>
      </w:r>
      <w:r>
        <w:t xml:space="preserve"> </w:t>
      </w:r>
      <w:r>
        <w:t xml:space="preserve">Imbimbo 1994, PMID 7957536.</w:t>
      </w:r>
    </w:p>
  </w:footnote>
  <w:footnote w:id="1431">
    <w:p>
      <w:pPr>
        <w:pStyle w:val="FootnoteText"/>
      </w:pPr>
      <w:r>
        <w:rPr>
          <w:rStyle w:val="FootnoteReference"/>
        </w:rPr>
        <w:footnoteRef/>
      </w:r>
      <w:r>
        <w:t xml:space="preserve"> </w:t>
      </w:r>
      <w:r>
        <w:t xml:space="preserve">Massoud 1996, PMID 8954038.</w:t>
      </w:r>
    </w:p>
  </w:footnote>
  <w:footnote w:id="1432">
    <w:p>
      <w:pPr>
        <w:pStyle w:val="FootnoteText"/>
      </w:pPr>
      <w:r>
        <w:rPr>
          <w:rStyle w:val="FootnoteReference"/>
        </w:rPr>
        <w:footnoteRef/>
      </w:r>
      <w:r>
        <w:t xml:space="preserve"> </w:t>
      </w:r>
      <w:r>
        <w:t xml:space="preserve">Korbonits 1999, PMID 10404825.</w:t>
      </w:r>
    </w:p>
  </w:footnote>
  <w:footnote w:id="1434">
    <w:p>
      <w:pPr>
        <w:pStyle w:val="FootnoteText"/>
      </w:pPr>
      <w:r>
        <w:rPr>
          <w:rStyle w:val="FootnoteReference"/>
        </w:rPr>
        <w:footnoteRef/>
      </w:r>
      <w:r>
        <w:t xml:space="preserve"> </w:t>
      </w:r>
      <w:r>
        <w:t xml:space="preserve">Rahim 1998, PMID 9589671.</w:t>
      </w:r>
    </w:p>
  </w:footnote>
  <w:footnote w:id="1435">
    <w:p>
      <w:pPr>
        <w:pStyle w:val="FootnoteText"/>
      </w:pPr>
      <w:r>
        <w:rPr>
          <w:rStyle w:val="FootnoteReference"/>
        </w:rPr>
        <w:footnoteRef/>
      </w:r>
      <w:r>
        <w:t xml:space="preserve"> </w:t>
      </w:r>
      <w:r>
        <w:t xml:space="preserve">Rahim 1999, PMID 10341859.</w:t>
      </w:r>
    </w:p>
  </w:footnote>
  <w:footnote w:id="1436">
    <w:p>
      <w:pPr>
        <w:pStyle w:val="FootnoteText"/>
      </w:pPr>
      <w:r>
        <w:rPr>
          <w:rStyle w:val="FootnoteReference"/>
        </w:rPr>
        <w:footnoteRef/>
      </w:r>
      <w:r>
        <w:t xml:space="preserve"> </w:t>
      </w:r>
      <w:r>
        <w:t xml:space="preserve">Laron 1995, PMID 8548949.</w:t>
      </w:r>
    </w:p>
  </w:footnote>
  <w:footnote w:id="1437">
    <w:p>
      <w:pPr>
        <w:pStyle w:val="FootnoteText"/>
      </w:pPr>
      <w:r>
        <w:rPr>
          <w:rStyle w:val="FootnoteReference"/>
        </w:rPr>
        <w:footnoteRef/>
      </w:r>
      <w:r>
        <w:t xml:space="preserve"> </w:t>
      </w:r>
      <w:r>
        <w:t xml:space="preserve">Klinger 1996, PMID 8766941.</w:t>
      </w:r>
    </w:p>
  </w:footnote>
  <w:footnote w:id="1439">
    <w:p>
      <w:pPr>
        <w:pStyle w:val="FootnoteText"/>
      </w:pPr>
      <w:r>
        <w:rPr>
          <w:rStyle w:val="FootnoteReference"/>
        </w:rPr>
        <w:footnoteRef/>
      </w:r>
      <w:r>
        <w:t xml:space="preserve"> </w:t>
      </w:r>
      <w:r>
        <w:t xml:space="preserve">Bisi 1999, PMID 10528131.</w:t>
      </w:r>
    </w:p>
  </w:footnote>
  <w:footnote w:id="1440">
    <w:p>
      <w:pPr>
        <w:pStyle w:val="FootnoteText"/>
      </w:pPr>
      <w:r>
        <w:rPr>
          <w:rStyle w:val="FootnoteReference"/>
        </w:rPr>
        <w:footnoteRef/>
      </w:r>
      <w:r>
        <w:t xml:space="preserve"> </w:t>
      </w:r>
      <w:r>
        <w:t xml:space="preserve">Broglio 2001, PMID 11322491.</w:t>
      </w:r>
    </w:p>
  </w:footnote>
  <w:footnote w:id="1441">
    <w:p>
      <w:pPr>
        <w:pStyle w:val="FootnoteText"/>
      </w:pPr>
      <w:r>
        <w:rPr>
          <w:rStyle w:val="FootnoteReference"/>
        </w:rPr>
        <w:footnoteRef/>
      </w:r>
      <w:r>
        <w:t xml:space="preserve"> </w:t>
      </w:r>
      <w:r>
        <w:t xml:space="preserve">Broglio 2002, PMID 12144941.</w:t>
      </w:r>
    </w:p>
  </w:footnote>
  <w:footnote w:id="1444">
    <w:p>
      <w:pPr>
        <w:pStyle w:val="FootnoteText"/>
      </w:pPr>
      <w:r>
        <w:rPr>
          <w:rStyle w:val="FootnoteReference"/>
        </w:rPr>
        <w:footnoteRef/>
      </w:r>
      <w:r>
        <w:t xml:space="preserve"> </w:t>
      </w:r>
      <w:r>
        <w:t xml:space="preserve">Tivesten 2000, PMID 10614623.</w:t>
      </w:r>
    </w:p>
  </w:footnote>
  <w:footnote w:id="1445">
    <w:p>
      <w:pPr>
        <w:pStyle w:val="FootnoteText"/>
      </w:pPr>
      <w:r>
        <w:rPr>
          <w:rStyle w:val="FootnoteReference"/>
        </w:rPr>
        <w:footnoteRef/>
      </w:r>
      <w:r>
        <w:t xml:space="preserve"> </w:t>
      </w:r>
      <w:r>
        <w:t xml:space="preserve">McDonald 2018, PMID 29756411.</w:t>
      </w:r>
    </w:p>
  </w:footnote>
  <w:footnote w:id="1446">
    <w:p>
      <w:pPr>
        <w:pStyle w:val="FootnoteText"/>
      </w:pPr>
      <w:r>
        <w:rPr>
          <w:rStyle w:val="FootnoteReference"/>
        </w:rPr>
        <w:footnoteRef/>
      </w:r>
      <w:r>
        <w:t xml:space="preserve"> </w:t>
      </w:r>
      <w:r>
        <w:t xml:space="preserve">Mao 2014, PMID 25278975.</w:t>
      </w:r>
    </w:p>
  </w:footnote>
  <w:footnote w:id="1448">
    <w:p>
      <w:pPr>
        <w:pStyle w:val="FootnoteText"/>
      </w:pPr>
      <w:r>
        <w:rPr>
          <w:rStyle w:val="FootnoteReference"/>
        </w:rPr>
        <w:footnoteRef/>
      </w:r>
      <w:r>
        <w:t xml:space="preserve"> </w:t>
      </w:r>
      <w:r>
        <w:t xml:space="preserve">Massoud 1996, PMID 8954038; Korbonits 1999, PMID 10404825.</w:t>
      </w:r>
    </w:p>
  </w:footnote>
  <w:footnote w:id="1449">
    <w:p>
      <w:pPr>
        <w:pStyle w:val="FootnoteText"/>
      </w:pPr>
      <w:r>
        <w:rPr>
          <w:rStyle w:val="FootnoteReference"/>
        </w:rPr>
        <w:footnoteRef/>
      </w:r>
      <w:r>
        <w:t xml:space="preserve"> </w:t>
      </w:r>
      <w:r>
        <w:t xml:space="preserve">Korbonits 1999, PMID 10404825.</w:t>
      </w:r>
    </w:p>
  </w:footnote>
  <w:footnote w:id="1450">
    <w:p>
      <w:pPr>
        <w:pStyle w:val="FootnoteText"/>
      </w:pPr>
      <w:r>
        <w:rPr>
          <w:rStyle w:val="FootnoteReference"/>
        </w:rPr>
        <w:footnoteRef/>
      </w:r>
      <w:r>
        <w:t xml:space="preserve"> </w:t>
      </w:r>
      <w:r>
        <w:t xml:space="preserve">Rahim 1998, PMID 9589671; Klinger 1996, PMID 8766941.</w:t>
      </w:r>
    </w:p>
  </w:footnote>
  <w:footnote w:id="1451">
    <w:p>
      <w:pPr>
        <w:pStyle w:val="FootnoteText"/>
      </w:pPr>
      <w:r>
        <w:rPr>
          <w:rStyle w:val="FootnoteReference"/>
        </w:rPr>
        <w:footnoteRef/>
      </w:r>
      <w:r>
        <w:t xml:space="preserve"> </w:t>
      </w:r>
      <w:r>
        <w:t xml:space="preserve">Laron 1995, PMID 8548949.</w:t>
      </w:r>
    </w:p>
  </w:footnote>
  <w:footnote w:id="1453">
    <w:p>
      <w:pPr>
        <w:pStyle w:val="FootnoteText"/>
      </w:pPr>
      <w:r>
        <w:rPr>
          <w:rStyle w:val="FootnoteReference"/>
        </w:rPr>
        <w:footnoteRef/>
      </w:r>
      <w:r>
        <w:t xml:space="preserve"> </w:t>
      </w:r>
      <w:r>
        <w:t xml:space="preserve">Semenistaya 2015, PMID 25869809.</w:t>
      </w:r>
    </w:p>
  </w:footnote>
  <w:footnote w:id="1458">
    <w:p>
      <w:pPr>
        <w:pStyle w:val="FootnoteText"/>
      </w:pPr>
      <w:r>
        <w:rPr>
          <w:rStyle w:val="FootnoteReference"/>
        </w:rPr>
        <w:footnoteRef/>
      </w:r>
      <w:r>
        <w:t xml:space="preserve"> </w:t>
      </w:r>
      <w:r>
        <w:t xml:space="preserve">Piccoli 2007, PMID 17284637.</w:t>
      </w:r>
    </w:p>
  </w:footnote>
  <w:footnote w:id="1461">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Klaus 2020, PMID 32325373.</w:t>
      </w:r>
    </w:p>
  </w:footnote>
  <w:footnote w:id="1464">
    <w:p>
      <w:pPr>
        <w:pStyle w:val="FootnoteText"/>
      </w:pPr>
      <w:r>
        <w:rPr>
          <w:rStyle w:val="FootnoteReference"/>
        </w:rPr>
        <w:footnoteRef/>
      </w:r>
      <w:r>
        <w:t xml:space="preserve"> </w:t>
      </w:r>
      <w:r>
        <w:t xml:space="preserve">Garcia 2013, PMID 23559086.</w:t>
      </w:r>
    </w:p>
  </w:footnote>
  <w:footnote w:id="1465">
    <w:p>
      <w:pPr>
        <w:pStyle w:val="FootnoteText"/>
      </w:pPr>
      <w:r>
        <w:rPr>
          <w:rStyle w:val="FootnoteReference"/>
        </w:rPr>
        <w:footnoteRef/>
      </w:r>
      <w:r>
        <w:t xml:space="preserve"> </w:t>
      </w:r>
      <w:r>
        <w:t xml:space="preserve">Garcia 2018, PMID 29860473; NCT02558829.</w:t>
      </w:r>
    </w:p>
  </w:footnote>
  <w:footnote w:id="1466">
    <w:p>
      <w:pPr>
        <w:pStyle w:val="FootnoteText"/>
      </w:pPr>
      <w:r>
        <w:rPr>
          <w:rStyle w:val="FootnoteReference"/>
        </w:rPr>
        <w:footnoteRef/>
      </w:r>
      <w:r>
        <w:t xml:space="preserve"> </w:t>
      </w:r>
      <w:r>
        <w:t xml:space="preserve">Garcia 2021, PMID 33320108.</w:t>
      </w:r>
    </w:p>
  </w:footnote>
  <w:footnote w:id="1468">
    <w:p>
      <w:pPr>
        <w:pStyle w:val="FootnoteText"/>
      </w:pPr>
      <w:r>
        <w:rPr>
          <w:rStyle w:val="FootnoteReference"/>
        </w:rPr>
        <w:footnoteRef/>
      </w:r>
      <w:r>
        <w:t xml:space="preserve"> </w:t>
      </w:r>
      <w:r>
        <w:t xml:space="preserve">Yadav 2026, PMID 41793495.</w:t>
      </w:r>
    </w:p>
  </w:footnote>
  <w:footnote w:id="1470">
    <w:p>
      <w:pPr>
        <w:pStyle w:val="FootnoteText"/>
      </w:pPr>
      <w:r>
        <w:rPr>
          <w:rStyle w:val="FootnoteReference"/>
        </w:rPr>
        <w:footnoteRef/>
      </w:r>
      <w:r>
        <w:t xml:space="preserve"> </w:t>
      </w:r>
      <w:r>
        <w:t xml:space="preserve">Csákváry 2021, PMID 34438400.</w:t>
      </w:r>
    </w:p>
  </w:footnote>
  <w:footnote w:id="1471">
    <w:p>
      <w:pPr>
        <w:pStyle w:val="FootnoteText"/>
      </w:pPr>
      <w:r>
        <w:rPr>
          <w:rStyle w:val="FootnoteReference"/>
        </w:rPr>
        <w:footnoteRef/>
      </w:r>
      <w:r>
        <w:t xml:space="preserve"> </w:t>
      </w:r>
      <w:r>
        <w:t xml:space="preserve">NCT04786873.</w:t>
      </w:r>
    </w:p>
  </w:footnote>
  <w:footnote w:id="1472">
    <w:p>
      <w:pPr>
        <w:pStyle w:val="FootnoteText"/>
      </w:pPr>
      <w:r>
        <w:rPr>
          <w:rStyle w:val="FootnoteReference"/>
        </w:rPr>
        <w:footnoteRef/>
      </w:r>
      <w:r>
        <w:t xml:space="preserve"> </w:t>
      </w:r>
      <w:r>
        <w:t xml:space="preserve">Herodes 2023, PMID 36860137.</w:t>
      </w:r>
    </w:p>
  </w:footnote>
  <w:footnote w:id="1475">
    <w:p>
      <w:pPr>
        <w:pStyle w:val="FootnoteText"/>
      </w:pPr>
      <w:r>
        <w:rPr>
          <w:rStyle w:val="FootnoteReference"/>
        </w:rPr>
        <w:footnoteRef/>
      </w:r>
      <w:r>
        <w:t xml:space="preserve"> </w:t>
      </w:r>
      <w:r>
        <w:t xml:space="preserve">Buckinx 2021, PMID 34157194.</w:t>
      </w:r>
    </w:p>
  </w:footnote>
  <w:footnote w:id="1476">
    <w:p>
      <w:pPr>
        <w:pStyle w:val="FootnoteText"/>
      </w:pPr>
      <w:r>
        <w:rPr>
          <w:rStyle w:val="FootnoteReference"/>
        </w:rPr>
        <w:footnoteRef/>
      </w:r>
      <w:r>
        <w:t xml:space="preserve"> </w:t>
      </w:r>
      <w:r>
        <w:t xml:space="preserve">Wang 2025, PMID 40542284.</w:t>
      </w:r>
    </w:p>
  </w:footnote>
  <w:footnote w:id="1478">
    <w:p>
      <w:pPr>
        <w:pStyle w:val="FootnoteText"/>
      </w:pPr>
      <w:r>
        <w:rPr>
          <w:rStyle w:val="FootnoteReference"/>
        </w:rPr>
        <w:footnoteRef/>
      </w:r>
      <w:r>
        <w:t xml:space="preserve"> </w:t>
      </w:r>
      <w:r>
        <w:t xml:space="preserve">Garcia 2018, PMID 29860473.</w:t>
      </w:r>
    </w:p>
  </w:footnote>
  <w:footnote w:id="1479">
    <w:p>
      <w:pPr>
        <w:pStyle w:val="FootnoteText"/>
      </w:pPr>
      <w:r>
        <w:rPr>
          <w:rStyle w:val="FootnoteReference"/>
        </w:rPr>
        <w:footnoteRef/>
      </w:r>
      <w:r>
        <w:t xml:space="preserve"> </w:t>
      </w:r>
      <w:r>
        <w:t xml:space="preserve">Klaus 2020, PMID 32325373.</w:t>
      </w:r>
    </w:p>
  </w:footnote>
  <w:footnote w:id="1480">
    <w:p>
      <w:pPr>
        <w:pStyle w:val="FootnoteText"/>
      </w:pPr>
      <w:r>
        <w:rPr>
          <w:rStyle w:val="FootnoteReference"/>
        </w:rPr>
        <w:footnoteRef/>
      </w:r>
      <w:r>
        <w:t xml:space="preserve"> </w:t>
      </w:r>
      <w:r>
        <w:t xml:space="preserve">Lissy 2021, PMID 32961034.</w:t>
      </w:r>
    </w:p>
  </w:footnote>
  <w:footnote w:id="1481">
    <w:p>
      <w:pPr>
        <w:pStyle w:val="FootnoteText"/>
      </w:pPr>
      <w:r>
        <w:rPr>
          <w:rStyle w:val="FootnoteReference"/>
        </w:rPr>
        <w:footnoteRef/>
      </w:r>
      <w:r>
        <w:t xml:space="preserve"> </w:t>
      </w:r>
      <w:r>
        <w:t xml:space="preserve">Yadav 2026, PMID 41793495.</w:t>
      </w:r>
    </w:p>
  </w:footnote>
  <w:footnote w:id="1483">
    <w:p>
      <w:pPr>
        <w:pStyle w:val="FootnoteText"/>
      </w:pPr>
      <w:r>
        <w:rPr>
          <w:rStyle w:val="FootnoteReference"/>
        </w:rPr>
        <w:footnoteRef/>
      </w:r>
      <w:r>
        <w:t xml:space="preserve"> </w:t>
      </w:r>
      <w:r>
        <w:t xml:space="preserve">Lange 2021, PMID 33458843.</w:t>
      </w:r>
    </w:p>
  </w:footnote>
  <w:footnote w:id="1485">
    <w:p>
      <w:pPr>
        <w:pStyle w:val="FootnoteText"/>
      </w:pPr>
      <w:r>
        <w:rPr>
          <w:rStyle w:val="FootnoteReference"/>
        </w:rPr>
        <w:footnoteRef/>
      </w:r>
      <w:r>
        <w:t xml:space="preserve"> </w:t>
      </w:r>
      <w:r>
        <w:t xml:space="preserve">NCT04786873.</w:t>
      </w:r>
    </w:p>
  </w:footnote>
  <w:footnote w:id="1486">
    <w:p>
      <w:pPr>
        <w:pStyle w:val="FootnoteText"/>
      </w:pPr>
      <w:r>
        <w:rPr>
          <w:rStyle w:val="FootnoteReference"/>
        </w:rPr>
        <w:footnoteRef/>
      </w:r>
      <w:r>
        <w:t xml:space="preserve"> </w:t>
      </w:r>
      <w:r>
        <w:t xml:space="preserve">NCT03844217.</w:t>
      </w:r>
    </w:p>
  </w:footnote>
  <w:footnote w:id="1491">
    <w:p>
      <w:pPr>
        <w:pStyle w:val="FootnoteText"/>
      </w:pPr>
      <w:r>
        <w:rPr>
          <w:rStyle w:val="FootnoteReference"/>
        </w:rPr>
        <w:footnoteRef/>
      </w:r>
      <w:r>
        <w:t xml:space="preserve"> </w:t>
      </w:r>
      <w:r>
        <w:t xml:space="preserve">Saavedra 2026, PMID 42341624.</w:t>
      </w:r>
    </w:p>
  </w:footnote>
  <w:footnote w:id="1493">
    <w:p>
      <w:pPr>
        <w:pStyle w:val="FootnoteText"/>
      </w:pPr>
      <w:r>
        <w:rPr>
          <w:rStyle w:val="FootnoteReference"/>
        </w:rPr>
        <w:footnoteRef/>
      </w:r>
      <w:r>
        <w:t xml:space="preserve"> </w:t>
      </w:r>
      <w:r>
        <w:t xml:space="preserve">Chernausek 2007, PMID 17192294.</w:t>
      </w:r>
    </w:p>
  </w:footnote>
  <w:footnote w:id="1494">
    <w:p>
      <w:pPr>
        <w:pStyle w:val="FootnoteText"/>
      </w:pPr>
      <w:r>
        <w:rPr>
          <w:rStyle w:val="FootnoteReference"/>
        </w:rPr>
        <w:footnoteRef/>
      </w:r>
      <w:r>
        <w:t xml:space="preserve"> </w:t>
      </w:r>
      <w:r>
        <w:t xml:space="preserve">NCT00903110.</w:t>
      </w:r>
    </w:p>
  </w:footnote>
  <w:footnote w:id="1495">
    <w:p>
      <w:pPr>
        <w:pStyle w:val="FootnoteText"/>
      </w:pPr>
      <w:r>
        <w:rPr>
          <w:rStyle w:val="FootnoteReference"/>
        </w:rPr>
        <w:footnoteRef/>
      </w:r>
      <w:r>
        <w:t xml:space="preserve"> </w:t>
      </w:r>
      <w:r>
        <w:t xml:space="preserve">Bang 2021, PMID 33434161.</w:t>
      </w:r>
    </w:p>
  </w:footnote>
  <w:footnote w:id="1496">
    <w:p>
      <w:pPr>
        <w:pStyle w:val="FootnoteText"/>
      </w:pPr>
      <w:r>
        <w:rPr>
          <w:rStyle w:val="FootnoteReference"/>
        </w:rPr>
        <w:footnoteRef/>
      </w:r>
      <w:r>
        <w:t xml:space="preserve"> </w:t>
      </w:r>
      <w:r>
        <w:t xml:space="preserve">Ramon-Krauel 2026, PMID 40626687.</w:t>
      </w:r>
    </w:p>
  </w:footnote>
  <w:footnote w:id="1497">
    <w:p>
      <w:pPr>
        <w:pStyle w:val="FootnoteText"/>
      </w:pPr>
      <w:r>
        <w:rPr>
          <w:rStyle w:val="FootnoteReference"/>
        </w:rPr>
        <w:footnoteRef/>
      </w:r>
      <w:r>
        <w:t xml:space="preserve"> </w:t>
      </w:r>
      <w:r>
        <w:t xml:space="preserve">Bang 2023, PMID 37579214.</w:t>
      </w:r>
    </w:p>
  </w:footnote>
  <w:footnote w:id="1499">
    <w:p>
      <w:pPr>
        <w:pStyle w:val="FootnoteText"/>
      </w:pPr>
      <w:r>
        <w:rPr>
          <w:rStyle w:val="FootnoteReference"/>
        </w:rPr>
        <w:footnoteRef/>
      </w:r>
      <w:r>
        <w:t xml:space="preserve"> </w:t>
      </w:r>
      <w:r>
        <w:t xml:space="preserve">Sorenson 2008, PMID 19029516.</w:t>
      </w:r>
    </w:p>
  </w:footnote>
  <w:footnote w:id="1500">
    <w:p>
      <w:pPr>
        <w:pStyle w:val="FootnoteText"/>
      </w:pPr>
      <w:r>
        <w:rPr>
          <w:rStyle w:val="FootnoteReference"/>
        </w:rPr>
        <w:footnoteRef/>
      </w:r>
      <w:r>
        <w:t xml:space="preserve"> </w:t>
      </w:r>
      <w:r>
        <w:t xml:space="preserve">Rutter 2020, PMID 32108355.</w:t>
      </w:r>
    </w:p>
  </w:footnote>
  <w:footnote w:id="1501">
    <w:p>
      <w:pPr>
        <w:pStyle w:val="FootnoteText"/>
      </w:pPr>
      <w:r>
        <w:rPr>
          <w:rStyle w:val="FootnoteReference"/>
        </w:rPr>
        <w:footnoteRef/>
      </w:r>
      <w:r>
        <w:t xml:space="preserve"> </w:t>
      </w:r>
      <w:r>
        <w:t xml:space="preserve">Ribeiro 2025, PMID 41174329.</w:t>
      </w:r>
    </w:p>
  </w:footnote>
  <w:footnote w:id="1502">
    <w:p>
      <w:pPr>
        <w:pStyle w:val="FootnoteText"/>
      </w:pPr>
      <w:r>
        <w:rPr>
          <w:rStyle w:val="FootnoteReference"/>
        </w:rPr>
        <w:footnoteRef/>
      </w:r>
      <w:r>
        <w:t xml:space="preserve"> </w:t>
      </w:r>
      <w:r>
        <w:t xml:space="preserve">Ley 2019, PMID 30471715.</w:t>
      </w:r>
    </w:p>
  </w:footnote>
  <w:footnote w:id="1503">
    <w:p>
      <w:pPr>
        <w:pStyle w:val="FootnoteText"/>
      </w:pPr>
      <w:r>
        <w:rPr>
          <w:rStyle w:val="FootnoteReference"/>
        </w:rPr>
        <w:footnoteRef/>
      </w:r>
      <w:r>
        <w:t xml:space="preserve"> </w:t>
      </w:r>
      <w:r>
        <w:t xml:space="preserve">NCT03253263.</w:t>
      </w:r>
    </w:p>
  </w:footnote>
  <w:footnote w:id="1504">
    <w:p>
      <w:pPr>
        <w:pStyle w:val="FootnoteText"/>
      </w:pPr>
      <w:r>
        <w:rPr>
          <w:rStyle w:val="FootnoteReference"/>
        </w:rPr>
        <w:footnoteRef/>
      </w:r>
      <w:r>
        <w:t xml:space="preserve"> </w:t>
      </w:r>
      <w:r>
        <w:t xml:space="preserve">Haines 2021, PMID 34355814.</w:t>
      </w:r>
    </w:p>
  </w:footnote>
  <w:footnote w:id="1505">
    <w:p>
      <w:pPr>
        <w:pStyle w:val="FootnoteText"/>
      </w:pPr>
      <w:r>
        <w:rPr>
          <w:rStyle w:val="FootnoteReference"/>
        </w:rPr>
        <w:footnoteRef/>
      </w:r>
      <w:r>
        <w:t xml:space="preserve"> </w:t>
      </w:r>
      <w:r>
        <w:t xml:space="preserve">Mauras 2000, PMID 10999782.</w:t>
      </w:r>
    </w:p>
  </w:footnote>
  <w:footnote w:id="1506">
    <w:p>
      <w:pPr>
        <w:pStyle w:val="FootnoteText"/>
      </w:pPr>
      <w:r>
        <w:rPr>
          <w:rStyle w:val="FootnoteReference"/>
        </w:rPr>
        <w:footnoteRef/>
      </w:r>
      <w:r>
        <w:t xml:space="preserve"> </w:t>
      </w:r>
      <w:r>
        <w:t xml:space="preserve">Guha 2021, PMID 33249593.</w:t>
      </w:r>
    </w:p>
  </w:footnote>
  <w:footnote w:id="1509">
    <w:p>
      <w:pPr>
        <w:pStyle w:val="FootnoteText"/>
      </w:pPr>
      <w:r>
        <w:rPr>
          <w:rStyle w:val="FootnoteReference"/>
        </w:rPr>
        <w:footnoteRef/>
      </w:r>
      <w:r>
        <w:t xml:space="preserve"> </w:t>
      </w:r>
      <w:r>
        <w:t xml:space="preserve">Guevara-Aguirre 2011, PMID 21325617.</w:t>
      </w:r>
    </w:p>
  </w:footnote>
  <w:footnote w:id="1510">
    <w:p>
      <w:pPr>
        <w:pStyle w:val="FootnoteText"/>
      </w:pPr>
      <w:r>
        <w:rPr>
          <w:rStyle w:val="FootnoteReference"/>
        </w:rPr>
        <w:footnoteRef/>
      </w:r>
      <w:r>
        <w:t xml:space="preserve"> </w:t>
      </w:r>
      <w:r>
        <w:t xml:space="preserve">Guevara-Aguirre 2015, PMID 25316432.</w:t>
      </w:r>
    </w:p>
  </w:footnote>
  <w:footnote w:id="1512">
    <w:p>
      <w:pPr>
        <w:pStyle w:val="FootnoteText"/>
      </w:pPr>
      <w:r>
        <w:rPr>
          <w:rStyle w:val="FootnoteReference"/>
        </w:rPr>
        <w:footnoteRef/>
      </w:r>
      <w:r>
        <w:t xml:space="preserve"> </w:t>
      </w:r>
      <w:r>
        <w:t xml:space="preserve">Chernausek 2007, PMID 17192294; Bang 2023, PMID 37579214.</w:t>
      </w:r>
    </w:p>
  </w:footnote>
  <w:footnote w:id="1513">
    <w:p>
      <w:pPr>
        <w:pStyle w:val="FootnoteText"/>
      </w:pPr>
      <w:r>
        <w:rPr>
          <w:rStyle w:val="FootnoteReference"/>
        </w:rPr>
        <w:footnoteRef/>
      </w:r>
      <w:r>
        <w:t xml:space="preserve"> </w:t>
      </w:r>
      <w:r>
        <w:t xml:space="preserve">Chernausek 2007, PMID 17192294.</w:t>
      </w:r>
    </w:p>
  </w:footnote>
  <w:footnote w:id="1514">
    <w:p>
      <w:pPr>
        <w:pStyle w:val="FootnoteText"/>
      </w:pPr>
      <w:r>
        <w:rPr>
          <w:rStyle w:val="FootnoteReference"/>
        </w:rPr>
        <w:footnoteRef/>
      </w:r>
      <w:r>
        <w:t xml:space="preserve"> </w:t>
      </w:r>
      <w:r>
        <w:t xml:space="preserve">Ley 2019, PMID 30471715.</w:t>
      </w:r>
    </w:p>
  </w:footnote>
  <w:footnote w:id="1515">
    <w:p>
      <w:pPr>
        <w:pStyle w:val="FootnoteText"/>
      </w:pPr>
      <w:r>
        <w:rPr>
          <w:rStyle w:val="FootnoteReference"/>
        </w:rPr>
        <w:footnoteRef/>
      </w:r>
      <w:r>
        <w:t xml:space="preserve"> </w:t>
      </w:r>
      <w:r>
        <w:t xml:space="preserve">Renehan 2004, PMID 15110491.</w:t>
      </w:r>
    </w:p>
  </w:footnote>
  <w:footnote w:id="1516">
    <w:p>
      <w:pPr>
        <w:pStyle w:val="FootnoteText"/>
      </w:pPr>
      <w:r>
        <w:rPr>
          <w:rStyle w:val="FootnoteReference"/>
        </w:rPr>
        <w:footnoteRef/>
      </w:r>
      <w:r>
        <w:t xml:space="preserve"> </w:t>
      </w:r>
      <w:r>
        <w:t xml:space="preserve">Murphy 2020, PMID 32169310.</w:t>
      </w:r>
    </w:p>
  </w:footnote>
  <w:footnote w:id="1517">
    <w:p>
      <w:pPr>
        <w:pStyle w:val="FootnoteText"/>
      </w:pPr>
      <w:r>
        <w:rPr>
          <w:rStyle w:val="FootnoteReference"/>
        </w:rPr>
        <w:footnoteRef/>
      </w:r>
      <w:r>
        <w:t xml:space="preserve"> </w:t>
      </w:r>
      <w:r>
        <w:t xml:space="preserve">Murphy 2020, PMID 31884074.</w:t>
      </w:r>
    </w:p>
  </w:footnote>
  <w:footnote w:id="1518">
    <w:p>
      <w:pPr>
        <w:pStyle w:val="FootnoteText"/>
      </w:pPr>
      <w:r>
        <w:rPr>
          <w:rStyle w:val="FootnoteReference"/>
        </w:rPr>
        <w:footnoteRef/>
      </w:r>
      <w:r>
        <w:t xml:space="preserve"> </w:t>
      </w:r>
      <w:r>
        <w:t xml:space="preserve">Watts 2023, PMID 35726641.</w:t>
      </w:r>
    </w:p>
  </w:footnote>
  <w:footnote w:id="1519">
    <w:p>
      <w:pPr>
        <w:pStyle w:val="FootnoteText"/>
      </w:pPr>
      <w:r>
        <w:rPr>
          <w:rStyle w:val="FootnoteReference"/>
        </w:rPr>
        <w:footnoteRef/>
      </w:r>
      <w:r>
        <w:t xml:space="preserve"> </w:t>
      </w:r>
      <w:r>
        <w:t xml:space="preserve">Murphy 2020, PMID 32169310; Murphy 2020, PMID 31884074.</w:t>
      </w:r>
    </w:p>
  </w:footnote>
  <w:footnote w:id="1520">
    <w:p>
      <w:pPr>
        <w:pStyle w:val="FootnoteText"/>
      </w:pPr>
      <w:r>
        <w:rPr>
          <w:rStyle w:val="FootnoteReference"/>
        </w:rPr>
        <w:footnoteRef/>
      </w:r>
      <w:r>
        <w:t xml:space="preserve"> </w:t>
      </w:r>
      <w:r>
        <w:t xml:space="preserve">Guevara-Aguirre 2011, PMID 21325617.</w:t>
      </w:r>
    </w:p>
  </w:footnote>
  <w:footnote w:id="1521">
    <w:p>
      <w:pPr>
        <w:pStyle w:val="FootnoteText"/>
      </w:pPr>
      <w:r>
        <w:rPr>
          <w:rStyle w:val="FootnoteReference"/>
        </w:rPr>
        <w:footnoteRef/>
      </w:r>
      <w:r>
        <w:t xml:space="preserve"> </w:t>
      </w:r>
      <w:r>
        <w:t xml:space="preserve">NCT00903110.</w:t>
      </w:r>
    </w:p>
  </w:footnote>
  <w:footnote w:id="1523">
    <w:p>
      <w:pPr>
        <w:pStyle w:val="FootnoteText"/>
      </w:pPr>
      <w:r>
        <w:rPr>
          <w:rStyle w:val="FootnoteReference"/>
        </w:rPr>
        <w:footnoteRef/>
      </w:r>
      <w:r>
        <w:t xml:space="preserve"> </w:t>
      </w:r>
      <w:r>
        <w:t xml:space="preserve">Saavedra 2026, PMID 42341624.</w:t>
      </w:r>
    </w:p>
  </w:footnote>
  <w:footnote w:id="1524">
    <w:p>
      <w:pPr>
        <w:pStyle w:val="FootnoteText"/>
      </w:pPr>
      <w:r>
        <w:rPr>
          <w:rStyle w:val="FootnoteReference"/>
        </w:rPr>
        <w:footnoteRef/>
      </w:r>
      <w:r>
        <w:t xml:space="preserve"> </w:t>
      </w:r>
      <w:r>
        <w:t xml:space="preserve">Guha 2013, PMID 23934394.</w:t>
      </w:r>
    </w:p>
  </w:footnote>
  <w:footnote w:id="1526">
    <w:p>
      <w:pPr>
        <w:pStyle w:val="FootnoteText"/>
      </w:pPr>
      <w:r>
        <w:rPr>
          <w:rStyle w:val="FootnoteReference"/>
        </w:rPr>
        <w:footnoteRef/>
      </w:r>
      <w:r>
        <w:t xml:space="preserve"> </w:t>
      </w:r>
      <w:r>
        <w:t xml:space="preserve">NCT00903110.</w:t>
      </w:r>
    </w:p>
  </w:footnote>
  <w:footnote w:id="1530">
    <w:p>
      <w:pPr>
        <w:pStyle w:val="FootnoteText"/>
      </w:pPr>
      <w:r>
        <w:rPr>
          <w:rStyle w:val="FootnoteReference"/>
        </w:rPr>
        <w:footnoteRef/>
      </w:r>
      <w:r>
        <w:t xml:space="preserve"> </w:t>
      </w:r>
      <w:r>
        <w:t xml:space="preserve">Bastian 1993, PMID 7693845; Tomas 1993, PMID 7683875.</w:t>
      </w:r>
    </w:p>
  </w:footnote>
  <w:footnote w:id="1532">
    <w:p>
      <w:pPr>
        <w:pStyle w:val="FootnoteText"/>
      </w:pPr>
      <w:r>
        <w:rPr>
          <w:rStyle w:val="FootnoteReference"/>
        </w:rPr>
        <w:footnoteRef/>
      </w:r>
      <w:r>
        <w:t xml:space="preserve"> </w:t>
      </w:r>
      <w:r>
        <w:t xml:space="preserve">Devi 2001, PMID 11735239.</w:t>
      </w:r>
    </w:p>
  </w:footnote>
  <w:footnote w:id="1533">
    <w:p>
      <w:pPr>
        <w:pStyle w:val="FootnoteText"/>
      </w:pPr>
      <w:r>
        <w:rPr>
          <w:rStyle w:val="FootnoteReference"/>
        </w:rPr>
        <w:footnoteRef/>
      </w:r>
      <w:r>
        <w:t xml:space="preserve"> </w:t>
      </w:r>
      <w:r>
        <w:t xml:space="preserve">Bastian 1993, PMID 7693845.</w:t>
      </w:r>
    </w:p>
  </w:footnote>
  <w:footnote w:id="1534">
    <w:p>
      <w:pPr>
        <w:pStyle w:val="FootnoteText"/>
      </w:pPr>
      <w:r>
        <w:rPr>
          <w:rStyle w:val="FootnoteReference"/>
        </w:rPr>
        <w:footnoteRef/>
      </w:r>
      <w:r>
        <w:t xml:space="preserve"> </w:t>
      </w:r>
      <w:r>
        <w:t xml:space="preserve">Tomas 1993, PMID 7683875.</w:t>
      </w:r>
    </w:p>
  </w:footnote>
  <w:footnote w:id="1536">
    <w:p>
      <w:pPr>
        <w:pStyle w:val="FootnoteText"/>
      </w:pPr>
      <w:r>
        <w:rPr>
          <w:rStyle w:val="FootnoteReference"/>
        </w:rPr>
        <w:footnoteRef/>
      </w:r>
      <w:r>
        <w:t xml:space="preserve"> </w:t>
      </w:r>
      <w:r>
        <w:t xml:space="preserve">Kohler 2010, PMID 20675162.</w:t>
      </w:r>
    </w:p>
  </w:footnote>
  <w:footnote w:id="1537">
    <w:p>
      <w:pPr>
        <w:pStyle w:val="FootnoteText"/>
      </w:pPr>
      <w:r>
        <w:rPr>
          <w:rStyle w:val="FootnoteReference"/>
        </w:rPr>
        <w:footnoteRef/>
      </w:r>
      <w:r>
        <w:t xml:space="preserve"> </w:t>
      </w:r>
      <w:r>
        <w:t xml:space="preserve">Mongongu 2021, PMID 33587816.</w:t>
      </w:r>
    </w:p>
  </w:footnote>
  <w:footnote w:id="1538">
    <w:p>
      <w:pPr>
        <w:pStyle w:val="FootnoteText"/>
      </w:pPr>
      <w:r>
        <w:rPr>
          <w:rStyle w:val="FootnoteReference"/>
        </w:rPr>
        <w:footnoteRef/>
      </w:r>
      <w:r>
        <w:t xml:space="preserve"> </w:t>
      </w:r>
      <w:r>
        <w:t xml:space="preserve">Guha 2013, PMID 23934394.</w:t>
      </w:r>
    </w:p>
  </w:footnote>
  <w:footnote w:id="1540">
    <w:p>
      <w:pPr>
        <w:pStyle w:val="FootnoteText"/>
      </w:pPr>
      <w:r>
        <w:rPr>
          <w:rStyle w:val="FootnoteReference"/>
        </w:rPr>
        <w:footnoteRef/>
      </w:r>
      <w:r>
        <w:t xml:space="preserve"> </w:t>
      </w:r>
      <w:r>
        <w:t xml:space="preserve">Bastian 1993, PMID 7693845.</w:t>
      </w:r>
    </w:p>
  </w:footnote>
  <w:footnote w:id="1541">
    <w:p>
      <w:pPr>
        <w:pStyle w:val="FootnoteText"/>
      </w:pPr>
      <w:r>
        <w:rPr>
          <w:rStyle w:val="FootnoteReference"/>
        </w:rPr>
        <w:footnoteRef/>
      </w:r>
      <w:r>
        <w:t xml:space="preserve"> </w:t>
      </w:r>
      <w:r>
        <w:t xml:space="preserve">Tomas 1993, PMID 7683875.</w:t>
      </w:r>
    </w:p>
  </w:footnote>
  <w:footnote w:id="1542">
    <w:p>
      <w:pPr>
        <w:pStyle w:val="FootnoteText"/>
      </w:pPr>
      <w:r>
        <w:rPr>
          <w:rStyle w:val="FootnoteReference"/>
        </w:rPr>
        <w:footnoteRef/>
      </w:r>
      <w:r>
        <w:t xml:space="preserve"> </w:t>
      </w:r>
      <w:r>
        <w:t xml:space="preserve">Dunaiski 1997, PMID 9488001.</w:t>
      </w:r>
    </w:p>
  </w:footnote>
  <w:footnote w:id="1543">
    <w:p>
      <w:pPr>
        <w:pStyle w:val="FootnoteText"/>
      </w:pPr>
      <w:r>
        <w:rPr>
          <w:rStyle w:val="FootnoteReference"/>
        </w:rPr>
        <w:footnoteRef/>
      </w:r>
      <w:r>
        <w:t xml:space="preserve"> </w:t>
      </w:r>
      <w:r>
        <w:t xml:space="preserve">Conlon 1995, PMID 7561636.</w:t>
      </w:r>
    </w:p>
  </w:footnote>
  <w:footnote w:id="1544">
    <w:p>
      <w:pPr>
        <w:pStyle w:val="FootnoteText"/>
      </w:pPr>
      <w:r>
        <w:rPr>
          <w:rStyle w:val="FootnoteReference"/>
        </w:rPr>
        <w:footnoteRef/>
      </w:r>
      <w:r>
        <w:t xml:space="preserve"> </w:t>
      </w:r>
      <w:r>
        <w:t xml:space="preserve">White 2023, PMID 37114757.</w:t>
      </w:r>
    </w:p>
  </w:footnote>
  <w:footnote w:id="1545">
    <w:p>
      <w:pPr>
        <w:pStyle w:val="FootnoteText"/>
      </w:pPr>
      <w:r>
        <w:rPr>
          <w:rStyle w:val="FootnoteReference"/>
        </w:rPr>
        <w:footnoteRef/>
      </w:r>
      <w:r>
        <w:t xml:space="preserve"> </w:t>
      </w:r>
      <w:r>
        <w:t xml:space="preserve">White 2025, PMID 39679943.</w:t>
      </w:r>
    </w:p>
  </w:footnote>
  <w:footnote w:id="1546">
    <w:p>
      <w:pPr>
        <w:pStyle w:val="FootnoteText"/>
      </w:pPr>
      <w:r>
        <w:rPr>
          <w:rStyle w:val="FootnoteReference"/>
        </w:rPr>
        <w:footnoteRef/>
      </w:r>
      <w:r>
        <w:t xml:space="preserve"> </w:t>
      </w:r>
      <w:r>
        <w:t xml:space="preserve">Engel 2025, PMID 39610283.</w:t>
      </w:r>
    </w:p>
  </w:footnote>
  <w:footnote w:id="1548">
    <w:p>
      <w:pPr>
        <w:pStyle w:val="FootnoteText"/>
      </w:pPr>
      <w:r>
        <w:rPr>
          <w:rStyle w:val="FootnoteReference"/>
        </w:rPr>
        <w:footnoteRef/>
      </w:r>
      <w:r>
        <w:t xml:space="preserve"> </w:t>
      </w:r>
      <w:r>
        <w:t xml:space="preserve">Chernausek 2007, PMID 17192294.</w:t>
      </w:r>
    </w:p>
  </w:footnote>
  <w:footnote w:id="1549">
    <w:p>
      <w:pPr>
        <w:pStyle w:val="FootnoteText"/>
      </w:pPr>
      <w:r>
        <w:rPr>
          <w:rStyle w:val="FootnoteReference"/>
        </w:rPr>
        <w:footnoteRef/>
      </w:r>
      <w:r>
        <w:t xml:space="preserve"> </w:t>
      </w:r>
      <w:r>
        <w:t xml:space="preserve">Dunaiski 1997, PMID 9488001; White 2023, PMID 37114757.</w:t>
      </w:r>
    </w:p>
  </w:footnote>
  <w:footnote w:id="1550">
    <w:p>
      <w:pPr>
        <w:pStyle w:val="FootnoteText"/>
      </w:pPr>
      <w:r>
        <w:rPr>
          <w:rStyle w:val="FootnoteReference"/>
        </w:rPr>
        <w:footnoteRef/>
      </w:r>
      <w:r>
        <w:t xml:space="preserve"> </w:t>
      </w:r>
      <w:r>
        <w:t xml:space="preserve">Conlon 1995, PMID 7561636.</w:t>
      </w:r>
    </w:p>
  </w:footnote>
  <w:footnote w:id="1551">
    <w:p>
      <w:pPr>
        <w:pStyle w:val="FootnoteText"/>
      </w:pPr>
      <w:r>
        <w:rPr>
          <w:rStyle w:val="FootnoteReference"/>
        </w:rPr>
        <w:footnoteRef/>
      </w:r>
      <w:r>
        <w:t xml:space="preserve"> </w:t>
      </w:r>
      <w:r>
        <w:t xml:space="preserve">Renehan 2004, PMID 15110491; Murphy 2020, PMID 32169310; Watts 2023, PMID 35726641.</w:t>
      </w:r>
    </w:p>
  </w:footnote>
  <w:footnote w:id="1552">
    <w:p>
      <w:pPr>
        <w:pStyle w:val="FootnoteText"/>
      </w:pPr>
      <w:r>
        <w:rPr>
          <w:rStyle w:val="FootnoteReference"/>
        </w:rPr>
        <w:footnoteRef/>
      </w:r>
      <w:r>
        <w:t xml:space="preserve"> </w:t>
      </w:r>
      <w:r>
        <w:t xml:space="preserve">Guevara-Aguirre 2011, PMID 21325617.</w:t>
      </w:r>
    </w:p>
  </w:footnote>
  <w:footnote w:id="1553">
    <w:p>
      <w:pPr>
        <w:pStyle w:val="FootnoteText"/>
      </w:pPr>
      <w:r>
        <w:rPr>
          <w:rStyle w:val="FootnoteReference"/>
        </w:rPr>
        <w:footnoteRef/>
      </w:r>
      <w:r>
        <w:t xml:space="preserve"> </w:t>
      </w:r>
      <w:r>
        <w:t xml:space="preserve">Kohler 2010, PMID 20675162; Mongongu 2021, PMID 33587816.</w:t>
      </w:r>
    </w:p>
  </w:footnote>
  <w:footnote w:id="1555">
    <w:p>
      <w:pPr>
        <w:pStyle w:val="FootnoteText"/>
      </w:pPr>
      <w:r>
        <w:rPr>
          <w:rStyle w:val="FootnoteReference"/>
        </w:rPr>
        <w:footnoteRef/>
      </w:r>
      <w:r>
        <w:t xml:space="preserve"> </w:t>
      </w:r>
      <w:r>
        <w:t xml:space="preserve">Mongongu 2021, PMID 33587816.</w:t>
      </w:r>
    </w:p>
  </w:footnote>
  <w:footnote w:id="1560">
    <w:p>
      <w:pPr>
        <w:pStyle w:val="FootnoteText"/>
      </w:pPr>
      <w:r>
        <w:rPr>
          <w:rStyle w:val="FootnoteReference"/>
        </w:rPr>
        <w:footnoteRef/>
      </w:r>
      <w:r>
        <w:t xml:space="preserve"> </w:t>
      </w:r>
      <w:r>
        <w:t xml:space="preserve">Bright 2022, PMID 35354138.</w:t>
      </w:r>
    </w:p>
  </w:footnote>
  <w:footnote w:id="1562">
    <w:p>
      <w:pPr>
        <w:pStyle w:val="FootnoteText"/>
      </w:pPr>
      <w:r>
        <w:rPr>
          <w:rStyle w:val="FootnoteReference"/>
        </w:rPr>
        <w:footnoteRef/>
      </w:r>
      <w:r>
        <w:t xml:space="preserve"> </w:t>
      </w:r>
      <w:r>
        <w:t xml:space="preserve">Chapman 1996, PMID 8954023.</w:t>
      </w:r>
    </w:p>
  </w:footnote>
  <w:footnote w:id="1564">
    <w:p>
      <w:pPr>
        <w:pStyle w:val="FootnoteText"/>
      </w:pPr>
      <w:r>
        <w:rPr>
          <w:rStyle w:val="FootnoteReference"/>
        </w:rPr>
        <w:footnoteRef/>
      </w:r>
      <w:r>
        <w:t xml:space="preserve"> </w:t>
      </w:r>
      <w:r>
        <w:t xml:space="preserve">Nass 2008, PMID 18981485.</w:t>
      </w:r>
    </w:p>
  </w:footnote>
  <w:footnote w:id="1566">
    <w:p>
      <w:pPr>
        <w:pStyle w:val="FootnoteText"/>
      </w:pPr>
      <w:r>
        <w:rPr>
          <w:rStyle w:val="FootnoteReference"/>
        </w:rPr>
        <w:footnoteRef/>
      </w:r>
      <w:r>
        <w:t xml:space="preserve"> </w:t>
      </w:r>
      <w:r>
        <w:t xml:space="preserve">Bach 2004, PMID 15066065.</w:t>
      </w:r>
    </w:p>
  </w:footnote>
  <w:footnote w:id="1567">
    <w:p>
      <w:pPr>
        <w:pStyle w:val="FootnoteText"/>
      </w:pPr>
      <w:r>
        <w:rPr>
          <w:rStyle w:val="FootnoteReference"/>
        </w:rPr>
        <w:footnoteRef/>
      </w:r>
      <w:r>
        <w:t xml:space="preserve"> </w:t>
      </w:r>
      <w:r>
        <w:t xml:space="preserve">Adunsky 2011, PMID 21067829.</w:t>
      </w:r>
    </w:p>
  </w:footnote>
  <w:footnote w:id="1569">
    <w:p>
      <w:pPr>
        <w:pStyle w:val="FootnoteText"/>
      </w:pPr>
      <w:r>
        <w:rPr>
          <w:rStyle w:val="FootnoteReference"/>
        </w:rPr>
        <w:footnoteRef/>
      </w:r>
      <w:r>
        <w:t xml:space="preserve"> </w:t>
      </w:r>
      <w:r>
        <w:t xml:space="preserve">Sevigny 2008, PMID 19015485.</w:t>
      </w:r>
    </w:p>
  </w:footnote>
  <w:footnote w:id="1571">
    <w:p>
      <w:pPr>
        <w:pStyle w:val="FootnoteText"/>
      </w:pPr>
      <w:r>
        <w:rPr>
          <w:rStyle w:val="FootnoteReference"/>
        </w:rPr>
        <w:footnoteRef/>
      </w:r>
      <w:r>
        <w:t xml:space="preserve"> </w:t>
      </w:r>
      <w:r>
        <w:t xml:space="preserve">Svensson 1998, PMID 9467542.</w:t>
      </w:r>
    </w:p>
  </w:footnote>
  <w:footnote w:id="1572">
    <w:p>
      <w:pPr>
        <w:pStyle w:val="FootnoteText"/>
      </w:pPr>
      <w:r>
        <w:rPr>
          <w:rStyle w:val="FootnoteReference"/>
        </w:rPr>
        <w:footnoteRef/>
      </w:r>
      <w:r>
        <w:t xml:space="preserve"> </w:t>
      </w:r>
      <w:r>
        <w:t xml:space="preserve">Murphy 2001, PMID 11238495.</w:t>
      </w:r>
    </w:p>
  </w:footnote>
  <w:footnote w:id="1573">
    <w:p>
      <w:pPr>
        <w:pStyle w:val="FootnoteText"/>
      </w:pPr>
      <w:r>
        <w:rPr>
          <w:rStyle w:val="FootnoteReference"/>
        </w:rPr>
        <w:footnoteRef/>
      </w:r>
      <w:r>
        <w:t xml:space="preserve"> </w:t>
      </w:r>
      <w:r>
        <w:t xml:space="preserve">Copinschi 1997, PMID 9349662.</w:t>
      </w:r>
    </w:p>
  </w:footnote>
  <w:footnote w:id="1574">
    <w:p>
      <w:pPr>
        <w:pStyle w:val="FootnoteText"/>
      </w:pPr>
      <w:r>
        <w:rPr>
          <w:rStyle w:val="FootnoteReference"/>
        </w:rPr>
        <w:footnoteRef/>
      </w:r>
      <w:r>
        <w:t xml:space="preserve"> </w:t>
      </w:r>
      <w:r>
        <w:t xml:space="preserve">Campbell 2018, PMID 28340044.</w:t>
      </w:r>
    </w:p>
  </w:footnote>
  <w:footnote w:id="1575">
    <w:p>
      <w:pPr>
        <w:pStyle w:val="FootnoteText"/>
      </w:pPr>
      <w:r>
        <w:rPr>
          <w:rStyle w:val="FootnoteReference"/>
        </w:rPr>
        <w:footnoteRef/>
      </w:r>
      <w:r>
        <w:t xml:space="preserve"> </w:t>
      </w:r>
      <w:r>
        <w:t xml:space="preserve">Codner 2001, PMID 11452249.</w:t>
      </w:r>
    </w:p>
  </w:footnote>
  <w:footnote w:id="1576">
    <w:p>
      <w:pPr>
        <w:pStyle w:val="FootnoteText"/>
      </w:pPr>
      <w:r>
        <w:rPr>
          <w:rStyle w:val="FootnoteReference"/>
        </w:rPr>
        <w:footnoteRef/>
      </w:r>
      <w:r>
        <w:t xml:space="preserve"> </w:t>
      </w:r>
      <w:r>
        <w:t xml:space="preserve">Bright 2022, PMID 35354138.</w:t>
      </w:r>
    </w:p>
  </w:footnote>
  <w:footnote w:id="1579">
    <w:p>
      <w:pPr>
        <w:pStyle w:val="FootnoteText"/>
      </w:pPr>
      <w:r>
        <w:rPr>
          <w:rStyle w:val="FootnoteReference"/>
        </w:rPr>
        <w:footnoteRef/>
      </w:r>
      <w:r>
        <w:t xml:space="preserve"> </w:t>
      </w:r>
      <w:r>
        <w:t xml:space="preserve">Jeong 2018, PMID 29912176.</w:t>
      </w:r>
    </w:p>
  </w:footnote>
  <w:footnote w:id="1580">
    <w:p>
      <w:pPr>
        <w:pStyle w:val="FootnoteText"/>
      </w:pPr>
      <w:r>
        <w:rPr>
          <w:rStyle w:val="FootnoteReference"/>
        </w:rPr>
        <w:footnoteRef/>
      </w:r>
      <w:r>
        <w:t xml:space="preserve"> </w:t>
      </w:r>
      <w:r>
        <w:t xml:space="preserve">Liu 2021, PMID 34737341.</w:t>
      </w:r>
    </w:p>
  </w:footnote>
  <w:footnote w:id="1582">
    <w:p>
      <w:pPr>
        <w:pStyle w:val="FootnoteText"/>
      </w:pPr>
      <w:r>
        <w:rPr>
          <w:rStyle w:val="FootnoteReference"/>
        </w:rPr>
        <w:footnoteRef/>
      </w:r>
      <w:r>
        <w:t xml:space="preserve"> </w:t>
      </w:r>
      <w:r>
        <w:t xml:space="preserve">Adunsky 2011, PMID 21067829.</w:t>
      </w:r>
    </w:p>
  </w:footnote>
  <w:footnote w:id="1583">
    <w:p>
      <w:pPr>
        <w:pStyle w:val="FootnoteText"/>
      </w:pPr>
      <w:r>
        <w:rPr>
          <w:rStyle w:val="FootnoteReference"/>
        </w:rPr>
        <w:footnoteRef/>
      </w:r>
      <w:r>
        <w:t xml:space="preserve"> </w:t>
      </w:r>
      <w:r>
        <w:t xml:space="preserve">Nass 2008, PMID 18981485; Chapman 1996, PMID 8954023.</w:t>
      </w:r>
    </w:p>
  </w:footnote>
  <w:footnote w:id="1584">
    <w:p>
      <w:pPr>
        <w:pStyle w:val="FootnoteText"/>
      </w:pPr>
      <w:r>
        <w:rPr>
          <w:rStyle w:val="FootnoteReference"/>
        </w:rPr>
        <w:footnoteRef/>
      </w:r>
      <w:r>
        <w:t xml:space="preserve"> </w:t>
      </w:r>
      <w:r>
        <w:t xml:space="preserve">Svensson 1998, PMID 9467542.</w:t>
      </w:r>
    </w:p>
  </w:footnote>
  <w:footnote w:id="1585">
    <w:p>
      <w:pPr>
        <w:pStyle w:val="FootnoteText"/>
      </w:pPr>
      <w:r>
        <w:rPr>
          <w:rStyle w:val="FootnoteReference"/>
        </w:rPr>
        <w:footnoteRef/>
      </w:r>
      <w:r>
        <w:t xml:space="preserve"> </w:t>
      </w:r>
      <w:r>
        <w:t xml:space="preserve">Nass 2008, PMID 18981485.</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Cobani 2025, PMID 40675653.</w:t>
      </w:r>
    </w:p>
  </w:footnote>
  <w:footnote w:id="1588">
    <w:p>
      <w:pPr>
        <w:pStyle w:val="FootnoteText"/>
      </w:pPr>
      <w:r>
        <w:rPr>
          <w:rStyle w:val="FootnoteReference"/>
        </w:rPr>
        <w:footnoteRef/>
      </w:r>
      <w:r>
        <w:t xml:space="preserve"> </w:t>
      </w:r>
      <w:r>
        <w:t xml:space="preserve">Chong 2024, PMID 39145153.</w:t>
      </w:r>
    </w:p>
  </w:footnote>
  <w:footnote w:id="1589">
    <w:p>
      <w:pPr>
        <w:pStyle w:val="FootnoteText"/>
      </w:pPr>
      <w:r>
        <w:rPr>
          <w:rStyle w:val="FootnoteReference"/>
        </w:rPr>
        <w:footnoteRef/>
      </w:r>
      <w:r>
        <w:t xml:space="preserve"> </w:t>
      </w:r>
      <w:r>
        <w:t xml:space="preserve">Sigalos 2018, PMID 28400207.</w:t>
      </w:r>
    </w:p>
  </w:footnote>
  <w:footnote w:id="1590">
    <w:p>
      <w:pPr>
        <w:pStyle w:val="FootnoteText"/>
      </w:pPr>
      <w:r>
        <w:rPr>
          <w:rStyle w:val="FootnoteReference"/>
        </w:rPr>
        <w:footnoteRef/>
      </w:r>
      <w:r>
        <w:t xml:space="preserve"> </w:t>
      </w:r>
      <w:r>
        <w:t xml:space="preserve">Van Wagoner 2017, PMID 29183075.</w:t>
      </w:r>
    </w:p>
  </w:footnote>
  <w:footnote w:id="1591">
    <w:p>
      <w:pPr>
        <w:pStyle w:val="FootnoteText"/>
      </w:pPr>
      <w:r>
        <w:rPr>
          <w:rStyle w:val="FootnoteReference"/>
        </w:rPr>
        <w:footnoteRef/>
      </w:r>
      <w:r>
        <w:t xml:space="preserve"> </w:t>
      </w:r>
      <w:r>
        <w:t xml:space="preserve">Barrios 2025, PMID 40551438.</w:t>
      </w:r>
    </w:p>
  </w:footnote>
  <w:footnote w:id="1593">
    <w:p>
      <w:pPr>
        <w:pStyle w:val="FootnoteText"/>
      </w:pPr>
      <w:r>
        <w:rPr>
          <w:rStyle w:val="FootnoteReference"/>
        </w:rPr>
        <w:footnoteRef/>
      </w:r>
      <w:r>
        <w:t xml:space="preserve"> </w:t>
      </w:r>
      <w:r>
        <w:t xml:space="preserve">Viljanto 2023, PMID 36354265.</w:t>
      </w:r>
    </w:p>
  </w:footnote>
  <w:footnote w:id="1595">
    <w:p>
      <w:pPr>
        <w:pStyle w:val="FootnoteText"/>
      </w:pPr>
      <w:r>
        <w:rPr>
          <w:rStyle w:val="FootnoteReference"/>
        </w:rPr>
        <w:footnoteRef/>
      </w:r>
      <w:r>
        <w:t xml:space="preserve"> </w:t>
      </w:r>
      <w:r>
        <w:t xml:space="preserve">NCT04614337.</w:t>
      </w:r>
    </w:p>
  </w:footnote>
  <w:footnote w:id="1596">
    <w:p>
      <w:pPr>
        <w:pStyle w:val="FootnoteText"/>
      </w:pPr>
      <w:r>
        <w:rPr>
          <w:rStyle w:val="FootnoteReference"/>
        </w:rPr>
        <w:footnoteRef/>
      </w:r>
      <w:r>
        <w:t xml:space="preserve"> </w:t>
      </w:r>
      <w:r>
        <w:t xml:space="preserve">NCT06948214.</w:t>
      </w:r>
    </w:p>
  </w:footnote>
  <w:footnote w:id="1597">
    <w:p>
      <w:pPr>
        <w:pStyle w:val="FootnoteText"/>
      </w:pPr>
      <w:r>
        <w:rPr>
          <w:rStyle w:val="FootnoteReference"/>
        </w:rPr>
        <w:footnoteRef/>
      </w:r>
      <w:r>
        <w:t xml:space="preserve"> </w:t>
      </w:r>
      <w:r>
        <w:t xml:space="preserve">NCT07129759.</w:t>
      </w:r>
    </w:p>
  </w:footnote>
  <w:footnote w:id="1598">
    <w:p>
      <w:pPr>
        <w:pStyle w:val="FootnoteText"/>
      </w:pPr>
      <w:r>
        <w:rPr>
          <w:rStyle w:val="FootnoteReference"/>
        </w:rPr>
        <w:footnoteRef/>
      </w:r>
      <w:r>
        <w:t xml:space="preserve"> </w:t>
      </w:r>
      <w:r>
        <w:t xml:space="preserve">NCT07754045.</w:t>
      </w:r>
    </w:p>
  </w:footnote>
  <w:footnote w:id="1609">
    <w:p>
      <w:pPr>
        <w:pStyle w:val="FootnoteText"/>
      </w:pPr>
      <w:r>
        <w:rPr>
          <w:rStyle w:val="FootnoteReference"/>
        </w:rPr>
        <w:footnoteRef/>
      </w:r>
      <w:r>
        <w:t xml:space="preserve"> </w:t>
      </w:r>
      <w:r>
        <w:t xml:space="preserve">Dolotov 2006, PMID 16635254.</w:t>
      </w:r>
    </w:p>
  </w:footnote>
  <w:footnote w:id="1610">
    <w:p>
      <w:pPr>
        <w:pStyle w:val="FootnoteText"/>
      </w:pPr>
      <w:r>
        <w:rPr>
          <w:rStyle w:val="FootnoteReference"/>
        </w:rPr>
        <w:footnoteRef/>
      </w:r>
      <w:r>
        <w:t xml:space="preserve"> </w:t>
      </w:r>
      <w:r>
        <w:t xml:space="preserve">Medvedeva 2014, PMID 24661604.</w:t>
      </w:r>
    </w:p>
  </w:footnote>
  <w:footnote w:id="1612">
    <w:p>
      <w:pPr>
        <w:pStyle w:val="FootnoteText"/>
      </w:pPr>
      <w:r>
        <w:rPr>
          <w:rStyle w:val="FootnoteReference"/>
        </w:rPr>
        <w:footnoteRef/>
      </w:r>
      <w:r>
        <w:t xml:space="preserve"> </w:t>
      </w:r>
      <w:r>
        <w:t xml:space="preserve">Gusev 1997, PMID 11517472.</w:t>
      </w:r>
    </w:p>
  </w:footnote>
  <w:footnote w:id="1613">
    <w:p>
      <w:pPr>
        <w:pStyle w:val="FootnoteText"/>
      </w:pPr>
      <w:r>
        <w:rPr>
          <w:rStyle w:val="FootnoteReference"/>
        </w:rPr>
        <w:footnoteRef/>
      </w:r>
      <w:r>
        <w:t xml:space="preserve"> </w:t>
      </w:r>
      <w:r>
        <w:t xml:space="preserve">Miasoedova 1999, PMID 10358912.</w:t>
      </w:r>
    </w:p>
  </w:footnote>
  <w:footnote w:id="1614">
    <w:p>
      <w:pPr>
        <w:pStyle w:val="FootnoteText"/>
      </w:pPr>
      <w:r>
        <w:rPr>
          <w:rStyle w:val="FootnoteReference"/>
        </w:rPr>
        <w:footnoteRef/>
      </w:r>
      <w:r>
        <w:t xml:space="preserve"> </w:t>
      </w:r>
      <w:r>
        <w:t xml:space="preserve">Gusev 2018, PMID 29798983.</w:t>
      </w:r>
    </w:p>
  </w:footnote>
  <w:footnote w:id="1616">
    <w:p>
      <w:pPr>
        <w:pStyle w:val="FootnoteText"/>
      </w:pPr>
      <w:r>
        <w:rPr>
          <w:rStyle w:val="FootnoteReference"/>
        </w:rPr>
        <w:footnoteRef/>
      </w:r>
      <w:r>
        <w:t xml:space="preserve"> </w:t>
      </w:r>
      <w:r>
        <w:t xml:space="preserve">Serdiuk 2007, PMID 18379501.</w:t>
      </w:r>
    </w:p>
  </w:footnote>
  <w:footnote w:id="1617">
    <w:p>
      <w:pPr>
        <w:pStyle w:val="FootnoteText"/>
      </w:pPr>
      <w:r>
        <w:rPr>
          <w:rStyle w:val="FootnoteReference"/>
        </w:rPr>
        <w:footnoteRef/>
      </w:r>
      <w:r>
        <w:t xml:space="preserve"> </w:t>
      </w:r>
      <w:r>
        <w:t xml:space="preserve">Polunin 2000, PMID 10741256.</w:t>
      </w:r>
    </w:p>
  </w:footnote>
  <w:footnote w:id="1618">
    <w:p>
      <w:pPr>
        <w:pStyle w:val="FootnoteText"/>
      </w:pPr>
      <w:r>
        <w:rPr>
          <w:rStyle w:val="FootnoteReference"/>
        </w:rPr>
        <w:footnoteRef/>
      </w:r>
      <w:r>
        <w:t xml:space="preserve"> </w:t>
      </w:r>
      <w:r>
        <w:t xml:space="preserve">Alekseeva 1999, PMID 10199046.</w:t>
      </w:r>
    </w:p>
  </w:footnote>
  <w:footnote w:id="1619">
    <w:p>
      <w:pPr>
        <w:pStyle w:val="FootnoteText"/>
      </w:pPr>
      <w:r>
        <w:rPr>
          <w:rStyle w:val="FootnoteReference"/>
        </w:rPr>
        <w:footnoteRef/>
      </w:r>
      <w:r>
        <w:t xml:space="preserve"> </w:t>
      </w:r>
      <w:r>
        <w:t xml:space="preserve">Ivanikov 2002, PMID 12459874.</w:t>
      </w:r>
    </w:p>
  </w:footnote>
  <w:footnote w:id="1621">
    <w:p>
      <w:pPr>
        <w:pStyle w:val="FootnoteText"/>
      </w:pPr>
      <w:r>
        <w:rPr>
          <w:rStyle w:val="FootnoteReference"/>
        </w:rPr>
        <w:footnoteRef/>
      </w:r>
      <w:r>
        <w:t xml:space="preserve"> </w:t>
      </w:r>
      <w:r>
        <w:t xml:space="preserve">Asmarin 1997, PMID 9173745.</w:t>
      </w:r>
    </w:p>
  </w:footnote>
  <w:footnote w:id="1624">
    <w:p>
      <w:pPr>
        <w:pStyle w:val="FootnoteText"/>
      </w:pPr>
      <w:r>
        <w:rPr>
          <w:rStyle w:val="FootnoteReference"/>
        </w:rPr>
        <w:footnoteRef/>
      </w:r>
      <w:r>
        <w:t xml:space="preserve"> </w:t>
      </w:r>
      <w:r>
        <w:t xml:space="preserve">Medvedeva 2014, PMID 24661604.</w:t>
      </w:r>
    </w:p>
  </w:footnote>
  <w:footnote w:id="1625">
    <w:p>
      <w:pPr>
        <w:pStyle w:val="FootnoteText"/>
      </w:pPr>
      <w:r>
        <w:rPr>
          <w:rStyle w:val="FootnoteReference"/>
        </w:rPr>
        <w:footnoteRef/>
      </w:r>
      <w:r>
        <w:t xml:space="preserve"> </w:t>
      </w:r>
      <w:r>
        <w:t xml:space="preserve">Levitskaya 2004, PMID 15341218.</w:t>
      </w:r>
    </w:p>
  </w:footnote>
  <w:footnote w:id="1626">
    <w:p>
      <w:pPr>
        <w:pStyle w:val="FootnoteText"/>
      </w:pPr>
      <w:r>
        <w:rPr>
          <w:rStyle w:val="FootnoteReference"/>
        </w:rPr>
        <w:footnoteRef/>
      </w:r>
      <w:r>
        <w:t xml:space="preserve"> </w:t>
      </w:r>
      <w:r>
        <w:t xml:space="preserve">Radchenko 2025, PMID 41479572.</w:t>
      </w:r>
    </w:p>
  </w:footnote>
  <w:footnote w:id="1627">
    <w:p>
      <w:pPr>
        <w:pStyle w:val="FootnoteText"/>
      </w:pPr>
      <w:r>
        <w:rPr>
          <w:rStyle w:val="FootnoteReference"/>
        </w:rPr>
        <w:footnoteRef/>
      </w:r>
      <w:r>
        <w:t xml:space="preserve"> </w:t>
      </w:r>
      <w:r>
        <w:t xml:space="preserve">Tomasello 2025, PMID 40496623.</w:t>
      </w:r>
    </w:p>
  </w:footnote>
  <w:footnote w:id="1629">
    <w:p>
      <w:pPr>
        <w:pStyle w:val="FootnoteText"/>
      </w:pPr>
      <w:r>
        <w:rPr>
          <w:rStyle w:val="FootnoteReference"/>
        </w:rPr>
        <w:footnoteRef/>
      </w:r>
      <w:r>
        <w:t xml:space="preserve"> </w:t>
      </w:r>
      <w:r>
        <w:t xml:space="preserve">Gusev 2005, PMID 15792140.</w:t>
      </w:r>
    </w:p>
  </w:footnote>
  <w:footnote w:id="1630">
    <w:p>
      <w:pPr>
        <w:pStyle w:val="FootnoteText"/>
      </w:pPr>
      <w:r>
        <w:rPr>
          <w:rStyle w:val="FootnoteReference"/>
        </w:rPr>
        <w:footnoteRef/>
      </w:r>
      <w:r>
        <w:t xml:space="preserve"> </w:t>
      </w:r>
      <w:r>
        <w:t xml:space="preserve">Alekseeva 1999, PMID 10199046.</w:t>
      </w:r>
    </w:p>
  </w:footnote>
  <w:footnote w:id="1631">
    <w:p>
      <w:pPr>
        <w:pStyle w:val="FootnoteText"/>
      </w:pPr>
      <w:r>
        <w:rPr>
          <w:rStyle w:val="FootnoteReference"/>
        </w:rPr>
        <w:footnoteRef/>
      </w:r>
      <w:r>
        <w:t xml:space="preserve"> </w:t>
      </w:r>
      <w:r>
        <w:t xml:space="preserve">Vanhee 2020, PMID 31667971.</w:t>
      </w:r>
    </w:p>
  </w:footnote>
  <w:footnote w:id="1638">
    <w:p>
      <w:pPr>
        <w:pStyle w:val="FootnoteText"/>
      </w:pPr>
      <w:r>
        <w:rPr>
          <w:rStyle w:val="FootnoteReference"/>
        </w:rPr>
        <w:footnoteRef/>
      </w:r>
      <w:r>
        <w:t xml:space="preserve"> </w:t>
      </w:r>
      <w:r>
        <w:t xml:space="preserve">Zozulya 2001, PMID 11550013.</w:t>
      </w:r>
    </w:p>
  </w:footnote>
  <w:footnote w:id="1639">
    <w:p>
      <w:pPr>
        <w:pStyle w:val="FootnoteText"/>
      </w:pPr>
      <w:r>
        <w:rPr>
          <w:rStyle w:val="FootnoteReference"/>
        </w:rPr>
        <w:footnoteRef/>
      </w:r>
      <w:r>
        <w:t xml:space="preserve"> </w:t>
      </w:r>
      <w:r>
        <w:t xml:space="preserve">Volkova 2016, PMID 26924987.</w:t>
      </w:r>
    </w:p>
  </w:footnote>
  <w:footnote w:id="1640">
    <w:p>
      <w:pPr>
        <w:pStyle w:val="FootnoteText"/>
      </w:pPr>
      <w:r>
        <w:rPr>
          <w:rStyle w:val="FootnoteReference"/>
        </w:rPr>
        <w:footnoteRef/>
      </w:r>
      <w:r>
        <w:t xml:space="preserve"> </w:t>
      </w:r>
      <w:r>
        <w:t xml:space="preserve">Ershov 2009, PMID 19882898.</w:t>
      </w:r>
    </w:p>
  </w:footnote>
  <w:footnote w:id="1642">
    <w:p>
      <w:pPr>
        <w:pStyle w:val="FootnoteText"/>
      </w:pPr>
      <w:r>
        <w:rPr>
          <w:rStyle w:val="FootnoteReference"/>
        </w:rPr>
        <w:footnoteRef/>
      </w:r>
      <w:r>
        <w:t xml:space="preserve"> </w:t>
      </w:r>
      <w:r>
        <w:t xml:space="preserve">Zozulia 2008, PMID 18454096.</w:t>
      </w:r>
    </w:p>
  </w:footnote>
  <w:footnote w:id="1643">
    <w:p>
      <w:pPr>
        <w:pStyle w:val="FootnoteText"/>
      </w:pPr>
      <w:r>
        <w:rPr>
          <w:rStyle w:val="FootnoteReference"/>
        </w:rPr>
        <w:footnoteRef/>
      </w:r>
      <w:r>
        <w:t xml:space="preserve"> </w:t>
      </w:r>
      <w:r>
        <w:t xml:space="preserve">Medvedev 2014, PMID 25176261.</w:t>
      </w:r>
    </w:p>
  </w:footnote>
  <w:footnote w:id="1644">
    <w:p>
      <w:pPr>
        <w:pStyle w:val="FootnoteText"/>
      </w:pPr>
      <w:r>
        <w:rPr>
          <w:rStyle w:val="FootnoteReference"/>
        </w:rPr>
        <w:footnoteRef/>
      </w:r>
      <w:r>
        <w:t xml:space="preserve"> </w:t>
      </w:r>
      <w:r>
        <w:t xml:space="preserve">Medvedev 2015, PMID 26356395.</w:t>
      </w:r>
    </w:p>
  </w:footnote>
  <w:footnote w:id="1646">
    <w:p>
      <w:pPr>
        <w:pStyle w:val="FootnoteText"/>
      </w:pPr>
      <w:r>
        <w:rPr>
          <w:rStyle w:val="FootnoteReference"/>
        </w:rPr>
        <w:footnoteRef/>
      </w:r>
      <w:r>
        <w:t xml:space="preserve"> </w:t>
      </w:r>
      <w:r>
        <w:t xml:space="preserve">Uchakina 2008, PMID 18577961.</w:t>
      </w:r>
    </w:p>
  </w:footnote>
  <w:footnote w:id="1647">
    <w:p>
      <w:pPr>
        <w:pStyle w:val="FootnoteText"/>
      </w:pPr>
      <w:r>
        <w:rPr>
          <w:rStyle w:val="FootnoteReference"/>
        </w:rPr>
        <w:footnoteRef/>
      </w:r>
      <w:r>
        <w:t xml:space="preserve"> </w:t>
      </w:r>
      <w:r>
        <w:t xml:space="preserve">Panikratova 2020, PMID 32342318.</w:t>
      </w:r>
    </w:p>
  </w:footnote>
  <w:footnote w:id="1650">
    <w:p>
      <w:pPr>
        <w:pStyle w:val="FootnoteText"/>
      </w:pPr>
      <w:r>
        <w:rPr>
          <w:rStyle w:val="FootnoteReference"/>
        </w:rPr>
        <w:footnoteRef/>
      </w:r>
      <w:r>
        <w:t xml:space="preserve"> </w:t>
      </w:r>
      <w:r>
        <w:t xml:space="preserve">Kolik 2019, PMID 31625062.</w:t>
      </w:r>
    </w:p>
  </w:footnote>
  <w:footnote w:id="1651">
    <w:p>
      <w:pPr>
        <w:pStyle w:val="FootnoteText"/>
      </w:pPr>
      <w:r>
        <w:rPr>
          <w:rStyle w:val="FootnoteReference"/>
        </w:rPr>
        <w:footnoteRef/>
      </w:r>
      <w:r>
        <w:t xml:space="preserve"> </w:t>
      </w:r>
      <w:r>
        <w:t xml:space="preserve">Volkova 2016, PMID 26924987.</w:t>
      </w:r>
    </w:p>
  </w:footnote>
  <w:footnote w:id="1652">
    <w:p>
      <w:pPr>
        <w:pStyle w:val="FootnoteText"/>
      </w:pPr>
      <w:r>
        <w:rPr>
          <w:rStyle w:val="FootnoteReference"/>
        </w:rPr>
        <w:footnoteRef/>
      </w:r>
      <w:r>
        <w:t xml:space="preserve"> </w:t>
      </w:r>
      <w:r>
        <w:t xml:space="preserve">Ershov 2009, PMID 19882898.</w:t>
      </w:r>
    </w:p>
  </w:footnote>
  <w:footnote w:id="1654">
    <w:p>
      <w:pPr>
        <w:pStyle w:val="FootnoteText"/>
      </w:pPr>
      <w:r>
        <w:rPr>
          <w:rStyle w:val="FootnoteReference"/>
        </w:rPr>
        <w:footnoteRef/>
      </w:r>
      <w:r>
        <w:t xml:space="preserve"> </w:t>
      </w:r>
      <w:r>
        <w:t xml:space="preserve">Vanhee 2020, PMID 31667971.</w:t>
      </w:r>
    </w:p>
  </w:footnote>
  <w:footnote w:id="1662">
    <w:p>
      <w:pPr>
        <w:pStyle w:val="FootnoteText"/>
      </w:pPr>
      <w:r>
        <w:rPr>
          <w:rStyle w:val="FootnoteReference"/>
        </w:rPr>
        <w:footnoteRef/>
      </w:r>
      <w:r>
        <w:t xml:space="preserve"> </w:t>
      </w:r>
      <w:r>
        <w:t xml:space="preserve">Hong 2009, PMID 19765131.</w:t>
      </w:r>
    </w:p>
  </w:footnote>
  <w:footnote w:id="1663">
    <w:p>
      <w:pPr>
        <w:pStyle w:val="FootnoteText"/>
      </w:pPr>
      <w:r>
        <w:rPr>
          <w:rStyle w:val="FootnoteReference"/>
        </w:rPr>
        <w:footnoteRef/>
      </w:r>
      <w:r>
        <w:t xml:space="preserve"> </w:t>
      </w:r>
      <w:r>
        <w:t xml:space="preserve">NCT00868283.</w:t>
      </w:r>
    </w:p>
  </w:footnote>
  <w:footnote w:id="1664">
    <w:p>
      <w:pPr>
        <w:pStyle w:val="FootnoteText"/>
      </w:pPr>
      <w:r>
        <w:rPr>
          <w:rStyle w:val="FootnoteReference"/>
        </w:rPr>
        <w:footnoteRef/>
      </w:r>
      <w:r>
        <w:t xml:space="preserve"> </w:t>
      </w:r>
      <w:r>
        <w:t xml:space="preserve">Heiss 2012, PMID 22282884.</w:t>
      </w:r>
    </w:p>
  </w:footnote>
  <w:footnote w:id="1665">
    <w:p>
      <w:pPr>
        <w:pStyle w:val="FootnoteText"/>
      </w:pPr>
      <w:r>
        <w:rPr>
          <w:rStyle w:val="FootnoteReference"/>
        </w:rPr>
        <w:footnoteRef/>
      </w:r>
      <w:r>
        <w:t xml:space="preserve"> </w:t>
      </w:r>
      <w:r>
        <w:t xml:space="preserve">Lang 2013, PMID 23009193.</w:t>
      </w:r>
    </w:p>
  </w:footnote>
  <w:footnote w:id="1666">
    <w:p>
      <w:pPr>
        <w:pStyle w:val="FootnoteText"/>
      </w:pPr>
      <w:r>
        <w:rPr>
          <w:rStyle w:val="FootnoteReference"/>
        </w:rPr>
        <w:footnoteRef/>
      </w:r>
      <w:r>
        <w:t xml:space="preserve"> </w:t>
      </w:r>
      <w:r>
        <w:t xml:space="preserve">Khasanova 2023, PMID 36973684.</w:t>
      </w:r>
    </w:p>
  </w:footnote>
  <w:footnote w:id="1667">
    <w:p>
      <w:pPr>
        <w:pStyle w:val="FootnoteText"/>
      </w:pPr>
      <w:r>
        <w:rPr>
          <w:rStyle w:val="FootnoteReference"/>
        </w:rPr>
        <w:footnoteRef/>
      </w:r>
      <w:r>
        <w:t xml:space="preserve"> </w:t>
      </w:r>
      <w:r>
        <w:t xml:space="preserve">Staszewski 2025, PMID 40325343.</w:t>
      </w:r>
    </w:p>
  </w:footnote>
  <w:footnote w:id="1669">
    <w:p>
      <w:pPr>
        <w:pStyle w:val="FootnoteText"/>
      </w:pPr>
      <w:r>
        <w:rPr>
          <w:rStyle w:val="FootnoteReference"/>
        </w:rPr>
        <w:footnoteRef/>
      </w:r>
      <w:r>
        <w:t xml:space="preserve"> </w:t>
      </w:r>
      <w:r>
        <w:t xml:space="preserve">Muresanu 2016, PMID 26564102.</w:t>
      </w:r>
    </w:p>
  </w:footnote>
  <w:footnote w:id="1670">
    <w:p>
      <w:pPr>
        <w:pStyle w:val="FootnoteText"/>
      </w:pPr>
      <w:r>
        <w:rPr>
          <w:rStyle w:val="FootnoteReference"/>
        </w:rPr>
        <w:footnoteRef/>
      </w:r>
      <w:r>
        <w:t xml:space="preserve"> </w:t>
      </w:r>
      <w:r>
        <w:t xml:space="preserve">Guekht 2017, PMID 28707130.</w:t>
      </w:r>
    </w:p>
  </w:footnote>
  <w:footnote w:id="1671">
    <w:p>
      <w:pPr>
        <w:pStyle w:val="FootnoteText"/>
      </w:pPr>
      <w:r>
        <w:rPr>
          <w:rStyle w:val="FootnoteReference"/>
        </w:rPr>
        <w:footnoteRef/>
      </w:r>
      <w:r>
        <w:t xml:space="preserve"> </w:t>
      </w:r>
      <w:r>
        <w:t xml:space="preserve">Stan 2017, PMID 29362596.</w:t>
      </w:r>
    </w:p>
  </w:footnote>
  <w:footnote w:id="1672">
    <w:p>
      <w:pPr>
        <w:pStyle w:val="FootnoteText"/>
      </w:pPr>
      <w:r>
        <w:rPr>
          <w:rStyle w:val="FootnoteReference"/>
        </w:rPr>
        <w:footnoteRef/>
      </w:r>
      <w:r>
        <w:t xml:space="preserve"> </w:t>
      </w:r>
      <w:r>
        <w:t xml:space="preserve">Chang 2016, PMID 26934986.</w:t>
      </w:r>
    </w:p>
  </w:footnote>
  <w:footnote w:id="1673">
    <w:p>
      <w:pPr>
        <w:pStyle w:val="FootnoteText"/>
      </w:pPr>
      <w:r>
        <w:rPr>
          <w:rStyle w:val="FootnoteReference"/>
        </w:rPr>
        <w:footnoteRef/>
      </w:r>
      <w:r>
        <w:t xml:space="preserve"> </w:t>
      </w:r>
      <w:r>
        <w:t xml:space="preserve">Homberg 2025, PMID 39957612.</w:t>
      </w:r>
    </w:p>
  </w:footnote>
  <w:footnote w:id="1674">
    <w:p>
      <w:pPr>
        <w:pStyle w:val="FootnoteText"/>
      </w:pPr>
      <w:r>
        <w:rPr>
          <w:rStyle w:val="FootnoteReference"/>
        </w:rPr>
        <w:footnoteRef/>
      </w:r>
      <w:r>
        <w:t xml:space="preserve"> </w:t>
      </w:r>
      <w:r>
        <w:t xml:space="preserve">Beghi 2021, PMID 34152062.</w:t>
      </w:r>
    </w:p>
  </w:footnote>
  <w:footnote w:id="1676">
    <w:p>
      <w:pPr>
        <w:pStyle w:val="FootnoteText"/>
      </w:pPr>
      <w:r>
        <w:rPr>
          <w:rStyle w:val="FootnoteReference"/>
        </w:rPr>
        <w:footnoteRef/>
      </w:r>
      <w:r>
        <w:t xml:space="preserve"> </w:t>
      </w:r>
      <w:r>
        <w:t xml:space="preserve">Ziganshina 2020, PMID 32662068.</w:t>
      </w:r>
    </w:p>
  </w:footnote>
  <w:footnote w:id="1677">
    <w:p>
      <w:pPr>
        <w:pStyle w:val="FootnoteText"/>
      </w:pPr>
      <w:r>
        <w:rPr>
          <w:rStyle w:val="FootnoteReference"/>
        </w:rPr>
        <w:footnoteRef/>
      </w:r>
      <w:r>
        <w:t xml:space="preserve"> </w:t>
      </w:r>
      <w:r>
        <w:t xml:space="preserve">Ziganshina 2023, PMID 37818733.</w:t>
      </w:r>
    </w:p>
  </w:footnote>
  <w:footnote w:id="1678">
    <w:p>
      <w:pPr>
        <w:pStyle w:val="FootnoteText"/>
      </w:pPr>
      <w:r>
        <w:rPr>
          <w:rStyle w:val="FootnoteReference"/>
        </w:rPr>
        <w:footnoteRef/>
      </w:r>
      <w:r>
        <w:t xml:space="preserve"> </w:t>
      </w:r>
      <w:r>
        <w:t xml:space="preserve">Bornstein 2018, PMID 29248999.</w:t>
      </w:r>
    </w:p>
  </w:footnote>
  <w:footnote w:id="1679">
    <w:p>
      <w:pPr>
        <w:pStyle w:val="FootnoteText"/>
      </w:pPr>
      <w:r>
        <w:rPr>
          <w:rStyle w:val="FootnoteReference"/>
        </w:rPr>
        <w:footnoteRef/>
      </w:r>
      <w:r>
        <w:t xml:space="preserve"> </w:t>
      </w:r>
      <w:r>
        <w:t xml:space="preserve">Strilciuc 2021, PMID 34959697.</w:t>
      </w:r>
    </w:p>
  </w:footnote>
  <w:footnote w:id="1681">
    <w:p>
      <w:pPr>
        <w:pStyle w:val="FootnoteText"/>
      </w:pPr>
      <w:r>
        <w:rPr>
          <w:rStyle w:val="FootnoteReference"/>
        </w:rPr>
        <w:footnoteRef/>
      </w:r>
      <w:r>
        <w:t xml:space="preserve"> </w:t>
      </w:r>
      <w:r>
        <w:t xml:space="preserve">Vosko 2025, PMID 40851188; NCT03480698.</w:t>
      </w:r>
    </w:p>
  </w:footnote>
  <w:footnote w:id="1683">
    <w:p>
      <w:pPr>
        <w:pStyle w:val="FootnoteText"/>
      </w:pPr>
      <w:r>
        <w:rPr>
          <w:rStyle w:val="FootnoteReference"/>
        </w:rPr>
        <w:footnoteRef/>
      </w:r>
      <w:r>
        <w:t xml:space="preserve"> </w:t>
      </w:r>
      <w:r>
        <w:t xml:space="preserve">Bajenaru 2010, PMID 20968198.</w:t>
      </w:r>
    </w:p>
  </w:footnote>
  <w:footnote w:id="1684">
    <w:p>
      <w:pPr>
        <w:pStyle w:val="FootnoteText"/>
      </w:pPr>
      <w:r>
        <w:rPr>
          <w:rStyle w:val="FootnoteReference"/>
        </w:rPr>
        <w:footnoteRef/>
      </w:r>
      <w:r>
        <w:t xml:space="preserve"> </w:t>
      </w:r>
      <w:r>
        <w:t xml:space="preserve">Woo 2020, PMID 33143640; NCT01787123.</w:t>
      </w:r>
    </w:p>
  </w:footnote>
  <w:footnote w:id="1685">
    <w:p>
      <w:pPr>
        <w:pStyle w:val="FootnoteText"/>
      </w:pPr>
      <w:r>
        <w:rPr>
          <w:rStyle w:val="FootnoteReference"/>
        </w:rPr>
        <w:footnoteRef/>
      </w:r>
      <w:r>
        <w:t xml:space="preserve"> </w:t>
      </w:r>
      <w:r>
        <w:t xml:space="preserve">Kobayashi 2025, PMID 41180520.</w:t>
      </w:r>
    </w:p>
  </w:footnote>
  <w:footnote w:id="1687">
    <w:p>
      <w:pPr>
        <w:pStyle w:val="FootnoteText"/>
      </w:pPr>
      <w:r>
        <w:rPr>
          <w:rStyle w:val="FootnoteReference"/>
        </w:rPr>
        <w:footnoteRef/>
      </w:r>
      <w:r>
        <w:t xml:space="preserve"> </w:t>
      </w:r>
      <w:r>
        <w:t xml:space="preserve">Ghaffarpasand 2019, PMID 30643411; Jarosz 2023, PMID 36979317.</w:t>
      </w:r>
    </w:p>
  </w:footnote>
  <w:footnote w:id="1689">
    <w:p>
      <w:pPr>
        <w:pStyle w:val="FootnoteText"/>
      </w:pPr>
      <w:r>
        <w:rPr>
          <w:rStyle w:val="FootnoteReference"/>
        </w:rPr>
        <w:footnoteRef/>
      </w:r>
      <w:r>
        <w:t xml:space="preserve"> </w:t>
      </w:r>
      <w:r>
        <w:t xml:space="preserve">Panisset 2002, PMID 12111446.</w:t>
      </w:r>
    </w:p>
  </w:footnote>
  <w:footnote w:id="1690">
    <w:p>
      <w:pPr>
        <w:pStyle w:val="FootnoteText"/>
      </w:pPr>
      <w:r>
        <w:rPr>
          <w:rStyle w:val="FootnoteReference"/>
        </w:rPr>
        <w:footnoteRef/>
      </w:r>
      <w:r>
        <w:t xml:space="preserve"> </w:t>
      </w:r>
      <w:r>
        <w:t xml:space="preserve">Alvarez 2011, PMID 21679156.</w:t>
      </w:r>
    </w:p>
  </w:footnote>
  <w:footnote w:id="1691">
    <w:p>
      <w:pPr>
        <w:pStyle w:val="FootnoteText"/>
      </w:pPr>
      <w:r>
        <w:rPr>
          <w:rStyle w:val="FootnoteReference"/>
        </w:rPr>
        <w:footnoteRef/>
      </w:r>
      <w:r>
        <w:t xml:space="preserve"> </w:t>
      </w:r>
      <w:r>
        <w:t xml:space="preserve">Gauthier 2015, PMID 25832905.</w:t>
      </w:r>
    </w:p>
  </w:footnote>
  <w:footnote w:id="1692">
    <w:p>
      <w:pPr>
        <w:pStyle w:val="FootnoteText"/>
      </w:pPr>
      <w:r>
        <w:rPr>
          <w:rStyle w:val="FootnoteReference"/>
        </w:rPr>
        <w:footnoteRef/>
      </w:r>
      <w:r>
        <w:t xml:space="preserve"> </w:t>
      </w:r>
      <w:r>
        <w:t xml:space="preserve">Guekht 2011, PMID 20656516.</w:t>
      </w:r>
    </w:p>
  </w:footnote>
  <w:footnote w:id="1693">
    <w:p>
      <w:pPr>
        <w:pStyle w:val="FootnoteText"/>
      </w:pPr>
      <w:r>
        <w:rPr>
          <w:rStyle w:val="FootnoteReference"/>
        </w:rPr>
        <w:footnoteRef/>
      </w:r>
      <w:r>
        <w:t xml:space="preserve"> </w:t>
      </w:r>
      <w:r>
        <w:t xml:space="preserve">Cui 2019, PMID 31710397.</w:t>
      </w:r>
    </w:p>
  </w:footnote>
  <w:footnote w:id="1695">
    <w:p>
      <w:pPr>
        <w:pStyle w:val="FootnoteText"/>
      </w:pPr>
      <w:r>
        <w:rPr>
          <w:rStyle w:val="FootnoteReference"/>
        </w:rPr>
        <w:footnoteRef/>
      </w:r>
      <w:r>
        <w:t xml:space="preserve"> </w:t>
      </w:r>
      <w:r>
        <w:t xml:space="preserve">Funke 1998, PMID 9700674.</w:t>
      </w:r>
    </w:p>
  </w:footnote>
  <w:footnote w:id="1698">
    <w:p>
      <w:pPr>
        <w:pStyle w:val="FootnoteText"/>
      </w:pPr>
      <w:r>
        <w:rPr>
          <w:rStyle w:val="FootnoteReference"/>
        </w:rPr>
        <w:footnoteRef/>
      </w:r>
      <w:r>
        <w:t xml:space="preserve"> </w:t>
      </w:r>
      <w:r>
        <w:t xml:space="preserve">Zhang 2016, PMID 26763925.</w:t>
      </w:r>
    </w:p>
  </w:footnote>
  <w:footnote w:id="1699">
    <w:p>
      <w:pPr>
        <w:pStyle w:val="FootnoteText"/>
      </w:pPr>
      <w:r>
        <w:rPr>
          <w:rStyle w:val="FootnoteReference"/>
        </w:rPr>
        <w:footnoteRef/>
      </w:r>
      <w:r>
        <w:t xml:space="preserve"> </w:t>
      </w:r>
      <w:r>
        <w:t xml:space="preserve">Zhang 2019, PMID 30499355.</w:t>
      </w:r>
    </w:p>
  </w:footnote>
  <w:footnote w:id="1700">
    <w:p>
      <w:pPr>
        <w:pStyle w:val="FootnoteText"/>
      </w:pPr>
      <w:r>
        <w:rPr>
          <w:rStyle w:val="FootnoteReference"/>
        </w:rPr>
        <w:footnoteRef/>
      </w:r>
      <w:r>
        <w:t xml:space="preserve"> </w:t>
      </w:r>
      <w:r>
        <w:t xml:space="preserve">Kastberger 2024, PMID 38062874.</w:t>
      </w:r>
    </w:p>
  </w:footnote>
  <w:footnote w:id="1702">
    <w:p>
      <w:pPr>
        <w:pStyle w:val="FootnoteText"/>
      </w:pPr>
      <w:r>
        <w:rPr>
          <w:rStyle w:val="FootnoteReference"/>
        </w:rPr>
        <w:footnoteRef/>
      </w:r>
      <w:r>
        <w:t xml:space="preserve"> </w:t>
      </w:r>
      <w:r>
        <w:t xml:space="preserve">Panisset 2002, PMID 12111446.</w:t>
      </w:r>
    </w:p>
  </w:footnote>
  <w:footnote w:id="1703">
    <w:p>
      <w:pPr>
        <w:pStyle w:val="FootnoteText"/>
      </w:pPr>
      <w:r>
        <w:rPr>
          <w:rStyle w:val="FootnoteReference"/>
        </w:rPr>
        <w:footnoteRef/>
      </w:r>
      <w:r>
        <w:t xml:space="preserve"> </w:t>
      </w:r>
      <w:r>
        <w:t xml:space="preserve">Strilciuc 2021, PMID 34959697.</w:t>
      </w:r>
    </w:p>
  </w:footnote>
  <w:footnote w:id="1704">
    <w:p>
      <w:pPr>
        <w:pStyle w:val="FootnoteText"/>
      </w:pPr>
      <w:r>
        <w:rPr>
          <w:rStyle w:val="FootnoteReference"/>
        </w:rPr>
        <w:footnoteRef/>
      </w:r>
      <w:r>
        <w:t xml:space="preserve"> </w:t>
      </w:r>
      <w:r>
        <w:t xml:space="preserve">Trimmel 2024, PMID 39055722.</w:t>
      </w:r>
    </w:p>
  </w:footnote>
  <w:footnote w:id="1707">
    <w:p>
      <w:pPr>
        <w:pStyle w:val="FootnoteText"/>
      </w:pPr>
      <w:r>
        <w:rPr>
          <w:rStyle w:val="FootnoteReference"/>
        </w:rPr>
        <w:footnoteRef/>
      </w:r>
      <w:r>
        <w:t xml:space="preserve"> </w:t>
      </w:r>
      <w:r>
        <w:t xml:space="preserve">NCT05755997.</w:t>
      </w:r>
    </w:p>
  </w:footnote>
  <w:footnote w:id="1708">
    <w:p>
      <w:pPr>
        <w:pStyle w:val="FootnoteText"/>
      </w:pPr>
      <w:r>
        <w:rPr>
          <w:rStyle w:val="FootnoteReference"/>
        </w:rPr>
        <w:footnoteRef/>
      </w:r>
      <w:r>
        <w:t xml:space="preserve"> </w:t>
      </w:r>
      <w:r>
        <w:t xml:space="preserve">NCT06897176.</w:t>
      </w:r>
    </w:p>
  </w:footnote>
  <w:footnote w:id="1709">
    <w:p>
      <w:pPr>
        <w:pStyle w:val="FootnoteText"/>
      </w:pPr>
      <w:r>
        <w:rPr>
          <w:rStyle w:val="FootnoteReference"/>
        </w:rPr>
        <w:footnoteRef/>
      </w:r>
      <w:r>
        <w:t xml:space="preserve"> </w:t>
      </w:r>
      <w:r>
        <w:t xml:space="preserve">NCT06339411.</w:t>
      </w:r>
    </w:p>
  </w:footnote>
  <w:footnote w:id="1714">
    <w:p>
      <w:pPr>
        <w:pStyle w:val="FootnoteText"/>
      </w:pPr>
      <w:r>
        <w:rPr>
          <w:rStyle w:val="FootnoteReference"/>
        </w:rPr>
        <w:footnoteRef/>
      </w:r>
      <w:r>
        <w:t xml:space="preserve"> </w:t>
      </w:r>
      <w:r>
        <w:t xml:space="preserve">McCoy 2013, PMID 23055539.</w:t>
      </w:r>
    </w:p>
  </w:footnote>
  <w:footnote w:id="1715">
    <w:p>
      <w:pPr>
        <w:pStyle w:val="FootnoteText"/>
      </w:pPr>
      <w:r>
        <w:rPr>
          <w:rStyle w:val="FootnoteReference"/>
        </w:rPr>
        <w:footnoteRef/>
      </w:r>
      <w:r>
        <w:t xml:space="preserve"> </w:t>
      </w:r>
      <w:r>
        <w:t xml:space="preserve">Benoist 2014, PMID 25187433.</w:t>
      </w:r>
    </w:p>
  </w:footnote>
  <w:footnote w:id="1717">
    <w:p>
      <w:pPr>
        <w:pStyle w:val="FootnoteText"/>
      </w:pPr>
      <w:r>
        <w:rPr>
          <w:rStyle w:val="FootnoteReference"/>
        </w:rPr>
        <w:footnoteRef/>
      </w:r>
      <w:r>
        <w:t xml:space="preserve"> </w:t>
      </w:r>
      <w:r>
        <w:t xml:space="preserve">NCT04488419.</w:t>
      </w:r>
    </w:p>
  </w:footnote>
  <w:footnote w:id="1718">
    <w:p>
      <w:pPr>
        <w:pStyle w:val="FootnoteText"/>
      </w:pPr>
      <w:r>
        <w:rPr>
          <w:rStyle w:val="FootnoteReference"/>
        </w:rPr>
        <w:footnoteRef/>
      </w:r>
      <w:r>
        <w:t xml:space="preserve"> </w:t>
      </w:r>
      <w:r>
        <w:t xml:space="preserve">Porsteinsson 2025, PMID 41393340.</w:t>
      </w:r>
    </w:p>
  </w:footnote>
  <w:footnote w:id="1719">
    <w:p>
      <w:pPr>
        <w:pStyle w:val="FootnoteText"/>
      </w:pPr>
      <w:r>
        <w:rPr>
          <w:rStyle w:val="FootnoteReference"/>
        </w:rPr>
        <w:footnoteRef/>
      </w:r>
      <w:r>
        <w:t xml:space="preserve"> </w:t>
      </w:r>
      <w:r>
        <w:t xml:space="preserve">NCT04831281.</w:t>
      </w:r>
    </w:p>
  </w:footnote>
  <w:footnote w:id="1722">
    <w:p>
      <w:pPr>
        <w:pStyle w:val="FootnoteText"/>
      </w:pPr>
      <w:r>
        <w:rPr>
          <w:rStyle w:val="FootnoteReference"/>
        </w:rPr>
        <w:footnoteRef/>
      </w:r>
      <w:r>
        <w:t xml:space="preserve"> </w:t>
      </w:r>
      <w:r>
        <w:t xml:space="preserve">McCoy 2013, PMID 23055539.</w:t>
      </w:r>
    </w:p>
  </w:footnote>
  <w:footnote w:id="1723">
    <w:p>
      <w:pPr>
        <w:pStyle w:val="FootnoteText"/>
      </w:pPr>
      <w:r>
        <w:rPr>
          <w:rStyle w:val="FootnoteReference"/>
        </w:rPr>
        <w:footnoteRef/>
      </w:r>
      <w:r>
        <w:t xml:space="preserve"> </w:t>
      </w:r>
      <w:r>
        <w:t xml:space="preserve">Sun 2021, PMID 34827486.</w:t>
      </w:r>
    </w:p>
  </w:footnote>
  <w:footnote w:id="1724">
    <w:p>
      <w:pPr>
        <w:pStyle w:val="FootnoteText"/>
      </w:pPr>
      <w:r>
        <w:rPr>
          <w:rStyle w:val="FootnoteReference"/>
        </w:rPr>
        <w:footnoteRef/>
      </w:r>
      <w:r>
        <w:t xml:space="preserve"> </w:t>
      </w:r>
      <w:r>
        <w:t xml:space="preserve">Wells 2024, PMID 38489193.</w:t>
      </w:r>
    </w:p>
  </w:footnote>
  <w:footnote w:id="1725">
    <w:p>
      <w:pPr>
        <w:pStyle w:val="FootnoteText"/>
      </w:pPr>
      <w:r>
        <w:rPr>
          <w:rStyle w:val="FootnoteReference"/>
        </w:rPr>
        <w:footnoteRef/>
      </w:r>
      <w:r>
        <w:t xml:space="preserve"> </w:t>
      </w:r>
      <w:r>
        <w:t xml:space="preserve">Uribe 2015, PMID 25674052.</w:t>
      </w:r>
    </w:p>
  </w:footnote>
  <w:footnote w:id="1726">
    <w:p>
      <w:pPr>
        <w:pStyle w:val="FootnoteText"/>
      </w:pPr>
      <w:r>
        <w:rPr>
          <w:rStyle w:val="FootnoteReference"/>
        </w:rPr>
        <w:footnoteRef/>
      </w:r>
      <w:r>
        <w:t xml:space="preserve"> </w:t>
      </w:r>
      <w:r>
        <w:t xml:space="preserve">Pan 2022, PMID 35410439.</w:t>
      </w:r>
    </w:p>
  </w:footnote>
  <w:footnote w:id="1727">
    <w:p>
      <w:pPr>
        <w:pStyle w:val="FootnoteText"/>
      </w:pPr>
      <w:r>
        <w:rPr>
          <w:rStyle w:val="FootnoteReference"/>
        </w:rPr>
        <w:footnoteRef/>
      </w:r>
      <w:r>
        <w:t xml:space="preserve"> </w:t>
      </w:r>
      <w:r>
        <w:t xml:space="preserve">Ho 2018, PMID 29733881.</w:t>
      </w:r>
    </w:p>
  </w:footnote>
  <w:footnote w:id="1729">
    <w:p>
      <w:pPr>
        <w:pStyle w:val="FootnoteText"/>
      </w:pPr>
      <w:r>
        <w:rPr>
          <w:rStyle w:val="FootnoteReference"/>
        </w:rPr>
        <w:footnoteRef/>
      </w:r>
      <w:r>
        <w:t xml:space="preserve"> </w:t>
      </w:r>
      <w:r>
        <w:t xml:space="preserve">Wright 2015, PMID 25649658.</w:t>
      </w:r>
    </w:p>
  </w:footnote>
  <w:footnote w:id="1736">
    <w:p>
      <w:pPr>
        <w:pStyle w:val="FootnoteText"/>
      </w:pPr>
      <w:r>
        <w:rPr>
          <w:rStyle w:val="FootnoteReference"/>
        </w:rPr>
        <w:footnoteRef/>
      </w:r>
      <w:r>
        <w:t xml:space="preserve"> </w:t>
      </w:r>
      <w:r>
        <w:t xml:space="preserve">Monnier 1977, PMID 862769.</w:t>
      </w:r>
    </w:p>
  </w:footnote>
  <w:footnote w:id="1737">
    <w:p>
      <w:pPr>
        <w:pStyle w:val="FootnoteText"/>
      </w:pPr>
      <w:r>
        <w:rPr>
          <w:rStyle w:val="FootnoteReference"/>
        </w:rPr>
        <w:footnoteRef/>
      </w:r>
      <w:r>
        <w:t xml:space="preserve"> </w:t>
      </w:r>
      <w:r>
        <w:t xml:space="preserve">Kovalzon 2006, PMID 16539679.</w:t>
      </w:r>
    </w:p>
  </w:footnote>
  <w:footnote w:id="1738">
    <w:p>
      <w:pPr>
        <w:pStyle w:val="FootnoteText"/>
      </w:pPr>
      <w:r>
        <w:rPr>
          <w:rStyle w:val="FootnoteReference"/>
        </w:rPr>
        <w:footnoteRef/>
      </w:r>
      <w:r>
        <w:t xml:space="preserve"> </w:t>
      </w:r>
      <w:r>
        <w:t xml:space="preserve">Zlokovic 1988, PMID 3420012.</w:t>
      </w:r>
    </w:p>
  </w:footnote>
  <w:footnote w:id="1740">
    <w:p>
      <w:pPr>
        <w:pStyle w:val="FootnoteText"/>
      </w:pPr>
      <w:r>
        <w:rPr>
          <w:rStyle w:val="FootnoteReference"/>
        </w:rPr>
        <w:footnoteRef/>
      </w:r>
      <w:r>
        <w:t xml:space="preserve"> </w:t>
      </w:r>
      <w:r>
        <w:t xml:space="preserve">Schneider-Helmert 1981, PMID 6895513.</w:t>
      </w:r>
    </w:p>
  </w:footnote>
  <w:footnote w:id="1741">
    <w:p>
      <w:pPr>
        <w:pStyle w:val="FootnoteText"/>
      </w:pPr>
      <w:r>
        <w:rPr>
          <w:rStyle w:val="FootnoteReference"/>
        </w:rPr>
        <w:footnoteRef/>
      </w:r>
      <w:r>
        <w:t xml:space="preserve"> </w:t>
      </w:r>
      <w:r>
        <w:t xml:space="preserve">Schneider-Helmert 1987, PMID 3622582.</w:t>
      </w:r>
    </w:p>
  </w:footnote>
  <w:footnote w:id="1742">
    <w:p>
      <w:pPr>
        <w:pStyle w:val="FootnoteText"/>
      </w:pPr>
      <w:r>
        <w:rPr>
          <w:rStyle w:val="FootnoteReference"/>
        </w:rPr>
        <w:footnoteRef/>
      </w:r>
      <w:r>
        <w:t xml:space="preserve"> </w:t>
      </w:r>
      <w:r>
        <w:t xml:space="preserve">Monti 1987, PMID 3583493.</w:t>
      </w:r>
    </w:p>
  </w:footnote>
  <w:footnote w:id="1743">
    <w:p>
      <w:pPr>
        <w:pStyle w:val="FootnoteText"/>
      </w:pPr>
      <w:r>
        <w:rPr>
          <w:rStyle w:val="FootnoteReference"/>
        </w:rPr>
        <w:footnoteRef/>
      </w:r>
      <w:r>
        <w:t xml:space="preserve"> </w:t>
      </w:r>
      <w:r>
        <w:t xml:space="preserve">Bes 1992, PMID 1299794.</w:t>
      </w:r>
    </w:p>
  </w:footnote>
  <w:footnote w:id="1745">
    <w:p>
      <w:pPr>
        <w:pStyle w:val="FootnoteText"/>
      </w:pPr>
      <w:r>
        <w:rPr>
          <w:rStyle w:val="FootnoteReference"/>
        </w:rPr>
        <w:footnoteRef/>
      </w:r>
      <w:r>
        <w:t xml:space="preserve"> </w:t>
      </w:r>
      <w:r>
        <w:t xml:space="preserve">Dick 1984, PMID 6548969.</w:t>
      </w:r>
    </w:p>
  </w:footnote>
  <w:footnote w:id="1746">
    <w:p>
      <w:pPr>
        <w:pStyle w:val="FootnoteText"/>
      </w:pPr>
      <w:r>
        <w:rPr>
          <w:rStyle w:val="FootnoteReference"/>
        </w:rPr>
        <w:footnoteRef/>
      </w:r>
      <w:r>
        <w:t xml:space="preserve"> </w:t>
      </w:r>
      <w:r>
        <w:t xml:space="preserve">Backmund 1998, PMID 9617990.</w:t>
      </w:r>
    </w:p>
  </w:footnote>
  <w:footnote w:id="1747">
    <w:p>
      <w:pPr>
        <w:pStyle w:val="FootnoteText"/>
      </w:pPr>
      <w:r>
        <w:rPr>
          <w:rStyle w:val="FootnoteReference"/>
        </w:rPr>
        <w:footnoteRef/>
      </w:r>
      <w:r>
        <w:t xml:space="preserve"> </w:t>
      </w:r>
      <w:r>
        <w:t xml:space="preserve">Larbig 1984, PMID 6548970.</w:t>
      </w:r>
    </w:p>
  </w:footnote>
  <w:footnote w:id="1748">
    <w:p>
      <w:pPr>
        <w:pStyle w:val="FootnoteText"/>
      </w:pPr>
      <w:r>
        <w:rPr>
          <w:rStyle w:val="FootnoteReference"/>
        </w:rPr>
        <w:footnoteRef/>
      </w:r>
      <w:r>
        <w:t xml:space="preserve"> </w:t>
      </w:r>
      <w:r>
        <w:t xml:space="preserve">Schneider-Helmert 1984, PMID 6548968.</w:t>
      </w:r>
    </w:p>
  </w:footnote>
  <w:footnote w:id="1749">
    <w:p>
      <w:pPr>
        <w:pStyle w:val="FootnoteText"/>
      </w:pPr>
      <w:r>
        <w:rPr>
          <w:rStyle w:val="FootnoteReference"/>
        </w:rPr>
        <w:footnoteRef/>
      </w:r>
      <w:r>
        <w:t xml:space="preserve"> </w:t>
      </w:r>
      <w:r>
        <w:t xml:space="preserve">Kresiun 2014, PMID 25739189.</w:t>
      </w:r>
    </w:p>
  </w:footnote>
  <w:footnote w:id="1751">
    <w:p>
      <w:pPr>
        <w:pStyle w:val="FootnoteText"/>
      </w:pPr>
      <w:r>
        <w:rPr>
          <w:rStyle w:val="FootnoteReference"/>
        </w:rPr>
        <w:footnoteRef/>
      </w:r>
      <w:r>
        <w:t xml:space="preserve"> </w:t>
      </w:r>
      <w:r>
        <w:t xml:space="preserve">Bjartell 1989, PMID 2554357.</w:t>
      </w:r>
    </w:p>
  </w:footnote>
  <w:footnote w:id="1752">
    <w:p>
      <w:pPr>
        <w:pStyle w:val="FootnoteText"/>
      </w:pPr>
      <w:r>
        <w:rPr>
          <w:rStyle w:val="FootnoteReference"/>
        </w:rPr>
        <w:footnoteRef/>
      </w:r>
      <w:r>
        <w:t xml:space="preserve"> </w:t>
      </w:r>
      <w:r>
        <w:t xml:space="preserve">Späth-Schwalbe 1995, PMID 7777652.</w:t>
      </w:r>
    </w:p>
  </w:footnote>
  <w:footnote w:id="1753">
    <w:p>
      <w:pPr>
        <w:pStyle w:val="FootnoteText"/>
      </w:pPr>
      <w:r>
        <w:rPr>
          <w:rStyle w:val="FootnoteReference"/>
        </w:rPr>
        <w:footnoteRef/>
      </w:r>
      <w:r>
        <w:t xml:space="preserve"> </w:t>
      </w:r>
      <w:r>
        <w:t xml:space="preserve">Giusti 1993, PMID 8475226.</w:t>
      </w:r>
    </w:p>
  </w:footnote>
  <w:footnote w:id="1754">
    <w:p>
      <w:pPr>
        <w:pStyle w:val="FootnoteText"/>
      </w:pPr>
      <w:r>
        <w:rPr>
          <w:rStyle w:val="FootnoteReference"/>
        </w:rPr>
        <w:footnoteRef/>
      </w:r>
      <w:r>
        <w:t xml:space="preserve"> </w:t>
      </w:r>
      <w:r>
        <w:t xml:space="preserve">Pomfrett 2009, PMID 19142086.</w:t>
      </w:r>
    </w:p>
  </w:footnote>
  <w:footnote w:id="1757">
    <w:p>
      <w:pPr>
        <w:pStyle w:val="FootnoteText"/>
      </w:pPr>
      <w:r>
        <w:rPr>
          <w:rStyle w:val="FootnoteReference"/>
        </w:rPr>
        <w:footnoteRef/>
      </w:r>
      <w:r>
        <w:t xml:space="preserve"> </w:t>
      </w:r>
      <w:r>
        <w:t xml:space="preserve">Kovalzon 2006, PMID 16539679.</w:t>
      </w:r>
    </w:p>
  </w:footnote>
  <w:footnote w:id="1758">
    <w:p>
      <w:pPr>
        <w:pStyle w:val="FootnoteText"/>
      </w:pPr>
      <w:r>
        <w:rPr>
          <w:rStyle w:val="FootnoteReference"/>
        </w:rPr>
        <w:footnoteRef/>
      </w:r>
      <w:r>
        <w:t xml:space="preserve"> </w:t>
      </w:r>
      <w:r>
        <w:t xml:space="preserve">Voĭtenkov 2009, PMID 20405733.</w:t>
      </w:r>
    </w:p>
  </w:footnote>
  <w:footnote w:id="1760">
    <w:p>
      <w:pPr>
        <w:pStyle w:val="FootnoteText"/>
      </w:pPr>
      <w:r>
        <w:rPr>
          <w:rStyle w:val="FootnoteReference"/>
        </w:rPr>
        <w:footnoteRef/>
      </w:r>
      <w:r>
        <w:t xml:space="preserve"> </w:t>
      </w:r>
      <w:r>
        <w:t xml:space="preserve">Dick 1984, PMID 6548969.</w:t>
      </w:r>
    </w:p>
  </w:footnote>
  <w:footnote w:id="1761">
    <w:p>
      <w:pPr>
        <w:pStyle w:val="FootnoteText"/>
      </w:pPr>
      <w:r>
        <w:rPr>
          <w:rStyle w:val="FootnoteReference"/>
        </w:rPr>
        <w:footnoteRef/>
      </w:r>
      <w:r>
        <w:t xml:space="preserve"> </w:t>
      </w:r>
      <w:r>
        <w:t xml:space="preserve">Pomfrett 2009, PMID 19142086.</w:t>
      </w:r>
    </w:p>
  </w:footnote>
  <w:footnote w:id="1768">
    <w:p>
      <w:pPr>
        <w:pStyle w:val="FootnoteText"/>
      </w:pPr>
      <w:r>
        <w:rPr>
          <w:rStyle w:val="FootnoteReference"/>
        </w:rPr>
        <w:footnoteRef/>
      </w:r>
      <w:r>
        <w:t xml:space="preserve"> </w:t>
      </w:r>
      <w:r>
        <w:t xml:space="preserve">Khavinson 2003, PMID 12937682.</w:t>
      </w:r>
    </w:p>
  </w:footnote>
  <w:footnote w:id="1769">
    <w:p>
      <w:pPr>
        <w:pStyle w:val="FootnoteText"/>
      </w:pPr>
      <w:r>
        <w:rPr>
          <w:rStyle w:val="FootnoteReference"/>
        </w:rPr>
        <w:footnoteRef/>
      </w:r>
      <w:r>
        <w:t xml:space="preserve"> </w:t>
      </w:r>
      <w:r>
        <w:t xml:space="preserve">Khavinson 2003, PMID 14647006.</w:t>
      </w:r>
    </w:p>
  </w:footnote>
  <w:footnote w:id="1770">
    <w:p>
      <w:pPr>
        <w:pStyle w:val="FootnoteText"/>
      </w:pPr>
      <w:r>
        <w:rPr>
          <w:rStyle w:val="FootnoteReference"/>
        </w:rPr>
        <w:footnoteRef/>
      </w:r>
      <w:r>
        <w:t xml:space="preserve"> </w:t>
      </w:r>
      <w:r>
        <w:t xml:space="preserve">Araj 2025, PMID 40141333.</w:t>
      </w:r>
    </w:p>
  </w:footnote>
  <w:footnote w:id="1772">
    <w:p>
      <w:pPr>
        <w:pStyle w:val="FootnoteText"/>
      </w:pPr>
      <w:r>
        <w:rPr>
          <w:rStyle w:val="FootnoteReference"/>
        </w:rPr>
        <w:footnoteRef/>
      </w:r>
      <w:r>
        <w:t xml:space="preserve"> </w:t>
      </w:r>
      <w:r>
        <w:t xml:space="preserve">Jain 2026, PMID 42884164.</w:t>
      </w:r>
    </w:p>
  </w:footnote>
  <w:footnote w:id="1773">
    <w:p>
      <w:pPr>
        <w:pStyle w:val="FootnoteText"/>
      </w:pPr>
      <w:r>
        <w:rPr>
          <w:rStyle w:val="FootnoteReference"/>
        </w:rPr>
        <w:footnoteRef/>
      </w:r>
      <w:r>
        <w:t xml:space="preserve"> </w:t>
      </w:r>
      <w:r>
        <w:t xml:space="preserve">Khavinson 2002, PMID 12195242.</w:t>
      </w:r>
    </w:p>
  </w:footnote>
  <w:footnote w:id="1775">
    <w:p>
      <w:pPr>
        <w:pStyle w:val="FootnoteText"/>
      </w:pPr>
      <w:r>
        <w:rPr>
          <w:rStyle w:val="FootnoteReference"/>
        </w:rPr>
        <w:footnoteRef/>
      </w:r>
      <w:r>
        <w:t xml:space="preserve"> </w:t>
      </w:r>
      <w:r>
        <w:t xml:space="preserve">Khavinson 2003, PMID 14523363.</w:t>
      </w:r>
    </w:p>
  </w:footnote>
  <w:footnote w:id="1777">
    <w:p>
      <w:pPr>
        <w:pStyle w:val="FootnoteText"/>
      </w:pPr>
      <w:r>
        <w:rPr>
          <w:rStyle w:val="FootnoteReference"/>
        </w:rPr>
        <w:footnoteRef/>
      </w:r>
      <w:r>
        <w:t xml:space="preserve"> </w:t>
      </w:r>
      <w:r>
        <w:t xml:space="preserve">Khavinson 2003, PMID 12937682.</w:t>
      </w:r>
    </w:p>
  </w:footnote>
  <w:footnote w:id="1778">
    <w:p>
      <w:pPr>
        <w:pStyle w:val="FootnoteText"/>
      </w:pPr>
      <w:r>
        <w:rPr>
          <w:rStyle w:val="FootnoteReference"/>
        </w:rPr>
        <w:footnoteRef/>
      </w:r>
      <w:r>
        <w:t xml:space="preserve"> </w:t>
      </w:r>
      <w:r>
        <w:t xml:space="preserve">Khavinson 2004, PMID 15455129.</w:t>
      </w:r>
    </w:p>
  </w:footnote>
  <w:footnote w:id="1779">
    <w:p>
      <w:pPr>
        <w:pStyle w:val="FootnoteText"/>
      </w:pPr>
      <w:r>
        <w:rPr>
          <w:rStyle w:val="FootnoteReference"/>
        </w:rPr>
        <w:footnoteRef/>
      </w:r>
      <w:r>
        <w:t xml:space="preserve"> </w:t>
      </w:r>
      <w:r>
        <w:t xml:space="preserve">Al-Dulaimi 2025, PMID 40908429.</w:t>
      </w:r>
    </w:p>
  </w:footnote>
  <w:footnote w:id="1780">
    <w:p>
      <w:pPr>
        <w:pStyle w:val="FootnoteText"/>
      </w:pPr>
      <w:r>
        <w:rPr>
          <w:rStyle w:val="FootnoteReference"/>
        </w:rPr>
        <w:footnoteRef/>
      </w:r>
      <w:r>
        <w:t xml:space="preserve"> </w:t>
      </w:r>
      <w:r>
        <w:t xml:space="preserve">Khavinson 2019, PMID 31761987.</w:t>
      </w:r>
    </w:p>
  </w:footnote>
  <w:footnote w:id="1783">
    <w:p>
      <w:pPr>
        <w:pStyle w:val="FootnoteText"/>
      </w:pPr>
      <w:r>
        <w:rPr>
          <w:rStyle w:val="FootnoteReference"/>
        </w:rPr>
        <w:footnoteRef/>
      </w:r>
      <w:r>
        <w:t xml:space="preserve"> </w:t>
      </w:r>
      <w:r>
        <w:t xml:space="preserve">Anisimov 2003, PMID 14501183.</w:t>
      </w:r>
    </w:p>
  </w:footnote>
  <w:footnote w:id="1784">
    <w:p>
      <w:pPr>
        <w:pStyle w:val="FootnoteText"/>
      </w:pPr>
      <w:r>
        <w:rPr>
          <w:rStyle w:val="FootnoteReference"/>
        </w:rPr>
        <w:footnoteRef/>
      </w:r>
      <w:r>
        <w:t xml:space="preserve"> </w:t>
      </w:r>
      <w:r>
        <w:t xml:space="preserve">Khavinson 2000, PMID 11087911.</w:t>
      </w:r>
    </w:p>
  </w:footnote>
  <w:footnote w:id="1785">
    <w:p>
      <w:pPr>
        <w:pStyle w:val="FootnoteText"/>
      </w:pPr>
      <w:r>
        <w:rPr>
          <w:rStyle w:val="FootnoteReference"/>
        </w:rPr>
        <w:footnoteRef/>
      </w:r>
      <w:r>
        <w:t xml:space="preserve"> </w:t>
      </w:r>
      <w:r>
        <w:t xml:space="preserve">Khavinson 2003, PMID 12910293.</w:t>
      </w:r>
    </w:p>
  </w:footnote>
  <w:footnote w:id="1786">
    <w:p>
      <w:pPr>
        <w:pStyle w:val="FootnoteText"/>
      </w:pPr>
      <w:r>
        <w:rPr>
          <w:rStyle w:val="FootnoteReference"/>
        </w:rPr>
        <w:footnoteRef/>
      </w:r>
      <w:r>
        <w:t xml:space="preserve"> </w:t>
      </w:r>
      <w:r>
        <w:t xml:space="preserve">Yue 2022, PMID 35413689.</w:t>
      </w:r>
    </w:p>
  </w:footnote>
  <w:footnote w:id="1788">
    <w:p>
      <w:pPr>
        <w:pStyle w:val="FootnoteText"/>
      </w:pPr>
      <w:r>
        <w:rPr>
          <w:rStyle w:val="FootnoteReference"/>
        </w:rPr>
        <w:footnoteRef/>
      </w:r>
      <w:r>
        <w:t xml:space="preserve"> </w:t>
      </w:r>
      <w:r>
        <w:t xml:space="preserve">Al-Dulaimi 2025, PMID 40908429.</w:t>
      </w:r>
    </w:p>
  </w:footnote>
  <w:footnote w:id="1789">
    <w:p>
      <w:pPr>
        <w:pStyle w:val="FootnoteText"/>
      </w:pPr>
      <w:r>
        <w:rPr>
          <w:rStyle w:val="FootnoteReference"/>
        </w:rPr>
        <w:footnoteRef/>
      </w:r>
      <w:r>
        <w:t xml:space="preserve"> </w:t>
      </w:r>
      <w:r>
        <w:t xml:space="preserve">Anisimov 2003, PMID 14501183.</w:t>
      </w:r>
    </w:p>
  </w:footnote>
  <w:footnote w:id="1790">
    <w:p>
      <w:pPr>
        <w:pStyle w:val="FootnoteText"/>
      </w:pPr>
      <w:r>
        <w:rPr>
          <w:rStyle w:val="FootnoteReference"/>
        </w:rPr>
        <w:footnoteRef/>
      </w:r>
      <w:r>
        <w:t xml:space="preserve"> </w:t>
      </w:r>
      <w:r>
        <w:t xml:space="preserve">Jain 2026, PMID 42884164.</w:t>
      </w:r>
    </w:p>
  </w:footnote>
  <w:footnote w:id="1793">
    <w:p>
      <w:pPr>
        <w:pStyle w:val="FootnoteText"/>
      </w:pPr>
      <w:r>
        <w:rPr>
          <w:rStyle w:val="FootnoteReference"/>
        </w:rPr>
        <w:footnoteRef/>
      </w:r>
      <w:r>
        <w:t xml:space="preserve"> </w:t>
      </w:r>
      <w:r>
        <w:t xml:space="preserve">NCT07888595.</w:t>
      </w:r>
    </w:p>
  </w:footnote>
  <w:footnote w:id="1798">
    <w:p>
      <w:pPr>
        <w:pStyle w:val="FootnoteText"/>
      </w:pPr>
      <w:r>
        <w:rPr>
          <w:rStyle w:val="FootnoteReference"/>
        </w:rPr>
        <w:footnoteRef/>
      </w:r>
      <w:r>
        <w:t xml:space="preserve"> </w:t>
      </w:r>
      <w:r>
        <w:t xml:space="preserve">Fedoreyeva 2011, PMID 22117547.</w:t>
      </w:r>
    </w:p>
  </w:footnote>
  <w:footnote w:id="1799">
    <w:p>
      <w:pPr>
        <w:pStyle w:val="FootnoteText"/>
      </w:pPr>
      <w:r>
        <w:rPr>
          <w:rStyle w:val="FootnoteReference"/>
        </w:rPr>
        <w:footnoteRef/>
      </w:r>
      <w:r>
        <w:t xml:space="preserve"> </w:t>
      </w:r>
      <w:r>
        <w:t xml:space="preserve">Khavinson 2011, PMID 21978084.</w:t>
      </w:r>
    </w:p>
  </w:footnote>
  <w:footnote w:id="1800">
    <w:p>
      <w:pPr>
        <w:pStyle w:val="FootnoteText"/>
      </w:pPr>
      <w:r>
        <w:rPr>
          <w:rStyle w:val="FootnoteReference"/>
        </w:rPr>
        <w:footnoteRef/>
      </w:r>
      <w:r>
        <w:t xml:space="preserve"> </w:t>
      </w:r>
      <w:r>
        <w:t xml:space="preserve">Khavinson 2020, PMID 33396470.</w:t>
      </w:r>
    </w:p>
  </w:footnote>
  <w:footnote w:id="1802">
    <w:p>
      <w:pPr>
        <w:pStyle w:val="FootnoteText"/>
      </w:pPr>
      <w:r>
        <w:rPr>
          <w:rStyle w:val="FootnoteReference"/>
        </w:rPr>
        <w:footnoteRef/>
      </w:r>
      <w:r>
        <w:t xml:space="preserve"> </w:t>
      </w:r>
      <w:r>
        <w:t xml:space="preserve">Meshchaninov 2015, PMID 26390612.</w:t>
      </w:r>
    </w:p>
  </w:footnote>
  <w:footnote w:id="1804">
    <w:p>
      <w:pPr>
        <w:pStyle w:val="FootnoteText"/>
      </w:pPr>
      <w:r>
        <w:rPr>
          <w:rStyle w:val="FootnoteReference"/>
        </w:rPr>
        <w:footnoteRef/>
      </w:r>
      <w:r>
        <w:t xml:space="preserve"> </w:t>
      </w:r>
      <w:r>
        <w:t xml:space="preserve">Arutjunyan 2012, PMID 22567179.</w:t>
      </w:r>
    </w:p>
  </w:footnote>
  <w:footnote w:id="1805">
    <w:p>
      <w:pPr>
        <w:pStyle w:val="FootnoteText"/>
      </w:pPr>
      <w:r>
        <w:rPr>
          <w:rStyle w:val="FootnoteReference"/>
        </w:rPr>
        <w:footnoteRef/>
      </w:r>
      <w:r>
        <w:t xml:space="preserve"> </w:t>
      </w:r>
      <w:r>
        <w:t xml:space="preserve">Mendzheritsky 2015, PMID 28509493.</w:t>
      </w:r>
    </w:p>
  </w:footnote>
  <w:footnote w:id="1806">
    <w:p>
      <w:pPr>
        <w:pStyle w:val="FootnoteText"/>
      </w:pPr>
      <w:r>
        <w:rPr>
          <w:rStyle w:val="FootnoteReference"/>
        </w:rPr>
        <w:footnoteRef/>
      </w:r>
      <w:r>
        <w:t xml:space="preserve"> </w:t>
      </w:r>
      <w:r>
        <w:t xml:space="preserve">Khavinson 2011, PMID 21978084.</w:t>
      </w:r>
    </w:p>
  </w:footnote>
  <w:footnote w:id="1808">
    <w:p>
      <w:pPr>
        <w:pStyle w:val="FootnoteText"/>
      </w:pPr>
      <w:r>
        <w:rPr>
          <w:rStyle w:val="FootnoteReference"/>
        </w:rPr>
        <w:footnoteRef/>
      </w:r>
      <w:r>
        <w:t xml:space="preserve"> </w:t>
      </w:r>
      <w:r>
        <w:t xml:space="preserve">Meshchaninov 2015, PMID 26390612.</w:t>
      </w:r>
    </w:p>
  </w:footnote>
  <w:footnote w:id="1815">
    <w:p>
      <w:pPr>
        <w:pStyle w:val="FootnoteText"/>
      </w:pPr>
      <w:r>
        <w:rPr>
          <w:rStyle w:val="FootnoteReference"/>
        </w:rPr>
        <w:footnoteRef/>
      </w:r>
      <w:r>
        <w:t xml:space="preserve"> </w:t>
      </w:r>
      <w:r>
        <w:t xml:space="preserve">Lee 2015, PMID 25738459.</w:t>
      </w:r>
    </w:p>
  </w:footnote>
  <w:footnote w:id="1816">
    <w:p>
      <w:pPr>
        <w:pStyle w:val="FootnoteText"/>
      </w:pPr>
      <w:r>
        <w:rPr>
          <w:rStyle w:val="FootnoteReference"/>
        </w:rPr>
        <w:footnoteRef/>
      </w:r>
      <w:r>
        <w:t xml:space="preserve"> </w:t>
      </w:r>
      <w:r>
        <w:t xml:space="preserve">Kim 2018, PMID 29983246.</w:t>
      </w:r>
    </w:p>
  </w:footnote>
  <w:footnote w:id="1817">
    <w:p>
      <w:pPr>
        <w:pStyle w:val="FootnoteText"/>
      </w:pPr>
      <w:r>
        <w:rPr>
          <w:rStyle w:val="FootnoteReference"/>
        </w:rPr>
        <w:footnoteRef/>
      </w:r>
      <w:r>
        <w:t xml:space="preserve"> </w:t>
      </w:r>
      <w:r>
        <w:t xml:space="preserve">Reynolds 2021, PMID 33473109.</w:t>
      </w:r>
    </w:p>
  </w:footnote>
  <w:footnote w:id="1819">
    <w:p>
      <w:pPr>
        <w:pStyle w:val="FootnoteText"/>
      </w:pPr>
      <w:r>
        <w:rPr>
          <w:rStyle w:val="FootnoteReference"/>
        </w:rPr>
        <w:footnoteRef/>
      </w:r>
      <w:r>
        <w:t xml:space="preserve"> </w:t>
      </w:r>
      <w:r>
        <w:t xml:space="preserve">NCT03998514.</w:t>
      </w:r>
    </w:p>
  </w:footnote>
  <w:footnote w:id="1820">
    <w:p>
      <w:pPr>
        <w:pStyle w:val="FootnoteText"/>
      </w:pPr>
      <w:r>
        <w:rPr>
          <w:rStyle w:val="FootnoteReference"/>
        </w:rPr>
        <w:footnoteRef/>
      </w:r>
      <w:r>
        <w:t xml:space="preserve"> </w:t>
      </w:r>
      <w:r>
        <w:t xml:space="preserve">Du 2018, PMID 29691953; Kirik 2023, PMID 37750635; Qin 2018, PMID 29242099.</w:t>
      </w:r>
    </w:p>
  </w:footnote>
  <w:footnote w:id="1821">
    <w:p>
      <w:pPr>
        <w:pStyle w:val="FootnoteText"/>
      </w:pPr>
      <w:r>
        <w:rPr>
          <w:rStyle w:val="FootnoteReference"/>
        </w:rPr>
        <w:footnoteRef/>
      </w:r>
      <w:r>
        <w:t xml:space="preserve"> </w:t>
      </w:r>
      <w:r>
        <w:t xml:space="preserve">Du 2018, PMID 29691953.</w:t>
      </w:r>
    </w:p>
  </w:footnote>
  <w:footnote w:id="1822">
    <w:p>
      <w:pPr>
        <w:pStyle w:val="FootnoteText"/>
      </w:pPr>
      <w:r>
        <w:rPr>
          <w:rStyle w:val="FootnoteReference"/>
        </w:rPr>
        <w:footnoteRef/>
      </w:r>
      <w:r>
        <w:t xml:space="preserve"> </w:t>
      </w:r>
      <w:r>
        <w:t xml:space="preserve">Ikonomidis 2020, PMID 32052315.</w:t>
      </w:r>
    </w:p>
  </w:footnote>
  <w:footnote w:id="1823">
    <w:p>
      <w:pPr>
        <w:pStyle w:val="FootnoteText"/>
      </w:pPr>
      <w:r>
        <w:rPr>
          <w:rStyle w:val="FootnoteReference"/>
        </w:rPr>
        <w:footnoteRef/>
      </w:r>
      <w:r>
        <w:t xml:space="preserve"> </w:t>
      </w:r>
      <w:r>
        <w:t xml:space="preserve">Cuyàs 2022, PMID 36490309.</w:t>
      </w:r>
    </w:p>
  </w:footnote>
  <w:footnote w:id="1824">
    <w:p>
      <w:pPr>
        <w:pStyle w:val="FootnoteText"/>
      </w:pPr>
      <w:r>
        <w:rPr>
          <w:rStyle w:val="FootnoteReference"/>
        </w:rPr>
        <w:footnoteRef/>
      </w:r>
      <w:r>
        <w:t xml:space="preserve"> </w:t>
      </w:r>
      <w:r>
        <w:t xml:space="preserve">Zempo 2021, PMID 33468709.</w:t>
      </w:r>
    </w:p>
  </w:footnote>
  <w:footnote w:id="1826">
    <w:p>
      <w:pPr>
        <w:pStyle w:val="FootnoteText"/>
      </w:pPr>
      <w:r>
        <w:rPr>
          <w:rStyle w:val="FootnoteReference"/>
        </w:rPr>
        <w:footnoteRef/>
      </w:r>
      <w:r>
        <w:t xml:space="preserve"> </w:t>
      </w:r>
      <w:r>
        <w:t xml:space="preserve">NCT03998514.</w:t>
      </w:r>
    </w:p>
  </w:footnote>
  <w:footnote w:id="1829">
    <w:p>
      <w:pPr>
        <w:pStyle w:val="FootnoteText"/>
      </w:pPr>
      <w:r>
        <w:rPr>
          <w:rStyle w:val="FootnoteReference"/>
        </w:rPr>
        <w:footnoteRef/>
      </w:r>
      <w:r>
        <w:t xml:space="preserve"> </w:t>
      </w:r>
      <w:r>
        <w:t xml:space="preserve">Lee 2015, PMID 25738459.</w:t>
      </w:r>
    </w:p>
  </w:footnote>
  <w:footnote w:id="1830">
    <w:p>
      <w:pPr>
        <w:pStyle w:val="FootnoteText"/>
      </w:pPr>
      <w:r>
        <w:rPr>
          <w:rStyle w:val="FootnoteReference"/>
        </w:rPr>
        <w:footnoteRef/>
      </w:r>
      <w:r>
        <w:t xml:space="preserve"> </w:t>
      </w:r>
      <w:r>
        <w:t xml:space="preserve">Kumagai 2021, PMID 33554779.</w:t>
      </w:r>
    </w:p>
  </w:footnote>
  <w:footnote w:id="1831">
    <w:p>
      <w:pPr>
        <w:pStyle w:val="FootnoteText"/>
      </w:pPr>
      <w:r>
        <w:rPr>
          <w:rStyle w:val="FootnoteReference"/>
        </w:rPr>
        <w:footnoteRef/>
      </w:r>
      <w:r>
        <w:t xml:space="preserve"> </w:t>
      </w:r>
      <w:r>
        <w:t xml:space="preserve">Reynolds 2021, PMID 33473109.</w:t>
      </w:r>
    </w:p>
  </w:footnote>
  <w:footnote w:id="1832">
    <w:p>
      <w:pPr>
        <w:pStyle w:val="FootnoteText"/>
      </w:pPr>
      <w:r>
        <w:rPr>
          <w:rStyle w:val="FootnoteReference"/>
        </w:rPr>
        <w:footnoteRef/>
      </w:r>
      <w:r>
        <w:t xml:space="preserve"> </w:t>
      </w:r>
      <w:r>
        <w:t xml:space="preserve">Kong 2025, PMID 40855115.</w:t>
      </w:r>
    </w:p>
  </w:footnote>
  <w:footnote w:id="1834">
    <w:p>
      <w:pPr>
        <w:pStyle w:val="FootnoteText"/>
      </w:pPr>
      <w:r>
        <w:rPr>
          <w:rStyle w:val="FootnoteReference"/>
        </w:rPr>
        <w:footnoteRef/>
      </w:r>
      <w:r>
        <w:t xml:space="preserve"> </w:t>
      </w:r>
      <w:r>
        <w:t xml:space="preserve">Yin 2024, PMID 39321430.</w:t>
      </w:r>
    </w:p>
  </w:footnote>
  <w:footnote w:id="1835">
    <w:p>
      <w:pPr>
        <w:pStyle w:val="FootnoteText"/>
      </w:pPr>
      <w:r>
        <w:rPr>
          <w:rStyle w:val="FootnoteReference"/>
        </w:rPr>
        <w:footnoteRef/>
      </w:r>
      <w:r>
        <w:t xml:space="preserve"> </w:t>
      </w:r>
      <w:r>
        <w:t xml:space="preserve">Shen 2025, PMID 39581216.</w:t>
      </w:r>
    </w:p>
  </w:footnote>
  <w:footnote w:id="1838">
    <w:p>
      <w:pPr>
        <w:pStyle w:val="FootnoteText"/>
      </w:pPr>
      <w:r>
        <w:rPr>
          <w:rStyle w:val="FootnoteReference"/>
        </w:rPr>
        <w:footnoteRef/>
      </w:r>
      <w:r>
        <w:t xml:space="preserve"> </w:t>
      </w:r>
      <w:r>
        <w:t xml:space="preserve">NCT07678073.</w:t>
      </w:r>
    </w:p>
  </w:footnote>
  <w:footnote w:id="1839">
    <w:p>
      <w:pPr>
        <w:pStyle w:val="FootnoteText"/>
      </w:pPr>
      <w:r>
        <w:rPr>
          <w:rStyle w:val="FootnoteReference"/>
        </w:rPr>
        <w:footnoteRef/>
      </w:r>
      <w:r>
        <w:t xml:space="preserve"> </w:t>
      </w:r>
      <w:r>
        <w:t xml:space="preserve">NCT03878706.</w:t>
      </w:r>
    </w:p>
  </w:footnote>
  <w:footnote w:id="1844">
    <w:p>
      <w:pPr>
        <w:pStyle w:val="FootnoteText"/>
      </w:pPr>
      <w:r>
        <w:rPr>
          <w:rStyle w:val="FootnoteReference"/>
        </w:rPr>
        <w:footnoteRef/>
      </w:r>
      <w:r>
        <w:t xml:space="preserve"> </w:t>
      </w:r>
      <w:r>
        <w:t xml:space="preserve">Hashimoto 2001, PMID 11717357.</w:t>
      </w:r>
    </w:p>
  </w:footnote>
  <w:footnote w:id="1845">
    <w:p>
      <w:pPr>
        <w:pStyle w:val="FootnoteText"/>
      </w:pPr>
      <w:r>
        <w:rPr>
          <w:rStyle w:val="FootnoteReference"/>
        </w:rPr>
        <w:footnoteRef/>
      </w:r>
      <w:r>
        <w:t xml:space="preserve"> </w:t>
      </w:r>
      <w:r>
        <w:t xml:space="preserve">Hashimoto 2009, PMID 19386761.</w:t>
      </w:r>
    </w:p>
  </w:footnote>
  <w:footnote w:id="1846">
    <w:p>
      <w:pPr>
        <w:pStyle w:val="FootnoteText"/>
      </w:pPr>
      <w:r>
        <w:rPr>
          <w:rStyle w:val="FootnoteReference"/>
        </w:rPr>
        <w:footnoteRef/>
      </w:r>
      <w:r>
        <w:t xml:space="preserve"> </w:t>
      </w:r>
      <w:r>
        <w:t xml:space="preserve">Miller 2022, PMID 35499074.</w:t>
      </w:r>
    </w:p>
  </w:footnote>
  <w:footnote w:id="1848">
    <w:p>
      <w:pPr>
        <w:pStyle w:val="FootnoteText"/>
      </w:pPr>
      <w:r>
        <w:rPr>
          <w:rStyle w:val="FootnoteReference"/>
        </w:rPr>
        <w:footnoteRef/>
      </w:r>
      <w:r>
        <w:t xml:space="preserve"> </w:t>
      </w:r>
      <w:r>
        <w:t xml:space="preserve">Lee 2014, PMID 25040290.</w:t>
      </w:r>
    </w:p>
  </w:footnote>
  <w:footnote w:id="1852">
    <w:p>
      <w:pPr>
        <w:pStyle w:val="FootnoteText"/>
      </w:pPr>
      <w:r>
        <w:rPr>
          <w:rStyle w:val="FootnoteReference"/>
        </w:rPr>
        <w:footnoteRef/>
      </w:r>
      <w:r>
        <w:t xml:space="preserve"> </w:t>
      </w:r>
      <w:r>
        <w:t xml:space="preserve">Yen 2020, PMID 32575074.</w:t>
      </w:r>
    </w:p>
  </w:footnote>
  <w:footnote w:id="1853">
    <w:p>
      <w:pPr>
        <w:pStyle w:val="FootnoteText"/>
      </w:pPr>
      <w:r>
        <w:rPr>
          <w:rStyle w:val="FootnoteReference"/>
        </w:rPr>
        <w:footnoteRef/>
      </w:r>
      <w:r>
        <w:t xml:space="preserve"> </w:t>
      </w:r>
      <w:r>
        <w:t xml:space="preserve">Muzumdar 2010, PMID 20651283.</w:t>
      </w:r>
    </w:p>
  </w:footnote>
  <w:footnote w:id="1854">
    <w:p>
      <w:pPr>
        <w:pStyle w:val="FootnoteText"/>
      </w:pPr>
      <w:r>
        <w:rPr>
          <w:rStyle w:val="FootnoteReference"/>
        </w:rPr>
        <w:footnoteRef/>
      </w:r>
      <w:r>
        <w:t xml:space="preserve"> </w:t>
      </w:r>
      <w:r>
        <w:t xml:space="preserve">Qin 2018, PMID 30004252.</w:t>
      </w:r>
    </w:p>
  </w:footnote>
  <w:footnote w:id="1855">
    <w:p>
      <w:pPr>
        <w:pStyle w:val="FootnoteText"/>
      </w:pPr>
      <w:r>
        <w:rPr>
          <w:rStyle w:val="FootnoteReference"/>
        </w:rPr>
        <w:footnoteRef/>
      </w:r>
      <w:r>
        <w:t xml:space="preserve"> </w:t>
      </w:r>
      <w:r>
        <w:t xml:space="preserve">Miller 2024, PMID 38520065.</w:t>
      </w:r>
    </w:p>
  </w:footnote>
  <w:footnote w:id="1856">
    <w:p>
      <w:pPr>
        <w:pStyle w:val="FootnoteText"/>
      </w:pPr>
      <w:r>
        <w:rPr>
          <w:rStyle w:val="FootnoteReference"/>
        </w:rPr>
        <w:footnoteRef/>
      </w:r>
      <w:r>
        <w:t xml:space="preserve"> </w:t>
      </w:r>
      <w:r>
        <w:t xml:space="preserve">Nashine 2017, PMID 28726777.</w:t>
      </w:r>
    </w:p>
  </w:footnote>
  <w:footnote w:id="1858">
    <w:p>
      <w:pPr>
        <w:pStyle w:val="FootnoteText"/>
      </w:pPr>
      <w:r>
        <w:rPr>
          <w:rStyle w:val="FootnoteReference"/>
        </w:rPr>
        <w:footnoteRef/>
      </w:r>
      <w:r>
        <w:t xml:space="preserve"> </w:t>
      </w:r>
      <w:r>
        <w:t xml:space="preserve">Moreno Ayala 2020, PMID 32444831.</w:t>
      </w:r>
    </w:p>
  </w:footnote>
  <w:footnote w:id="1859">
    <w:p>
      <w:pPr>
        <w:pStyle w:val="FootnoteText"/>
      </w:pPr>
      <w:r>
        <w:rPr>
          <w:rStyle w:val="FootnoteReference"/>
        </w:rPr>
        <w:footnoteRef/>
      </w:r>
      <w:r>
        <w:t xml:space="preserve"> </w:t>
      </w:r>
      <w:r>
        <w:t xml:space="preserve">Mendelsohn 2018, PMID 30058454.</w:t>
      </w:r>
    </w:p>
  </w:footnote>
  <w:footnote w:id="1862">
    <w:p>
      <w:pPr>
        <w:pStyle w:val="FootnoteText"/>
      </w:pPr>
      <w:r>
        <w:rPr>
          <w:rStyle w:val="FootnoteReference"/>
        </w:rPr>
        <w:footnoteRef/>
      </w:r>
      <w:r>
        <w:t xml:space="preserve"> </w:t>
      </w:r>
      <w:r>
        <w:t xml:space="preserve">NCT07678073.</w:t>
      </w:r>
    </w:p>
  </w:footnote>
  <w:footnote w:id="1867">
    <w:p>
      <w:pPr>
        <w:pStyle w:val="FootnoteText"/>
      </w:pPr>
      <w:r>
        <w:rPr>
          <w:rStyle w:val="FootnoteReference"/>
        </w:rPr>
        <w:footnoteRef/>
      </w:r>
      <w:r>
        <w:t xml:space="preserve"> </w:t>
      </w:r>
      <w:r>
        <w:t xml:space="preserve">Szeto 2014, PMID 24117165.</w:t>
      </w:r>
    </w:p>
  </w:footnote>
  <w:footnote w:id="1869">
    <w:p>
      <w:pPr>
        <w:pStyle w:val="FootnoteText"/>
      </w:pPr>
      <w:r>
        <w:rPr>
          <w:rStyle w:val="FootnoteReference"/>
        </w:rPr>
        <w:footnoteRef/>
      </w:r>
      <w:r>
        <w:t xml:space="preserve"> </w:t>
      </w:r>
      <w:r>
        <w:t xml:space="preserve">NCT03098797.</w:t>
      </w:r>
    </w:p>
  </w:footnote>
  <w:footnote w:id="1870">
    <w:p>
      <w:pPr>
        <w:pStyle w:val="FootnoteText"/>
      </w:pPr>
      <w:r>
        <w:rPr>
          <w:rStyle w:val="FootnoteReference"/>
        </w:rPr>
        <w:footnoteRef/>
      </w:r>
      <w:r>
        <w:t xml:space="preserve"> </w:t>
      </w:r>
      <w:r>
        <w:t xml:space="preserve">Reid Thompson 2021, PMID 33077895.</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Thompson 2024, PMID 38602181.</w:t>
      </w:r>
    </w:p>
  </w:footnote>
  <w:footnote w:id="1873">
    <w:p>
      <w:pPr>
        <w:pStyle w:val="FootnoteText"/>
      </w:pPr>
      <w:r>
        <w:rPr>
          <w:rStyle w:val="FootnoteReference"/>
        </w:rPr>
        <w:footnoteRef/>
      </w:r>
      <w:r>
        <w:t xml:space="preserve"> </w:t>
      </w:r>
      <w:r>
        <w:t xml:space="preserve">Hornby 2022, PMID 36056411.</w:t>
      </w:r>
    </w:p>
  </w:footnote>
  <w:footnote w:id="1874">
    <w:p>
      <w:pPr>
        <w:pStyle w:val="FootnoteText"/>
      </w:pPr>
      <w:r>
        <w:rPr>
          <w:rStyle w:val="FootnoteReference"/>
        </w:rPr>
        <w:footnoteRef/>
      </w:r>
      <w:r>
        <w:t xml:space="preserve"> </w:t>
      </w:r>
      <w:r>
        <w:t xml:space="preserve">Shirley 2026, PMID 41335372.</w:t>
      </w:r>
    </w:p>
  </w:footnote>
  <w:footnote w:id="1875">
    <w:p>
      <w:pPr>
        <w:pStyle w:val="FootnoteText"/>
      </w:pPr>
      <w:r>
        <w:rPr>
          <w:rStyle w:val="FootnoteReference"/>
        </w:rPr>
        <w:footnoteRef/>
      </w:r>
      <w:r>
        <w:t xml:space="preserve"> </w:t>
      </w:r>
      <w:r>
        <w:t xml:space="preserve">NCT07531251.</w:t>
      </w:r>
    </w:p>
  </w:footnote>
  <w:footnote w:id="1877">
    <w:p>
      <w:pPr>
        <w:pStyle w:val="FootnoteText"/>
      </w:pPr>
      <w:r>
        <w:rPr>
          <w:rStyle w:val="FootnoteReference"/>
        </w:rPr>
        <w:footnoteRef/>
      </w:r>
      <w:r>
        <w:t xml:space="preserve"> </w:t>
      </w:r>
      <w:r>
        <w:t xml:space="preserve">NCT03323749.</w:t>
      </w:r>
    </w:p>
  </w:footnote>
  <w:footnote w:id="1878">
    <w:p>
      <w:pPr>
        <w:pStyle w:val="FootnoteText"/>
      </w:pPr>
      <w:r>
        <w:rPr>
          <w:rStyle w:val="FootnoteReference"/>
        </w:rPr>
        <w:footnoteRef/>
      </w:r>
      <w:r>
        <w:t xml:space="preserve"> </w:t>
      </w:r>
      <w:r>
        <w:t xml:space="preserve">Karaa 2023, PMID 37268435.</w:t>
      </w:r>
    </w:p>
  </w:footnote>
  <w:footnote w:id="1879">
    <w:p>
      <w:pPr>
        <w:pStyle w:val="FootnoteText"/>
      </w:pPr>
      <w:r>
        <w:rPr>
          <w:rStyle w:val="FootnoteReference"/>
        </w:rPr>
        <w:footnoteRef/>
      </w:r>
      <w:r>
        <w:t xml:space="preserve"> </w:t>
      </w:r>
      <w:r>
        <w:t xml:space="preserve">Karaa 2024, PMID 39574155.</w:t>
      </w:r>
    </w:p>
  </w:footnote>
  <w:footnote w:id="1880">
    <w:p>
      <w:pPr>
        <w:pStyle w:val="FootnoteText"/>
      </w:pPr>
      <w:r>
        <w:rPr>
          <w:rStyle w:val="FootnoteReference"/>
        </w:rPr>
        <w:footnoteRef/>
      </w:r>
      <w:r>
        <w:t xml:space="preserve"> </w:t>
      </w:r>
      <w:r>
        <w:t xml:space="preserve">NCT05162768.</w:t>
      </w:r>
    </w:p>
  </w:footnote>
  <w:footnote w:id="1882">
    <w:p>
      <w:pPr>
        <w:pStyle w:val="FootnoteText"/>
      </w:pPr>
      <w:r>
        <w:rPr>
          <w:rStyle w:val="FootnoteReference"/>
        </w:rPr>
        <w:footnoteRef/>
      </w:r>
      <w:r>
        <w:t xml:space="preserve"> </w:t>
      </w:r>
      <w:r>
        <w:t xml:space="preserve">Gibson 2016, PMID 26586786; Butler 2020, PMID 32068002.</w:t>
      </w:r>
    </w:p>
  </w:footnote>
  <w:footnote w:id="1883">
    <w:p>
      <w:pPr>
        <w:pStyle w:val="FootnoteText"/>
      </w:pPr>
      <w:r>
        <w:rPr>
          <w:rStyle w:val="FootnoteReference"/>
        </w:rPr>
        <w:footnoteRef/>
      </w:r>
      <w:r>
        <w:t xml:space="preserve"> </w:t>
      </w:r>
      <w:r>
        <w:t xml:space="preserve">Ehlers 2025, PMID 39605874.</w:t>
      </w:r>
    </w:p>
  </w:footnote>
  <w:footnote w:id="1884">
    <w:p>
      <w:pPr>
        <w:pStyle w:val="FootnoteText"/>
      </w:pPr>
      <w:r>
        <w:rPr>
          <w:rStyle w:val="FootnoteReference"/>
        </w:rPr>
        <w:footnoteRef/>
      </w:r>
      <w:r>
        <w:t xml:space="preserve"> </w:t>
      </w:r>
      <w:r>
        <w:t xml:space="preserve">NCT06373731.</w:t>
      </w:r>
    </w:p>
  </w:footnote>
  <w:footnote w:id="1885">
    <w:p>
      <w:pPr>
        <w:pStyle w:val="FootnoteText"/>
      </w:pPr>
      <w:r>
        <w:rPr>
          <w:rStyle w:val="FootnoteReference"/>
        </w:rPr>
        <w:footnoteRef/>
      </w:r>
      <w:r>
        <w:t xml:space="preserve"> </w:t>
      </w:r>
      <w:r>
        <w:t xml:space="preserve">Roshanravan 2021, PMID 34264994.</w:t>
      </w:r>
    </w:p>
  </w:footnote>
  <w:footnote w:id="1888">
    <w:p>
      <w:pPr>
        <w:pStyle w:val="FootnoteText"/>
      </w:pPr>
      <w:r>
        <w:rPr>
          <w:rStyle w:val="FootnoteReference"/>
        </w:rPr>
        <w:footnoteRef/>
      </w:r>
      <w:r>
        <w:t xml:space="preserve"> </w:t>
      </w:r>
      <w:r>
        <w:t xml:space="preserve">Szeto 2014, PMID 24117165.</w:t>
      </w:r>
    </w:p>
  </w:footnote>
  <w:footnote w:id="1889">
    <w:p>
      <w:pPr>
        <w:pStyle w:val="FootnoteText"/>
      </w:pPr>
      <w:r>
        <w:rPr>
          <w:rStyle w:val="FootnoteReference"/>
        </w:rPr>
        <w:footnoteRef/>
      </w:r>
      <w:r>
        <w:t xml:space="preserve"> </w:t>
      </w:r>
      <w:r>
        <w:t xml:space="preserve">Sabbah 2016, PMID 26839394.</w:t>
      </w:r>
    </w:p>
  </w:footnote>
  <w:footnote w:id="1890">
    <w:p>
      <w:pPr>
        <w:pStyle w:val="FootnoteText"/>
      </w:pPr>
      <w:r>
        <w:rPr>
          <w:rStyle w:val="FootnoteReference"/>
        </w:rPr>
        <w:footnoteRef/>
      </w:r>
      <w:r>
        <w:t xml:space="preserve"> </w:t>
      </w:r>
      <w:r>
        <w:t xml:space="preserve">Schauer 2026, PMID 41596703.</w:t>
      </w:r>
    </w:p>
  </w:footnote>
  <w:footnote w:id="1892">
    <w:p>
      <w:pPr>
        <w:pStyle w:val="FootnoteText"/>
      </w:pPr>
      <w:r>
        <w:rPr>
          <w:rStyle w:val="FootnoteReference"/>
        </w:rPr>
        <w:footnoteRef/>
      </w:r>
      <w:r>
        <w:t xml:space="preserve"> </w:t>
      </w:r>
      <w:r>
        <w:t xml:space="preserve">Karaa 2020, PMID 32096613.</w:t>
      </w:r>
    </w:p>
  </w:footnote>
  <w:footnote w:id="1893">
    <w:p>
      <w:pPr>
        <w:pStyle w:val="FootnoteText"/>
      </w:pPr>
      <w:r>
        <w:rPr>
          <w:rStyle w:val="FootnoteReference"/>
        </w:rPr>
        <w:footnoteRef/>
      </w:r>
      <w:r>
        <w:t xml:space="preserve"> </w:t>
      </w:r>
      <w:r>
        <w:t xml:space="preserve">Ehlers 2025, PMID 39605874.</w:t>
      </w:r>
    </w:p>
  </w:footnote>
  <w:footnote w:id="1894">
    <w:p>
      <w:pPr>
        <w:pStyle w:val="FootnoteText"/>
      </w:pPr>
      <w:r>
        <w:rPr>
          <w:rStyle w:val="FootnoteReference"/>
        </w:rPr>
        <w:footnoteRef/>
      </w:r>
      <w:r>
        <w:t xml:space="preserve"> </w:t>
      </w:r>
      <w:r>
        <w:t xml:space="preserve">Karaa 2023, PMID 37268435.</w:t>
      </w:r>
    </w:p>
  </w:footnote>
  <w:footnote w:id="1895">
    <w:p>
      <w:pPr>
        <w:pStyle w:val="FootnoteText"/>
      </w:pPr>
      <w:r>
        <w:rPr>
          <w:rStyle w:val="FootnoteReference"/>
        </w:rPr>
        <w:footnoteRef/>
      </w:r>
      <w:r>
        <w:t xml:space="preserve"> </w:t>
      </w:r>
      <w:r>
        <w:t xml:space="preserve">Thompson 2024, PMID 38602181.</w:t>
      </w:r>
    </w:p>
  </w:footnote>
  <w:footnote w:id="1897">
    <w:p>
      <w:pPr>
        <w:pStyle w:val="FootnoteText"/>
      </w:pPr>
      <w:r>
        <w:rPr>
          <w:rStyle w:val="FootnoteReference"/>
        </w:rPr>
        <w:footnoteRef/>
      </w:r>
      <w:r>
        <w:t xml:space="preserve"> </w:t>
      </w:r>
      <w:r>
        <w:t xml:space="preserve">NCT04689360.</w:t>
      </w:r>
    </w:p>
  </w:footnote>
  <w:footnote w:id="1899">
    <w:p>
      <w:pPr>
        <w:pStyle w:val="FootnoteText"/>
      </w:pPr>
      <w:r>
        <w:rPr>
          <w:rStyle w:val="FootnoteReference"/>
        </w:rPr>
        <w:footnoteRef/>
      </w:r>
      <w:r>
        <w:t xml:space="preserve"> </w:t>
      </w:r>
      <w:r>
        <w:t xml:space="preserve">NCT06373731.</w:t>
      </w:r>
    </w:p>
  </w:footnote>
  <w:footnote w:id="1900">
    <w:p>
      <w:pPr>
        <w:pStyle w:val="FootnoteText"/>
      </w:pPr>
      <w:r>
        <w:rPr>
          <w:rStyle w:val="FootnoteReference"/>
        </w:rPr>
        <w:footnoteRef/>
      </w:r>
      <w:r>
        <w:t xml:space="preserve"> </w:t>
      </w:r>
      <w:r>
        <w:t xml:space="preserve">NCT07531251.</w:t>
      </w:r>
    </w:p>
  </w:footnote>
  <w:footnote w:id="1901">
    <w:p>
      <w:pPr>
        <w:pStyle w:val="FootnoteText"/>
      </w:pPr>
      <w:r>
        <w:rPr>
          <w:rStyle w:val="FootnoteReference"/>
        </w:rPr>
        <w:footnoteRef/>
      </w:r>
      <w:r>
        <w:t xml:space="preserve"> </w:t>
      </w:r>
      <w:r>
        <w:t xml:space="preserve">NCT05162768.</w:t>
      </w:r>
    </w:p>
  </w:footnote>
  <w:footnote w:id="1902">
    <w:p>
      <w:pPr>
        <w:pStyle w:val="FootnoteText"/>
      </w:pPr>
      <w:r>
        <w:rPr>
          <w:rStyle w:val="FootnoteReference"/>
        </w:rPr>
        <w:footnoteRef/>
      </w:r>
      <w:r>
        <w:t xml:space="preserve"> </w:t>
      </w:r>
      <w:r>
        <w:t xml:space="preserve">NCT07275424.</w:t>
      </w:r>
    </w:p>
  </w:footnote>
  <w:footnote w:id="1907">
    <w:p>
      <w:pPr>
        <w:pStyle w:val="FootnoteText"/>
      </w:pPr>
      <w:r>
        <w:rPr>
          <w:rStyle w:val="FootnoteReference"/>
        </w:rPr>
        <w:footnoteRef/>
      </w:r>
      <w:r>
        <w:t xml:space="preserve"> </w:t>
      </w:r>
      <w:r>
        <w:t xml:space="preserve">Baar 2017, PMID 28340339.</w:t>
      </w:r>
    </w:p>
  </w:footnote>
  <w:footnote w:id="1908">
    <w:p>
      <w:pPr>
        <w:pStyle w:val="FootnoteText"/>
      </w:pPr>
      <w:r>
        <w:rPr>
          <w:rStyle w:val="FootnoteReference"/>
        </w:rPr>
        <w:footnoteRef/>
      </w:r>
      <w:r>
        <w:t xml:space="preserve"> </w:t>
      </w:r>
      <w:r>
        <w:t xml:space="preserve">Bourgeois 2025, PMID 40593617.</w:t>
      </w:r>
    </w:p>
  </w:footnote>
  <w:footnote w:id="1909">
    <w:p>
      <w:pPr>
        <w:pStyle w:val="FootnoteText"/>
      </w:pPr>
      <w:r>
        <w:rPr>
          <w:rStyle w:val="FootnoteReference"/>
        </w:rPr>
        <w:footnoteRef/>
      </w:r>
      <w:r>
        <w:t xml:space="preserve"> </w:t>
      </w:r>
      <w:r>
        <w:t xml:space="preserve">Justice 2019, PMID 30616998.</w:t>
      </w:r>
    </w:p>
  </w:footnote>
  <w:footnote w:id="1910">
    <w:p>
      <w:pPr>
        <w:pStyle w:val="FootnoteText"/>
      </w:pPr>
      <w:r>
        <w:rPr>
          <w:rStyle w:val="FootnoteReference"/>
        </w:rPr>
        <w:footnoteRef/>
      </w:r>
      <w:r>
        <w:t xml:space="preserve"> </w:t>
      </w:r>
      <w:r>
        <w:t xml:space="preserve">Farr 2024, PMID 38956196.</w:t>
      </w:r>
    </w:p>
  </w:footnote>
  <w:footnote w:id="1913">
    <w:p>
      <w:pPr>
        <w:pStyle w:val="FootnoteText"/>
      </w:pPr>
      <w:r>
        <w:rPr>
          <w:rStyle w:val="FootnoteReference"/>
        </w:rPr>
        <w:footnoteRef/>
      </w:r>
      <w:r>
        <w:t xml:space="preserve"> </w:t>
      </w:r>
      <w:r>
        <w:t xml:space="preserve">Huang 2021, PMID 33996787.</w:t>
      </w:r>
    </w:p>
  </w:footnote>
  <w:footnote w:id="1915">
    <w:p>
      <w:pPr>
        <w:pStyle w:val="FootnoteText"/>
      </w:pPr>
      <w:r>
        <w:rPr>
          <w:rStyle w:val="FootnoteReference"/>
        </w:rPr>
        <w:footnoteRef/>
      </w:r>
      <w:r>
        <w:t xml:space="preserve"> </w:t>
      </w:r>
      <w:r>
        <w:t xml:space="preserve">Baar 2017, PMID 28340339.</w:t>
      </w:r>
    </w:p>
  </w:footnote>
  <w:footnote w:id="1916">
    <w:p>
      <w:pPr>
        <w:pStyle w:val="FootnoteText"/>
      </w:pPr>
      <w:r>
        <w:rPr>
          <w:rStyle w:val="FootnoteReference"/>
        </w:rPr>
        <w:footnoteRef/>
      </w:r>
      <w:r>
        <w:t xml:space="preserve"> </w:t>
      </w:r>
      <w:r>
        <w:t xml:space="preserve">Born 2023, PMID 36515093.</w:t>
      </w:r>
    </w:p>
  </w:footnote>
  <w:footnote w:id="1918">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Bourgeois 2025, PMID 40593617.</w:t>
      </w:r>
    </w:p>
  </w:footnote>
  <w:footnote w:id="1927">
    <w:p>
      <w:pPr>
        <w:pStyle w:val="FootnoteText"/>
      </w:pPr>
      <w:r>
        <w:rPr>
          <w:rStyle w:val="FootnoteReference"/>
        </w:rPr>
        <w:footnoteRef/>
      </w:r>
      <w:r>
        <w:t xml:space="preserve"> </w:t>
      </w:r>
      <w:r>
        <w:t xml:space="preserve">Allen 2011, PMID 21875351.</w:t>
      </w:r>
    </w:p>
  </w:footnote>
  <w:footnote w:id="1928">
    <w:p>
      <w:pPr>
        <w:pStyle w:val="FootnoteText"/>
      </w:pPr>
      <w:r>
        <w:rPr>
          <w:rStyle w:val="FootnoteReference"/>
        </w:rPr>
        <w:footnoteRef/>
      </w:r>
      <w:r>
        <w:t xml:space="preserve"> </w:t>
      </w:r>
      <w:r>
        <w:t xml:space="preserve">Richie 2015, PMID 24791752.</w:t>
      </w:r>
    </w:p>
  </w:footnote>
  <w:footnote w:id="1929">
    <w:p>
      <w:pPr>
        <w:pStyle w:val="FootnoteText"/>
      </w:pPr>
      <w:r>
        <w:rPr>
          <w:rStyle w:val="FootnoteReference"/>
        </w:rPr>
        <w:footnoteRef/>
      </w:r>
      <w:r>
        <w:t xml:space="preserve"> </w:t>
      </w:r>
      <w:r>
        <w:t xml:space="preserve">Sinha 2018, PMID 28853742.</w:t>
      </w:r>
    </w:p>
  </w:footnote>
  <w:footnote w:id="1931">
    <w:p>
      <w:pPr>
        <w:pStyle w:val="FootnoteText"/>
      </w:pPr>
      <w:r>
        <w:rPr>
          <w:rStyle w:val="FootnoteReference"/>
        </w:rPr>
        <w:footnoteRef/>
      </w:r>
      <w:r>
        <w:t xml:space="preserve"> </w:t>
      </w:r>
      <w:r>
        <w:t xml:space="preserve">Leal 2014, PMID 24619793.</w:t>
      </w:r>
    </w:p>
  </w:footnote>
  <w:footnote w:id="1932">
    <w:p>
      <w:pPr>
        <w:pStyle w:val="FootnoteText"/>
      </w:pPr>
      <w:r>
        <w:rPr>
          <w:rStyle w:val="FootnoteReference"/>
        </w:rPr>
        <w:footnoteRef/>
      </w:r>
      <w:r>
        <w:t xml:space="preserve"> </w:t>
      </w:r>
      <w:r>
        <w:t xml:space="preserve">Hauser 2009, PMID 19230029.</w:t>
      </w:r>
    </w:p>
  </w:footnote>
  <w:footnote w:id="1933">
    <w:p>
      <w:pPr>
        <w:pStyle w:val="FootnoteText"/>
      </w:pPr>
      <w:r>
        <w:rPr>
          <w:rStyle w:val="FootnoteReference"/>
        </w:rPr>
        <w:footnoteRef/>
      </w:r>
      <w:r>
        <w:t xml:space="preserve"> </w:t>
      </w:r>
      <w:r>
        <w:t xml:space="preserve">Mischley 2017, PMID 28436395.</w:t>
      </w:r>
    </w:p>
  </w:footnote>
  <w:footnote w:id="1934">
    <w:p>
      <w:pPr>
        <w:pStyle w:val="FootnoteText"/>
      </w:pPr>
      <w:r>
        <w:rPr>
          <w:rStyle w:val="FootnoteReference"/>
        </w:rPr>
        <w:footnoteRef/>
      </w:r>
      <w:r>
        <w:t xml:space="preserve"> </w:t>
      </w:r>
      <w:r>
        <w:t xml:space="preserve">Bozic 2020, PMID 32960827.</w:t>
      </w:r>
    </w:p>
  </w:footnote>
  <w:footnote w:id="1935">
    <w:p>
      <w:pPr>
        <w:pStyle w:val="FootnoteText"/>
      </w:pPr>
      <w:r>
        <w:rPr>
          <w:rStyle w:val="FootnoteReference"/>
        </w:rPr>
        <w:footnoteRef/>
      </w:r>
      <w:r>
        <w:t xml:space="preserve"> </w:t>
      </w:r>
      <w:r>
        <w:t xml:space="preserve">Søndergård 2021, PMID 33740389.</w:t>
      </w:r>
    </w:p>
  </w:footnote>
  <w:footnote w:id="1936">
    <w:p>
      <w:pPr>
        <w:pStyle w:val="FootnoteText"/>
      </w:pPr>
      <w:r>
        <w:rPr>
          <w:rStyle w:val="FootnoteReference"/>
        </w:rPr>
        <w:footnoteRef/>
      </w:r>
      <w:r>
        <w:t xml:space="preserve"> </w:t>
      </w:r>
      <w:r>
        <w:t xml:space="preserve">Honda 2017, PMID 28789631.</w:t>
      </w:r>
    </w:p>
  </w:footnote>
  <w:footnote w:id="1937">
    <w:p>
      <w:pPr>
        <w:pStyle w:val="FootnoteText"/>
      </w:pPr>
      <w:r>
        <w:rPr>
          <w:rStyle w:val="FootnoteReference"/>
        </w:rPr>
        <w:footnoteRef/>
      </w:r>
      <w:r>
        <w:t xml:space="preserve"> </w:t>
      </w:r>
      <w:r>
        <w:t xml:space="preserve">Arrivi 2023, PMID 36083043.</w:t>
      </w:r>
    </w:p>
  </w:footnote>
  <w:footnote w:id="1939">
    <w:p>
      <w:pPr>
        <w:pStyle w:val="FootnoteText"/>
      </w:pPr>
      <w:r>
        <w:rPr>
          <w:rStyle w:val="FootnoteReference"/>
        </w:rPr>
        <w:footnoteRef/>
      </w:r>
      <w:r>
        <w:t xml:space="preserve"> </w:t>
      </w:r>
      <w:r>
        <w:t xml:space="preserve">Arjinpathana 2012, PMID 20524875.</w:t>
      </w:r>
    </w:p>
  </w:footnote>
  <w:footnote w:id="1940">
    <w:p>
      <w:pPr>
        <w:pStyle w:val="FootnoteText"/>
      </w:pPr>
      <w:r>
        <w:rPr>
          <w:rStyle w:val="FootnoteReference"/>
        </w:rPr>
        <w:footnoteRef/>
      </w:r>
      <w:r>
        <w:t xml:space="preserve"> </w:t>
      </w:r>
      <w:r>
        <w:t xml:space="preserve">Dilokthornsakul 2019, PMID 30895708.</w:t>
      </w:r>
    </w:p>
  </w:footnote>
  <w:footnote w:id="1941">
    <w:p>
      <w:pPr>
        <w:pStyle w:val="FootnoteText"/>
      </w:pPr>
      <w:r>
        <w:rPr>
          <w:rStyle w:val="FootnoteReference"/>
        </w:rPr>
        <w:footnoteRef/>
      </w:r>
      <w:r>
        <w:t xml:space="preserve"> </w:t>
      </w:r>
      <w:r>
        <w:t xml:space="preserve">Sarkar 2025, PMID 39444151.</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Davids 2016, PMID 27499402.</w:t>
      </w:r>
    </w:p>
  </w:footnote>
  <w:footnote w:id="1944">
    <w:p>
      <w:pPr>
        <w:pStyle w:val="FootnoteText"/>
      </w:pPr>
      <w:r>
        <w:rPr>
          <w:rStyle w:val="FootnoteReference"/>
        </w:rPr>
        <w:footnoteRef/>
      </w:r>
      <w:r>
        <w:t xml:space="preserve"> </w:t>
      </w:r>
      <w:r>
        <w:t xml:space="preserve">Dadzie 2016, PMID 27581922.</w:t>
      </w:r>
    </w:p>
  </w:footnote>
  <w:footnote w:id="1948">
    <w:p>
      <w:pPr>
        <w:pStyle w:val="FootnoteText"/>
      </w:pPr>
      <w:r>
        <w:rPr>
          <w:rStyle w:val="FootnoteReference"/>
        </w:rPr>
        <w:footnoteRef/>
      </w:r>
      <w:r>
        <w:t xml:space="preserve"> </w:t>
      </w:r>
      <w:r>
        <w:t xml:space="preserve">Mischley 2017, PMID 28436395.</w:t>
      </w:r>
    </w:p>
  </w:footnote>
  <w:footnote w:id="1949">
    <w:p>
      <w:pPr>
        <w:pStyle w:val="FootnoteText"/>
      </w:pPr>
      <w:r>
        <w:rPr>
          <w:rStyle w:val="FootnoteReference"/>
        </w:rPr>
        <w:footnoteRef/>
      </w:r>
      <w:r>
        <w:t xml:space="preserve"> </w:t>
      </w:r>
      <w:r>
        <w:t xml:space="preserve">Davids 2016, PMID 27499402.</w:t>
      </w:r>
    </w:p>
  </w:footnote>
  <w:footnote w:id="1950">
    <w:p>
      <w:pPr>
        <w:pStyle w:val="FootnoteText"/>
      </w:pPr>
      <w:r>
        <w:rPr>
          <w:rStyle w:val="FootnoteReference"/>
        </w:rPr>
        <w:footnoteRef/>
      </w:r>
      <w:r>
        <w:t xml:space="preserve"> </w:t>
      </w:r>
      <w:r>
        <w:t xml:space="preserve">Leal 2014, PMID 24619793.</w:t>
      </w:r>
    </w:p>
  </w:footnote>
  <w:footnote w:id="1953">
    <w:p>
      <w:pPr>
        <w:pStyle w:val="FootnoteText"/>
      </w:pPr>
      <w:r>
        <w:rPr>
          <w:rStyle w:val="FootnoteReference"/>
        </w:rPr>
        <w:footnoteRef/>
      </w:r>
      <w:r>
        <w:t xml:space="preserve"> </w:t>
      </w:r>
      <w:r>
        <w:t xml:space="preserve">NCT07448415.</w:t>
      </w:r>
    </w:p>
  </w:footnote>
  <w:footnote w:id="1958">
    <w:p>
      <w:pPr>
        <w:pStyle w:val="FootnoteText"/>
      </w:pPr>
      <w:r>
        <w:rPr>
          <w:rStyle w:val="FootnoteReference"/>
        </w:rPr>
        <w:footnoteRef/>
      </w:r>
      <w:r>
        <w:t xml:space="preserve"> </w:t>
      </w:r>
      <w:r>
        <w:t xml:space="preserve">Hadley 2006, PMID 16412534.</w:t>
      </w:r>
    </w:p>
  </w:footnote>
  <w:footnote w:id="1959">
    <w:p>
      <w:pPr>
        <w:pStyle w:val="FootnoteText"/>
      </w:pPr>
      <w:r>
        <w:rPr>
          <w:rStyle w:val="FootnoteReference"/>
        </w:rPr>
        <w:footnoteRef/>
      </w:r>
      <w:r>
        <w:t xml:space="preserve"> </w:t>
      </w:r>
      <w:r>
        <w:t xml:space="preserve">Hadley 2005, PMID 15996790.</w:t>
      </w:r>
    </w:p>
  </w:footnote>
  <w:footnote w:id="1964">
    <w:p>
      <w:pPr>
        <w:pStyle w:val="FootnoteText"/>
      </w:pPr>
      <w:r>
        <w:rPr>
          <w:rStyle w:val="FootnoteReference"/>
        </w:rPr>
        <w:footnoteRef/>
      </w:r>
      <w:r>
        <w:t xml:space="preserve"> </w:t>
      </w:r>
      <w:r>
        <w:t xml:space="preserve">Hadley 2006, PMID 16412534.</w:t>
      </w:r>
    </w:p>
  </w:footnote>
  <w:footnote w:id="1965">
    <w:p>
      <w:pPr>
        <w:pStyle w:val="FootnoteText"/>
      </w:pPr>
      <w:r>
        <w:rPr>
          <w:rStyle w:val="FootnoteReference"/>
        </w:rPr>
        <w:footnoteRef/>
      </w:r>
      <w:r>
        <w:t xml:space="preserve"> </w:t>
      </w:r>
      <w:r>
        <w:t xml:space="preserve">Dhillon 2019, PMID 31429064.</w:t>
      </w:r>
    </w:p>
  </w:footnote>
  <w:footnote w:id="1967">
    <w:p>
      <w:pPr>
        <w:pStyle w:val="FootnoteText"/>
      </w:pPr>
      <w:r>
        <w:rPr>
          <w:rStyle w:val="FootnoteReference"/>
        </w:rPr>
        <w:footnoteRef/>
      </w:r>
      <w:r>
        <w:t xml:space="preserve"> </w:t>
      </w:r>
      <w:r>
        <w:t xml:space="preserve">Hadley 2005, PMID 15996790.</w:t>
      </w:r>
    </w:p>
  </w:footnote>
  <w:footnote w:id="1968">
    <w:p>
      <w:pPr>
        <w:pStyle w:val="FootnoteText"/>
      </w:pPr>
      <w:r>
        <w:rPr>
          <w:rStyle w:val="FootnoteReference"/>
        </w:rPr>
        <w:footnoteRef/>
      </w:r>
      <w:r>
        <w:t xml:space="preserve"> </w:t>
      </w:r>
      <w:r>
        <w:t xml:space="preserve">Pfaus 2022, PMID 33455598.</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Thurston 2022, PMID 36189794.</w:t>
      </w:r>
    </w:p>
  </w:footnote>
  <w:footnote w:id="1972">
    <w:p>
      <w:pPr>
        <w:pStyle w:val="FootnoteText"/>
      </w:pPr>
      <w:r>
        <w:rPr>
          <w:rStyle w:val="FootnoteReference"/>
        </w:rPr>
        <w:footnoteRef/>
      </w:r>
      <w:r>
        <w:t xml:space="preserve"> </w:t>
      </w:r>
      <w:r>
        <w:t xml:space="preserve">Diamond 2004, PMID 14963471.</w:t>
      </w:r>
    </w:p>
  </w:footnote>
  <w:footnote w:id="1973">
    <w:p>
      <w:pPr>
        <w:pStyle w:val="FootnoteText"/>
      </w:pPr>
      <w:r>
        <w:rPr>
          <w:rStyle w:val="FootnoteReference"/>
        </w:rPr>
        <w:footnoteRef/>
      </w:r>
      <w:r>
        <w:t xml:space="preserve"> </w:t>
      </w:r>
      <w:r>
        <w:t xml:space="preserve">Rosen 2004, PMID 14999221.</w:t>
      </w:r>
    </w:p>
  </w:footnote>
  <w:footnote w:id="1974">
    <w:p>
      <w:pPr>
        <w:pStyle w:val="FootnoteText"/>
      </w:pPr>
      <w:r>
        <w:rPr>
          <w:rStyle w:val="FootnoteReference"/>
        </w:rPr>
        <w:footnoteRef/>
      </w:r>
      <w:r>
        <w:t xml:space="preserve"> </w:t>
      </w:r>
      <w:r>
        <w:t xml:space="preserve">Diamond 2005, PMID 15833522.</w:t>
      </w:r>
    </w:p>
  </w:footnote>
  <w:footnote w:id="1975">
    <w:p>
      <w:pPr>
        <w:pStyle w:val="FootnoteText"/>
      </w:pPr>
      <w:r>
        <w:rPr>
          <w:rStyle w:val="FootnoteReference"/>
        </w:rPr>
        <w:footnoteRef/>
      </w:r>
      <w:r>
        <w:t xml:space="preserve"> </w:t>
      </w:r>
      <w:r>
        <w:t xml:space="preserve">Safarinejad 2008, PMID 18206919.</w:t>
      </w:r>
    </w:p>
  </w:footnote>
  <w:footnote w:id="1976">
    <w:p>
      <w:pPr>
        <w:pStyle w:val="FootnoteText"/>
      </w:pPr>
      <w:r>
        <w:rPr>
          <w:rStyle w:val="FootnoteReference"/>
        </w:rPr>
        <w:footnoteRef/>
      </w:r>
      <w:r>
        <w:t xml:space="preserve"> </w:t>
      </w:r>
      <w:r>
        <w:t xml:space="preserve">Safarinejad 2008, PMID 18179455.</w:t>
      </w:r>
    </w:p>
  </w:footnote>
  <w:footnote w:id="1978">
    <w:p>
      <w:pPr>
        <w:pStyle w:val="FootnoteText"/>
      </w:pPr>
      <w:r>
        <w:rPr>
          <w:rStyle w:val="FootnoteReference"/>
        </w:rPr>
        <w:footnoteRef/>
      </w:r>
      <w:r>
        <w:t xml:space="preserve"> </w:t>
      </w:r>
      <w:r>
        <w:t xml:space="preserve">Diamond 2006, PMID 16839319.</w:t>
      </w:r>
    </w:p>
  </w:footnote>
  <w:footnote w:id="1979">
    <w:p>
      <w:pPr>
        <w:pStyle w:val="FootnoteText"/>
      </w:pPr>
      <w:r>
        <w:rPr>
          <w:rStyle w:val="FootnoteReference"/>
        </w:rPr>
        <w:footnoteRef/>
      </w:r>
      <w:r>
        <w:t xml:space="preserve"> </w:t>
      </w:r>
      <w:r>
        <w:t xml:space="preserve">Clayton 2016, PMID 27181790; NCT01382719.</w:t>
      </w:r>
    </w:p>
  </w:footnote>
  <w:footnote w:id="1980">
    <w:p>
      <w:pPr>
        <w:pStyle w:val="FootnoteText"/>
      </w:pPr>
      <w:r>
        <w:rPr>
          <w:rStyle w:val="FootnoteReference"/>
        </w:rPr>
        <w:footnoteRef/>
      </w:r>
      <w:r>
        <w:t xml:space="preserve"> </w:t>
      </w:r>
      <w:r>
        <w:t xml:space="preserve">Althof 2019, PMID 31277966.</w:t>
      </w:r>
    </w:p>
  </w:footnote>
  <w:footnote w:id="1982">
    <w:p>
      <w:pPr>
        <w:pStyle w:val="FootnoteText"/>
      </w:pPr>
      <w:r>
        <w:rPr>
          <w:rStyle w:val="FootnoteReference"/>
        </w:rPr>
        <w:footnoteRef/>
      </w:r>
      <w:r>
        <w:t xml:space="preserve"> </w:t>
      </w:r>
      <w:r>
        <w:t xml:space="preserve">NCT02333071, NCT02338960.</w:t>
      </w:r>
    </w:p>
  </w:footnote>
  <w:footnote w:id="1983">
    <w:p>
      <w:pPr>
        <w:pStyle w:val="FootnoteText"/>
      </w:pPr>
      <w:r>
        <w:rPr>
          <w:rStyle w:val="FootnoteReference"/>
        </w:rPr>
        <w:footnoteRef/>
      </w:r>
      <w:r>
        <w:t xml:space="preserve"> </w:t>
      </w:r>
      <w:r>
        <w:t xml:space="preserve">Kingsberg 2019, PMID 31599840.</w:t>
      </w:r>
    </w:p>
  </w:footnote>
  <w:footnote w:id="1984">
    <w:p>
      <w:pPr>
        <w:pStyle w:val="FootnoteText"/>
      </w:pPr>
      <w:r>
        <w:rPr>
          <w:rStyle w:val="FootnoteReference"/>
        </w:rPr>
        <w:footnoteRef/>
      </w:r>
      <w:r>
        <w:t xml:space="preserve"> </w:t>
      </w:r>
      <w:r>
        <w:t xml:space="preserve">Koochaki 2021, PMID 33538638.</w:t>
      </w:r>
    </w:p>
  </w:footnote>
  <w:footnote w:id="1986">
    <w:p>
      <w:pPr>
        <w:pStyle w:val="FootnoteText"/>
      </w:pPr>
      <w:r>
        <w:rPr>
          <w:rStyle w:val="FootnoteReference"/>
        </w:rPr>
        <w:footnoteRef/>
      </w:r>
      <w:r>
        <w:t xml:space="preserve"> </w:t>
      </w:r>
      <w:r>
        <w:t xml:space="preserve">Spielmans 2021, PMID 33678061.</w:t>
      </w:r>
    </w:p>
  </w:footnote>
  <w:footnote w:id="1987">
    <w:p>
      <w:pPr>
        <w:pStyle w:val="FootnoteText"/>
      </w:pPr>
      <w:r>
        <w:rPr>
          <w:rStyle w:val="FootnoteReference"/>
        </w:rPr>
        <w:footnoteRef/>
      </w:r>
      <w:r>
        <w:t xml:space="preserve"> </w:t>
      </w:r>
      <w:r>
        <w:t xml:space="preserve">Clayton 2022, PMID 35147466.</w:t>
      </w:r>
    </w:p>
  </w:footnote>
  <w:footnote w:id="1989">
    <w:p>
      <w:pPr>
        <w:pStyle w:val="FootnoteText"/>
      </w:pPr>
      <w:r>
        <w:rPr>
          <w:rStyle w:val="FootnoteReference"/>
        </w:rPr>
        <w:footnoteRef/>
      </w:r>
      <w:r>
        <w:t xml:space="preserve"> </w:t>
      </w:r>
      <w:r>
        <w:t xml:space="preserve">Weinberger 2018, PMID 29995725.</w:t>
      </w:r>
    </w:p>
  </w:footnote>
  <w:footnote w:id="1990">
    <w:p>
      <w:pPr>
        <w:pStyle w:val="FootnoteText"/>
      </w:pPr>
      <w:r>
        <w:rPr>
          <w:rStyle w:val="FootnoteReference"/>
        </w:rPr>
        <w:footnoteRef/>
      </w:r>
      <w:r>
        <w:t xml:space="preserve"> </w:t>
      </w:r>
      <w:r>
        <w:t xml:space="preserve">Toledo 2026, PMID 40543759.</w:t>
      </w:r>
    </w:p>
  </w:footnote>
  <w:footnote w:id="1991">
    <w:p>
      <w:pPr>
        <w:pStyle w:val="FootnoteText"/>
      </w:pPr>
      <w:r>
        <w:rPr>
          <w:rStyle w:val="FootnoteReference"/>
        </w:rPr>
        <w:footnoteRef/>
      </w:r>
      <w:r>
        <w:t xml:space="preserve"> </w:t>
      </w:r>
      <w:r>
        <w:t xml:space="preserve">Ashour 2026, PMID 42254382.</w:t>
      </w:r>
    </w:p>
  </w:footnote>
  <w:footnote w:id="1993">
    <w:p>
      <w:pPr>
        <w:pStyle w:val="FootnoteText"/>
      </w:pPr>
      <w:r>
        <w:rPr>
          <w:rStyle w:val="FootnoteReference"/>
        </w:rPr>
        <w:footnoteRef/>
      </w:r>
      <w:r>
        <w:t xml:space="preserve"> </w:t>
      </w:r>
      <w:r>
        <w:t xml:space="preserve">Clayton 2017, PMID 28189361.</w:t>
      </w:r>
    </w:p>
  </w:footnote>
  <w:footnote w:id="1994">
    <w:p>
      <w:pPr>
        <w:pStyle w:val="FootnoteText"/>
      </w:pPr>
      <w:r>
        <w:rPr>
          <w:rStyle w:val="FootnoteReference"/>
        </w:rPr>
        <w:footnoteRef/>
      </w:r>
      <w:r>
        <w:t xml:space="preserve"> </w:t>
      </w:r>
      <w:r>
        <w:t xml:space="preserve">Spana 2022, PMID 35170192.</w:t>
      </w:r>
    </w:p>
  </w:footnote>
  <w:footnote w:id="1995">
    <w:p>
      <w:pPr>
        <w:pStyle w:val="FootnoteText"/>
      </w:pPr>
      <w:r>
        <w:rPr>
          <w:rStyle w:val="FootnoteReference"/>
        </w:rPr>
        <w:footnoteRef/>
      </w:r>
      <w:r>
        <w:t xml:space="preserve"> </w:t>
      </w:r>
      <w:r>
        <w:t xml:space="preserve">Thurston 2022, PMID 36189794; NCT04179734.</w:t>
      </w:r>
    </w:p>
  </w:footnote>
  <w:footnote w:id="1998">
    <w:p>
      <w:pPr>
        <w:pStyle w:val="FootnoteText"/>
      </w:pPr>
      <w:r>
        <w:rPr>
          <w:rStyle w:val="FootnoteReference"/>
        </w:rPr>
        <w:footnoteRef/>
      </w:r>
      <w:r>
        <w:t xml:space="preserve"> </w:t>
      </w:r>
      <w:r>
        <w:t xml:space="preserve">Pfaus 2022, PMID 33455598.</w:t>
      </w:r>
    </w:p>
  </w:footnote>
  <w:footnote w:id="1999">
    <w:p>
      <w:pPr>
        <w:pStyle w:val="FootnoteText"/>
      </w:pPr>
      <w:r>
        <w:rPr>
          <w:rStyle w:val="FootnoteReference"/>
        </w:rPr>
        <w:footnoteRef/>
      </w:r>
      <w:r>
        <w:t xml:space="preserve"> </w:t>
      </w:r>
      <w:r>
        <w:t xml:space="preserve">Borland 2025, PMID 39793696.</w:t>
      </w:r>
    </w:p>
  </w:footnote>
  <w:footnote w:id="2000">
    <w:p>
      <w:pPr>
        <w:pStyle w:val="FootnoteText"/>
      </w:pPr>
      <w:r>
        <w:rPr>
          <w:rStyle w:val="FootnoteReference"/>
        </w:rPr>
        <w:footnoteRef/>
      </w:r>
      <w:r>
        <w:t xml:space="preserve"> </w:t>
      </w:r>
      <w:r>
        <w:t xml:space="preserve">Suzuki 2024, PMID 39197897.</w:t>
      </w:r>
    </w:p>
  </w:footnote>
  <w:footnote w:id="2002">
    <w:p>
      <w:pPr>
        <w:pStyle w:val="FootnoteText"/>
      </w:pPr>
      <w:r>
        <w:rPr>
          <w:rStyle w:val="FootnoteReference"/>
        </w:rPr>
        <w:footnoteRef/>
      </w:r>
      <w:r>
        <w:t xml:space="preserve"> </w:t>
      </w:r>
      <w:r>
        <w:t xml:space="preserve">Clayton 2022, PMID 35147466.</w:t>
      </w:r>
    </w:p>
  </w:footnote>
  <w:footnote w:id="2003">
    <w:p>
      <w:pPr>
        <w:pStyle w:val="FootnoteText"/>
      </w:pPr>
      <w:r>
        <w:rPr>
          <w:rStyle w:val="FootnoteReference"/>
        </w:rPr>
        <w:footnoteRef/>
      </w:r>
      <w:r>
        <w:t xml:space="preserve"> </w:t>
      </w:r>
      <w:r>
        <w:t xml:space="preserve">NCT03973047.</w:t>
      </w:r>
    </w:p>
  </w:footnote>
  <w:footnote w:id="2004">
    <w:p>
      <w:pPr>
        <w:pStyle w:val="FootnoteText"/>
      </w:pPr>
      <w:r>
        <w:rPr>
          <w:rStyle w:val="FootnoteReference"/>
        </w:rPr>
        <w:footnoteRef/>
      </w:r>
      <w:r>
        <w:t xml:space="preserve"> </w:t>
      </w:r>
      <w:r>
        <w:t xml:space="preserve">White 2017, PMID 27977473.</w:t>
      </w:r>
    </w:p>
  </w:footnote>
  <w:footnote w:id="2005">
    <w:p>
      <w:pPr>
        <w:pStyle w:val="FootnoteText"/>
      </w:pPr>
      <w:r>
        <w:rPr>
          <w:rStyle w:val="FootnoteReference"/>
        </w:rPr>
        <w:footnoteRef/>
      </w:r>
      <w:r>
        <w:t xml:space="preserve"> </w:t>
      </w:r>
      <w:r>
        <w:t xml:space="preserve">Clayton 2022, PMID 35147466.</w:t>
      </w:r>
    </w:p>
  </w:footnote>
  <w:footnote w:id="2006">
    <w:p>
      <w:pPr>
        <w:pStyle w:val="FootnoteText"/>
      </w:pPr>
      <w:r>
        <w:rPr>
          <w:rStyle w:val="FootnoteReference"/>
        </w:rPr>
        <w:footnoteRef/>
      </w:r>
      <w:r>
        <w:t xml:space="preserve"> </w:t>
      </w:r>
      <w:r>
        <w:t xml:space="preserve">Clayton 2022, PMID 35147466.</w:t>
      </w:r>
    </w:p>
  </w:footnote>
  <w:footnote w:id="2008">
    <w:p>
      <w:pPr>
        <w:pStyle w:val="FootnoteText"/>
      </w:pPr>
      <w:r>
        <w:rPr>
          <w:rStyle w:val="FootnoteReference"/>
        </w:rPr>
        <w:footnoteRef/>
      </w:r>
      <w:r>
        <w:t xml:space="preserve"> </w:t>
      </w:r>
      <w:r>
        <w:t xml:space="preserve">NCT06867835.</w:t>
      </w:r>
    </w:p>
  </w:footnote>
  <w:footnote w:id="2010">
    <w:p>
      <w:pPr>
        <w:pStyle w:val="FootnoteText"/>
      </w:pPr>
      <w:r>
        <w:rPr>
          <w:rStyle w:val="FootnoteReference"/>
        </w:rPr>
        <w:footnoteRef/>
      </w:r>
      <w:r>
        <w:t xml:space="preserve"> </w:t>
      </w:r>
      <w:r>
        <w:t xml:space="preserve">Mestria 2021, PMID 33245851.</w:t>
      </w:r>
    </w:p>
  </w:footnote>
  <w:footnote w:id="2013">
    <w:p>
      <w:pPr>
        <w:pStyle w:val="FootnoteText"/>
      </w:pPr>
      <w:r>
        <w:rPr>
          <w:rStyle w:val="FootnoteReference"/>
        </w:rPr>
        <w:footnoteRef/>
      </w:r>
      <w:r>
        <w:t xml:space="preserve"> </w:t>
      </w:r>
      <w:r>
        <w:t xml:space="preserve">NCT04943068.</w:t>
      </w:r>
    </w:p>
  </w:footnote>
  <w:footnote w:id="2015">
    <w:p>
      <w:pPr>
        <w:pStyle w:val="FootnoteText"/>
      </w:pPr>
      <w:r>
        <w:rPr>
          <w:rStyle w:val="FootnoteReference"/>
        </w:rPr>
        <w:footnoteRef/>
      </w:r>
      <w:r>
        <w:t xml:space="preserve"> </w:t>
      </w:r>
      <w:r>
        <w:t xml:space="preserve">NCT06565611.</w:t>
      </w:r>
    </w:p>
  </w:footnote>
  <w:footnote w:id="2016">
    <w:p>
      <w:pPr>
        <w:pStyle w:val="FootnoteText"/>
      </w:pPr>
      <w:r>
        <w:rPr>
          <w:rStyle w:val="FootnoteReference"/>
        </w:rPr>
        <w:footnoteRef/>
      </w:r>
      <w:r>
        <w:t xml:space="preserve"> </w:t>
      </w:r>
      <w:r>
        <w:t xml:space="preserve">NCT05709444.</w:t>
      </w:r>
    </w:p>
  </w:footnote>
  <w:footnote w:id="2017">
    <w:p>
      <w:pPr>
        <w:pStyle w:val="FootnoteText"/>
      </w:pPr>
      <w:r>
        <w:rPr>
          <w:rStyle w:val="FootnoteReference"/>
        </w:rPr>
        <w:footnoteRef/>
      </w:r>
      <w:r>
        <w:t xml:space="preserve"> </w:t>
      </w:r>
      <w:r>
        <w:t xml:space="preserve">NCT06867835.</w:t>
      </w:r>
    </w:p>
  </w:footnote>
  <w:footnote w:id="2021">
    <w:p>
      <w:pPr>
        <w:pStyle w:val="FootnoteText"/>
      </w:pPr>
      <w:r>
        <w:rPr>
          <w:rStyle w:val="FootnoteReference"/>
        </w:rPr>
        <w:footnoteRef/>
      </w:r>
      <w:r>
        <w:t xml:space="preserve"> </w:t>
      </w:r>
      <w:r>
        <w:t xml:space="preserve">Dorr 1996, PMID 8637402.</w:t>
      </w:r>
    </w:p>
  </w:footnote>
  <w:footnote w:id="2022">
    <w:p>
      <w:pPr>
        <w:pStyle w:val="FootnoteText"/>
      </w:pPr>
      <w:r>
        <w:rPr>
          <w:rStyle w:val="FootnoteReference"/>
        </w:rPr>
        <w:footnoteRef/>
      </w:r>
      <w:r>
        <w:t xml:space="preserve"> </w:t>
      </w:r>
      <w:r>
        <w:t xml:space="preserve">Hadley 2006, PMID 16412534.</w:t>
      </w:r>
    </w:p>
  </w:footnote>
  <w:footnote w:id="2024">
    <w:p>
      <w:pPr>
        <w:pStyle w:val="FootnoteText"/>
      </w:pPr>
      <w:r>
        <w:rPr>
          <w:rStyle w:val="FootnoteReference"/>
        </w:rPr>
        <w:footnoteRef/>
      </w:r>
      <w:r>
        <w:t xml:space="preserve"> </w:t>
      </w:r>
      <w:r>
        <w:t xml:space="preserve">Langan 2011, PMID 21547334.</w:t>
      </w:r>
    </w:p>
  </w:footnote>
  <w:footnote w:id="2026">
    <w:p>
      <w:pPr>
        <w:pStyle w:val="FootnoteText"/>
      </w:pPr>
      <w:r>
        <w:rPr>
          <w:rStyle w:val="FootnoteReference"/>
        </w:rPr>
        <w:footnoteRef/>
      </w:r>
      <w:r>
        <w:t xml:space="preserve"> </w:t>
      </w:r>
      <w:r>
        <w:t xml:space="preserve">Dorr 1996, PMID 8637402.</w:t>
      </w:r>
    </w:p>
  </w:footnote>
  <w:footnote w:id="2027">
    <w:p>
      <w:pPr>
        <w:pStyle w:val="FootnoteText"/>
      </w:pPr>
      <w:r>
        <w:rPr>
          <w:rStyle w:val="FootnoteReference"/>
        </w:rPr>
        <w:footnoteRef/>
      </w:r>
      <w:r>
        <w:t xml:space="preserve"> </w:t>
      </w:r>
      <w:r>
        <w:t xml:space="preserve">Wessells 1998, PMID 9679884; Wessells 2000, PMID 11018622.</w:t>
      </w:r>
    </w:p>
  </w:footnote>
  <w:footnote w:id="2028">
    <w:p>
      <w:pPr>
        <w:pStyle w:val="FootnoteText"/>
      </w:pPr>
      <w:r>
        <w:rPr>
          <w:rStyle w:val="FootnoteReference"/>
        </w:rPr>
        <w:footnoteRef/>
      </w:r>
      <w:r>
        <w:t xml:space="preserve"> </w:t>
      </w:r>
      <w:r>
        <w:t xml:space="preserve">Wessells 2000, PMID 11035391.</w:t>
      </w:r>
    </w:p>
  </w:footnote>
  <w:footnote w:id="2030">
    <w:p>
      <w:pPr>
        <w:pStyle w:val="FootnoteText"/>
      </w:pPr>
      <w:r>
        <w:rPr>
          <w:rStyle w:val="FootnoteReference"/>
        </w:rPr>
        <w:footnoteRef/>
      </w:r>
      <w:r>
        <w:t xml:space="preserve"> </w:t>
      </w:r>
      <w:r>
        <w:t xml:space="preserve">Dorr 2000, PMID 11045725.</w:t>
      </w:r>
    </w:p>
  </w:footnote>
  <w:footnote w:id="2031">
    <w:p>
      <w:pPr>
        <w:pStyle w:val="FootnoteText"/>
      </w:pPr>
      <w:r>
        <w:rPr>
          <w:rStyle w:val="FootnoteReference"/>
        </w:rPr>
        <w:footnoteRef/>
      </w:r>
      <w:r>
        <w:t xml:space="preserve"> </w:t>
      </w:r>
      <w:r>
        <w:t xml:space="preserve">Dorr 2004, PMID 15262693.</w:t>
      </w:r>
    </w:p>
  </w:footnote>
  <w:footnote w:id="2033">
    <w:p>
      <w:pPr>
        <w:pStyle w:val="FootnoteText"/>
      </w:pPr>
      <w:r>
        <w:rPr>
          <w:rStyle w:val="FootnoteReference"/>
        </w:rPr>
        <w:footnoteRef/>
      </w:r>
      <w:r>
        <w:t xml:space="preserve"> </w:t>
      </w:r>
      <w:r>
        <w:t xml:space="preserve">Evans-Brown 2009, PMID 19224885.</w:t>
      </w:r>
    </w:p>
  </w:footnote>
  <w:footnote w:id="2034">
    <w:p>
      <w:pPr>
        <w:pStyle w:val="FootnoteText"/>
      </w:pPr>
      <w:r>
        <w:rPr>
          <w:rStyle w:val="FootnoteReference"/>
        </w:rPr>
        <w:footnoteRef/>
      </w:r>
      <w:r>
        <w:t xml:space="preserve"> </w:t>
      </w:r>
      <w:r>
        <w:t xml:space="preserve">Brennan 2017, PMID 26806443.</w:t>
      </w:r>
    </w:p>
  </w:footnote>
  <w:footnote w:id="2035">
    <w:p>
      <w:pPr>
        <w:pStyle w:val="FootnoteText"/>
      </w:pPr>
      <w:r>
        <w:rPr>
          <w:rStyle w:val="FootnoteReference"/>
        </w:rPr>
        <w:footnoteRef/>
      </w:r>
      <w:r>
        <w:t xml:space="preserve"> </w:t>
      </w:r>
      <w:r>
        <w:t xml:space="preserve">Gilhooley 2021, PMID 34464955.</w:t>
      </w:r>
    </w:p>
  </w:footnote>
  <w:footnote w:id="2036">
    <w:p>
      <w:pPr>
        <w:pStyle w:val="FootnoteText"/>
      </w:pPr>
      <w:r>
        <w:rPr>
          <w:rStyle w:val="FootnoteReference"/>
        </w:rPr>
        <w:footnoteRef/>
      </w:r>
      <w:r>
        <w:t xml:space="preserve"> </w:t>
      </w:r>
      <w:r>
        <w:t xml:space="preserve">Callaghan 2018, PMID 30142729.</w:t>
      </w:r>
    </w:p>
  </w:footnote>
  <w:footnote w:id="2037">
    <w:p>
      <w:pPr>
        <w:pStyle w:val="FootnoteText"/>
      </w:pPr>
      <w:r>
        <w:rPr>
          <w:rStyle w:val="FootnoteReference"/>
        </w:rPr>
        <w:footnoteRef/>
      </w:r>
      <w:r>
        <w:t xml:space="preserve"> </w:t>
      </w:r>
      <w:r>
        <w:t xml:space="preserve">Orr 2025, PMID 38808957; Herlihy 2025, PMID 39148422; Sidhu 2026, PMID 41559011.</w:t>
      </w:r>
    </w:p>
  </w:footnote>
  <w:footnote w:id="2040">
    <w:p>
      <w:pPr>
        <w:pStyle w:val="FootnoteText"/>
      </w:pPr>
      <w:r>
        <w:rPr>
          <w:rStyle w:val="FootnoteReference"/>
        </w:rPr>
        <w:footnoteRef/>
      </w:r>
      <w:r>
        <w:t xml:space="preserve"> </w:t>
      </w:r>
      <w:r>
        <w:t xml:space="preserve">Strader 2007, PMID 17567964.</w:t>
      </w:r>
    </w:p>
  </w:footnote>
  <w:footnote w:id="2041">
    <w:p>
      <w:pPr>
        <w:pStyle w:val="FootnoteText"/>
      </w:pPr>
      <w:r>
        <w:rPr>
          <w:rStyle w:val="FootnoteReference"/>
        </w:rPr>
        <w:footnoteRef/>
      </w:r>
      <w:r>
        <w:t xml:space="preserve"> </w:t>
      </w:r>
      <w:r>
        <w:t xml:space="preserve">Jain 2018, PMID 29812984.</w:t>
      </w:r>
    </w:p>
  </w:footnote>
  <w:footnote w:id="2042">
    <w:p>
      <w:pPr>
        <w:pStyle w:val="FootnoteText"/>
      </w:pPr>
      <w:r>
        <w:rPr>
          <w:rStyle w:val="FootnoteReference"/>
        </w:rPr>
        <w:footnoteRef/>
      </w:r>
      <w:r>
        <w:t xml:space="preserve"> </w:t>
      </w:r>
      <w:r>
        <w:t xml:space="preserve">Minakova 2019, PMID 30629642.</w:t>
      </w:r>
    </w:p>
  </w:footnote>
  <w:footnote w:id="2044">
    <w:p>
      <w:pPr>
        <w:pStyle w:val="FootnoteText"/>
      </w:pPr>
      <w:r>
        <w:rPr>
          <w:rStyle w:val="FootnoteReference"/>
        </w:rPr>
        <w:footnoteRef/>
      </w:r>
      <w:r>
        <w:t xml:space="preserve"> </w:t>
      </w:r>
      <w:r>
        <w:t xml:space="preserve">Dorr 1996, PMID 8637402; Wessells 2000, PMID 11035391.</w:t>
      </w:r>
    </w:p>
  </w:footnote>
  <w:footnote w:id="2045">
    <w:p>
      <w:pPr>
        <w:pStyle w:val="FootnoteText"/>
      </w:pPr>
      <w:r>
        <w:rPr>
          <w:rStyle w:val="FootnoteReference"/>
        </w:rPr>
        <w:footnoteRef/>
      </w:r>
      <w:r>
        <w:t xml:space="preserve"> </w:t>
      </w:r>
      <w:r>
        <w:t xml:space="preserve">Paurobally 2013, PMID 22182016.</w:t>
      </w:r>
    </w:p>
  </w:footnote>
  <w:footnote w:id="2046">
    <w:p>
      <w:pPr>
        <w:pStyle w:val="FootnoteText"/>
      </w:pPr>
      <w:r>
        <w:rPr>
          <w:rStyle w:val="FootnoteReference"/>
        </w:rPr>
        <w:footnoteRef/>
      </w:r>
      <w:r>
        <w:t xml:space="preserve"> </w:t>
      </w:r>
      <w:r>
        <w:t xml:space="preserve">Bonchev 2026, PMID 41752902.</w:t>
      </w:r>
    </w:p>
  </w:footnote>
  <w:footnote w:id="2047">
    <w:p>
      <w:pPr>
        <w:pStyle w:val="FootnoteText"/>
      </w:pPr>
      <w:r>
        <w:rPr>
          <w:rStyle w:val="FootnoteReference"/>
        </w:rPr>
        <w:footnoteRef/>
      </w:r>
      <w:r>
        <w:t xml:space="preserve"> </w:t>
      </w:r>
      <w:r>
        <w:t xml:space="preserve">Ume 2026, PMID 42212476.</w:t>
      </w:r>
    </w:p>
  </w:footnote>
  <w:footnote w:id="2049">
    <w:p>
      <w:pPr>
        <w:pStyle w:val="FootnoteText"/>
      </w:pPr>
      <w:r>
        <w:rPr>
          <w:rStyle w:val="FootnoteReference"/>
        </w:rPr>
        <w:footnoteRef/>
      </w:r>
      <w:r>
        <w:t xml:space="preserve"> </w:t>
      </w:r>
      <w:r>
        <w:t xml:space="preserve">Cousen 2009, PMID 19575725; Thestrup-Pedersen 2011, PMID 21453640.</w:t>
      </w:r>
    </w:p>
  </w:footnote>
  <w:footnote w:id="2050">
    <w:p>
      <w:pPr>
        <w:pStyle w:val="FootnoteText"/>
      </w:pPr>
      <w:r>
        <w:rPr>
          <w:rStyle w:val="FootnoteReference"/>
        </w:rPr>
        <w:footnoteRef/>
      </w:r>
      <w:r>
        <w:t xml:space="preserve"> </w:t>
      </w:r>
      <w:r>
        <w:t xml:space="preserve">Reid 2013, PMID 23914578.</w:t>
      </w:r>
    </w:p>
  </w:footnote>
  <w:footnote w:id="2051">
    <w:p>
      <w:pPr>
        <w:pStyle w:val="FootnoteText"/>
      </w:pPr>
      <w:r>
        <w:rPr>
          <w:rStyle w:val="FootnoteReference"/>
        </w:rPr>
        <w:footnoteRef/>
      </w:r>
      <w:r>
        <w:t xml:space="preserve"> </w:t>
      </w:r>
      <w:r>
        <w:t xml:space="preserve">Paurobally 2011, PMID 21564053; Ong 2012, PMID 22724573.</w:t>
      </w:r>
    </w:p>
  </w:footnote>
  <w:footnote w:id="2052">
    <w:p>
      <w:pPr>
        <w:pStyle w:val="FootnoteText"/>
      </w:pPr>
      <w:r>
        <w:rPr>
          <w:rStyle w:val="FootnoteReference"/>
        </w:rPr>
        <w:footnoteRef/>
      </w:r>
      <w:r>
        <w:t xml:space="preserve"> </w:t>
      </w:r>
      <w:r>
        <w:t xml:space="preserve">Hjuler 2014, PMID 24355990.</w:t>
      </w:r>
    </w:p>
  </w:footnote>
  <w:footnote w:id="2053">
    <w:p>
      <w:pPr>
        <w:pStyle w:val="FootnoteText"/>
      </w:pPr>
      <w:r>
        <w:rPr>
          <w:rStyle w:val="FootnoteReference"/>
        </w:rPr>
        <w:footnoteRef/>
      </w:r>
      <w:r>
        <w:t xml:space="preserve"> </w:t>
      </w:r>
      <w:r>
        <w:t xml:space="preserve">Yassin Alsabbagh 2025, PMID 40210573.</w:t>
      </w:r>
    </w:p>
  </w:footnote>
  <w:footnote w:id="2054">
    <w:p>
      <w:pPr>
        <w:pStyle w:val="FootnoteText"/>
      </w:pPr>
      <w:r>
        <w:rPr>
          <w:rStyle w:val="FootnoteReference"/>
        </w:rPr>
        <w:footnoteRef/>
      </w:r>
      <w:r>
        <w:t xml:space="preserve"> </w:t>
      </w:r>
      <w:r>
        <w:t xml:space="preserve">Burian 2019, PMID 31119650.</w:t>
      </w:r>
    </w:p>
  </w:footnote>
  <w:footnote w:id="2055">
    <w:p>
      <w:pPr>
        <w:pStyle w:val="FootnoteText"/>
      </w:pPr>
      <w:r>
        <w:rPr>
          <w:rStyle w:val="FootnoteReference"/>
        </w:rPr>
        <w:footnoteRef/>
      </w:r>
      <w:r>
        <w:t xml:space="preserve"> </w:t>
      </w:r>
      <w:r>
        <w:t xml:space="preserve">Habbema 2017, PMID 28266027.</w:t>
      </w:r>
    </w:p>
  </w:footnote>
  <w:footnote w:id="2057">
    <w:p>
      <w:pPr>
        <w:pStyle w:val="FootnoteText"/>
      </w:pPr>
      <w:r>
        <w:rPr>
          <w:rStyle w:val="FootnoteReference"/>
        </w:rPr>
        <w:footnoteRef/>
      </w:r>
      <w:r>
        <w:t xml:space="preserve"> </w:t>
      </w:r>
      <w:r>
        <w:t xml:space="preserve">Devlin 2013, PMID 23537392; Dreyer 2019, PMID 30796078.</w:t>
      </w:r>
    </w:p>
  </w:footnote>
  <w:footnote w:id="2058">
    <w:p>
      <w:pPr>
        <w:pStyle w:val="FootnoteText"/>
      </w:pPr>
      <w:r>
        <w:rPr>
          <w:rStyle w:val="FootnoteReference"/>
        </w:rPr>
        <w:footnoteRef/>
      </w:r>
      <w:r>
        <w:t xml:space="preserve"> </w:t>
      </w:r>
      <w:r>
        <w:t xml:space="preserve">Mallory 2021, PMID 33460908.</w:t>
      </w:r>
    </w:p>
  </w:footnote>
  <w:footnote w:id="2059">
    <w:p>
      <w:pPr>
        <w:pStyle w:val="FootnoteText"/>
      </w:pPr>
      <w:r>
        <w:rPr>
          <w:rStyle w:val="FootnoteReference"/>
        </w:rPr>
        <w:footnoteRef/>
      </w:r>
      <w:r>
        <w:t xml:space="preserve"> </w:t>
      </w:r>
      <w:r>
        <w:t xml:space="preserve">Dreyer 2019, PMID 30796078.</w:t>
      </w:r>
    </w:p>
  </w:footnote>
  <w:footnote w:id="2060">
    <w:p>
      <w:pPr>
        <w:pStyle w:val="FootnoteText"/>
      </w:pPr>
      <w:r>
        <w:rPr>
          <w:rStyle w:val="FootnoteReference"/>
        </w:rPr>
        <w:footnoteRef/>
      </w:r>
      <w:r>
        <w:t xml:space="preserve"> </w:t>
      </w:r>
      <w:r>
        <w:t xml:space="preserve">Nelson 2012, PMID 23121206.</w:t>
      </w:r>
    </w:p>
  </w:footnote>
  <w:footnote w:id="2061">
    <w:p>
      <w:pPr>
        <w:pStyle w:val="FootnoteText"/>
      </w:pPr>
      <w:r>
        <w:rPr>
          <w:rStyle w:val="FootnoteReference"/>
        </w:rPr>
        <w:footnoteRef/>
      </w:r>
      <w:r>
        <w:t xml:space="preserve"> </w:t>
      </w:r>
      <w:r>
        <w:t xml:space="preserve">Peters 2020, PMID 31953620.</w:t>
      </w:r>
    </w:p>
  </w:footnote>
  <w:footnote w:id="2062">
    <w:p>
      <w:pPr>
        <w:pStyle w:val="FootnoteText"/>
      </w:pPr>
      <w:r>
        <w:rPr>
          <w:rStyle w:val="FootnoteReference"/>
        </w:rPr>
        <w:footnoteRef/>
      </w:r>
      <w:r>
        <w:t xml:space="preserve"> </w:t>
      </w:r>
      <w:r>
        <w:t xml:space="preserve">Kaski 2013, PMID 23648958.</w:t>
      </w:r>
    </w:p>
  </w:footnote>
  <w:footnote w:id="2063">
    <w:p>
      <w:pPr>
        <w:pStyle w:val="FootnoteText"/>
      </w:pPr>
      <w:r>
        <w:rPr>
          <w:rStyle w:val="FootnoteReference"/>
        </w:rPr>
        <w:footnoteRef/>
      </w:r>
      <w:r>
        <w:t xml:space="preserve"> </w:t>
      </w:r>
      <w:r>
        <w:t xml:space="preserve">Dickson 2025, PMID 41487785.</w:t>
      </w:r>
    </w:p>
  </w:footnote>
  <w:footnote w:id="2065">
    <w:p>
      <w:pPr>
        <w:pStyle w:val="FootnoteText"/>
      </w:pPr>
      <w:r>
        <w:rPr>
          <w:rStyle w:val="FootnoteReference"/>
        </w:rPr>
        <w:footnoteRef/>
      </w:r>
      <w:r>
        <w:t xml:space="preserve"> </w:t>
      </w:r>
      <w:r>
        <w:t xml:space="preserve">Breindahl 2015, PMID 24771717.</w:t>
      </w:r>
    </w:p>
  </w:footnote>
  <w:footnote w:id="2066">
    <w:p>
      <w:pPr>
        <w:pStyle w:val="FootnoteText"/>
      </w:pPr>
      <w:r>
        <w:rPr>
          <w:rStyle w:val="FootnoteReference"/>
        </w:rPr>
        <w:footnoteRef/>
      </w:r>
      <w:r>
        <w:t xml:space="preserve"> </w:t>
      </w:r>
      <w:r>
        <w:t xml:space="preserve">Deville 2024, PMID 39302005.</w:t>
      </w:r>
    </w:p>
  </w:footnote>
  <w:footnote w:id="2067">
    <w:p>
      <w:pPr>
        <w:pStyle w:val="FootnoteText"/>
      </w:pPr>
      <w:r>
        <w:rPr>
          <w:rStyle w:val="FootnoteReference"/>
        </w:rPr>
        <w:footnoteRef/>
      </w:r>
      <w:r>
        <w:t xml:space="preserve"> </w:t>
      </w:r>
      <w:r>
        <w:t xml:space="preserve">Gilhooley 2021, PMID 34464955.</w:t>
      </w:r>
    </w:p>
  </w:footnote>
  <w:footnote w:id="2070">
    <w:p>
      <w:pPr>
        <w:pStyle w:val="FootnoteText"/>
      </w:pPr>
      <w:r>
        <w:rPr>
          <w:rStyle w:val="FootnoteReference"/>
        </w:rPr>
        <w:footnoteRef/>
      </w:r>
      <w:r>
        <w:t xml:space="preserve"> </w:t>
      </w:r>
      <w:r>
        <w:t xml:space="preserve">Habbema 2017, PMID 28266027.</w:t>
      </w:r>
    </w:p>
  </w:footnote>
  <w:footnote w:id="2071">
    <w:p>
      <w:pPr>
        <w:pStyle w:val="FootnoteText"/>
      </w:pPr>
      <w:r>
        <w:rPr>
          <w:rStyle w:val="FootnoteReference"/>
        </w:rPr>
        <w:footnoteRef/>
      </w:r>
      <w:r>
        <w:t xml:space="preserve"> </w:t>
      </w:r>
      <w:r>
        <w:t xml:space="preserve">Yassin Alsabbagh 2025, PMID 40210573.</w:t>
      </w:r>
    </w:p>
  </w:footnote>
  <w:footnote w:id="2076">
    <w:p>
      <w:pPr>
        <w:pStyle w:val="FootnoteText"/>
      </w:pPr>
      <w:r>
        <w:rPr>
          <w:rStyle w:val="FootnoteReference"/>
        </w:rPr>
        <w:footnoteRef/>
      </w:r>
      <w:r>
        <w:t xml:space="preserve"> </w:t>
      </w:r>
      <w:r>
        <w:t xml:space="preserve">Hadley 2006, PMID 16412534.</w:t>
      </w:r>
    </w:p>
  </w:footnote>
  <w:footnote w:id="2077">
    <w:p>
      <w:pPr>
        <w:pStyle w:val="FootnoteText"/>
      </w:pPr>
      <w:r>
        <w:rPr>
          <w:rStyle w:val="FootnoteReference"/>
        </w:rPr>
        <w:footnoteRef/>
      </w:r>
      <w:r>
        <w:t xml:space="preserve"> </w:t>
      </w:r>
      <w:r>
        <w:t xml:space="preserve">Homey 2025, PMID 40082741.</w:t>
      </w:r>
    </w:p>
  </w:footnote>
  <w:footnote w:id="2079">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Minder 2023, PMID 37109595.</w:t>
      </w:r>
    </w:p>
  </w:footnote>
  <w:footnote w:id="2082">
    <w:p>
      <w:pPr>
        <w:pStyle w:val="FootnoteText"/>
      </w:pPr>
      <w:r>
        <w:rPr>
          <w:rStyle w:val="FootnoteReference"/>
        </w:rPr>
        <w:footnoteRef/>
      </w:r>
      <w:r>
        <w:t xml:space="preserve"> </w:t>
      </w:r>
      <w:r>
        <w:t xml:space="preserve">Dorr 2000, PMID 11045725.</w:t>
      </w:r>
    </w:p>
  </w:footnote>
  <w:footnote w:id="2083">
    <w:p>
      <w:pPr>
        <w:pStyle w:val="FootnoteText"/>
      </w:pPr>
      <w:r>
        <w:rPr>
          <w:rStyle w:val="FootnoteReference"/>
        </w:rPr>
        <w:footnoteRef/>
      </w:r>
      <w:r>
        <w:t xml:space="preserve"> </w:t>
      </w:r>
      <w:r>
        <w:t xml:space="preserve">Dorr 2004, PMID 15262693.</w:t>
      </w:r>
    </w:p>
  </w:footnote>
  <w:footnote w:id="2084">
    <w:p>
      <w:pPr>
        <w:pStyle w:val="FootnoteText"/>
      </w:pPr>
      <w:r>
        <w:rPr>
          <w:rStyle w:val="FootnoteReference"/>
        </w:rPr>
        <w:footnoteRef/>
      </w:r>
      <w:r>
        <w:t xml:space="preserve"> </w:t>
      </w:r>
      <w:r>
        <w:t xml:space="preserve">Fitzgerald 2006, PMID 16293341.</w:t>
      </w:r>
    </w:p>
  </w:footnote>
  <w:footnote w:id="2086">
    <w:p>
      <w:pPr>
        <w:pStyle w:val="FootnoteText"/>
      </w:pPr>
      <w:r>
        <w:rPr>
          <w:rStyle w:val="FootnoteReference"/>
        </w:rPr>
        <w:footnoteRef/>
      </w:r>
      <w:r>
        <w:t xml:space="preserve"> </w:t>
      </w:r>
      <w:r>
        <w:t xml:space="preserve">Harms 2009, PMID 19656325.</w:t>
      </w:r>
    </w:p>
  </w:footnote>
  <w:footnote w:id="2087">
    <w:p>
      <w:pPr>
        <w:pStyle w:val="FootnoteText"/>
      </w:pPr>
      <w:r>
        <w:rPr>
          <w:rStyle w:val="FootnoteReference"/>
        </w:rPr>
        <w:footnoteRef/>
      </w:r>
      <w:r>
        <w:t xml:space="preserve"> </w:t>
      </w:r>
      <w:r>
        <w:t xml:space="preserve">Langendonk 2015, PMID 26132941; NCT00979745, NCT01605136.</w:t>
      </w:r>
    </w:p>
  </w:footnote>
  <w:footnote w:id="2088">
    <w:p>
      <w:pPr>
        <w:pStyle w:val="FootnoteText"/>
      </w:pPr>
      <w:r>
        <w:rPr>
          <w:rStyle w:val="FootnoteReference"/>
        </w:rPr>
        <w:footnoteRef/>
      </w:r>
      <w:r>
        <w:t xml:space="preserve"> </w:t>
      </w:r>
      <w:r>
        <w:t xml:space="preserve">Heerfordt 2023, PMID 36525819.</w:t>
      </w:r>
    </w:p>
  </w:footnote>
  <w:footnote w:id="2090">
    <w:p>
      <w:pPr>
        <w:pStyle w:val="FootnoteText"/>
      </w:pPr>
      <w:r>
        <w:rPr>
          <w:rStyle w:val="FootnoteReference"/>
        </w:rPr>
        <w:footnoteRef/>
      </w:r>
      <w:r>
        <w:t xml:space="preserve"> </w:t>
      </w:r>
      <w:r>
        <w:t xml:space="preserve">Biolcati 2015, PMID 25494545.</w:t>
      </w:r>
    </w:p>
  </w:footnote>
  <w:footnote w:id="2091">
    <w:p>
      <w:pPr>
        <w:pStyle w:val="FootnoteText"/>
      </w:pPr>
      <w:r>
        <w:rPr>
          <w:rStyle w:val="FootnoteReference"/>
        </w:rPr>
        <w:footnoteRef/>
      </w:r>
      <w:r>
        <w:t xml:space="preserve"> </w:t>
      </w:r>
      <w:r>
        <w:t xml:space="preserve">Wensink 2020, PMID 32186677.</w:t>
      </w:r>
    </w:p>
  </w:footnote>
  <w:footnote w:id="2092">
    <w:p>
      <w:pPr>
        <w:pStyle w:val="FootnoteText"/>
      </w:pPr>
      <w:r>
        <w:rPr>
          <w:rStyle w:val="FootnoteReference"/>
        </w:rPr>
        <w:footnoteRef/>
      </w:r>
      <w:r>
        <w:t xml:space="preserve"> </w:t>
      </w:r>
      <w:r>
        <w:t xml:space="preserve">Seidl-Philipp 2026, PMID 41793078.</w:t>
      </w:r>
    </w:p>
  </w:footnote>
  <w:footnote w:id="2094">
    <w:p>
      <w:pPr>
        <w:pStyle w:val="FootnoteText"/>
      </w:pPr>
      <w:r>
        <w:rPr>
          <w:rStyle w:val="FootnoteReference"/>
        </w:rPr>
        <w:footnoteRef/>
      </w:r>
      <w:r>
        <w:t xml:space="preserve"> </w:t>
      </w:r>
      <w:r>
        <w:t xml:space="preserve">Minder 2023, PMID 37109595.</w:t>
      </w:r>
    </w:p>
  </w:footnote>
  <w:footnote w:id="2095">
    <w:p>
      <w:pPr>
        <w:pStyle w:val="FootnoteText"/>
      </w:pPr>
      <w:r>
        <w:rPr>
          <w:rStyle w:val="FootnoteReference"/>
        </w:rPr>
        <w:footnoteRef/>
      </w:r>
      <w:r>
        <w:t xml:space="preserve"> </w:t>
      </w:r>
      <w:r>
        <w:t xml:space="preserve">Kluijver 2024, PMID 38634774.</w:t>
      </w:r>
    </w:p>
  </w:footnote>
  <w:footnote w:id="2096">
    <w:p>
      <w:pPr>
        <w:pStyle w:val="FootnoteText"/>
      </w:pPr>
      <w:r>
        <w:rPr>
          <w:rStyle w:val="FootnoteReference"/>
        </w:rPr>
        <w:footnoteRef/>
      </w:r>
      <w:r>
        <w:t xml:space="preserve"> </w:t>
      </w:r>
      <w:r>
        <w:t xml:space="preserve">Lengweiler 2015, PMID 25402764.</w:t>
      </w:r>
    </w:p>
  </w:footnote>
  <w:footnote w:id="2098">
    <w:p>
      <w:pPr>
        <w:pStyle w:val="FootnoteText"/>
      </w:pPr>
      <w:r>
        <w:rPr>
          <w:rStyle w:val="FootnoteReference"/>
        </w:rPr>
        <w:footnoteRef/>
      </w:r>
      <w:r>
        <w:t xml:space="preserve"> </w:t>
      </w:r>
      <w:r>
        <w:t xml:space="preserve">Grimes 2013, PMID 23407924.</w:t>
      </w:r>
    </w:p>
  </w:footnote>
  <w:footnote w:id="2099">
    <w:p>
      <w:pPr>
        <w:pStyle w:val="FootnoteText"/>
      </w:pPr>
      <w:r>
        <w:rPr>
          <w:rStyle w:val="FootnoteReference"/>
        </w:rPr>
        <w:footnoteRef/>
      </w:r>
      <w:r>
        <w:t xml:space="preserve"> </w:t>
      </w:r>
      <w:r>
        <w:t xml:space="preserve">Lim 2015, PMID 25230094; NCT01430195.</w:t>
      </w:r>
    </w:p>
  </w:footnote>
  <w:footnote w:id="2100">
    <w:p>
      <w:pPr>
        <w:pStyle w:val="FootnoteText"/>
      </w:pPr>
      <w:r>
        <w:rPr>
          <w:rStyle w:val="FootnoteReference"/>
        </w:rPr>
        <w:footnoteRef/>
      </w:r>
      <w:r>
        <w:t xml:space="preserve"> </w:t>
      </w:r>
      <w:r>
        <w:t xml:space="preserve">Passeron 2015, PMID 25607635.</w:t>
      </w:r>
    </w:p>
  </w:footnote>
  <w:footnote w:id="2101">
    <w:p>
      <w:pPr>
        <w:pStyle w:val="FootnoteText"/>
      </w:pPr>
      <w:r>
        <w:rPr>
          <w:rStyle w:val="FootnoteReference"/>
        </w:rPr>
        <w:footnoteRef/>
      </w:r>
      <w:r>
        <w:t xml:space="preserve"> </w:t>
      </w:r>
      <w:r>
        <w:t xml:space="preserve">Toh 2020, PMID 31987791.</w:t>
      </w:r>
    </w:p>
  </w:footnote>
  <w:footnote w:id="2103">
    <w:p>
      <w:pPr>
        <w:pStyle w:val="FootnoteText"/>
      </w:pPr>
      <w:r>
        <w:rPr>
          <w:rStyle w:val="FootnoteReference"/>
        </w:rPr>
        <w:footnoteRef/>
      </w:r>
      <w:r>
        <w:t xml:space="preserve"> </w:t>
      </w:r>
      <w:r>
        <w:t xml:space="preserve">Haylett 2011, PMID 20969564.</w:t>
      </w:r>
    </w:p>
  </w:footnote>
  <w:footnote w:id="2104">
    <w:p>
      <w:pPr>
        <w:pStyle w:val="FootnoteText"/>
      </w:pPr>
      <w:r>
        <w:rPr>
          <w:rStyle w:val="FootnoteReference"/>
        </w:rPr>
        <w:footnoteRef/>
      </w:r>
      <w:r>
        <w:t xml:space="preserve"> </w:t>
      </w:r>
      <w:r>
        <w:t xml:space="preserve">Böhm 2014, PMID 22845050.</w:t>
      </w:r>
    </w:p>
  </w:footnote>
  <w:footnote w:id="2105">
    <w:p>
      <w:pPr>
        <w:pStyle w:val="FootnoteText"/>
      </w:pPr>
      <w:r>
        <w:rPr>
          <w:rStyle w:val="FootnoteReference"/>
        </w:rPr>
        <w:footnoteRef/>
      </w:r>
      <w:r>
        <w:t xml:space="preserve"> </w:t>
      </w:r>
      <w:r>
        <w:t xml:space="preserve">Biolcati 2014, PMID 24256215.</w:t>
      </w:r>
    </w:p>
  </w:footnote>
  <w:footnote w:id="2106">
    <w:p>
      <w:pPr>
        <w:pStyle w:val="FootnoteText"/>
      </w:pPr>
      <w:r>
        <w:rPr>
          <w:rStyle w:val="FootnoteReference"/>
        </w:rPr>
        <w:footnoteRef/>
      </w:r>
      <w:r>
        <w:t xml:space="preserve"> </w:t>
      </w:r>
      <w:r>
        <w:t xml:space="preserve">Stanislaus 2023, PMID 37496004.</w:t>
      </w:r>
    </w:p>
  </w:footnote>
  <w:footnote w:id="2107">
    <w:p>
      <w:pPr>
        <w:pStyle w:val="FootnoteText"/>
      </w:pPr>
      <w:r>
        <w:rPr>
          <w:rStyle w:val="FootnoteReference"/>
        </w:rPr>
        <w:footnoteRef/>
      </w:r>
      <w:r>
        <w:t xml:space="preserve"> </w:t>
      </w:r>
      <w:r>
        <w:t xml:space="preserve">Griffin 2026, PMID 42678656.</w:t>
      </w:r>
    </w:p>
  </w:footnote>
  <w:footnote w:id="2110">
    <w:p>
      <w:pPr>
        <w:pStyle w:val="FootnoteText"/>
      </w:pPr>
      <w:r>
        <w:rPr>
          <w:rStyle w:val="FootnoteReference"/>
        </w:rPr>
        <w:footnoteRef/>
      </w:r>
      <w:r>
        <w:t xml:space="preserve"> </w:t>
      </w:r>
      <w:r>
        <w:t xml:space="preserve">Biolcati 2014, PMID 24256215.</w:t>
      </w:r>
    </w:p>
  </w:footnote>
  <w:footnote w:id="2111">
    <w:p>
      <w:pPr>
        <w:pStyle w:val="FootnoteText"/>
      </w:pPr>
      <w:r>
        <w:rPr>
          <w:rStyle w:val="FootnoteReference"/>
        </w:rPr>
        <w:footnoteRef/>
      </w:r>
      <w:r>
        <w:t xml:space="preserve"> </w:t>
      </w:r>
      <w:r>
        <w:t xml:space="preserve">Chawathe 2026, PMID 41547183.</w:t>
      </w:r>
    </w:p>
  </w:footnote>
  <w:footnote w:id="2113">
    <w:p>
      <w:pPr>
        <w:pStyle w:val="FootnoteText"/>
      </w:pPr>
      <w:r>
        <w:rPr>
          <w:rStyle w:val="FootnoteReference"/>
        </w:rPr>
        <w:footnoteRef/>
      </w:r>
      <w:r>
        <w:t xml:space="preserve"> </w:t>
      </w:r>
      <w:r>
        <w:t xml:space="preserve">Langendonk 2015, PMID 26132941; Wensink 2020, PMID 32186677; Biolcati 2015, PMID 25494545.</w:t>
      </w:r>
    </w:p>
  </w:footnote>
  <w:footnote w:id="2114">
    <w:p>
      <w:pPr>
        <w:pStyle w:val="FootnoteText"/>
      </w:pPr>
      <w:r>
        <w:rPr>
          <w:rStyle w:val="FootnoteReference"/>
        </w:rPr>
        <w:footnoteRef/>
      </w:r>
      <w:r>
        <w:t xml:space="preserve"> </w:t>
      </w:r>
      <w:r>
        <w:t xml:space="preserve">Arisi 2021, PMID 33721252.</w:t>
      </w:r>
    </w:p>
  </w:footnote>
  <w:footnote w:id="2115">
    <w:p>
      <w:pPr>
        <w:pStyle w:val="FootnoteText"/>
      </w:pPr>
      <w:r>
        <w:rPr>
          <w:rStyle w:val="FootnoteReference"/>
        </w:rPr>
        <w:footnoteRef/>
      </w:r>
      <w:r>
        <w:t xml:space="preserve"> </w:t>
      </w:r>
      <w:r>
        <w:t xml:space="preserve">von Bartenwerffer 2011, PMID 21597671.</w:t>
      </w:r>
    </w:p>
  </w:footnote>
  <w:footnote w:id="2116">
    <w:p>
      <w:pPr>
        <w:pStyle w:val="FootnoteText"/>
      </w:pPr>
      <w:r>
        <w:rPr>
          <w:rStyle w:val="FootnoteReference"/>
        </w:rPr>
        <w:footnoteRef/>
      </w:r>
      <w:r>
        <w:t xml:space="preserve"> </w:t>
      </w:r>
      <w:r>
        <w:t xml:space="preserve">Kluijver 2024, PMID 38634774.</w:t>
      </w:r>
    </w:p>
  </w:footnote>
  <w:footnote w:id="2118">
    <w:p>
      <w:pPr>
        <w:pStyle w:val="FootnoteText"/>
      </w:pPr>
      <w:r>
        <w:rPr>
          <w:rStyle w:val="FootnoteReference"/>
        </w:rPr>
        <w:footnoteRef/>
      </w:r>
      <w:r>
        <w:t xml:space="preserve"> </w:t>
      </w:r>
      <w:r>
        <w:t xml:space="preserve">Barman-Aksözen 2026, PMID 41885813.</w:t>
      </w:r>
    </w:p>
  </w:footnote>
  <w:footnote w:id="2119">
    <w:p>
      <w:pPr>
        <w:pStyle w:val="FootnoteText"/>
      </w:pPr>
      <w:r>
        <w:rPr>
          <w:rStyle w:val="FootnoteReference"/>
        </w:rPr>
        <w:footnoteRef/>
      </w:r>
      <w:r>
        <w:t xml:space="preserve"> </w:t>
      </w:r>
      <w:r>
        <w:t xml:space="preserve">Minder 2026, PMID 41542313.</w:t>
      </w:r>
    </w:p>
  </w:footnote>
  <w:footnote w:id="2121">
    <w:p>
      <w:pPr>
        <w:pStyle w:val="FootnoteText"/>
      </w:pPr>
      <w:r>
        <w:rPr>
          <w:rStyle w:val="FootnoteReference"/>
        </w:rPr>
        <w:footnoteRef/>
      </w:r>
      <w:r>
        <w:t xml:space="preserve"> </w:t>
      </w:r>
      <w:r>
        <w:t xml:space="preserve">Habbema 2017, PMID 28266027.</w:t>
      </w:r>
    </w:p>
  </w:footnote>
  <w:footnote w:id="2124">
    <w:p>
      <w:pPr>
        <w:pStyle w:val="FootnoteText"/>
      </w:pPr>
      <w:r>
        <w:rPr>
          <w:rStyle w:val="FootnoteReference"/>
        </w:rPr>
        <w:footnoteRef/>
      </w:r>
      <w:r>
        <w:t xml:space="preserve"> </w:t>
      </w:r>
      <w:r>
        <w:t xml:space="preserve">Homey 2025, PMID 40082741.</w:t>
      </w:r>
    </w:p>
  </w:footnote>
  <w:footnote w:id="2125">
    <w:p>
      <w:pPr>
        <w:pStyle w:val="FootnoteText"/>
      </w:pPr>
      <w:r>
        <w:rPr>
          <w:rStyle w:val="FootnoteReference"/>
        </w:rPr>
        <w:footnoteRef/>
      </w:r>
      <w:r>
        <w:t xml:space="preserve"> </w:t>
      </w:r>
      <w:r>
        <w:t xml:space="preserve">Homey 2025, PMID 40082741; Seidl-Philipp 2026, PMID 41793078.</w:t>
      </w:r>
    </w:p>
  </w:footnote>
  <w:footnote w:id="2126">
    <w:p>
      <w:pPr>
        <w:pStyle w:val="FootnoteText"/>
      </w:pPr>
      <w:r>
        <w:rPr>
          <w:rStyle w:val="FootnoteReference"/>
        </w:rPr>
        <w:footnoteRef/>
      </w:r>
      <w:r>
        <w:t xml:space="preserve"> </w:t>
      </w:r>
      <w:r>
        <w:t xml:space="preserve">Barman-Aksözen 2024, PMID 38791830.</w:t>
      </w:r>
    </w:p>
  </w:footnote>
  <w:footnote w:id="2128">
    <w:p>
      <w:pPr>
        <w:pStyle w:val="FootnoteText"/>
      </w:pPr>
      <w:r>
        <w:rPr>
          <w:rStyle w:val="FootnoteReference"/>
        </w:rPr>
        <w:footnoteRef/>
      </w:r>
      <w:r>
        <w:t xml:space="preserve"> </w:t>
      </w:r>
      <w:r>
        <w:t xml:space="preserve">NCT06109649.</w:t>
      </w:r>
    </w:p>
  </w:footnote>
  <w:footnote w:id="2129">
    <w:p>
      <w:pPr>
        <w:pStyle w:val="FootnoteText"/>
      </w:pPr>
      <w:r>
        <w:rPr>
          <w:rStyle w:val="FootnoteReference"/>
        </w:rPr>
        <w:footnoteRef/>
      </w:r>
      <w:r>
        <w:t xml:space="preserve"> </w:t>
      </w:r>
      <w:r>
        <w:t xml:space="preserve">NCT05210582.</w:t>
      </w:r>
    </w:p>
  </w:footnote>
  <w:footnote w:id="2130">
    <w:p>
      <w:pPr>
        <w:pStyle w:val="FootnoteText"/>
      </w:pPr>
      <w:r>
        <w:rPr>
          <w:rStyle w:val="FootnoteReference"/>
        </w:rPr>
        <w:footnoteRef/>
      </w:r>
      <w:r>
        <w:t xml:space="preserve"> </w:t>
      </w:r>
      <w:r>
        <w:t xml:space="preserve">NCT05370235, NCT05159752.</w:t>
      </w:r>
    </w:p>
  </w:footnote>
  <w:footnote w:id="2131">
    <w:p>
      <w:pPr>
        <w:pStyle w:val="FootnoteText"/>
      </w:pPr>
      <w:r>
        <w:rPr>
          <w:rStyle w:val="FootnoteReference"/>
        </w:rPr>
        <w:footnoteRef/>
      </w:r>
      <w:r>
        <w:t xml:space="preserve"> </w:t>
      </w:r>
      <w:r>
        <w:t xml:space="preserve">NCT06388642.</w:t>
      </w:r>
    </w:p>
  </w:footnote>
  <w:footnote w:id="2132">
    <w:p>
      <w:pPr>
        <w:pStyle w:val="FootnoteText"/>
      </w:pPr>
      <w:r>
        <w:rPr>
          <w:rStyle w:val="FootnoteReference"/>
        </w:rPr>
        <w:footnoteRef/>
      </w:r>
      <w:r>
        <w:t xml:space="preserve"> </w:t>
      </w:r>
      <w:r>
        <w:t xml:space="preserve">Barman-Aksözen 2026, PMID 41885813.</w:t>
      </w:r>
    </w:p>
  </w:footnote>
  <w:footnote w:id="2136">
    <w:p>
      <w:pPr>
        <w:pStyle w:val="FootnoteText"/>
      </w:pPr>
      <w:r>
        <w:rPr>
          <w:rStyle w:val="FootnoteReference"/>
        </w:rPr>
        <w:footnoteRef/>
      </w:r>
      <w:r>
        <w:t xml:space="preserve"> </w:t>
      </w:r>
      <w:r>
        <w:t xml:space="preserve">Lee 1996, PMID 8944003.</w:t>
      </w:r>
    </w:p>
  </w:footnote>
  <w:footnote w:id="2137">
    <w:p>
      <w:pPr>
        <w:pStyle w:val="FootnoteText"/>
      </w:pPr>
      <w:r>
        <w:rPr>
          <w:rStyle w:val="FootnoteReference"/>
        </w:rPr>
        <w:footnoteRef/>
      </w:r>
      <w:r>
        <w:t xml:space="preserve"> </w:t>
      </w:r>
      <w:r>
        <w:t xml:space="preserve">Ohtaki 2001, PMID 11385580.</w:t>
      </w:r>
    </w:p>
  </w:footnote>
  <w:footnote w:id="2139">
    <w:p>
      <w:pPr>
        <w:pStyle w:val="FootnoteText"/>
      </w:pPr>
      <w:r>
        <w:rPr>
          <w:rStyle w:val="FootnoteReference"/>
        </w:rPr>
        <w:footnoteRef/>
      </w:r>
      <w:r>
        <w:t xml:space="preserve"> </w:t>
      </w:r>
      <w:r>
        <w:t xml:space="preserve">de Roux 2003, PMID 12944565; Seminara 2003, PMID 14573733.</w:t>
      </w:r>
    </w:p>
  </w:footnote>
  <w:footnote w:id="2141">
    <w:p>
      <w:pPr>
        <w:pStyle w:val="FootnoteText"/>
      </w:pPr>
      <w:r>
        <w:rPr>
          <w:rStyle w:val="FootnoteReference"/>
        </w:rPr>
        <w:footnoteRef/>
      </w:r>
      <w:r>
        <w:t xml:space="preserve"> </w:t>
      </w:r>
      <w:r>
        <w:t xml:space="preserve">Dhillo 2005, PMID 16174713.</w:t>
      </w:r>
    </w:p>
  </w:footnote>
  <w:footnote w:id="2142">
    <w:p>
      <w:pPr>
        <w:pStyle w:val="FootnoteText"/>
      </w:pPr>
      <w:r>
        <w:rPr>
          <w:rStyle w:val="FootnoteReference"/>
        </w:rPr>
        <w:footnoteRef/>
      </w:r>
      <w:r>
        <w:t xml:space="preserve"> </w:t>
      </w:r>
      <w:r>
        <w:t xml:space="preserve">Dhillo 2007, PMID 17635940.</w:t>
      </w:r>
    </w:p>
  </w:footnote>
  <w:footnote w:id="2143">
    <w:p>
      <w:pPr>
        <w:pStyle w:val="FootnoteText"/>
      </w:pPr>
      <w:r>
        <w:rPr>
          <w:rStyle w:val="FootnoteReference"/>
        </w:rPr>
        <w:footnoteRef/>
      </w:r>
      <w:r>
        <w:t xml:space="preserve"> </w:t>
      </w:r>
      <w:r>
        <w:t xml:space="preserve">George 2011, PMID 21632807.</w:t>
      </w:r>
    </w:p>
  </w:footnote>
  <w:footnote w:id="2144">
    <w:p>
      <w:pPr>
        <w:pStyle w:val="FootnoteText"/>
      </w:pPr>
      <w:r>
        <w:rPr>
          <w:rStyle w:val="FootnoteReference"/>
        </w:rPr>
        <w:footnoteRef/>
      </w:r>
      <w:r>
        <w:t xml:space="preserve"> </w:t>
      </w:r>
      <w:r>
        <w:t xml:space="preserve">Chan 2018, PMID 29669934.</w:t>
      </w:r>
    </w:p>
  </w:footnote>
  <w:footnote w:id="2146">
    <w:p>
      <w:pPr>
        <w:pStyle w:val="FootnoteText"/>
      </w:pPr>
      <w:r>
        <w:rPr>
          <w:rStyle w:val="FootnoteReference"/>
        </w:rPr>
        <w:footnoteRef/>
      </w:r>
      <w:r>
        <w:t xml:space="preserve"> </w:t>
      </w:r>
      <w:r>
        <w:t xml:space="preserve">Jayasena 2014, PMID 25036713; NCT01667406.</w:t>
      </w:r>
    </w:p>
  </w:footnote>
  <w:footnote w:id="2147">
    <w:p>
      <w:pPr>
        <w:pStyle w:val="FootnoteText"/>
      </w:pPr>
      <w:r>
        <w:rPr>
          <w:rStyle w:val="FootnoteReference"/>
        </w:rPr>
        <w:footnoteRef/>
      </w:r>
      <w:r>
        <w:t xml:space="preserve"> </w:t>
      </w:r>
      <w:r>
        <w:t xml:space="preserve">Abbara 2015, PMID 26192876.</w:t>
      </w:r>
    </w:p>
  </w:footnote>
  <w:footnote w:id="2148">
    <w:p>
      <w:pPr>
        <w:pStyle w:val="FootnoteText"/>
      </w:pPr>
      <w:r>
        <w:rPr>
          <w:rStyle w:val="FootnoteReference"/>
        </w:rPr>
        <w:footnoteRef/>
      </w:r>
      <w:r>
        <w:t xml:space="preserve"> </w:t>
      </w:r>
      <w:r>
        <w:t xml:space="preserve">Abbara 2017, PMID 28854728.</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2020, PMID 33196464.</w:t>
      </w:r>
    </w:p>
  </w:footnote>
  <w:footnote w:id="2151">
    <w:p>
      <w:pPr>
        <w:pStyle w:val="FootnoteText"/>
      </w:pPr>
      <w:r>
        <w:rPr>
          <w:rStyle w:val="FootnoteReference"/>
        </w:rPr>
        <w:footnoteRef/>
      </w:r>
      <w:r>
        <w:t xml:space="preserve"> </w:t>
      </w:r>
      <w:r>
        <w:t xml:space="preserve">Abbara 2024, PMID 37925096.</w:t>
      </w:r>
    </w:p>
  </w:footnote>
  <w:footnote w:id="2153">
    <w:p>
      <w:pPr>
        <w:pStyle w:val="FootnoteText"/>
      </w:pPr>
      <w:r>
        <w:rPr>
          <w:rStyle w:val="FootnoteReference"/>
        </w:rPr>
        <w:footnoteRef/>
      </w:r>
      <w:r>
        <w:t xml:space="preserve"> </w:t>
      </w:r>
      <w:r>
        <w:t xml:space="preserve">Jayasena 2009, PMID 19820030.</w:t>
      </w:r>
    </w:p>
  </w:footnote>
  <w:footnote w:id="2154">
    <w:p>
      <w:pPr>
        <w:pStyle w:val="FootnoteText"/>
      </w:pPr>
      <w:r>
        <w:rPr>
          <w:rStyle w:val="FootnoteReference"/>
        </w:rPr>
        <w:footnoteRef/>
      </w:r>
      <w:r>
        <w:t xml:space="preserve"> </w:t>
      </w:r>
      <w:r>
        <w:t xml:space="preserve">Jayasena 2010, PMID 20980998.</w:t>
      </w:r>
    </w:p>
  </w:footnote>
  <w:footnote w:id="2155">
    <w:p>
      <w:pPr>
        <w:pStyle w:val="FootnoteText"/>
      </w:pPr>
      <w:r>
        <w:rPr>
          <w:rStyle w:val="FootnoteReference"/>
        </w:rPr>
        <w:footnoteRef/>
      </w:r>
      <w:r>
        <w:t xml:space="preserve"> </w:t>
      </w:r>
      <w:r>
        <w:t xml:space="preserve">Jayasena 2014, PMID 24517142.</w:t>
      </w:r>
    </w:p>
  </w:footnote>
  <w:footnote w:id="2156">
    <w:p>
      <w:pPr>
        <w:pStyle w:val="FootnoteText"/>
      </w:pPr>
      <w:r>
        <w:rPr>
          <w:rStyle w:val="FootnoteReference"/>
        </w:rPr>
        <w:footnoteRef/>
      </w:r>
      <w:r>
        <w:t xml:space="preserve"> </w:t>
      </w:r>
      <w:r>
        <w:t xml:space="preserve">Young 2013, PMID 22377698.</w:t>
      </w:r>
    </w:p>
  </w:footnote>
  <w:footnote w:id="2157">
    <w:p>
      <w:pPr>
        <w:pStyle w:val="FootnoteText"/>
      </w:pPr>
      <w:r>
        <w:rPr>
          <w:rStyle w:val="FootnoteReference"/>
        </w:rPr>
        <w:footnoteRef/>
      </w:r>
      <w:r>
        <w:t xml:space="preserve"> </w:t>
      </w:r>
      <w:r>
        <w:t xml:space="preserve">Romero-Ruiz 2019, PMID 31820802.</w:t>
      </w:r>
    </w:p>
  </w:footnote>
  <w:footnote w:id="2159">
    <w:p>
      <w:pPr>
        <w:pStyle w:val="FootnoteText"/>
      </w:pPr>
      <w:r>
        <w:rPr>
          <w:rStyle w:val="FootnoteReference"/>
        </w:rPr>
        <w:footnoteRef/>
      </w:r>
      <w:r>
        <w:t xml:space="preserve"> </w:t>
      </w:r>
      <w:r>
        <w:t xml:space="preserve">George 2013, PMID 23153270.</w:t>
      </w:r>
    </w:p>
  </w:footnote>
  <w:footnote w:id="2160">
    <w:p>
      <w:pPr>
        <w:pStyle w:val="FootnoteText"/>
      </w:pPr>
      <w:r>
        <w:rPr>
          <w:rStyle w:val="FootnoteReference"/>
        </w:rPr>
        <w:footnoteRef/>
      </w:r>
      <w:r>
        <w:t xml:space="preserve"> </w:t>
      </w:r>
      <w:r>
        <w:t xml:space="preserve">Yeung 2026, PMID 42549827.</w:t>
      </w:r>
    </w:p>
  </w:footnote>
  <w:footnote w:id="2162">
    <w:p>
      <w:pPr>
        <w:pStyle w:val="FootnoteText"/>
      </w:pPr>
      <w:r>
        <w:rPr>
          <w:rStyle w:val="FootnoteReference"/>
        </w:rPr>
        <w:footnoteRef/>
      </w:r>
      <w:r>
        <w:t xml:space="preserve"> </w:t>
      </w:r>
      <w:r>
        <w:t xml:space="preserve">Mills 2023, PMID 36735255.</w:t>
      </w:r>
    </w:p>
  </w:footnote>
  <w:footnote w:id="2163">
    <w:p>
      <w:pPr>
        <w:pStyle w:val="FootnoteText"/>
      </w:pPr>
      <w:r>
        <w:rPr>
          <w:rStyle w:val="FootnoteReference"/>
        </w:rPr>
        <w:footnoteRef/>
      </w:r>
      <w:r>
        <w:t xml:space="preserve"> </w:t>
      </w:r>
      <w:r>
        <w:t xml:space="preserve">Thurston 2022, PMID 36287566.</w:t>
      </w:r>
    </w:p>
  </w:footnote>
  <w:footnote w:id="2164">
    <w:p>
      <w:pPr>
        <w:pStyle w:val="FootnoteText"/>
      </w:pPr>
      <w:r>
        <w:rPr>
          <w:rStyle w:val="FootnoteReference"/>
        </w:rPr>
        <w:footnoteRef/>
      </w:r>
      <w:r>
        <w:t xml:space="preserve"> </w:t>
      </w:r>
      <w:r>
        <w:t xml:space="preserve">Mills 2025, PMID 40036336.</w:t>
      </w:r>
    </w:p>
  </w:footnote>
  <w:footnote w:id="2166">
    <w:p>
      <w:pPr>
        <w:pStyle w:val="FootnoteText"/>
      </w:pPr>
      <w:r>
        <w:rPr>
          <w:rStyle w:val="FootnoteReference"/>
        </w:rPr>
        <w:footnoteRef/>
      </w:r>
      <w:r>
        <w:t xml:space="preserve"> </w:t>
      </w:r>
      <w:r>
        <w:t xml:space="preserve">Mills 2025, PMID 40215751.</w:t>
      </w:r>
    </w:p>
  </w:footnote>
  <w:footnote w:id="2168">
    <w:p>
      <w:pPr>
        <w:pStyle w:val="FootnoteText"/>
      </w:pPr>
      <w:r>
        <w:rPr>
          <w:rStyle w:val="FootnoteReference"/>
        </w:rPr>
        <w:footnoteRef/>
      </w:r>
      <w:r>
        <w:t xml:space="preserve"> </w:t>
      </w:r>
      <w:r>
        <w:t xml:space="preserve">Comninos 2022, PMID 35244717.</w:t>
      </w:r>
    </w:p>
  </w:footnote>
  <w:footnote w:id="2169">
    <w:p>
      <w:pPr>
        <w:pStyle w:val="FootnoteText"/>
      </w:pPr>
      <w:r>
        <w:rPr>
          <w:rStyle w:val="FootnoteReference"/>
        </w:rPr>
        <w:footnoteRef/>
      </w:r>
      <w:r>
        <w:t xml:space="preserve"> </w:t>
      </w:r>
      <w:r>
        <w:t xml:space="preserve">Izzi-Engbeaya 2018, PMID 29974637.</w:t>
      </w:r>
    </w:p>
  </w:footnote>
  <w:footnote w:id="2170">
    <w:p>
      <w:pPr>
        <w:pStyle w:val="FootnoteText"/>
      </w:pPr>
      <w:r>
        <w:rPr>
          <w:rStyle w:val="FootnoteReference"/>
        </w:rPr>
        <w:footnoteRef/>
      </w:r>
      <w:r>
        <w:t xml:space="preserve"> </w:t>
      </w:r>
      <w:r>
        <w:t xml:space="preserve">Galbiati 2025, PMID 39965102.</w:t>
      </w:r>
    </w:p>
  </w:footnote>
  <w:footnote w:id="2172">
    <w:p>
      <w:pPr>
        <w:pStyle w:val="FootnoteText"/>
      </w:pPr>
      <w:r>
        <w:rPr>
          <w:rStyle w:val="FootnoteReference"/>
        </w:rPr>
        <w:footnoteRef/>
      </w:r>
      <w:r>
        <w:t xml:space="preserve"> </w:t>
      </w:r>
      <w:r>
        <w:t xml:space="preserve">MacLean 2014, PMID 24762108.</w:t>
      </w:r>
    </w:p>
  </w:footnote>
  <w:footnote w:id="2173">
    <w:p>
      <w:pPr>
        <w:pStyle w:val="FootnoteText"/>
      </w:pPr>
      <w:r>
        <w:rPr>
          <w:rStyle w:val="FootnoteReference"/>
        </w:rPr>
        <w:footnoteRef/>
      </w:r>
      <w:r>
        <w:t xml:space="preserve"> </w:t>
      </w:r>
      <w:r>
        <w:t xml:space="preserve">NCT02369796, NCT02381288.</w:t>
      </w:r>
    </w:p>
  </w:footnote>
  <w:footnote w:id="2176">
    <w:p>
      <w:pPr>
        <w:pStyle w:val="FootnoteText"/>
      </w:pPr>
      <w:r>
        <w:rPr>
          <w:rStyle w:val="FootnoteReference"/>
        </w:rPr>
        <w:footnoteRef/>
      </w:r>
      <w:r>
        <w:t xml:space="preserve"> </w:t>
      </w:r>
      <w:r>
        <w:t xml:space="preserve">Seminara 2003, PMID 14573733.</w:t>
      </w:r>
    </w:p>
  </w:footnote>
  <w:footnote w:id="2177">
    <w:p>
      <w:pPr>
        <w:pStyle w:val="FootnoteText"/>
      </w:pPr>
      <w:r>
        <w:rPr>
          <w:rStyle w:val="FootnoteReference"/>
        </w:rPr>
        <w:footnoteRef/>
      </w:r>
      <w:r>
        <w:t xml:space="preserve"> </w:t>
      </w:r>
      <w:r>
        <w:t xml:space="preserve">Lee 1996, PMID 8944003; Ohtaki 2001, PMID 11385580.</w:t>
      </w:r>
    </w:p>
  </w:footnote>
  <w:footnote w:id="2178">
    <w:p>
      <w:pPr>
        <w:pStyle w:val="FootnoteText"/>
      </w:pPr>
      <w:r>
        <w:rPr>
          <w:rStyle w:val="FootnoteReference"/>
        </w:rPr>
        <w:footnoteRef/>
      </w:r>
      <w:r>
        <w:t xml:space="preserve"> </w:t>
      </w:r>
      <w:r>
        <w:t xml:space="preserve">Romero-Ruiz 2019, PMID 31820802.</w:t>
      </w:r>
    </w:p>
  </w:footnote>
  <w:footnote w:id="2179">
    <w:p>
      <w:pPr>
        <w:pStyle w:val="FootnoteText"/>
      </w:pPr>
      <w:r>
        <w:rPr>
          <w:rStyle w:val="FootnoteReference"/>
        </w:rPr>
        <w:footnoteRef/>
      </w:r>
      <w:r>
        <w:t xml:space="preserve"> </w:t>
      </w:r>
      <w:r>
        <w:t xml:space="preserve">Koysombat 2025, PMID 39813600.</w:t>
      </w:r>
    </w:p>
  </w:footnote>
  <w:footnote w:id="2181">
    <w:p>
      <w:pPr>
        <w:pStyle w:val="FootnoteText"/>
      </w:pPr>
      <w:r>
        <w:rPr>
          <w:rStyle w:val="FootnoteReference"/>
        </w:rPr>
        <w:footnoteRef/>
      </w:r>
      <w:r>
        <w:t xml:space="preserve"> </w:t>
      </w:r>
      <w:r>
        <w:t xml:space="preserve">Jayasena 2010, PMID 20980998; Thurston 2022, PMID 36287566; Mills 2025, PMID 40215751.</w:t>
      </w:r>
    </w:p>
  </w:footnote>
  <w:footnote w:id="2182">
    <w:p>
      <w:pPr>
        <w:pStyle w:val="FootnoteText"/>
      </w:pPr>
      <w:r>
        <w:rPr>
          <w:rStyle w:val="FootnoteReference"/>
        </w:rPr>
        <w:footnoteRef/>
      </w:r>
      <w:r>
        <w:t xml:space="preserve"> </w:t>
      </w:r>
      <w:r>
        <w:t xml:space="preserve">Jayasena 2014, PMID 24863252.</w:t>
      </w:r>
    </w:p>
  </w:footnote>
  <w:footnote w:id="2183">
    <w:p>
      <w:pPr>
        <w:pStyle w:val="FootnoteText"/>
      </w:pPr>
      <w:r>
        <w:rPr>
          <w:rStyle w:val="FootnoteReference"/>
        </w:rPr>
        <w:footnoteRef/>
      </w:r>
      <w:r>
        <w:t xml:space="preserve"> </w:t>
      </w:r>
      <w:r>
        <w:t xml:space="preserve">Mills 2025, PMID 40036336.</w:t>
      </w:r>
    </w:p>
  </w:footnote>
  <w:footnote w:id="2184">
    <w:p>
      <w:pPr>
        <w:pStyle w:val="FootnoteText"/>
      </w:pPr>
      <w:r>
        <w:rPr>
          <w:rStyle w:val="FootnoteReference"/>
        </w:rPr>
        <w:footnoteRef/>
      </w:r>
      <w:r>
        <w:t xml:space="preserve"> </w:t>
      </w:r>
      <w:r>
        <w:t xml:space="preserve">MacLean 2014, PMID 24762108.</w:t>
      </w:r>
    </w:p>
  </w:footnote>
  <w:footnote w:id="2190">
    <w:p>
      <w:pPr>
        <w:pStyle w:val="FootnoteText"/>
      </w:pPr>
      <w:r>
        <w:rPr>
          <w:rStyle w:val="FootnoteReference"/>
        </w:rPr>
        <w:footnoteRef/>
      </w:r>
      <w:r>
        <w:t xml:space="preserve"> </w:t>
      </w:r>
      <w:r>
        <w:t xml:space="preserve">NCT07224490.</w:t>
      </w:r>
    </w:p>
  </w:footnote>
  <w:footnote w:id="2191">
    <w:p>
      <w:pPr>
        <w:pStyle w:val="FootnoteText"/>
      </w:pPr>
      <w:r>
        <w:rPr>
          <w:rStyle w:val="FootnoteReference"/>
        </w:rPr>
        <w:footnoteRef/>
      </w:r>
      <w:r>
        <w:t xml:space="preserve"> </w:t>
      </w:r>
      <w:r>
        <w:t xml:space="preserve">NCT04648969.</w:t>
      </w:r>
    </w:p>
  </w:footnote>
  <w:footnote w:id="2197">
    <w:p>
      <w:pPr>
        <w:pStyle w:val="FootnoteText"/>
      </w:pPr>
      <w:r>
        <w:rPr>
          <w:rStyle w:val="FootnoteReference"/>
        </w:rPr>
        <w:footnoteRef/>
      </w:r>
      <w:r>
        <w:t xml:space="preserve"> </w:t>
      </w:r>
      <w:r>
        <w:t xml:space="preserve">Leng 2016, PMID 26049207.</w:t>
      </w:r>
    </w:p>
  </w:footnote>
  <w:footnote w:id="2198">
    <w:p>
      <w:pPr>
        <w:pStyle w:val="FootnoteText"/>
      </w:pPr>
      <w:r>
        <w:rPr>
          <w:rStyle w:val="FootnoteReference"/>
        </w:rPr>
        <w:footnoteRef/>
      </w:r>
      <w:r>
        <w:t xml:space="preserve"> </w:t>
      </w:r>
      <w:r>
        <w:t xml:space="preserve">Lee 2018, PMID 28289281.</w:t>
      </w:r>
    </w:p>
  </w:footnote>
  <w:footnote w:id="2199">
    <w:p>
      <w:pPr>
        <w:pStyle w:val="FootnoteText"/>
      </w:pPr>
      <w:r>
        <w:rPr>
          <w:rStyle w:val="FootnoteReference"/>
        </w:rPr>
        <w:footnoteRef/>
      </w:r>
      <w:r>
        <w:t xml:space="preserve"> </w:t>
      </w:r>
      <w:r>
        <w:t xml:space="preserve">Lee 2020, PMID 32494001.</w:t>
      </w:r>
    </w:p>
  </w:footnote>
  <w:footnote w:id="2200">
    <w:p>
      <w:pPr>
        <w:pStyle w:val="FootnoteText"/>
      </w:pPr>
      <w:r>
        <w:rPr>
          <w:rStyle w:val="FootnoteReference"/>
        </w:rPr>
        <w:footnoteRef/>
      </w:r>
      <w:r>
        <w:t xml:space="preserve"> </w:t>
      </w:r>
      <w:r>
        <w:t xml:space="preserve">Martins 2020, PMID 32127545.</w:t>
      </w:r>
    </w:p>
  </w:footnote>
  <w:footnote w:id="2201">
    <w:p>
      <w:pPr>
        <w:pStyle w:val="FootnoteText"/>
      </w:pPr>
      <w:r>
        <w:rPr>
          <w:rStyle w:val="FootnoteReference"/>
        </w:rPr>
        <w:footnoteRef/>
      </w:r>
      <w:r>
        <w:t xml:space="preserve"> </w:t>
      </w:r>
      <w:r>
        <w:t xml:space="preserve">Valstad 2017, PMID 28442403.</w:t>
      </w:r>
    </w:p>
  </w:footnote>
  <w:footnote w:id="2202">
    <w:p>
      <w:pPr>
        <w:pStyle w:val="FootnoteText"/>
      </w:pPr>
      <w:r>
        <w:rPr>
          <w:rStyle w:val="FootnoteReference"/>
        </w:rPr>
        <w:footnoteRef/>
      </w:r>
      <w:r>
        <w:t xml:space="preserve"> </w:t>
      </w:r>
      <w:r>
        <w:t xml:space="preserve">Leng 2016, PMID 26049207.</w:t>
      </w:r>
    </w:p>
  </w:footnote>
  <w:footnote w:id="2203">
    <w:p>
      <w:pPr>
        <w:pStyle w:val="FootnoteText"/>
      </w:pPr>
      <w:r>
        <w:rPr>
          <w:rStyle w:val="FootnoteReference"/>
        </w:rPr>
        <w:footnoteRef/>
      </w:r>
      <w:r>
        <w:t xml:space="preserve"> </w:t>
      </w:r>
      <w:r>
        <w:t xml:space="preserve">Quintana 2021, PMID 32807845.</w:t>
      </w:r>
    </w:p>
  </w:footnote>
  <w:footnote w:id="2205">
    <w:p>
      <w:pPr>
        <w:pStyle w:val="FootnoteText"/>
      </w:pPr>
      <w:r>
        <w:rPr>
          <w:rStyle w:val="FootnoteReference"/>
        </w:rPr>
        <w:footnoteRef/>
      </w:r>
      <w:r>
        <w:t xml:space="preserve"> </w:t>
      </w:r>
      <w:r>
        <w:t xml:space="preserve">Salati 2019, PMID 31032882.</w:t>
      </w:r>
    </w:p>
  </w:footnote>
  <w:footnote w:id="2208">
    <w:p>
      <w:pPr>
        <w:pStyle w:val="FootnoteText"/>
      </w:pPr>
      <w:r>
        <w:rPr>
          <w:rStyle w:val="FootnoteReference"/>
        </w:rPr>
        <w:footnoteRef/>
      </w:r>
      <w:r>
        <w:t xml:space="preserve"> </w:t>
      </w:r>
      <w:r>
        <w:t xml:space="preserve">Kosfeld 2005, PMID 15931222.</w:t>
      </w:r>
    </w:p>
  </w:footnote>
  <w:footnote w:id="2209">
    <w:p>
      <w:pPr>
        <w:pStyle w:val="FootnoteText"/>
      </w:pPr>
      <w:r>
        <w:rPr>
          <w:rStyle w:val="FootnoteReference"/>
        </w:rPr>
        <w:footnoteRef/>
      </w:r>
      <w:r>
        <w:t xml:space="preserve"> </w:t>
      </w:r>
      <w:r>
        <w:t xml:space="preserve">Heinrichs 2003, PMID 14675803.</w:t>
      </w:r>
    </w:p>
  </w:footnote>
  <w:footnote w:id="2210">
    <w:p>
      <w:pPr>
        <w:pStyle w:val="FootnoteText"/>
      </w:pPr>
      <w:r>
        <w:rPr>
          <w:rStyle w:val="FootnoteReference"/>
        </w:rPr>
        <w:footnoteRef/>
      </w:r>
      <w:r>
        <w:t xml:space="preserve"> </w:t>
      </w:r>
      <w:r>
        <w:t xml:space="preserve">Leppanen 2017, PMID 28467893.</w:t>
      </w:r>
    </w:p>
  </w:footnote>
  <w:footnote w:id="2212">
    <w:p>
      <w:pPr>
        <w:pStyle w:val="FootnoteText"/>
      </w:pPr>
      <w:r>
        <w:rPr>
          <w:rStyle w:val="FootnoteReference"/>
        </w:rPr>
        <w:footnoteRef/>
      </w:r>
      <w:r>
        <w:t xml:space="preserve"> </w:t>
      </w:r>
      <w:r>
        <w:t xml:space="preserve">Nave 2015, PMID 26581735.</w:t>
      </w:r>
    </w:p>
  </w:footnote>
  <w:footnote w:id="2213">
    <w:p>
      <w:pPr>
        <w:pStyle w:val="FootnoteText"/>
      </w:pPr>
      <w:r>
        <w:rPr>
          <w:rStyle w:val="FootnoteReference"/>
        </w:rPr>
        <w:footnoteRef/>
      </w:r>
      <w:r>
        <w:t xml:space="preserve"> </w:t>
      </w:r>
      <w:r>
        <w:t xml:space="preserve">Walum 2016, PMID 26210057.</w:t>
      </w:r>
    </w:p>
  </w:footnote>
  <w:footnote w:id="2214">
    <w:p>
      <w:pPr>
        <w:pStyle w:val="FootnoteText"/>
      </w:pPr>
      <w:r>
        <w:rPr>
          <w:rStyle w:val="FootnoteReference"/>
        </w:rPr>
        <w:footnoteRef/>
      </w:r>
      <w:r>
        <w:t xml:space="preserve"> </w:t>
      </w:r>
      <w:r>
        <w:t xml:space="preserve">Declerck 2020, PMID 32514040.</w:t>
      </w:r>
    </w:p>
  </w:footnote>
  <w:footnote w:id="2215">
    <w:p>
      <w:pPr>
        <w:pStyle w:val="FootnoteText"/>
      </w:pPr>
      <w:r>
        <w:rPr>
          <w:rStyle w:val="FootnoteReference"/>
        </w:rPr>
        <w:footnoteRef/>
      </w:r>
      <w:r>
        <w:t xml:space="preserve"> </w:t>
      </w:r>
      <w:r>
        <w:t xml:space="preserve">Vogt 2026, PMID 42561025.</w:t>
      </w:r>
    </w:p>
  </w:footnote>
  <w:footnote w:id="2216">
    <w:p>
      <w:pPr>
        <w:pStyle w:val="FootnoteText"/>
      </w:pPr>
      <w:r>
        <w:rPr>
          <w:rStyle w:val="FootnoteReference"/>
        </w:rPr>
        <w:footnoteRef/>
      </w:r>
      <w:r>
        <w:t xml:space="preserve"> </w:t>
      </w:r>
      <w:r>
        <w:t xml:space="preserve">Iversen 2026, PMID 41389446.</w:t>
      </w:r>
    </w:p>
  </w:footnote>
  <w:footnote w:id="2218">
    <w:p>
      <w:pPr>
        <w:pStyle w:val="FootnoteText"/>
      </w:pPr>
      <w:r>
        <w:rPr>
          <w:rStyle w:val="FootnoteReference"/>
        </w:rPr>
        <w:footnoteRef/>
      </w:r>
      <w:r>
        <w:t xml:space="preserve"> </w:t>
      </w:r>
      <w:r>
        <w:t xml:space="preserve">Sikich 2021, PMID 34644471.</w:t>
      </w:r>
    </w:p>
  </w:footnote>
  <w:footnote w:id="2219">
    <w:p>
      <w:pPr>
        <w:pStyle w:val="FootnoteText"/>
      </w:pPr>
      <w:r>
        <w:rPr>
          <w:rStyle w:val="FootnoteReference"/>
        </w:rPr>
        <w:footnoteRef/>
      </w:r>
      <w:r>
        <w:t xml:space="preserve"> </w:t>
      </w:r>
      <w:r>
        <w:t xml:space="preserve">Preti 2014, PMID 24679173.</w:t>
      </w:r>
    </w:p>
  </w:footnote>
  <w:footnote w:id="2220">
    <w:p>
      <w:pPr>
        <w:pStyle w:val="FootnoteText"/>
      </w:pPr>
      <w:r>
        <w:rPr>
          <w:rStyle w:val="FootnoteReference"/>
        </w:rPr>
        <w:footnoteRef/>
      </w:r>
      <w:r>
        <w:t xml:space="preserve"> </w:t>
      </w:r>
      <w:r>
        <w:t xml:space="preserve">Sikich 2021, PMID 34644471; NCT01944046.</w:t>
      </w:r>
    </w:p>
  </w:footnote>
  <w:footnote w:id="2221">
    <w:p>
      <w:pPr>
        <w:pStyle w:val="FootnoteText"/>
      </w:pPr>
      <w:r>
        <w:rPr>
          <w:rStyle w:val="FootnoteReference"/>
        </w:rPr>
        <w:footnoteRef/>
      </w:r>
      <w:r>
        <w:t xml:space="preserve"> </w:t>
      </w:r>
      <w:r>
        <w:t xml:space="preserve">Yatawara 2016, PMID 26503762.</w:t>
      </w:r>
    </w:p>
  </w:footnote>
  <w:footnote w:id="2222">
    <w:p>
      <w:pPr>
        <w:pStyle w:val="FootnoteText"/>
      </w:pPr>
      <w:r>
        <w:rPr>
          <w:rStyle w:val="FootnoteReference"/>
        </w:rPr>
        <w:footnoteRef/>
      </w:r>
      <w:r>
        <w:t xml:space="preserve"> </w:t>
      </w:r>
      <w:r>
        <w:t xml:space="preserve">Guastella 2023, PMID 36302965.</w:t>
      </w:r>
    </w:p>
  </w:footnote>
  <w:footnote w:id="2223">
    <w:p>
      <w:pPr>
        <w:pStyle w:val="FootnoteText"/>
      </w:pPr>
      <w:r>
        <w:rPr>
          <w:rStyle w:val="FootnoteReference"/>
        </w:rPr>
        <w:footnoteRef/>
      </w:r>
      <w:r>
        <w:t xml:space="preserve"> </w:t>
      </w:r>
      <w:r>
        <w:t xml:space="preserve">Guastella 2015, PMID 25087908.</w:t>
      </w:r>
    </w:p>
  </w:footnote>
  <w:footnote w:id="2224">
    <w:p>
      <w:pPr>
        <w:pStyle w:val="FootnoteText"/>
      </w:pPr>
      <w:r>
        <w:rPr>
          <w:rStyle w:val="FootnoteReference"/>
        </w:rPr>
        <w:footnoteRef/>
      </w:r>
      <w:r>
        <w:t xml:space="preserve"> </w:t>
      </w:r>
      <w:r>
        <w:t xml:space="preserve">Moerkerke 2024, PMID 38167302.</w:t>
      </w:r>
    </w:p>
  </w:footnote>
  <w:footnote w:id="2225">
    <w:p>
      <w:pPr>
        <w:pStyle w:val="FootnoteText"/>
      </w:pPr>
      <w:r>
        <w:rPr>
          <w:rStyle w:val="FootnoteReference"/>
        </w:rPr>
        <w:footnoteRef/>
      </w:r>
      <w:r>
        <w:t xml:space="preserve"> </w:t>
      </w:r>
      <w:r>
        <w:t xml:space="preserve">Moerkerke 2024, PMID 39709442.</w:t>
      </w:r>
    </w:p>
  </w:footnote>
  <w:footnote w:id="2226">
    <w:p>
      <w:pPr>
        <w:pStyle w:val="FootnoteText"/>
      </w:pPr>
      <w:r>
        <w:rPr>
          <w:rStyle w:val="FootnoteReference"/>
        </w:rPr>
        <w:footnoteRef/>
      </w:r>
      <w:r>
        <w:t xml:space="preserve"> </w:t>
      </w:r>
      <w:r>
        <w:t xml:space="preserve">Keech 2018, PMID 29032324.</w:t>
      </w:r>
    </w:p>
  </w:footnote>
  <w:footnote w:id="2227">
    <w:p>
      <w:pPr>
        <w:pStyle w:val="FootnoteText"/>
      </w:pPr>
      <w:r>
        <w:rPr>
          <w:rStyle w:val="FootnoteReference"/>
        </w:rPr>
        <w:footnoteRef/>
      </w:r>
      <w:r>
        <w:t xml:space="preserve"> </w:t>
      </w:r>
      <w:r>
        <w:t xml:space="preserve">Huang 2021, PMID 33400920.</w:t>
      </w:r>
    </w:p>
  </w:footnote>
  <w:footnote w:id="2228">
    <w:p>
      <w:pPr>
        <w:pStyle w:val="FootnoteText"/>
      </w:pPr>
      <w:r>
        <w:rPr>
          <w:rStyle w:val="FootnoteReference"/>
        </w:rPr>
        <w:footnoteRef/>
      </w:r>
      <w:r>
        <w:t xml:space="preserve"> </w:t>
      </w:r>
      <w:r>
        <w:t xml:space="preserve">Bonnieux 2026, PMID 42134427.</w:t>
      </w:r>
    </w:p>
  </w:footnote>
  <w:footnote w:id="2229">
    <w:p>
      <w:pPr>
        <w:pStyle w:val="FootnoteText"/>
      </w:pPr>
      <w:r>
        <w:rPr>
          <w:rStyle w:val="FootnoteReference"/>
        </w:rPr>
        <w:footnoteRef/>
      </w:r>
      <w:r>
        <w:t xml:space="preserve"> </w:t>
      </w:r>
      <w:r>
        <w:t xml:space="preserve">Boulton 2026, PMID 42144048.</w:t>
      </w:r>
    </w:p>
  </w:footnote>
  <w:footnote w:id="2231">
    <w:p>
      <w:pPr>
        <w:pStyle w:val="FootnoteText"/>
      </w:pPr>
      <w:r>
        <w:rPr>
          <w:rStyle w:val="FootnoteReference"/>
        </w:rPr>
        <w:footnoteRef/>
      </w:r>
      <w:r>
        <w:t xml:space="preserve"> </w:t>
      </w:r>
      <w:r>
        <w:t xml:space="preserve">Jarskog 2017, PMID 28094169.</w:t>
      </w:r>
    </w:p>
  </w:footnote>
  <w:footnote w:id="2232">
    <w:p>
      <w:pPr>
        <w:pStyle w:val="FootnoteText"/>
      </w:pPr>
      <w:r>
        <w:rPr>
          <w:rStyle w:val="FootnoteReference"/>
        </w:rPr>
        <w:footnoteRef/>
      </w:r>
      <w:r>
        <w:t xml:space="preserve"> </w:t>
      </w:r>
      <w:r>
        <w:t xml:space="preserve">Sabe 2021, PMID 33890987.</w:t>
      </w:r>
    </w:p>
  </w:footnote>
  <w:footnote w:id="2233">
    <w:p>
      <w:pPr>
        <w:pStyle w:val="FootnoteText"/>
      </w:pPr>
      <w:r>
        <w:rPr>
          <w:rStyle w:val="FootnoteReference"/>
        </w:rPr>
        <w:footnoteRef/>
      </w:r>
      <w:r>
        <w:t xml:space="preserve"> </w:t>
      </w:r>
      <w:r>
        <w:t xml:space="preserve">Bonnieux 2026, PMID 42134427.</w:t>
      </w:r>
    </w:p>
  </w:footnote>
  <w:footnote w:id="2234">
    <w:p>
      <w:pPr>
        <w:pStyle w:val="FootnoteText"/>
      </w:pPr>
      <w:r>
        <w:rPr>
          <w:rStyle w:val="FootnoteReference"/>
        </w:rPr>
        <w:footnoteRef/>
      </w:r>
      <w:r>
        <w:t xml:space="preserve"> </w:t>
      </w:r>
      <w:r>
        <w:t xml:space="preserve">Melby 2019, PMID 30784955.</w:t>
      </w:r>
    </w:p>
  </w:footnote>
  <w:footnote w:id="2235">
    <w:p>
      <w:pPr>
        <w:pStyle w:val="FootnoteText"/>
      </w:pPr>
      <w:r>
        <w:rPr>
          <w:rStyle w:val="FootnoteReference"/>
        </w:rPr>
        <w:footnoteRef/>
      </w:r>
      <w:r>
        <w:t xml:space="preserve"> </w:t>
      </w:r>
      <w:r>
        <w:t xml:space="preserve">Santos 2026, PMID 42335670.</w:t>
      </w:r>
    </w:p>
  </w:footnote>
  <w:footnote w:id="2236">
    <w:p>
      <w:pPr>
        <w:pStyle w:val="FootnoteText"/>
      </w:pPr>
      <w:r>
        <w:rPr>
          <w:rStyle w:val="FootnoteReference"/>
        </w:rPr>
        <w:footnoteRef/>
      </w:r>
      <w:r>
        <w:t xml:space="preserve"> </w:t>
      </w:r>
      <w:r>
        <w:t xml:space="preserve">Pérez-Arqueros 2025, PMID 39366103.</w:t>
      </w:r>
    </w:p>
  </w:footnote>
  <w:footnote w:id="2237">
    <w:p>
      <w:pPr>
        <w:pStyle w:val="FootnoteText"/>
      </w:pPr>
      <w:r>
        <w:rPr>
          <w:rStyle w:val="FootnoteReference"/>
        </w:rPr>
        <w:footnoteRef/>
      </w:r>
      <w:r>
        <w:t xml:space="preserve"> </w:t>
      </w:r>
      <w:r>
        <w:t xml:space="preserve">Riem 2025, PMID 40614394.</w:t>
      </w:r>
    </w:p>
  </w:footnote>
  <w:footnote w:id="2239">
    <w:p>
      <w:pPr>
        <w:pStyle w:val="FootnoteText"/>
      </w:pPr>
      <w:r>
        <w:rPr>
          <w:rStyle w:val="FootnoteReference"/>
        </w:rPr>
        <w:footnoteRef/>
      </w:r>
      <w:r>
        <w:t xml:space="preserve"> </w:t>
      </w:r>
      <w:r>
        <w:t xml:space="preserve">Chen 2021, PMID 34600216.</w:t>
      </w:r>
    </w:p>
  </w:footnote>
  <w:footnote w:id="2240">
    <w:p>
      <w:pPr>
        <w:pStyle w:val="FootnoteText"/>
      </w:pPr>
      <w:r>
        <w:rPr>
          <w:rStyle w:val="FootnoteReference"/>
        </w:rPr>
        <w:footnoteRef/>
      </w:r>
      <w:r>
        <w:t xml:space="preserve"> </w:t>
      </w:r>
      <w:r>
        <w:t xml:space="preserve">Plessow 2024, PMID 38815173.</w:t>
      </w:r>
    </w:p>
  </w:footnote>
  <w:footnote w:id="2241">
    <w:p>
      <w:pPr>
        <w:pStyle w:val="FootnoteText"/>
      </w:pPr>
      <w:r>
        <w:rPr>
          <w:rStyle w:val="FootnoteReference"/>
        </w:rPr>
        <w:footnoteRef/>
      </w:r>
      <w:r>
        <w:t xml:space="preserve"> </w:t>
      </w:r>
      <w:r>
        <w:t xml:space="preserve">Espinoza 2021, PMID 34029521.</w:t>
      </w:r>
    </w:p>
  </w:footnote>
  <w:footnote w:id="2242">
    <w:p>
      <w:pPr>
        <w:pStyle w:val="FootnoteText"/>
      </w:pPr>
      <w:r>
        <w:rPr>
          <w:rStyle w:val="FootnoteReference"/>
        </w:rPr>
        <w:footnoteRef/>
      </w:r>
      <w:r>
        <w:t xml:space="preserve"> </w:t>
      </w:r>
      <w:r>
        <w:t xml:space="preserve">Shalma 2023, PMID 36774885.</w:t>
      </w:r>
    </w:p>
  </w:footnote>
  <w:footnote w:id="2243">
    <w:p>
      <w:pPr>
        <w:pStyle w:val="FootnoteText"/>
      </w:pPr>
      <w:r>
        <w:rPr>
          <w:rStyle w:val="FootnoteReference"/>
        </w:rPr>
        <w:footnoteRef/>
      </w:r>
      <w:r>
        <w:t xml:space="preserve"> </w:t>
      </w:r>
      <w:r>
        <w:t xml:space="preserve">Hollander 2021, PMID 33190843.</w:t>
      </w:r>
    </w:p>
  </w:footnote>
  <w:footnote w:id="2244">
    <w:p>
      <w:pPr>
        <w:pStyle w:val="FootnoteText"/>
      </w:pPr>
      <w:r>
        <w:rPr>
          <w:rStyle w:val="FootnoteReference"/>
        </w:rPr>
        <w:footnoteRef/>
      </w:r>
      <w:r>
        <w:t xml:space="preserve"> </w:t>
      </w:r>
      <w:r>
        <w:t xml:space="preserve">Lopes 2023, PMID 36463692.</w:t>
      </w:r>
    </w:p>
  </w:footnote>
  <w:footnote w:id="2246">
    <w:p>
      <w:pPr>
        <w:pStyle w:val="FootnoteText"/>
      </w:pPr>
      <w:r>
        <w:rPr>
          <w:rStyle w:val="FootnoteReference"/>
        </w:rPr>
        <w:footnoteRef/>
      </w:r>
      <w:r>
        <w:t xml:space="preserve"> </w:t>
      </w:r>
      <w:r>
        <w:t xml:space="preserve">Burri 2008, PMID 18375074.</w:t>
      </w:r>
    </w:p>
  </w:footnote>
  <w:footnote w:id="2247">
    <w:p>
      <w:pPr>
        <w:pStyle w:val="FootnoteText"/>
      </w:pPr>
      <w:r>
        <w:rPr>
          <w:rStyle w:val="FootnoteReference"/>
        </w:rPr>
        <w:footnoteRef/>
      </w:r>
      <w:r>
        <w:t xml:space="preserve"> </w:t>
      </w:r>
      <w:r>
        <w:t xml:space="preserve">Weinberger 2018, PMID 29995725.</w:t>
      </w:r>
    </w:p>
  </w:footnote>
  <w:footnote w:id="2249">
    <w:p>
      <w:pPr>
        <w:pStyle w:val="FootnoteText"/>
      </w:pPr>
      <w:r>
        <w:rPr>
          <w:rStyle w:val="FootnoteReference"/>
        </w:rPr>
        <w:footnoteRef/>
      </w:r>
      <w:r>
        <w:t xml:space="preserve"> </w:t>
      </w:r>
      <w:r>
        <w:t xml:space="preserve">Atila 2023, PMID 37192642.</w:t>
      </w:r>
    </w:p>
  </w:footnote>
  <w:footnote w:id="2250">
    <w:p>
      <w:pPr>
        <w:pStyle w:val="FootnoteText"/>
      </w:pPr>
      <w:r>
        <w:rPr>
          <w:rStyle w:val="FootnoteReference"/>
        </w:rPr>
        <w:footnoteRef/>
      </w:r>
      <w:r>
        <w:t xml:space="preserve"> </w:t>
      </w:r>
      <w:r>
        <w:t xml:space="preserve">NCT06036004.</w:t>
      </w:r>
    </w:p>
  </w:footnote>
  <w:footnote w:id="2253">
    <w:p>
      <w:pPr>
        <w:pStyle w:val="FootnoteText"/>
      </w:pPr>
      <w:r>
        <w:rPr>
          <w:rStyle w:val="FootnoteReference"/>
        </w:rPr>
        <w:footnoteRef/>
      </w:r>
      <w:r>
        <w:t xml:space="preserve"> </w:t>
      </w:r>
      <w:r>
        <w:t xml:space="preserve">Minakova 2019, PMID 30629642.</w:t>
      </w:r>
    </w:p>
  </w:footnote>
  <w:footnote w:id="2254">
    <w:p>
      <w:pPr>
        <w:pStyle w:val="FootnoteText"/>
      </w:pPr>
      <w:r>
        <w:rPr>
          <w:rStyle w:val="FootnoteReference"/>
        </w:rPr>
        <w:footnoteRef/>
      </w:r>
      <w:r>
        <w:t xml:space="preserve"> </w:t>
      </w:r>
      <w:r>
        <w:t xml:space="preserve">Lee 2020, PMID 32494001.</w:t>
      </w:r>
    </w:p>
  </w:footnote>
  <w:footnote w:id="2256">
    <w:p>
      <w:pPr>
        <w:pStyle w:val="FootnoteText"/>
      </w:pPr>
      <w:r>
        <w:rPr>
          <w:rStyle w:val="FootnoteReference"/>
        </w:rPr>
        <w:footnoteRef/>
      </w:r>
      <w:r>
        <w:t xml:space="preserve"> </w:t>
      </w:r>
      <w:r>
        <w:t xml:space="preserve">MacDonald 2011, PMID 21429671.</w:t>
      </w:r>
    </w:p>
  </w:footnote>
  <w:footnote w:id="2257">
    <w:p>
      <w:pPr>
        <w:pStyle w:val="FootnoteText"/>
      </w:pPr>
      <w:r>
        <w:rPr>
          <w:rStyle w:val="FootnoteReference"/>
        </w:rPr>
        <w:footnoteRef/>
      </w:r>
      <w:r>
        <w:t xml:space="preserve"> </w:t>
      </w:r>
      <w:r>
        <w:t xml:space="preserve">Sikich 2021, PMID 34644471.</w:t>
      </w:r>
    </w:p>
  </w:footnote>
  <w:footnote w:id="2258">
    <w:p>
      <w:pPr>
        <w:pStyle w:val="FootnoteText"/>
      </w:pPr>
      <w:r>
        <w:rPr>
          <w:rStyle w:val="FootnoteReference"/>
        </w:rPr>
        <w:footnoteRef/>
      </w:r>
      <w:r>
        <w:t xml:space="preserve"> </w:t>
      </w:r>
      <w:r>
        <w:t xml:space="preserve">Rung 2021, PMID 33982141.</w:t>
      </w:r>
    </w:p>
  </w:footnote>
  <w:footnote w:id="2259">
    <w:p>
      <w:pPr>
        <w:pStyle w:val="FootnoteText"/>
      </w:pPr>
      <w:r>
        <w:rPr>
          <w:rStyle w:val="FootnoteReference"/>
        </w:rPr>
        <w:footnoteRef/>
      </w:r>
      <w:r>
        <w:t xml:space="preserve"> </w:t>
      </w:r>
      <w:r>
        <w:t xml:space="preserve">Yatawara 2016, PMID 26503762.</w:t>
      </w:r>
    </w:p>
  </w:footnote>
  <w:footnote w:id="2261">
    <w:p>
      <w:pPr>
        <w:pStyle w:val="FootnoteText"/>
      </w:pPr>
      <w:r>
        <w:rPr>
          <w:rStyle w:val="FootnoteReference"/>
        </w:rPr>
        <w:footnoteRef/>
      </w:r>
      <w:r>
        <w:t xml:space="preserve"> </w:t>
      </w:r>
      <w:r>
        <w:t xml:space="preserve">Mayer-Hubner 1996, PMID 8596357.</w:t>
      </w:r>
    </w:p>
  </w:footnote>
  <w:footnote w:id="2262">
    <w:p>
      <w:pPr>
        <w:pStyle w:val="FootnoteText"/>
      </w:pPr>
      <w:r>
        <w:rPr>
          <w:rStyle w:val="FootnoteReference"/>
        </w:rPr>
        <w:footnoteRef/>
      </w:r>
      <w:r>
        <w:t xml:space="preserve"> </w:t>
      </w:r>
      <w:r>
        <w:t xml:space="preserve">Meusel 2021, PMID 33296278.</w:t>
      </w:r>
    </w:p>
  </w:footnote>
  <w:footnote w:id="2267">
    <w:p>
      <w:pPr>
        <w:pStyle w:val="FootnoteText"/>
      </w:pPr>
      <w:r>
        <w:rPr>
          <w:rStyle w:val="FootnoteReference"/>
        </w:rPr>
        <w:footnoteRef/>
      </w:r>
      <w:r>
        <w:t xml:space="preserve"> </w:t>
      </w:r>
      <w:r>
        <w:t xml:space="preserve">NCT04903002.</w:t>
      </w:r>
    </w:p>
  </w:footnote>
  <w:footnote w:id="2268">
    <w:p>
      <w:pPr>
        <w:pStyle w:val="FootnoteText"/>
      </w:pPr>
      <w:r>
        <w:rPr>
          <w:rStyle w:val="FootnoteReference"/>
        </w:rPr>
        <w:footnoteRef/>
      </w:r>
      <w:r>
        <w:t xml:space="preserve"> </w:t>
      </w:r>
      <w:r>
        <w:t xml:space="preserve">NCT06036004.</w:t>
      </w:r>
    </w:p>
  </w:footnote>
  <w:footnote w:id="2269">
    <w:p>
      <w:pPr>
        <w:pStyle w:val="FootnoteText"/>
      </w:pPr>
      <w:r>
        <w:rPr>
          <w:rStyle w:val="FootnoteReference"/>
        </w:rPr>
        <w:footnoteRef/>
      </w:r>
      <w:r>
        <w:t xml:space="preserve"> </w:t>
      </w:r>
      <w:r>
        <w:t xml:space="preserve">NCT05754073.</w:t>
      </w:r>
    </w:p>
  </w:footnote>
  <w:footnote w:id="2270">
    <w:p>
      <w:pPr>
        <w:pStyle w:val="FootnoteText"/>
      </w:pPr>
      <w:r>
        <w:rPr>
          <w:rStyle w:val="FootnoteReference"/>
        </w:rPr>
        <w:footnoteRef/>
      </w:r>
      <w:r>
        <w:t xml:space="preserve"> </w:t>
      </w:r>
      <w:r>
        <w:t xml:space="preserve">NCT05664516.</w:t>
      </w:r>
    </w:p>
  </w:footnote>
  <w:footnote w:id="2271">
    <w:p>
      <w:pPr>
        <w:pStyle w:val="FootnoteText"/>
      </w:pPr>
      <w:r>
        <w:rPr>
          <w:rStyle w:val="FootnoteReference"/>
        </w:rPr>
        <w:footnoteRef/>
      </w:r>
      <w:r>
        <w:t xml:space="preserve"> </w:t>
      </w:r>
      <w:r>
        <w:t xml:space="preserve">NCT07730294.</w:t>
      </w:r>
    </w:p>
  </w:footnote>
  <w:footnote w:id="2277">
    <w:p>
      <w:pPr>
        <w:pStyle w:val="FootnoteText"/>
      </w:pPr>
      <w:r>
        <w:rPr>
          <w:rStyle w:val="FootnoteReference"/>
        </w:rPr>
        <w:footnoteRef/>
      </w:r>
      <w:r>
        <w:t xml:space="preserve"> </w:t>
      </w:r>
      <w:r>
        <w:t xml:space="preserve">Steg 1985, PMID 2934695.</w:t>
      </w:r>
    </w:p>
  </w:footnote>
  <w:footnote w:id="2278">
    <w:p>
      <w:pPr>
        <w:pStyle w:val="FootnoteText"/>
      </w:pPr>
      <w:r>
        <w:rPr>
          <w:rStyle w:val="FootnoteReference"/>
        </w:rPr>
        <w:footnoteRef/>
      </w:r>
      <w:r>
        <w:t xml:space="preserve"> </w:t>
      </w:r>
      <w:r>
        <w:t xml:space="preserve">Segarra 1996, PMID 8773342; Falkenbach 1997, PMID 9189734.</w:t>
      </w:r>
    </w:p>
  </w:footnote>
  <w:footnote w:id="2279">
    <w:p>
      <w:pPr>
        <w:pStyle w:val="FootnoteText"/>
      </w:pPr>
      <w:r>
        <w:rPr>
          <w:rStyle w:val="FootnoteReference"/>
        </w:rPr>
        <w:footnoteRef/>
      </w:r>
      <w:r>
        <w:t xml:space="preserve"> </w:t>
      </w:r>
      <w:r>
        <w:t xml:space="preserve">Kandemir 2011, PMID 21448328.</w:t>
      </w:r>
    </w:p>
  </w:footnote>
  <w:footnote w:id="2280">
    <w:p>
      <w:pPr>
        <w:pStyle w:val="FootnoteText"/>
      </w:pPr>
      <w:r>
        <w:rPr>
          <w:rStyle w:val="FootnoteReference"/>
        </w:rPr>
        <w:footnoteRef/>
      </w:r>
      <w:r>
        <w:t xml:space="preserve"> </w:t>
      </w:r>
      <w:r>
        <w:t xml:space="preserve">Ab Rahim 2020, PMID 32871650.</w:t>
      </w:r>
    </w:p>
  </w:footnote>
  <w:footnote w:id="2281">
    <w:p>
      <w:pPr>
        <w:pStyle w:val="FootnoteText"/>
      </w:pPr>
      <w:r>
        <w:rPr>
          <w:rStyle w:val="FootnoteReference"/>
        </w:rPr>
        <w:footnoteRef/>
      </w:r>
      <w:r>
        <w:t xml:space="preserve"> </w:t>
      </w:r>
      <w:r>
        <w:t xml:space="preserve">Chioma 2025, PMID 41384863.</w:t>
      </w:r>
    </w:p>
  </w:footnote>
  <w:footnote w:id="2283">
    <w:p>
      <w:pPr>
        <w:pStyle w:val="FootnoteText"/>
      </w:pPr>
      <w:r>
        <w:rPr>
          <w:rStyle w:val="FootnoteReference"/>
        </w:rPr>
        <w:footnoteRef/>
      </w:r>
      <w:r>
        <w:t xml:space="preserve"> </w:t>
      </w:r>
      <w:r>
        <w:t xml:space="preserve">Quaas 2022, PMID 36378460.</w:t>
      </w:r>
    </w:p>
  </w:footnote>
  <w:footnote w:id="2284">
    <w:p>
      <w:pPr>
        <w:pStyle w:val="FootnoteText"/>
      </w:pPr>
      <w:r>
        <w:rPr>
          <w:rStyle w:val="FootnoteReference"/>
        </w:rPr>
        <w:footnoteRef/>
      </w:r>
      <w:r>
        <w:t xml:space="preserve"> </w:t>
      </w:r>
      <w:r>
        <w:t xml:space="preserve">Filicori 1994, PMID 7962297.</w:t>
      </w:r>
    </w:p>
  </w:footnote>
  <w:footnote w:id="2285">
    <w:p>
      <w:pPr>
        <w:pStyle w:val="FootnoteText"/>
      </w:pPr>
      <w:r>
        <w:rPr>
          <w:rStyle w:val="FootnoteReference"/>
        </w:rPr>
        <w:footnoteRef/>
      </w:r>
      <w:r>
        <w:t xml:space="preserve"> </w:t>
      </w:r>
      <w:r>
        <w:t xml:space="preserve">Santoro 1990, PMID 2122733.</w:t>
      </w:r>
    </w:p>
  </w:footnote>
  <w:footnote w:id="2286">
    <w:p>
      <w:pPr>
        <w:pStyle w:val="FootnoteText"/>
      </w:pPr>
      <w:r>
        <w:rPr>
          <w:rStyle w:val="FootnoteReference"/>
        </w:rPr>
        <w:footnoteRef/>
      </w:r>
      <w:r>
        <w:t xml:space="preserve"> </w:t>
      </w:r>
      <w:r>
        <w:t xml:space="preserve">Christin-Maitre 2007, PMID 17293247.</w:t>
      </w:r>
    </w:p>
  </w:footnote>
  <w:footnote w:id="2287">
    <w:p>
      <w:pPr>
        <w:pStyle w:val="FootnoteText"/>
      </w:pPr>
      <w:r>
        <w:rPr>
          <w:rStyle w:val="FootnoteReference"/>
        </w:rPr>
        <w:footnoteRef/>
      </w:r>
      <w:r>
        <w:t xml:space="preserve"> </w:t>
      </w:r>
      <w:r>
        <w:t xml:space="preserve">Quaas 2022, PMID 36378460.</w:t>
      </w:r>
    </w:p>
  </w:footnote>
  <w:footnote w:id="2289">
    <w:p>
      <w:pPr>
        <w:pStyle w:val="FootnoteText"/>
      </w:pPr>
      <w:r>
        <w:rPr>
          <w:rStyle w:val="FootnoteReference"/>
        </w:rPr>
        <w:footnoteRef/>
      </w:r>
      <w:r>
        <w:t xml:space="preserve"> </w:t>
      </w:r>
      <w:r>
        <w:t xml:space="preserve">Kliesch 1994, PMID 7921222.</w:t>
      </w:r>
    </w:p>
  </w:footnote>
  <w:footnote w:id="2290">
    <w:p>
      <w:pPr>
        <w:pStyle w:val="FootnoteText"/>
      </w:pPr>
      <w:r>
        <w:rPr>
          <w:rStyle w:val="FootnoteReference"/>
        </w:rPr>
        <w:footnoteRef/>
      </w:r>
      <w:r>
        <w:t xml:space="preserve"> </w:t>
      </w:r>
      <w:r>
        <w:t xml:space="preserve">Gong 2015, PMID 25978110.</w:t>
      </w:r>
    </w:p>
  </w:footnote>
  <w:footnote w:id="2291">
    <w:p>
      <w:pPr>
        <w:pStyle w:val="FootnoteText"/>
      </w:pPr>
      <w:r>
        <w:rPr>
          <w:rStyle w:val="FootnoteReference"/>
        </w:rPr>
        <w:footnoteRef/>
      </w:r>
      <w:r>
        <w:t xml:space="preserve"> </w:t>
      </w:r>
      <w:r>
        <w:t xml:space="preserve">Dwyer 2013, PMID 24037890.</w:t>
      </w:r>
    </w:p>
  </w:footnote>
  <w:footnote w:id="2293">
    <w:p>
      <w:pPr>
        <w:pStyle w:val="FootnoteText"/>
      </w:pPr>
      <w:r>
        <w:rPr>
          <w:rStyle w:val="FootnoteReference"/>
        </w:rPr>
        <w:footnoteRef/>
      </w:r>
      <w:r>
        <w:t xml:space="preserve"> </w:t>
      </w:r>
      <w:r>
        <w:t xml:space="preserve">Spinelli 2014, PMID 25106891.</w:t>
      </w:r>
    </w:p>
  </w:footnote>
  <w:footnote w:id="2294">
    <w:p>
      <w:pPr>
        <w:pStyle w:val="FootnoteText"/>
      </w:pPr>
      <w:r>
        <w:rPr>
          <w:rStyle w:val="FootnoteReference"/>
        </w:rPr>
        <w:footnoteRef/>
      </w:r>
      <w:r>
        <w:t xml:space="preserve"> </w:t>
      </w:r>
      <w:r>
        <w:t xml:space="preserve">Fiala 2022, PMID 35691791.</w:t>
      </w:r>
    </w:p>
  </w:footnote>
  <w:footnote w:id="2298">
    <w:p>
      <w:pPr>
        <w:pStyle w:val="FootnoteText"/>
      </w:pPr>
      <w:r>
        <w:rPr>
          <w:rStyle w:val="FootnoteReference"/>
        </w:rPr>
        <w:footnoteRef/>
      </w:r>
      <w:r>
        <w:t xml:space="preserve"> </w:t>
      </w:r>
      <w:r>
        <w:t xml:space="preserve">Santoro 1990, PMID 2122733; Christin-Maitre 2007, PMID 17293247.</w:t>
      </w:r>
    </w:p>
  </w:footnote>
  <w:footnote w:id="2302">
    <w:p>
      <w:pPr>
        <w:pStyle w:val="FootnoteText"/>
      </w:pPr>
      <w:r>
        <w:rPr>
          <w:rStyle w:val="FootnoteReference"/>
        </w:rPr>
        <w:footnoteRef/>
      </w:r>
      <w:r>
        <w:t xml:space="preserve"> </w:t>
      </w:r>
      <w:r>
        <w:t xml:space="preserve">Smit 2026, PMID 42644333.</w:t>
      </w:r>
    </w:p>
  </w:footnote>
  <w:footnote w:id="2303">
    <w:p>
      <w:pPr>
        <w:pStyle w:val="FootnoteText"/>
      </w:pPr>
      <w:r>
        <w:rPr>
          <w:rStyle w:val="FootnoteReference"/>
        </w:rPr>
        <w:footnoteRef/>
      </w:r>
      <w:r>
        <w:t xml:space="preserve"> </w:t>
      </w:r>
      <w:r>
        <w:t xml:space="preserve">Smit 2021, PMID 33550376.</w:t>
      </w:r>
    </w:p>
  </w:footnote>
  <w:footnote w:id="2304">
    <w:p>
      <w:pPr>
        <w:pStyle w:val="FootnoteText"/>
      </w:pPr>
      <w:r>
        <w:rPr>
          <w:rStyle w:val="FootnoteReference"/>
        </w:rPr>
        <w:footnoteRef/>
      </w:r>
      <w:r>
        <w:t xml:space="preserve"> </w:t>
      </w:r>
      <w:r>
        <w:t xml:space="preserve">Torrini 2023, PMID 36858006.</w:t>
      </w:r>
    </w:p>
  </w:footnote>
  <w:footnote w:id="2307">
    <w:p>
      <w:pPr>
        <w:pStyle w:val="FootnoteText"/>
      </w:pPr>
      <w:r>
        <w:rPr>
          <w:rStyle w:val="FootnoteReference"/>
        </w:rPr>
        <w:footnoteRef/>
      </w:r>
      <w:r>
        <w:t xml:space="preserve"> </w:t>
      </w:r>
      <w:r>
        <w:t xml:space="preserve">NCT07152730.</w:t>
      </w:r>
    </w:p>
  </w:footnote>
  <w:footnote w:id="2308">
    <w:p>
      <w:pPr>
        <w:pStyle w:val="FootnoteText"/>
      </w:pPr>
      <w:r>
        <w:rPr>
          <w:rStyle w:val="FootnoteReference"/>
        </w:rPr>
        <w:footnoteRef/>
      </w:r>
      <w:r>
        <w:t xml:space="preserve"> </w:t>
      </w:r>
      <w:r>
        <w:t xml:space="preserve">NCT02310074.</w:t>
      </w:r>
    </w:p>
  </w:footnote>
  <w:footnote w:id="2309">
    <w:p>
      <w:pPr>
        <w:pStyle w:val="FootnoteText"/>
      </w:pPr>
      <w:r>
        <w:rPr>
          <w:rStyle w:val="FootnoteReference"/>
        </w:rPr>
        <w:footnoteRef/>
      </w:r>
      <w:r>
        <w:t xml:space="preserve"> </w:t>
      </w:r>
      <w:r>
        <w:t xml:space="preserve">NCT03989024.</w:t>
      </w:r>
    </w:p>
  </w:footnote>
  <w:footnote w:id="2314">
    <w:p>
      <w:pPr>
        <w:pStyle w:val="FootnoteText"/>
      </w:pPr>
      <w:r>
        <w:rPr>
          <w:rStyle w:val="FootnoteReference"/>
        </w:rPr>
        <w:footnoteRef/>
      </w:r>
      <w:r>
        <w:t xml:space="preserve"> </w:t>
      </w:r>
      <w:r>
        <w:t xml:space="preserve">Myung 2025, PMID 40324552.</w:t>
      </w:r>
    </w:p>
  </w:footnote>
  <w:footnote w:id="2320">
    <w:p>
      <w:pPr>
        <w:pStyle w:val="FootnoteText"/>
      </w:pPr>
      <w:r>
        <w:rPr>
          <w:rStyle w:val="FootnoteReference"/>
        </w:rPr>
        <w:footnoteRef/>
      </w:r>
      <w:r>
        <w:t xml:space="preserve"> </w:t>
      </w:r>
      <w:r>
        <w:t xml:space="preserve">Iwai 2005, PMID 16076145.</w:t>
      </w:r>
    </w:p>
  </w:footnote>
  <w:footnote w:id="2321">
    <w:p>
      <w:pPr>
        <w:pStyle w:val="FootnoteText"/>
      </w:pPr>
      <w:r>
        <w:rPr>
          <w:rStyle w:val="FootnoteReference"/>
        </w:rPr>
        <w:footnoteRef/>
      </w:r>
      <w:r>
        <w:t xml:space="preserve"> </w:t>
      </w:r>
      <w:r>
        <w:t xml:space="preserve">Yamamoto 2016, PMID 26934933.</w:t>
      </w:r>
    </w:p>
  </w:footnote>
  <w:footnote w:id="2322">
    <w:p>
      <w:pPr>
        <w:pStyle w:val="FootnoteText"/>
      </w:pPr>
      <w:r>
        <w:rPr>
          <w:rStyle w:val="FootnoteReference"/>
        </w:rPr>
        <w:footnoteRef/>
      </w:r>
      <w:r>
        <w:t xml:space="preserve"> </w:t>
      </w:r>
      <w:r>
        <w:t xml:space="preserve">Shaw 2017, PMID 27852613.</w:t>
      </w:r>
    </w:p>
  </w:footnote>
  <w:footnote w:id="2323">
    <w:p>
      <w:pPr>
        <w:pStyle w:val="FootnoteText"/>
      </w:pPr>
      <w:r>
        <w:rPr>
          <w:rStyle w:val="FootnoteReference"/>
        </w:rPr>
        <w:footnoteRef/>
      </w:r>
      <w:r>
        <w:t xml:space="preserve"> </w:t>
      </w:r>
      <w:r>
        <w:t xml:space="preserve">Stenbæk 2016, PMID 26655163.</w:t>
      </w:r>
    </w:p>
  </w:footnote>
  <w:footnote w:id="2325">
    <w:p>
      <w:pPr>
        <w:pStyle w:val="FootnoteText"/>
      </w:pPr>
      <w:r>
        <w:rPr>
          <w:rStyle w:val="FootnoteReference"/>
        </w:rPr>
        <w:footnoteRef/>
      </w:r>
      <w:r>
        <w:t xml:space="preserve"> </w:t>
      </w:r>
      <w:r>
        <w:t xml:space="preserve">Hexsel 2017, PMID 28786550.</w:t>
      </w:r>
    </w:p>
  </w:footnote>
  <w:footnote w:id="2326">
    <w:p>
      <w:pPr>
        <w:pStyle w:val="FootnoteText"/>
      </w:pPr>
      <w:r>
        <w:rPr>
          <w:rStyle w:val="FootnoteReference"/>
        </w:rPr>
        <w:footnoteRef/>
      </w:r>
      <w:r>
        <w:t xml:space="preserve"> </w:t>
      </w:r>
      <w:r>
        <w:t xml:space="preserve">Sugihara 2018, PMID 30061579.</w:t>
      </w:r>
    </w:p>
  </w:footnote>
  <w:footnote w:id="2328">
    <w:p>
      <w:pPr>
        <w:pStyle w:val="FootnoteText"/>
      </w:pPr>
      <w:r>
        <w:rPr>
          <w:rStyle w:val="FootnoteReference"/>
        </w:rPr>
        <w:footnoteRef/>
      </w:r>
      <w:r>
        <w:t xml:space="preserve"> </w:t>
      </w:r>
      <w:r>
        <w:t xml:space="preserve">de Miranda 2021, PMID 33742704.</w:t>
      </w:r>
    </w:p>
  </w:footnote>
  <w:footnote w:id="2329">
    <w:p>
      <w:pPr>
        <w:pStyle w:val="FootnoteText"/>
      </w:pPr>
      <w:r>
        <w:rPr>
          <w:rStyle w:val="FootnoteReference"/>
        </w:rPr>
        <w:footnoteRef/>
      </w:r>
      <w:r>
        <w:t xml:space="preserve"> </w:t>
      </w:r>
      <w:r>
        <w:t xml:space="preserve">Pu 2023, PMID 37432180.</w:t>
      </w:r>
    </w:p>
  </w:footnote>
  <w:footnote w:id="2330">
    <w:p>
      <w:pPr>
        <w:pStyle w:val="FootnoteText"/>
      </w:pPr>
      <w:r>
        <w:rPr>
          <w:rStyle w:val="FootnoteReference"/>
        </w:rPr>
        <w:footnoteRef/>
      </w:r>
      <w:r>
        <w:t xml:space="preserve"> </w:t>
      </w:r>
      <w:r>
        <w:t xml:space="preserve">Danessa 2025, PMID 40826844.</w:t>
      </w:r>
    </w:p>
  </w:footnote>
  <w:footnote w:id="2331">
    <w:p>
      <w:pPr>
        <w:pStyle w:val="FootnoteText"/>
      </w:pPr>
      <w:r>
        <w:rPr>
          <w:rStyle w:val="FootnoteReference"/>
        </w:rPr>
        <w:footnoteRef/>
      </w:r>
      <w:r>
        <w:t xml:space="preserve"> </w:t>
      </w:r>
      <w:r>
        <w:t xml:space="preserve">Myung 2025, PMID 40324552.</w:t>
      </w:r>
    </w:p>
  </w:footnote>
  <w:footnote w:id="2333">
    <w:p>
      <w:pPr>
        <w:pStyle w:val="FootnoteText"/>
      </w:pPr>
      <w:r>
        <w:rPr>
          <w:rStyle w:val="FootnoteReference"/>
        </w:rPr>
        <w:footnoteRef/>
      </w:r>
      <w:r>
        <w:t xml:space="preserve"> </w:t>
      </w:r>
      <w:r>
        <w:t xml:space="preserve">García-Coronado 2019, PMID 30368550.</w:t>
      </w:r>
    </w:p>
  </w:footnote>
  <w:footnote w:id="2334">
    <w:p>
      <w:pPr>
        <w:pStyle w:val="FootnoteText"/>
      </w:pPr>
      <w:r>
        <w:rPr>
          <w:rStyle w:val="FootnoteReference"/>
        </w:rPr>
        <w:footnoteRef/>
      </w:r>
      <w:r>
        <w:t xml:space="preserve"> </w:t>
      </w:r>
      <w:r>
        <w:t xml:space="preserve">Liang 2024, PMID 38218227.</w:t>
      </w:r>
    </w:p>
  </w:footnote>
  <w:footnote w:id="2335">
    <w:p>
      <w:pPr>
        <w:pStyle w:val="FootnoteText"/>
      </w:pPr>
      <w:r>
        <w:rPr>
          <w:rStyle w:val="FootnoteReference"/>
        </w:rPr>
        <w:footnoteRef/>
      </w:r>
      <w:r>
        <w:t xml:space="preserve"> </w:t>
      </w:r>
      <w:r>
        <w:t xml:space="preserve">Lin 2023, PMID 37717022.</w:t>
      </w:r>
    </w:p>
  </w:footnote>
  <w:footnote w:id="2336">
    <w:p>
      <w:pPr>
        <w:pStyle w:val="FootnoteText"/>
      </w:pPr>
      <w:r>
        <w:rPr>
          <w:rStyle w:val="FootnoteReference"/>
        </w:rPr>
        <w:footnoteRef/>
      </w:r>
      <w:r>
        <w:t xml:space="preserve"> </w:t>
      </w:r>
      <w:r>
        <w:t xml:space="preserve">Simental-Mendía 2025, PMID 39212129.</w:t>
      </w:r>
    </w:p>
  </w:footnote>
  <w:footnote w:id="2337">
    <w:p>
      <w:pPr>
        <w:pStyle w:val="FootnoteText"/>
      </w:pPr>
      <w:r>
        <w:rPr>
          <w:rStyle w:val="FootnoteReference"/>
        </w:rPr>
        <w:footnoteRef/>
      </w:r>
      <w:r>
        <w:t xml:space="preserve"> </w:t>
      </w:r>
      <w:r>
        <w:t xml:space="preserve">Liu 2018, PMID 29018060.</w:t>
      </w:r>
    </w:p>
  </w:footnote>
  <w:footnote w:id="2339">
    <w:p>
      <w:pPr>
        <w:pStyle w:val="FootnoteText"/>
      </w:pPr>
      <w:r>
        <w:rPr>
          <w:rStyle w:val="FootnoteReference"/>
        </w:rPr>
        <w:footnoteRef/>
      </w:r>
      <w:r>
        <w:t xml:space="preserve"> </w:t>
      </w:r>
      <w:r>
        <w:t xml:space="preserve">Trentham 1993, PMID 8378772.</w:t>
      </w:r>
    </w:p>
  </w:footnote>
  <w:footnote w:id="2340">
    <w:p>
      <w:pPr>
        <w:pStyle w:val="FootnoteText"/>
      </w:pPr>
      <w:r>
        <w:rPr>
          <w:rStyle w:val="FootnoteReference"/>
        </w:rPr>
        <w:footnoteRef/>
      </w:r>
      <w:r>
        <w:t xml:space="preserve"> </w:t>
      </w:r>
      <w:r>
        <w:t xml:space="preserve">Barnett 1998, PMID 9485087.</w:t>
      </w:r>
    </w:p>
  </w:footnote>
  <w:footnote w:id="2343">
    <w:p>
      <w:pPr>
        <w:pStyle w:val="FootnoteText"/>
      </w:pPr>
      <w:r>
        <w:rPr>
          <w:rStyle w:val="FootnoteReference"/>
        </w:rPr>
        <w:footnoteRef/>
      </w:r>
      <w:r>
        <w:t xml:space="preserve"> </w:t>
      </w:r>
      <w:r>
        <w:t xml:space="preserve">Zdzieblik 2015, PMID 26353786.</w:t>
      </w:r>
    </w:p>
  </w:footnote>
  <w:footnote w:id="2344">
    <w:p>
      <w:pPr>
        <w:pStyle w:val="FootnoteText"/>
      </w:pPr>
      <w:r>
        <w:rPr>
          <w:rStyle w:val="FootnoteReference"/>
        </w:rPr>
        <w:footnoteRef/>
      </w:r>
      <w:r>
        <w:t xml:space="preserve"> </w:t>
      </w:r>
      <w:r>
        <w:t xml:space="preserve">Oikawa 2020, PMID 31919527.</w:t>
      </w:r>
    </w:p>
  </w:footnote>
  <w:footnote w:id="2345">
    <w:p>
      <w:pPr>
        <w:pStyle w:val="FootnoteText"/>
      </w:pPr>
      <w:r>
        <w:rPr>
          <w:rStyle w:val="FootnoteReference"/>
        </w:rPr>
        <w:footnoteRef/>
      </w:r>
      <w:r>
        <w:t xml:space="preserve"> </w:t>
      </w:r>
      <w:r>
        <w:t xml:space="preserve">Jacinto 2022, PMID 35042187.</w:t>
      </w:r>
    </w:p>
  </w:footnote>
  <w:footnote w:id="2346">
    <w:p>
      <w:pPr>
        <w:pStyle w:val="FootnoteText"/>
      </w:pPr>
      <w:r>
        <w:rPr>
          <w:rStyle w:val="FootnoteReference"/>
        </w:rPr>
        <w:footnoteRef/>
      </w:r>
      <w:r>
        <w:t xml:space="preserve"> </w:t>
      </w:r>
      <w:r>
        <w:t xml:space="preserve">Kirmse 2024, PMID 39086044.</w:t>
      </w:r>
    </w:p>
  </w:footnote>
  <w:footnote w:id="2347">
    <w:p>
      <w:pPr>
        <w:pStyle w:val="FootnoteText"/>
      </w:pPr>
      <w:r>
        <w:rPr>
          <w:rStyle w:val="FootnoteReference"/>
        </w:rPr>
        <w:footnoteRef/>
      </w:r>
      <w:r>
        <w:t xml:space="preserve"> </w:t>
      </w:r>
      <w:r>
        <w:t xml:space="preserve">Bischof 2024, PMID 39060741.</w:t>
      </w:r>
    </w:p>
  </w:footnote>
  <w:footnote w:id="2348">
    <w:p>
      <w:pPr>
        <w:pStyle w:val="FootnoteText"/>
      </w:pPr>
      <w:r>
        <w:rPr>
          <w:rStyle w:val="FootnoteReference"/>
        </w:rPr>
        <w:footnoteRef/>
      </w:r>
      <w:r>
        <w:t xml:space="preserve"> </w:t>
      </w:r>
      <w:r>
        <w:t xml:space="preserve">Khatri 2021, PMID 34491424.</w:t>
      </w:r>
    </w:p>
  </w:footnote>
  <w:footnote w:id="2350">
    <w:p>
      <w:pPr>
        <w:pStyle w:val="FootnoteText"/>
      </w:pPr>
      <w:r>
        <w:rPr>
          <w:rStyle w:val="FootnoteReference"/>
        </w:rPr>
        <w:footnoteRef/>
      </w:r>
      <w:r>
        <w:t xml:space="preserve"> </w:t>
      </w:r>
      <w:r>
        <w:t xml:space="preserve">Jalili 2023, PMID 35658958.</w:t>
      </w:r>
    </w:p>
  </w:footnote>
  <w:footnote w:id="2353">
    <w:p>
      <w:pPr>
        <w:pStyle w:val="FootnoteText"/>
      </w:pPr>
      <w:r>
        <w:rPr>
          <w:rStyle w:val="FootnoteReference"/>
        </w:rPr>
        <w:footnoteRef/>
      </w:r>
      <w:r>
        <w:t xml:space="preserve"> </w:t>
      </w:r>
      <w:r>
        <w:t xml:space="preserve">Asserin 2015, PMID 26362110.</w:t>
      </w:r>
    </w:p>
  </w:footnote>
  <w:footnote w:id="2354">
    <w:p>
      <w:pPr>
        <w:pStyle w:val="FootnoteText"/>
      </w:pPr>
      <w:r>
        <w:rPr>
          <w:rStyle w:val="FootnoteReference"/>
        </w:rPr>
        <w:footnoteRef/>
      </w:r>
      <w:r>
        <w:t xml:space="preserve"> </w:t>
      </w:r>
      <w:r>
        <w:t xml:space="preserve">Inacio 2024, PMID 38892477.</w:t>
      </w:r>
    </w:p>
  </w:footnote>
  <w:footnote w:id="2355">
    <w:p>
      <w:pPr>
        <w:pStyle w:val="FootnoteText"/>
      </w:pPr>
      <w:r>
        <w:rPr>
          <w:rStyle w:val="FootnoteReference"/>
        </w:rPr>
        <w:footnoteRef/>
      </w:r>
      <w:r>
        <w:t xml:space="preserve"> </w:t>
      </w:r>
      <w:r>
        <w:t xml:space="preserve">Bischof 2026, PMID 41168365.</w:t>
      </w:r>
    </w:p>
  </w:footnote>
  <w:footnote w:id="2357">
    <w:p>
      <w:pPr>
        <w:pStyle w:val="FootnoteText"/>
      </w:pPr>
      <w:r>
        <w:rPr>
          <w:rStyle w:val="FootnoteReference"/>
        </w:rPr>
        <w:footnoteRef/>
      </w:r>
      <w:r>
        <w:t xml:space="preserve"> </w:t>
      </w:r>
      <w:r>
        <w:t xml:space="preserve">Liang 2024, PMID 38218227.</w:t>
      </w:r>
    </w:p>
  </w:footnote>
  <w:footnote w:id="2358">
    <w:p>
      <w:pPr>
        <w:pStyle w:val="FootnoteText"/>
      </w:pPr>
      <w:r>
        <w:rPr>
          <w:rStyle w:val="FootnoteReference"/>
        </w:rPr>
        <w:footnoteRef/>
      </w:r>
      <w:r>
        <w:t xml:space="preserve"> </w:t>
      </w:r>
      <w:r>
        <w:t xml:space="preserve">Knight 2006, PMID 17021603.</w:t>
      </w:r>
    </w:p>
  </w:footnote>
  <w:footnote w:id="2361">
    <w:p>
      <w:pPr>
        <w:pStyle w:val="FootnoteText"/>
      </w:pPr>
      <w:r>
        <w:rPr>
          <w:rStyle w:val="FootnoteReference"/>
        </w:rPr>
        <w:footnoteRef/>
      </w:r>
      <w:r>
        <w:t xml:space="preserve"> </w:t>
      </w:r>
      <w:r>
        <w:t xml:space="preserve">NCT04998188.</w:t>
      </w:r>
    </w:p>
  </w:footnote>
  <w:footnote w:id="2362">
    <w:p>
      <w:pPr>
        <w:pStyle w:val="FootnoteText"/>
      </w:pPr>
      <w:r>
        <w:rPr>
          <w:rStyle w:val="FootnoteReference"/>
        </w:rPr>
        <w:footnoteRef/>
      </w:r>
      <w:r>
        <w:t xml:space="preserve"> </w:t>
      </w:r>
      <w:r>
        <w:t xml:space="preserve">NCT07800780.</w:t>
      </w:r>
    </w:p>
  </w:footnote>
  <w:footnote w:id="2363">
    <w:p>
      <w:pPr>
        <w:pStyle w:val="FootnoteText"/>
      </w:pPr>
      <w:r>
        <w:rPr>
          <w:rStyle w:val="FootnoteReference"/>
        </w:rPr>
        <w:footnoteRef/>
      </w:r>
      <w:r>
        <w:t xml:space="preserve"> </w:t>
      </w:r>
      <w:r>
        <w:t xml:space="preserve">NCT05823727.</w:t>
      </w:r>
    </w:p>
  </w:footnote>
  <w:footnote w:id="2364">
    <w:p>
      <w:pPr>
        <w:pStyle w:val="FootnoteText"/>
      </w:pPr>
      <w:r>
        <w:rPr>
          <w:rStyle w:val="FootnoteReference"/>
        </w:rPr>
        <w:footnoteRef/>
      </w:r>
      <w:r>
        <w:t xml:space="preserve"> </w:t>
      </w:r>
      <w:r>
        <w:t xml:space="preserve">NCT07473037.</w:t>
      </w:r>
    </w:p>
  </w:footnote>
  <w:footnote w:id="2365">
    <w:p>
      <w:pPr>
        <w:pStyle w:val="FootnoteText"/>
      </w:pPr>
      <w:r>
        <w:rPr>
          <w:rStyle w:val="FootnoteReference"/>
        </w:rPr>
        <w:footnoteRef/>
      </w:r>
      <w:r>
        <w:t xml:space="preserve"> </w:t>
      </w:r>
      <w:r>
        <w:t xml:space="preserve">NCT07456449.</w:t>
      </w:r>
    </w:p>
  </w:footnote>
  <w:footnote w:id="2366">
    <w:p>
      <w:pPr>
        <w:pStyle w:val="FootnoteText"/>
      </w:pPr>
      <w:r>
        <w:rPr>
          <w:rStyle w:val="FootnoteReference"/>
        </w:rPr>
        <w:footnoteRef/>
      </w:r>
      <w:r>
        <w:t xml:space="preserve"> </w:t>
      </w:r>
      <w:r>
        <w:t xml:space="preserve">NCT07229014.</w:t>
      </w:r>
    </w:p>
  </w:footnote>
  <w:footnote w:id="2367">
    <w:p>
      <w:pPr>
        <w:pStyle w:val="FootnoteText"/>
      </w:pPr>
      <w:r>
        <w:rPr>
          <w:rStyle w:val="FootnoteReference"/>
        </w:rPr>
        <w:footnoteRef/>
      </w:r>
      <w:r>
        <w:t xml:space="preserve"> </w:t>
      </w:r>
      <w:r>
        <w:t xml:space="preserve">Myung 2025, PMID 40324552.</w:t>
      </w:r>
    </w:p>
  </w:footnote>
  <w:footnote w:id="2372">
    <w:p>
      <w:pPr>
        <w:pStyle w:val="FootnoteText"/>
      </w:pPr>
      <w:r>
        <w:rPr>
          <w:rStyle w:val="FootnoteReference"/>
        </w:rPr>
        <w:footnoteRef/>
      </w:r>
      <w:r>
        <w:t xml:space="preserve"> </w:t>
      </w:r>
      <w:r>
        <w:t xml:space="preserve">Nakamura 1995, PMID 7673515.</w:t>
      </w:r>
    </w:p>
  </w:footnote>
  <w:footnote w:id="2373">
    <w:p>
      <w:pPr>
        <w:pStyle w:val="FootnoteText"/>
      </w:pPr>
      <w:r>
        <w:rPr>
          <w:rStyle w:val="FootnoteReference"/>
        </w:rPr>
        <w:footnoteRef/>
      </w:r>
      <w:r>
        <w:t xml:space="preserve"> </w:t>
      </w:r>
      <w:r>
        <w:t xml:space="preserve">Foltz 2007, PMID 17374660.</w:t>
      </w:r>
    </w:p>
  </w:footnote>
  <w:footnote w:id="2374">
    <w:p>
      <w:pPr>
        <w:pStyle w:val="FootnoteText"/>
      </w:pPr>
      <w:r>
        <w:rPr>
          <w:rStyle w:val="FootnoteReference"/>
        </w:rPr>
        <w:footnoteRef/>
      </w:r>
      <w:r>
        <w:t xml:space="preserve"> </w:t>
      </w:r>
      <w:r>
        <w:t xml:space="preserve">Wuerzner 2009, PMID 19506528.</w:t>
      </w:r>
    </w:p>
  </w:footnote>
  <w:footnote w:id="2377">
    <w:p>
      <w:pPr>
        <w:pStyle w:val="FootnoteText"/>
      </w:pPr>
      <w:r>
        <w:rPr>
          <w:rStyle w:val="FootnoteReference"/>
        </w:rPr>
        <w:footnoteRef/>
      </w:r>
      <w:r>
        <w:t xml:space="preserve"> </w:t>
      </w:r>
      <w:r>
        <w:t xml:space="preserve">Geleijnse 2010, PMID 19884823.</w:t>
      </w:r>
    </w:p>
  </w:footnote>
  <w:footnote w:id="2379">
    <w:p>
      <w:pPr>
        <w:pStyle w:val="FootnoteText"/>
      </w:pPr>
      <w:r>
        <w:rPr>
          <w:rStyle w:val="FootnoteReference"/>
        </w:rPr>
        <w:footnoteRef/>
      </w:r>
      <w:r>
        <w:t xml:space="preserve"> </w:t>
      </w:r>
      <w:r>
        <w:t xml:space="preserve">Jauhiainen 2012, PMID 22617279.</w:t>
      </w:r>
    </w:p>
  </w:footnote>
  <w:footnote w:id="2380">
    <w:p>
      <w:pPr>
        <w:pStyle w:val="FootnoteText"/>
      </w:pPr>
      <w:r>
        <w:rPr>
          <w:rStyle w:val="FootnoteReference"/>
        </w:rPr>
        <w:footnoteRef/>
      </w:r>
      <w:r>
        <w:t xml:space="preserve"> </w:t>
      </w:r>
      <w:r>
        <w:t xml:space="preserve">Turpeinen 2012, PMID 22398753.</w:t>
      </w:r>
    </w:p>
  </w:footnote>
  <w:footnote w:id="2381">
    <w:p>
      <w:pPr>
        <w:pStyle w:val="FootnoteText"/>
      </w:pPr>
      <w:r>
        <w:rPr>
          <w:rStyle w:val="FootnoteReference"/>
        </w:rPr>
        <w:footnoteRef/>
      </w:r>
      <w:r>
        <w:t xml:space="preserve"> </w:t>
      </w:r>
      <w:r>
        <w:t xml:space="preserve">Cicero 2011, PMID 21753776; Cicero 2016, PMID 26683986.</w:t>
      </w:r>
    </w:p>
  </w:footnote>
  <w:footnote w:id="2382">
    <w:p>
      <w:pPr>
        <w:pStyle w:val="FootnoteText"/>
      </w:pPr>
      <w:r>
        <w:rPr>
          <w:rStyle w:val="FootnoteReference"/>
        </w:rPr>
        <w:footnoteRef/>
      </w:r>
      <w:r>
        <w:t xml:space="preserve"> </w:t>
      </w:r>
      <w:r>
        <w:t xml:space="preserve">Germino 2010, PMID 20433527.</w:t>
      </w:r>
    </w:p>
  </w:footnote>
  <w:footnote w:id="2383">
    <w:p>
      <w:pPr>
        <w:pStyle w:val="FootnoteText"/>
      </w:pPr>
      <w:r>
        <w:rPr>
          <w:rStyle w:val="FootnoteReference"/>
        </w:rPr>
        <w:footnoteRef/>
      </w:r>
      <w:r>
        <w:t xml:space="preserve"> </w:t>
      </w:r>
      <w:r>
        <w:t xml:space="preserve">z. B. Akazawa 2018, PMID 29703414.</w:t>
      </w:r>
    </w:p>
  </w:footnote>
  <w:footnote w:id="2385">
    <w:p>
      <w:pPr>
        <w:pStyle w:val="FootnoteText"/>
      </w:pPr>
      <w:r>
        <w:rPr>
          <w:rStyle w:val="FootnoteReference"/>
        </w:rPr>
        <w:footnoteRef/>
      </w:r>
      <w:r>
        <w:t xml:space="preserve"> </w:t>
      </w:r>
      <w:r>
        <w:t xml:space="preserve">Fekete 2015, PMID 25608938.</w:t>
      </w:r>
    </w:p>
  </w:footnote>
  <w:footnote w:id="2388">
    <w:p>
      <w:pPr>
        <w:pStyle w:val="FootnoteText"/>
      </w:pPr>
      <w:r>
        <w:rPr>
          <w:rStyle w:val="FootnoteReference"/>
        </w:rPr>
        <w:footnoteRef/>
      </w:r>
      <w:r>
        <w:t xml:space="preserve"> </w:t>
      </w:r>
      <w:r>
        <w:t xml:space="preserve">Nakamura 1995, PMID 7673515.</w:t>
      </w:r>
    </w:p>
  </w:footnote>
  <w:footnote w:id="2389">
    <w:p>
      <w:pPr>
        <w:pStyle w:val="FootnoteText"/>
      </w:pPr>
      <w:r>
        <w:rPr>
          <w:rStyle w:val="FootnoteReference"/>
        </w:rPr>
        <w:footnoteRef/>
      </w:r>
      <w:r>
        <w:t xml:space="preserve"> </w:t>
      </w:r>
      <w:r>
        <w:t xml:space="preserve">Hirota 2011, PMID 21221598.</w:t>
      </w:r>
    </w:p>
  </w:footnote>
  <w:footnote w:id="2390">
    <w:p>
      <w:pPr>
        <w:pStyle w:val="FootnoteText"/>
      </w:pPr>
      <w:r>
        <w:rPr>
          <w:rStyle w:val="FootnoteReference"/>
        </w:rPr>
        <w:footnoteRef/>
      </w:r>
      <w:r>
        <w:t xml:space="preserve"> </w:t>
      </w:r>
      <w:r>
        <w:t xml:space="preserve">Foltz 2007, PMID 17374660.</w:t>
      </w:r>
    </w:p>
  </w:footnote>
  <w:footnote w:id="2391">
    <w:p>
      <w:pPr>
        <w:pStyle w:val="FootnoteText"/>
      </w:pPr>
      <w:r>
        <w:rPr>
          <w:rStyle w:val="FootnoteReference"/>
        </w:rPr>
        <w:footnoteRef/>
      </w:r>
      <w:r>
        <w:t xml:space="preserve"> </w:t>
      </w:r>
      <w:r>
        <w:t xml:space="preserve">Gregory 2024, PMID 37904282.</w:t>
      </w:r>
    </w:p>
  </w:footnote>
  <w:footnote w:id="2392">
    <w:p>
      <w:pPr>
        <w:pStyle w:val="FootnoteText"/>
      </w:pPr>
      <w:r>
        <w:rPr>
          <w:rStyle w:val="FootnoteReference"/>
        </w:rPr>
        <w:footnoteRef/>
      </w:r>
      <w:r>
        <w:t xml:space="preserve"> </w:t>
      </w:r>
      <w:r>
        <w:t xml:space="preserve">Dent 2007, PMID 17383063.</w:t>
      </w:r>
    </w:p>
  </w:footnote>
  <w:footnote w:id="2393">
    <w:p>
      <w:pPr>
        <w:pStyle w:val="FootnoteText"/>
      </w:pPr>
      <w:r>
        <w:rPr>
          <w:rStyle w:val="FootnoteReference"/>
        </w:rPr>
        <w:footnoteRef/>
      </w:r>
      <w:r>
        <w:t xml:space="preserve"> </w:t>
      </w:r>
      <w:r>
        <w:t xml:space="preserve">Ponstein-Simarro Doorten 2009, PMID 18955104.</w:t>
      </w:r>
    </w:p>
  </w:footnote>
  <w:footnote w:id="2395">
    <w:p>
      <w:pPr>
        <w:pStyle w:val="FootnoteText"/>
      </w:pPr>
      <w:r>
        <w:rPr>
          <w:rStyle w:val="FootnoteReference"/>
        </w:rPr>
        <w:footnoteRef/>
      </w:r>
      <w:r>
        <w:t xml:space="preserve"> </w:t>
      </w:r>
      <w:r>
        <w:t xml:space="preserve">z. B. Jauhiainen 2005, PMID 16364832.</w:t>
      </w:r>
    </w:p>
  </w:footnote>
  <w:footnote w:id="2398">
    <w:p>
      <w:pPr>
        <w:pStyle w:val="FootnoteText"/>
      </w:pPr>
      <w:r>
        <w:rPr>
          <w:rStyle w:val="FootnoteReference"/>
        </w:rPr>
        <w:footnoteRef/>
      </w:r>
      <w:r>
        <w:t xml:space="preserve"> </w:t>
      </w:r>
      <w:r>
        <w:t xml:space="preserve">NCT00924157.</w:t>
      </w:r>
    </w:p>
  </w:footnote>
  <w:footnote w:id="2403">
    <w:p>
      <w:pPr>
        <w:pStyle w:val="FootnoteText"/>
      </w:pPr>
      <w:r>
        <w:rPr>
          <w:rStyle w:val="FootnoteReference"/>
        </w:rPr>
        <w:footnoteRef/>
      </w:r>
      <w:r>
        <w:t xml:space="preserve"> </w:t>
      </w:r>
      <w:r>
        <w:t xml:space="preserve">Baguet 2010, PMID 20671038.</w:t>
      </w:r>
    </w:p>
  </w:footnote>
  <w:footnote w:id="2404">
    <w:p>
      <w:pPr>
        <w:pStyle w:val="FootnoteText"/>
      </w:pPr>
      <w:r>
        <w:rPr>
          <w:rStyle w:val="FootnoteReference"/>
        </w:rPr>
        <w:footnoteRef/>
      </w:r>
      <w:r>
        <w:t xml:space="preserve"> </w:t>
      </w:r>
      <w:r>
        <w:t xml:space="preserve">Gardner 1991, PMID 1910085.</w:t>
      </w:r>
    </w:p>
  </w:footnote>
  <w:footnote w:id="2405">
    <w:p>
      <w:pPr>
        <w:pStyle w:val="FootnoteText"/>
      </w:pPr>
      <w:r>
        <w:rPr>
          <w:rStyle w:val="FootnoteReference"/>
        </w:rPr>
        <w:footnoteRef/>
      </w:r>
      <w:r>
        <w:t xml:space="preserve"> </w:t>
      </w:r>
      <w:r>
        <w:t xml:space="preserve">Baba 2024, PMID 39215872.</w:t>
      </w:r>
    </w:p>
  </w:footnote>
  <w:footnote w:id="2407">
    <w:p>
      <w:pPr>
        <w:pStyle w:val="FootnoteText"/>
      </w:pPr>
      <w:r>
        <w:rPr>
          <w:rStyle w:val="FootnoteReference"/>
        </w:rPr>
        <w:footnoteRef/>
      </w:r>
      <w:r>
        <w:t xml:space="preserve"> </w:t>
      </w:r>
      <w:r>
        <w:t xml:space="preserve">Harris 2006, PMID 16554972.</w:t>
      </w:r>
    </w:p>
  </w:footnote>
  <w:footnote w:id="2408">
    <w:p>
      <w:pPr>
        <w:pStyle w:val="FootnoteText"/>
      </w:pPr>
      <w:r>
        <w:rPr>
          <w:rStyle w:val="FootnoteReference"/>
        </w:rPr>
        <w:footnoteRef/>
      </w:r>
      <w:r>
        <w:t xml:space="preserve"> </w:t>
      </w:r>
      <w:r>
        <w:t xml:space="preserve">Yamaguchi 2021, PMID 33148972.</w:t>
      </w:r>
    </w:p>
  </w:footnote>
  <w:footnote w:id="2409">
    <w:p>
      <w:pPr>
        <w:pStyle w:val="FootnoteText"/>
      </w:pPr>
      <w:r>
        <w:rPr>
          <w:rStyle w:val="FootnoteReference"/>
        </w:rPr>
        <w:footnoteRef/>
      </w:r>
      <w:r>
        <w:t xml:space="preserve"> </w:t>
      </w:r>
      <w:r>
        <w:t xml:space="preserve">Rezende 2020, PMID 32922303.</w:t>
      </w:r>
    </w:p>
  </w:footnote>
  <w:footnote w:id="2412">
    <w:p>
      <w:pPr>
        <w:pStyle w:val="FootnoteText"/>
      </w:pPr>
      <w:r>
        <w:rPr>
          <w:rStyle w:val="FootnoteReference"/>
        </w:rPr>
        <w:footnoteRef/>
      </w:r>
      <w:r>
        <w:t xml:space="preserve"> </w:t>
      </w:r>
      <w:r>
        <w:t xml:space="preserve">Saunders 2017, PMID 27797728.</w:t>
      </w:r>
    </w:p>
  </w:footnote>
  <w:footnote w:id="2413">
    <w:p>
      <w:pPr>
        <w:pStyle w:val="FootnoteText"/>
      </w:pPr>
      <w:r>
        <w:rPr>
          <w:rStyle w:val="FootnoteReference"/>
        </w:rPr>
        <w:footnoteRef/>
      </w:r>
      <w:r>
        <w:t xml:space="preserve"> </w:t>
      </w:r>
      <w:r>
        <w:t xml:space="preserve">Derave 2007, PMID 17690198.</w:t>
      </w:r>
    </w:p>
  </w:footnote>
  <w:footnote w:id="2414">
    <w:p>
      <w:pPr>
        <w:pStyle w:val="FootnoteText"/>
      </w:pPr>
      <w:r>
        <w:rPr>
          <w:rStyle w:val="FootnoteReference"/>
        </w:rPr>
        <w:footnoteRef/>
      </w:r>
      <w:r>
        <w:t xml:space="preserve"> </w:t>
      </w:r>
      <w:r>
        <w:t xml:space="preserve">Chung 2014, PMID 24457999.</w:t>
      </w:r>
    </w:p>
  </w:footnote>
  <w:footnote w:id="2415">
    <w:p>
      <w:pPr>
        <w:pStyle w:val="FootnoteText"/>
      </w:pPr>
      <w:r>
        <w:rPr>
          <w:rStyle w:val="FootnoteReference"/>
        </w:rPr>
        <w:footnoteRef/>
      </w:r>
      <w:r>
        <w:t xml:space="preserve"> </w:t>
      </w:r>
      <w:r>
        <w:t xml:space="preserve">O’Toole 2026, PMID 42308284.</w:t>
      </w:r>
    </w:p>
  </w:footnote>
  <w:footnote w:id="2417">
    <w:p>
      <w:pPr>
        <w:pStyle w:val="FootnoteText"/>
      </w:pPr>
      <w:r>
        <w:rPr>
          <w:rStyle w:val="FootnoteReference"/>
        </w:rPr>
        <w:footnoteRef/>
      </w:r>
      <w:r>
        <w:t xml:space="preserve"> </w:t>
      </w:r>
      <w:r>
        <w:t xml:space="preserve">Peng 2020, PMID 31987255.</w:t>
      </w:r>
    </w:p>
  </w:footnote>
  <w:footnote w:id="2418">
    <w:p>
      <w:pPr>
        <w:pStyle w:val="FootnoteText"/>
      </w:pPr>
      <w:r>
        <w:rPr>
          <w:rStyle w:val="FootnoteReference"/>
        </w:rPr>
        <w:footnoteRef/>
      </w:r>
      <w:r>
        <w:t xml:space="preserve"> </w:t>
      </w:r>
      <w:r>
        <w:t xml:space="preserve">Matthews 2021, PMID 34333586.</w:t>
      </w:r>
    </w:p>
  </w:footnote>
  <w:footnote w:id="2419">
    <w:p>
      <w:pPr>
        <w:pStyle w:val="FootnoteText"/>
      </w:pPr>
      <w:r>
        <w:rPr>
          <w:rStyle w:val="FootnoteReference"/>
        </w:rPr>
        <w:footnoteRef/>
      </w:r>
      <w:r>
        <w:t xml:space="preserve"> </w:t>
      </w:r>
      <w:r>
        <w:t xml:space="preserve">Li 2025, PMID 40999397.</w:t>
      </w:r>
    </w:p>
  </w:footnote>
  <w:footnote w:id="2421">
    <w:p>
      <w:pPr>
        <w:pStyle w:val="FootnoteText"/>
      </w:pPr>
      <w:r>
        <w:rPr>
          <w:rStyle w:val="FootnoteReference"/>
        </w:rPr>
        <w:footnoteRef/>
      </w:r>
      <w:r>
        <w:t xml:space="preserve"> </w:t>
      </w:r>
      <w:r>
        <w:t xml:space="preserve">Saadati 2024, PMID 38086332.</w:t>
      </w:r>
    </w:p>
  </w:footnote>
  <w:footnote w:id="2423">
    <w:p>
      <w:pPr>
        <w:pStyle w:val="FootnoteText"/>
      </w:pPr>
      <w:r>
        <w:rPr>
          <w:rStyle w:val="FootnoteReference"/>
        </w:rPr>
        <w:footnoteRef/>
      </w:r>
      <w:r>
        <w:t xml:space="preserve"> </w:t>
      </w:r>
      <w:r>
        <w:t xml:space="preserve">Hisatsune 2016, PMID 26682691.</w:t>
      </w:r>
    </w:p>
  </w:footnote>
  <w:footnote w:id="2424">
    <w:p>
      <w:pPr>
        <w:pStyle w:val="FootnoteText"/>
      </w:pPr>
      <w:r>
        <w:rPr>
          <w:rStyle w:val="FootnoteReference"/>
        </w:rPr>
        <w:footnoteRef/>
      </w:r>
      <w:r>
        <w:t xml:space="preserve"> </w:t>
      </w:r>
      <w:r>
        <w:t xml:space="preserve">Masuoka 2019, PMID 31319510.</w:t>
      </w:r>
    </w:p>
  </w:footnote>
  <w:footnote w:id="2425">
    <w:p>
      <w:pPr>
        <w:pStyle w:val="FootnoteText"/>
      </w:pPr>
      <w:r>
        <w:rPr>
          <w:rStyle w:val="FootnoteReference"/>
        </w:rPr>
        <w:footnoteRef/>
      </w:r>
      <w:r>
        <w:t xml:space="preserve"> </w:t>
      </w:r>
      <w:r>
        <w:t xml:space="preserve">O’Toole 2025, PMID 39919936.</w:t>
      </w:r>
    </w:p>
  </w:footnote>
  <w:footnote w:id="2426">
    <w:p>
      <w:pPr>
        <w:pStyle w:val="FootnoteText"/>
      </w:pPr>
      <w:r>
        <w:rPr>
          <w:rStyle w:val="FootnoteReference"/>
        </w:rPr>
        <w:footnoteRef/>
      </w:r>
      <w:r>
        <w:t xml:space="preserve"> </w:t>
      </w:r>
      <w:r>
        <w:t xml:space="preserve">Hsiao 2026, PMID 42123986.</w:t>
      </w:r>
    </w:p>
  </w:footnote>
  <w:footnote w:id="2427">
    <w:p>
      <w:pPr>
        <w:pStyle w:val="FootnoteText"/>
      </w:pPr>
      <w:r>
        <w:rPr>
          <w:rStyle w:val="FootnoteReference"/>
        </w:rPr>
        <w:footnoteRef/>
      </w:r>
      <w:r>
        <w:t xml:space="preserve"> </w:t>
      </w:r>
      <w:r>
        <w:t xml:space="preserve">Kabthymer 2025, PMID 38545720.</w:t>
      </w:r>
    </w:p>
  </w:footnote>
  <w:footnote w:id="2428">
    <w:p>
      <w:pPr>
        <w:pStyle w:val="FootnoteText"/>
      </w:pPr>
      <w:r>
        <w:rPr>
          <w:rStyle w:val="FootnoteReference"/>
        </w:rPr>
        <w:footnoteRef/>
      </w:r>
      <w:r>
        <w:t xml:space="preserve"> </w:t>
      </w:r>
      <w:r>
        <w:t xml:space="preserve">Chez 2002, PMID 12585724.</w:t>
      </w:r>
    </w:p>
  </w:footnote>
  <w:footnote w:id="2429">
    <w:p>
      <w:pPr>
        <w:pStyle w:val="FootnoteText"/>
      </w:pPr>
      <w:r>
        <w:rPr>
          <w:rStyle w:val="FootnoteReference"/>
        </w:rPr>
        <w:footnoteRef/>
      </w:r>
      <w:r>
        <w:t xml:space="preserve"> </w:t>
      </w:r>
      <w:r>
        <w:t xml:space="preserve">Abraham 2020, PMID 33170378.</w:t>
      </w:r>
    </w:p>
  </w:footnote>
  <w:footnote w:id="2431">
    <w:p>
      <w:pPr>
        <w:pStyle w:val="FootnoteText"/>
      </w:pPr>
      <w:r>
        <w:rPr>
          <w:rStyle w:val="FootnoteReference"/>
        </w:rPr>
        <w:footnoteRef/>
      </w:r>
      <w:r>
        <w:t xml:space="preserve"> </w:t>
      </w:r>
      <w:r>
        <w:t xml:space="preserve">Yehia 2019, PMID 30592963.</w:t>
      </w:r>
    </w:p>
  </w:footnote>
  <w:footnote w:id="2432">
    <w:p>
      <w:pPr>
        <w:pStyle w:val="FootnoteText"/>
      </w:pPr>
      <w:r>
        <w:rPr>
          <w:rStyle w:val="FootnoteReference"/>
        </w:rPr>
        <w:footnoteRef/>
      </w:r>
      <w:r>
        <w:t xml:space="preserve"> </w:t>
      </w:r>
      <w:r>
        <w:t xml:space="preserve">Lombardi 2015, PMID 25287762.</w:t>
      </w:r>
    </w:p>
  </w:footnote>
  <w:footnote w:id="2433">
    <w:p>
      <w:pPr>
        <w:pStyle w:val="FootnoteText"/>
      </w:pPr>
      <w:r>
        <w:rPr>
          <w:rStyle w:val="FootnoteReference"/>
        </w:rPr>
        <w:footnoteRef/>
      </w:r>
      <w:r>
        <w:t xml:space="preserve"> </w:t>
      </w:r>
      <w:r>
        <w:t xml:space="preserve">Baraniuk 2013, PMID 23618477.</w:t>
      </w:r>
    </w:p>
  </w:footnote>
  <w:footnote w:id="2434">
    <w:p>
      <w:pPr>
        <w:pStyle w:val="FootnoteText"/>
      </w:pPr>
      <w:r>
        <w:rPr>
          <w:rStyle w:val="FootnoteReference"/>
        </w:rPr>
        <w:footnoteRef/>
      </w:r>
      <w:r>
        <w:t xml:space="preserve"> </w:t>
      </w:r>
      <w:r>
        <w:t xml:space="preserve">Babizhayev 2012, PMID 21756141.</w:t>
      </w:r>
    </w:p>
  </w:footnote>
  <w:footnote w:id="2436">
    <w:p>
      <w:pPr>
        <w:pStyle w:val="FootnoteText"/>
      </w:pPr>
      <w:r>
        <w:rPr>
          <w:rStyle w:val="FootnoteReference"/>
        </w:rPr>
        <w:footnoteRef/>
      </w:r>
      <w:r>
        <w:t xml:space="preserve"> </w:t>
      </w:r>
      <w:r>
        <w:t xml:space="preserve">Shen 2022, PMID 35999163.</w:t>
      </w:r>
    </w:p>
  </w:footnote>
  <w:footnote w:id="2437">
    <w:p>
      <w:pPr>
        <w:pStyle w:val="FootnoteText"/>
      </w:pPr>
      <w:r>
        <w:rPr>
          <w:rStyle w:val="FootnoteReference"/>
        </w:rPr>
        <w:footnoteRef/>
      </w:r>
      <w:r>
        <w:t xml:space="preserve"> </w:t>
      </w:r>
      <w:r>
        <w:t xml:space="preserve">Dubois 2017, PMID 28245346.</w:t>
      </w:r>
    </w:p>
  </w:footnote>
  <w:footnote w:id="2440">
    <w:p>
      <w:pPr>
        <w:pStyle w:val="FootnoteText"/>
      </w:pPr>
      <w:r>
        <w:rPr>
          <w:rStyle w:val="FootnoteReference"/>
        </w:rPr>
        <w:footnoteRef/>
      </w:r>
      <w:r>
        <w:t xml:space="preserve"> </w:t>
      </w:r>
      <w:r>
        <w:t xml:space="preserve">Matthews 2021, PMID 34333586.</w:t>
      </w:r>
    </w:p>
  </w:footnote>
  <w:footnote w:id="2441">
    <w:p>
      <w:pPr>
        <w:pStyle w:val="FootnoteText"/>
      </w:pPr>
      <w:r>
        <w:rPr>
          <w:rStyle w:val="FootnoteReference"/>
        </w:rPr>
        <w:footnoteRef/>
      </w:r>
      <w:r>
        <w:t xml:space="preserve"> </w:t>
      </w:r>
      <w:r>
        <w:t xml:space="preserve">Qiu 2020, PMID 32803273.</w:t>
      </w:r>
    </w:p>
  </w:footnote>
  <w:footnote w:id="2443">
    <w:p>
      <w:pPr>
        <w:pStyle w:val="FootnoteText"/>
      </w:pPr>
      <w:r>
        <w:rPr>
          <w:rStyle w:val="FootnoteReference"/>
        </w:rPr>
        <w:footnoteRef/>
      </w:r>
      <w:r>
        <w:t xml:space="preserve"> </w:t>
      </w:r>
      <w:r>
        <w:t xml:space="preserve">Baba 2024, PMID 39215872.</w:t>
      </w:r>
    </w:p>
  </w:footnote>
  <w:footnote w:id="2444">
    <w:p>
      <w:pPr>
        <w:pStyle w:val="FootnoteText"/>
      </w:pPr>
      <w:r>
        <w:rPr>
          <w:rStyle w:val="FootnoteReference"/>
        </w:rPr>
        <w:footnoteRef/>
      </w:r>
      <w:r>
        <w:t xml:space="preserve"> </w:t>
      </w:r>
      <w:r>
        <w:t xml:space="preserve">Dolan 2019, PMID 30980076.</w:t>
      </w:r>
    </w:p>
  </w:footnote>
  <w:footnote w:id="2447">
    <w:p>
      <w:pPr>
        <w:pStyle w:val="FootnoteText"/>
      </w:pPr>
      <w:r>
        <w:rPr>
          <w:rStyle w:val="FootnoteReference"/>
        </w:rPr>
        <w:footnoteRef/>
      </w:r>
      <w:r>
        <w:t xml:space="preserve"> </w:t>
      </w:r>
      <w:r>
        <w:t xml:space="preserve">NCT06480760.</w:t>
      </w:r>
    </w:p>
  </w:footnote>
  <w:footnote w:id="2448">
    <w:p>
      <w:pPr>
        <w:pStyle w:val="FootnoteText"/>
      </w:pPr>
      <w:r>
        <w:rPr>
          <w:rStyle w:val="FootnoteReference"/>
        </w:rPr>
        <w:footnoteRef/>
      </w:r>
      <w:r>
        <w:t xml:space="preserve"> </w:t>
      </w:r>
      <w:r>
        <w:t xml:space="preserve">NCT07475546.</w:t>
      </w:r>
    </w:p>
  </w:footnote>
  <w:footnote w:id="2449">
    <w:p>
      <w:pPr>
        <w:pStyle w:val="FootnoteText"/>
      </w:pPr>
      <w:r>
        <w:rPr>
          <w:rStyle w:val="FootnoteReference"/>
        </w:rPr>
        <w:footnoteRef/>
      </w:r>
      <w:r>
        <w:t xml:space="preserve"> </w:t>
      </w:r>
      <w:r>
        <w:t xml:space="preserve">NCT03314987.</w:t>
      </w:r>
    </w:p>
  </w:footnote>
  <w:footnote w:id="2453">
    <w:p>
      <w:pPr>
        <w:pStyle w:val="FootnoteText"/>
      </w:pPr>
      <w:r>
        <w:rPr>
          <w:rStyle w:val="FootnoteReference"/>
        </w:rPr>
        <w:footnoteRef/>
      </w:r>
      <w:r>
        <w:t xml:space="preserve"> </w:t>
      </w:r>
      <w:r>
        <w:t xml:space="preserve">Pickart 1973, PMID 4349963.</w:t>
      </w:r>
    </w:p>
  </w:footnote>
  <w:footnote w:id="2455">
    <w:p>
      <w:pPr>
        <w:pStyle w:val="FootnoteText"/>
      </w:pPr>
      <w:r>
        <w:rPr>
          <w:rStyle w:val="FootnoteReference"/>
        </w:rPr>
        <w:footnoteRef/>
      </w:r>
      <w:r>
        <w:t xml:space="preserve"> </w:t>
      </w:r>
      <w:r>
        <w:t xml:space="preserve">Pickart 1980, PMID 7453802.</w:t>
      </w:r>
    </w:p>
  </w:footnote>
  <w:footnote w:id="2456">
    <w:p>
      <w:pPr>
        <w:pStyle w:val="FootnoteText"/>
      </w:pPr>
      <w:r>
        <w:rPr>
          <w:rStyle w:val="FootnoteReference"/>
        </w:rPr>
        <w:footnoteRef/>
      </w:r>
      <w:r>
        <w:t xml:space="preserve"> </w:t>
      </w:r>
      <w:r>
        <w:t xml:space="preserve">Maquart 1988, PMID 3169264.</w:t>
      </w:r>
    </w:p>
  </w:footnote>
  <w:footnote w:id="2457">
    <w:p>
      <w:pPr>
        <w:pStyle w:val="FootnoteText"/>
      </w:pPr>
      <w:r>
        <w:rPr>
          <w:rStyle w:val="FootnoteReference"/>
        </w:rPr>
        <w:footnoteRef/>
      </w:r>
      <w:r>
        <w:t xml:space="preserve"> </w:t>
      </w:r>
      <w:r>
        <w:t xml:space="preserve">Pickart 2015, PMID 26236730; Pickart 2018, PMID 29986520.</w:t>
      </w:r>
    </w:p>
  </w:footnote>
  <w:footnote w:id="2458">
    <w:p>
      <w:pPr>
        <w:pStyle w:val="FootnoteText"/>
      </w:pPr>
      <w:r>
        <w:rPr>
          <w:rStyle w:val="FootnoteReference"/>
        </w:rPr>
        <w:footnoteRef/>
      </w:r>
      <w:r>
        <w:t xml:space="preserve"> </w:t>
      </w:r>
      <w:r>
        <w:t xml:space="preserve">Mortazavi 2025, PMID 39963574.</w:t>
      </w:r>
    </w:p>
  </w:footnote>
  <w:footnote w:id="2459">
    <w:p>
      <w:pPr>
        <w:pStyle w:val="FootnoteText"/>
      </w:pPr>
      <w:r>
        <w:rPr>
          <w:rStyle w:val="FootnoteReference"/>
        </w:rPr>
        <w:footnoteRef/>
      </w:r>
      <w:r>
        <w:t xml:space="preserve"> </w:t>
      </w:r>
      <w:r>
        <w:t xml:space="preserve">Trzaska 2026, PMID 42790608.</w:t>
      </w:r>
    </w:p>
  </w:footnote>
  <w:footnote w:id="2462">
    <w:p>
      <w:pPr>
        <w:pStyle w:val="FootnoteText"/>
      </w:pPr>
      <w:r>
        <w:rPr>
          <w:rStyle w:val="FootnoteReference"/>
        </w:rPr>
        <w:footnoteRef/>
      </w:r>
      <w:r>
        <w:t xml:space="preserve"> </w:t>
      </w:r>
      <w:r>
        <w:t xml:space="preserve">Nukaly 2026, PMID 41924746.</w:t>
      </w:r>
    </w:p>
  </w:footnote>
  <w:footnote w:id="2463">
    <w:p>
      <w:pPr>
        <w:pStyle w:val="FootnoteText"/>
      </w:pPr>
      <w:r>
        <w:rPr>
          <w:rStyle w:val="FootnoteReference"/>
        </w:rPr>
        <w:footnoteRef/>
      </w:r>
      <w:r>
        <w:t xml:space="preserve"> </w:t>
      </w:r>
      <w:r>
        <w:t xml:space="preserve">Mayfield 2026, PMID 41476424.</w:t>
      </w:r>
    </w:p>
  </w:footnote>
  <w:footnote w:id="2464">
    <w:p>
      <w:pPr>
        <w:pStyle w:val="FootnoteText"/>
      </w:pPr>
      <w:r>
        <w:rPr>
          <w:rStyle w:val="FootnoteReference"/>
        </w:rPr>
        <w:footnoteRef/>
      </w:r>
      <w:r>
        <w:t xml:space="preserve"> </w:t>
      </w:r>
      <w:r>
        <w:t xml:space="preserve">Mendias 2026, PMID 41966639.</w:t>
      </w:r>
    </w:p>
  </w:footnote>
  <w:footnote w:id="2466">
    <w:p>
      <w:pPr>
        <w:pStyle w:val="FootnoteText"/>
      </w:pPr>
      <w:r>
        <w:rPr>
          <w:rStyle w:val="FootnoteReference"/>
        </w:rPr>
        <w:footnoteRef/>
      </w:r>
      <w:r>
        <w:t xml:space="preserve"> </w:t>
      </w:r>
      <w:r>
        <w:t xml:space="preserve">Maquart 1988, PMID 3169264.</w:t>
      </w:r>
    </w:p>
  </w:footnote>
  <w:footnote w:id="2467">
    <w:p>
      <w:pPr>
        <w:pStyle w:val="FootnoteText"/>
      </w:pPr>
      <w:r>
        <w:rPr>
          <w:rStyle w:val="FootnoteReference"/>
        </w:rPr>
        <w:footnoteRef/>
      </w:r>
      <w:r>
        <w:t xml:space="preserve"> </w:t>
      </w:r>
      <w:r>
        <w:t xml:space="preserve">Canapp 2003, PMID 14648529.</w:t>
      </w:r>
    </w:p>
  </w:footnote>
  <w:footnote w:id="2468">
    <w:p>
      <w:pPr>
        <w:pStyle w:val="FootnoteText"/>
      </w:pPr>
      <w:r>
        <w:rPr>
          <w:rStyle w:val="FootnoteReference"/>
        </w:rPr>
        <w:footnoteRef/>
      </w:r>
      <w:r>
        <w:t xml:space="preserve"> </w:t>
      </w:r>
      <w:r>
        <w:t xml:space="preserve">Wang 2017, PMID 28370978.</w:t>
      </w:r>
    </w:p>
  </w:footnote>
  <w:footnote w:id="2469">
    <w:p>
      <w:pPr>
        <w:pStyle w:val="FootnoteText"/>
      </w:pPr>
      <w:r>
        <w:rPr>
          <w:rStyle w:val="FootnoteReference"/>
        </w:rPr>
        <w:footnoteRef/>
      </w:r>
      <w:r>
        <w:t xml:space="preserve"> </w:t>
      </w:r>
      <w:r>
        <w:t xml:space="preserve">Ma 2020, PMID 31809714.</w:t>
      </w:r>
    </w:p>
  </w:footnote>
  <w:footnote w:id="2470">
    <w:p>
      <w:pPr>
        <w:pStyle w:val="FootnoteText"/>
      </w:pPr>
      <w:r>
        <w:rPr>
          <w:rStyle w:val="FootnoteReference"/>
        </w:rPr>
        <w:footnoteRef/>
      </w:r>
      <w:r>
        <w:t xml:space="preserve"> </w:t>
      </w:r>
      <w:r>
        <w:t xml:space="preserve">Fu 2015, PMID 25731775.</w:t>
      </w:r>
    </w:p>
  </w:footnote>
  <w:footnote w:id="2471">
    <w:p>
      <w:pPr>
        <w:pStyle w:val="FootnoteText"/>
      </w:pPr>
      <w:r>
        <w:rPr>
          <w:rStyle w:val="FootnoteReference"/>
        </w:rPr>
        <w:footnoteRef/>
      </w:r>
      <w:r>
        <w:t xml:space="preserve"> </w:t>
      </w:r>
      <w:r>
        <w:t xml:space="preserve">Mazzola 2026, PMID 42245779.</w:t>
      </w:r>
    </w:p>
  </w:footnote>
  <w:footnote w:id="2473">
    <w:p>
      <w:pPr>
        <w:pStyle w:val="FootnoteText"/>
      </w:pPr>
      <w:r>
        <w:rPr>
          <w:rStyle w:val="FootnoteReference"/>
        </w:rPr>
        <w:footnoteRef/>
      </w:r>
      <w:r>
        <w:t xml:space="preserve"> </w:t>
      </w:r>
      <w:r>
        <w:t xml:space="preserve">Pickart 1980, PMID 7453802.</w:t>
      </w:r>
    </w:p>
  </w:footnote>
  <w:footnote w:id="2474">
    <w:p>
      <w:pPr>
        <w:pStyle w:val="FootnoteText"/>
      </w:pPr>
      <w:r>
        <w:rPr>
          <w:rStyle w:val="FootnoteReference"/>
        </w:rPr>
        <w:footnoteRef/>
      </w:r>
      <w:r>
        <w:t xml:space="preserve"> </w:t>
      </w:r>
      <w:r>
        <w:t xml:space="preserve">Moiz 2026, PMID 42757290.</w:t>
      </w:r>
    </w:p>
  </w:footnote>
  <w:footnote w:id="2477">
    <w:p>
      <w:pPr>
        <w:pStyle w:val="FootnoteText"/>
      </w:pPr>
      <w:r>
        <w:rPr>
          <w:rStyle w:val="FootnoteReference"/>
        </w:rPr>
        <w:footnoteRef/>
      </w:r>
      <w:r>
        <w:t xml:space="preserve"> </w:t>
      </w:r>
      <w:r>
        <w:t xml:space="preserve">NCT07706361.</w:t>
      </w:r>
    </w:p>
  </w:footnote>
  <w:footnote w:id="2482">
    <w:p>
      <w:pPr>
        <w:pStyle w:val="FootnoteText"/>
      </w:pPr>
      <w:r>
        <w:rPr>
          <w:rStyle w:val="FootnoteReference"/>
        </w:rPr>
        <w:footnoteRef/>
      </w:r>
      <w:r>
        <w:t xml:space="preserve"> </w:t>
      </w:r>
      <w:r>
        <w:t xml:space="preserve">Katayama 1993, PMID 8486721.</w:t>
      </w:r>
    </w:p>
  </w:footnote>
  <w:footnote w:id="2483">
    <w:p>
      <w:pPr>
        <w:pStyle w:val="FootnoteText"/>
      </w:pPr>
      <w:r>
        <w:rPr>
          <w:rStyle w:val="FootnoteReference"/>
        </w:rPr>
        <w:footnoteRef/>
      </w:r>
      <w:r>
        <w:t xml:space="preserve"> </w:t>
      </w:r>
      <w:r>
        <w:t xml:space="preserve">Jones 2013, PMID 23320752.</w:t>
      </w:r>
    </w:p>
  </w:footnote>
  <w:footnote w:id="2484">
    <w:p>
      <w:pPr>
        <w:pStyle w:val="FootnoteText"/>
      </w:pPr>
      <w:r>
        <w:rPr>
          <w:rStyle w:val="FootnoteReference"/>
        </w:rPr>
        <w:footnoteRef/>
      </w:r>
      <w:r>
        <w:t xml:space="preserve"> </w:t>
      </w:r>
      <w:r>
        <w:t xml:space="preserve">Trzaska 2026, PMID 42790608.</w:t>
      </w:r>
    </w:p>
  </w:footnote>
  <w:footnote w:id="2486">
    <w:p>
      <w:pPr>
        <w:pStyle w:val="FootnoteText"/>
      </w:pPr>
      <w:r>
        <w:rPr>
          <w:rStyle w:val="FootnoteReference"/>
        </w:rPr>
        <w:footnoteRef/>
      </w:r>
      <w:r>
        <w:t xml:space="preserve"> </w:t>
      </w:r>
      <w:r>
        <w:t xml:space="preserve">Kaczvinsky 2009, PMID 19735523.</w:t>
      </w:r>
    </w:p>
  </w:footnote>
  <w:footnote w:id="2487">
    <w:p>
      <w:pPr>
        <w:pStyle w:val="FootnoteText"/>
      </w:pPr>
      <w:r>
        <w:rPr>
          <w:rStyle w:val="FootnoteReference"/>
        </w:rPr>
        <w:footnoteRef/>
      </w:r>
      <w:r>
        <w:t xml:space="preserve"> </w:t>
      </w:r>
      <w:r>
        <w:t xml:space="preserve">Nukaly 2026, PMID 41924746.</w:t>
      </w:r>
    </w:p>
  </w:footnote>
  <w:footnote w:id="2489">
    <w:p>
      <w:pPr>
        <w:pStyle w:val="FootnoteText"/>
      </w:pPr>
      <w:r>
        <w:rPr>
          <w:rStyle w:val="FootnoteReference"/>
        </w:rPr>
        <w:footnoteRef/>
      </w:r>
      <w:r>
        <w:t xml:space="preserve"> </w:t>
      </w:r>
      <w:r>
        <w:t xml:space="preserve">Katayama 1993, PMID 8486721; Jones 2013, PMID 23320752.</w:t>
      </w:r>
    </w:p>
  </w:footnote>
  <w:footnote w:id="2490">
    <w:p>
      <w:pPr>
        <w:pStyle w:val="FootnoteText"/>
      </w:pPr>
      <w:r>
        <w:rPr>
          <w:rStyle w:val="FootnoteReference"/>
        </w:rPr>
        <w:footnoteRef/>
      </w:r>
      <w:r>
        <w:t xml:space="preserve"> </w:t>
      </w:r>
      <w:r>
        <w:t xml:space="preserve">Park 2017, PMID 30603464.</w:t>
      </w:r>
    </w:p>
  </w:footnote>
  <w:footnote w:id="2491">
    <w:p>
      <w:pPr>
        <w:pStyle w:val="FootnoteText"/>
      </w:pPr>
      <w:r>
        <w:rPr>
          <w:rStyle w:val="FootnoteReference"/>
        </w:rPr>
        <w:footnoteRef/>
      </w:r>
      <w:r>
        <w:t xml:space="preserve"> </w:t>
      </w:r>
      <w:r>
        <w:t xml:space="preserve">Kachooeian 2022, PMID 35874243.</w:t>
      </w:r>
    </w:p>
  </w:footnote>
  <w:footnote w:id="2493">
    <w:p>
      <w:pPr>
        <w:pStyle w:val="FootnoteText"/>
      </w:pPr>
      <w:r>
        <w:rPr>
          <w:rStyle w:val="FootnoteReference"/>
        </w:rPr>
        <w:footnoteRef/>
      </w:r>
      <w:r>
        <w:t xml:space="preserve"> </w:t>
      </w:r>
      <w:r>
        <w:t xml:space="preserve">Röper 2004, PMID 15127162.</w:t>
      </w:r>
    </w:p>
  </w:footnote>
  <w:footnote w:id="2494">
    <w:p>
      <w:pPr>
        <w:pStyle w:val="FootnoteText"/>
      </w:pPr>
      <w:r>
        <w:rPr>
          <w:rStyle w:val="FootnoteReference"/>
        </w:rPr>
        <w:footnoteRef/>
      </w:r>
      <w:r>
        <w:t xml:space="preserve"> </w:t>
      </w:r>
      <w:r>
        <w:t xml:space="preserve">Bjerke 2026, PMID 41953401.</w:t>
      </w:r>
    </w:p>
  </w:footnote>
  <w:footnote w:id="2501">
    <w:p>
      <w:pPr>
        <w:pStyle w:val="FootnoteText"/>
      </w:pPr>
      <w:r>
        <w:rPr>
          <w:rStyle w:val="FootnoteReference"/>
        </w:rPr>
        <w:footnoteRef/>
      </w:r>
      <w:r>
        <w:t xml:space="preserve"> </w:t>
      </w:r>
      <w:r>
        <w:t xml:space="preserve">Blanes-Mira 2002, PMID 18498523.</w:t>
      </w:r>
    </w:p>
  </w:footnote>
  <w:footnote w:id="2502">
    <w:p>
      <w:pPr>
        <w:pStyle w:val="FootnoteText"/>
      </w:pPr>
      <w:r>
        <w:rPr>
          <w:rStyle w:val="FootnoteReference"/>
        </w:rPr>
        <w:footnoteRef/>
      </w:r>
      <w:r>
        <w:t xml:space="preserve"> </w:t>
      </w:r>
      <w:r>
        <w:t xml:space="preserve">Kraeling 2015, PMID 24754410.</w:t>
      </w:r>
    </w:p>
  </w:footnote>
  <w:footnote w:id="2503">
    <w:p>
      <w:pPr>
        <w:pStyle w:val="FootnoteText"/>
      </w:pPr>
      <w:r>
        <w:rPr>
          <w:rStyle w:val="FootnoteReference"/>
        </w:rPr>
        <w:footnoteRef/>
      </w:r>
      <w:r>
        <w:t xml:space="preserve"> </w:t>
      </w:r>
      <w:r>
        <w:t xml:space="preserve">Zdrada-Nowak 2025, PMID 40565185.</w:t>
      </w:r>
    </w:p>
  </w:footnote>
  <w:footnote w:id="2505">
    <w:p>
      <w:pPr>
        <w:pStyle w:val="FootnoteText"/>
      </w:pPr>
      <w:r>
        <w:rPr>
          <w:rStyle w:val="FootnoteReference"/>
        </w:rPr>
        <w:footnoteRef/>
      </w:r>
      <w:r>
        <w:t xml:space="preserve"> </w:t>
      </w:r>
      <w:r>
        <w:t xml:space="preserve">Wang 2013, PMID 23607739.</w:t>
      </w:r>
    </w:p>
  </w:footnote>
  <w:footnote w:id="2506">
    <w:p>
      <w:pPr>
        <w:pStyle w:val="FootnoteText"/>
      </w:pPr>
      <w:r>
        <w:rPr>
          <w:rStyle w:val="FootnoteReference"/>
        </w:rPr>
        <w:footnoteRef/>
      </w:r>
      <w:r>
        <w:t xml:space="preserve"> </w:t>
      </w:r>
      <w:r>
        <w:t xml:space="preserve">NCT01750346.</w:t>
      </w:r>
    </w:p>
  </w:footnote>
  <w:footnote w:id="2507">
    <w:p>
      <w:pPr>
        <w:pStyle w:val="FootnoteText"/>
      </w:pPr>
      <w:r>
        <w:rPr>
          <w:rStyle w:val="FootnoteReference"/>
        </w:rPr>
        <w:footnoteRef/>
      </w:r>
      <w:r>
        <w:t xml:space="preserve"> </w:t>
      </w:r>
      <w:r>
        <w:t xml:space="preserve">An 2019, PMID 33911590.</w:t>
      </w:r>
    </w:p>
  </w:footnote>
  <w:footnote w:id="2508">
    <w:p>
      <w:pPr>
        <w:pStyle w:val="FootnoteText"/>
      </w:pPr>
      <w:r>
        <w:rPr>
          <w:rStyle w:val="FootnoteReference"/>
        </w:rPr>
        <w:footnoteRef/>
      </w:r>
      <w:r>
        <w:t xml:space="preserve"> </w:t>
      </w:r>
      <w:r>
        <w:t xml:space="preserve">NCT02597777.</w:t>
      </w:r>
    </w:p>
  </w:footnote>
  <w:footnote w:id="2509">
    <w:p>
      <w:pPr>
        <w:pStyle w:val="FootnoteText"/>
      </w:pPr>
      <w:r>
        <w:rPr>
          <w:rStyle w:val="FootnoteReference"/>
        </w:rPr>
        <w:footnoteRef/>
      </w:r>
      <w:r>
        <w:t xml:space="preserve"> </w:t>
      </w:r>
      <w:r>
        <w:t xml:space="preserve">NCT01381484.</w:t>
      </w:r>
    </w:p>
  </w:footnote>
  <w:footnote w:id="2512">
    <w:p>
      <w:pPr>
        <w:pStyle w:val="FootnoteText"/>
      </w:pPr>
      <w:r>
        <w:rPr>
          <w:rStyle w:val="FootnoteReference"/>
        </w:rPr>
        <w:footnoteRef/>
      </w:r>
      <w:r>
        <w:t xml:space="preserve"> </w:t>
      </w:r>
      <w:r>
        <w:t xml:space="preserve">Blanes-Mira 2002, PMID 18498523.</w:t>
      </w:r>
    </w:p>
  </w:footnote>
  <w:footnote w:id="2513">
    <w:p>
      <w:pPr>
        <w:pStyle w:val="FootnoteText"/>
      </w:pPr>
      <w:r>
        <w:rPr>
          <w:rStyle w:val="FootnoteReference"/>
        </w:rPr>
        <w:footnoteRef/>
      </w:r>
      <w:r>
        <w:t xml:space="preserve"> </w:t>
      </w:r>
      <w:r>
        <w:t xml:space="preserve">Grosicki 2014, PMID 24644551.</w:t>
      </w:r>
    </w:p>
  </w:footnote>
  <w:footnote w:id="2514">
    <w:p>
      <w:pPr>
        <w:pStyle w:val="FootnoteText"/>
      </w:pPr>
      <w:r>
        <w:rPr>
          <w:rStyle w:val="FootnoteReference"/>
        </w:rPr>
        <w:footnoteRef/>
      </w:r>
      <w:r>
        <w:t xml:space="preserve"> </w:t>
      </w:r>
      <w:r>
        <w:t xml:space="preserve">Wang 2013, PMID 23464592.</w:t>
      </w:r>
    </w:p>
  </w:footnote>
  <w:footnote w:id="2515">
    <w:p>
      <w:pPr>
        <w:pStyle w:val="FootnoteText"/>
      </w:pPr>
      <w:r>
        <w:rPr>
          <w:rStyle w:val="FootnoteReference"/>
        </w:rPr>
        <w:footnoteRef/>
      </w:r>
      <w:r>
        <w:t xml:space="preserve"> </w:t>
      </w:r>
      <w:r>
        <w:t xml:space="preserve">Kraeling 2015, PMID 24754410.</w:t>
      </w:r>
    </w:p>
  </w:footnote>
  <w:footnote w:id="2517">
    <w:p>
      <w:pPr>
        <w:pStyle w:val="FootnoteText"/>
      </w:pPr>
      <w:r>
        <w:rPr>
          <w:rStyle w:val="FootnoteReference"/>
        </w:rPr>
        <w:footnoteRef/>
      </w:r>
      <w:r>
        <w:t xml:space="preserve"> </w:t>
      </w:r>
      <w:r>
        <w:t xml:space="preserve">Johnson 2025, PMID 40673537.</w:t>
      </w:r>
    </w:p>
  </w:footnote>
  <w:footnote w:id="2518">
    <w:p>
      <w:pPr>
        <w:pStyle w:val="FootnoteText"/>
      </w:pPr>
      <w:r>
        <w:rPr>
          <w:rStyle w:val="FootnoteReference"/>
        </w:rPr>
        <w:footnoteRef/>
      </w:r>
      <w:r>
        <w:t xml:space="preserve"> </w:t>
      </w:r>
      <w:r>
        <w:t xml:space="preserve">Chen 2021, PMID 33748252.</w:t>
      </w:r>
    </w:p>
  </w:footnote>
  <w:footnote w:id="2539">
    <w:p>
      <w:pPr>
        <w:pStyle w:val="FootnoteText"/>
      </w:pPr>
      <w:r>
        <w:rPr>
          <w:rStyle w:val="FootnoteReference"/>
        </w:rPr>
        <w:footnoteRef/>
      </w:r>
      <w:r>
        <w:t xml:space="preserve"> </w:t>
      </w:r>
      <w:r>
        <w:t xml:space="preserve">Gao 2026, PMID 42251595.</w:t>
      </w:r>
    </w:p>
  </w:footnote>
  <w:footnote w:id="2540">
    <w:p>
      <w:pPr>
        <w:pStyle w:val="FootnoteText"/>
      </w:pPr>
      <w:r>
        <w:rPr>
          <w:rStyle w:val="FootnoteReference"/>
        </w:rPr>
        <w:footnoteRef/>
      </w:r>
      <w:r>
        <w:t xml:space="preserve"> </w:t>
      </w:r>
      <w:r>
        <w:t xml:space="preserve">NCT06662383.</w:t>
      </w:r>
    </w:p>
  </w:footnote>
  <w:footnote w:id="2542">
    <w:p>
      <w:pPr>
        <w:pStyle w:val="FootnoteText"/>
      </w:pPr>
      <w:r>
        <w:rPr>
          <w:rStyle w:val="FootnoteReference"/>
        </w:rPr>
        <w:footnoteRef/>
      </w:r>
      <w:r>
        <w:t xml:space="preserve"> </w:t>
      </w:r>
      <w:r>
        <w:t xml:space="preserve">Rubino 2021, PMID 33755728.</w:t>
      </w:r>
    </w:p>
  </w:footnote>
  <w:footnote w:id="2543">
    <w:p>
      <w:pPr>
        <w:pStyle w:val="FootnoteText"/>
      </w:pPr>
      <w:r>
        <w:rPr>
          <w:rStyle w:val="FootnoteReference"/>
        </w:rPr>
        <w:footnoteRef/>
      </w:r>
      <w:r>
        <w:t xml:space="preserve"> </w:t>
      </w:r>
      <w:r>
        <w:t xml:space="preserve">Aronne 2024, PMID 38078870.</w:t>
      </w:r>
    </w:p>
  </w:footnote>
  <w:footnote w:id="2546">
    <w:p>
      <w:pPr>
        <w:pStyle w:val="FootnoteText"/>
      </w:pPr>
      <w:r>
        <w:rPr>
          <w:rStyle w:val="FootnoteReference"/>
        </w:rPr>
        <w:footnoteRef/>
      </w:r>
      <w:r>
        <w:t xml:space="preserve"> </w:t>
      </w:r>
      <w:r>
        <w:t xml:space="preserve">Edelman 2006, PMID 17003291.</w:t>
      </w:r>
    </w:p>
  </w:footnote>
  <w:footnote w:id="2548">
    <w:p>
      <w:pPr>
        <w:pStyle w:val="FootnoteText"/>
      </w:pPr>
      <w:r>
        <w:rPr>
          <w:rStyle w:val="FootnoteReference"/>
        </w:rPr>
        <w:footnoteRef/>
      </w:r>
      <w:r>
        <w:t xml:space="preserve"> </w:t>
      </w:r>
      <w:r>
        <w:t xml:space="preserve">Kristensen 2019, PMID 31422062.</w:t>
      </w:r>
    </w:p>
  </w:footnote>
  <w:footnote w:id="2549">
    <w:p>
      <w:pPr>
        <w:pStyle w:val="FootnoteText"/>
      </w:pPr>
      <w:r>
        <w:rPr>
          <w:rStyle w:val="FootnoteReference"/>
        </w:rPr>
        <w:footnoteRef/>
      </w:r>
      <w:r>
        <w:t xml:space="preserve"> </w:t>
      </w:r>
      <w:r>
        <w:t xml:space="preserve">Kosiborod 2023, PMID 37622681.</w:t>
      </w:r>
    </w:p>
  </w:footnote>
  <w:footnote w:id="2550">
    <w:p>
      <w:pPr>
        <w:pStyle w:val="FootnoteText"/>
      </w:pPr>
      <w:r>
        <w:rPr>
          <w:rStyle w:val="FootnoteReference"/>
        </w:rPr>
        <w:footnoteRef/>
      </w:r>
      <w:r>
        <w:t xml:space="preserve"> </w:t>
      </w:r>
      <w:r>
        <w:t xml:space="preserve">NCT05556512.</w:t>
      </w:r>
    </w:p>
  </w:footnote>
  <w:footnote w:id="2551">
    <w:p>
      <w:pPr>
        <w:pStyle w:val="FootnoteText"/>
      </w:pPr>
      <w:r>
        <w:rPr>
          <w:rStyle w:val="FootnoteReference"/>
        </w:rPr>
        <w:footnoteRef/>
      </w:r>
      <w:r>
        <w:t xml:space="preserve"> </w:t>
      </w:r>
      <w:r>
        <w:t xml:space="preserve">NCT06383390.</w:t>
      </w:r>
    </w:p>
  </w:footnote>
  <w:footnote w:id="2552">
    <w:p>
      <w:pPr>
        <w:pStyle w:val="FootnoteText"/>
      </w:pPr>
      <w:r>
        <w:rPr>
          <w:rStyle w:val="FootnoteReference"/>
        </w:rPr>
        <w:footnoteRef/>
      </w:r>
      <w:r>
        <w:t xml:space="preserve"> </w:t>
      </w:r>
      <w:r>
        <w:t xml:space="preserve">NCT05669755.</w:t>
      </w:r>
    </w:p>
  </w:footnote>
  <w:footnote w:id="2553">
    <w:p>
      <w:pPr>
        <w:pStyle w:val="FootnoteText"/>
      </w:pPr>
      <w:r>
        <w:rPr>
          <w:rStyle w:val="FootnoteReference"/>
        </w:rPr>
        <w:footnoteRef/>
      </w:r>
      <w:r>
        <w:t xml:space="preserve"> </w:t>
      </w:r>
      <w:r>
        <w:t xml:space="preserve">NCT07037433.</w:t>
      </w:r>
    </w:p>
  </w:footnote>
  <w:footnote w:id="2554">
    <w:p>
      <w:pPr>
        <w:pStyle w:val="FootnoteText"/>
      </w:pPr>
      <w:r>
        <w:rPr>
          <w:rStyle w:val="FootnoteReference"/>
        </w:rPr>
        <w:footnoteRef/>
      </w:r>
      <w:r>
        <w:t xml:space="preserve"> </w:t>
      </w:r>
      <w:r>
        <w:t xml:space="preserve">NCT07241390.</w:t>
      </w:r>
    </w:p>
  </w:footnote>
  <w:footnote w:id="2556">
    <w:p>
      <w:pPr>
        <w:pStyle w:val="FootnoteText"/>
      </w:pPr>
      <w:r>
        <w:rPr>
          <w:rStyle w:val="FootnoteReference"/>
        </w:rPr>
        <w:footnoteRef/>
      </w:r>
      <w:r>
        <w:t xml:space="preserve"> </w:t>
      </w:r>
      <w:r>
        <w:t xml:space="preserve">Perkovic 2024, PMID 38785209.</w:t>
      </w:r>
    </w:p>
  </w:footnote>
  <w:footnote w:id="2557">
    <w:p>
      <w:pPr>
        <w:pStyle w:val="FootnoteText"/>
      </w:pPr>
      <w:r>
        <w:rPr>
          <w:rStyle w:val="FootnoteReference"/>
        </w:rPr>
        <w:footnoteRef/>
      </w:r>
      <w:r>
        <w:t xml:space="preserve"> </w:t>
      </w:r>
      <w:r>
        <w:t xml:space="preserve">Mann 2017, PMID 28854085.</w:t>
      </w:r>
    </w:p>
  </w:footnote>
  <w:footnote w:id="2558">
    <w:p>
      <w:pPr>
        <w:pStyle w:val="FootnoteText"/>
      </w:pPr>
      <w:r>
        <w:rPr>
          <w:rStyle w:val="FootnoteReference"/>
        </w:rPr>
        <w:footnoteRef/>
      </w:r>
      <w:r>
        <w:t xml:space="preserve"> </w:t>
      </w:r>
      <w:r>
        <w:t xml:space="preserve">Gerstein 2019, PMID 31189509.</w:t>
      </w:r>
    </w:p>
  </w:footnote>
  <w:footnote w:id="2559">
    <w:p>
      <w:pPr>
        <w:pStyle w:val="FootnoteText"/>
      </w:pPr>
      <w:r>
        <w:rPr>
          <w:rStyle w:val="FootnoteReference"/>
        </w:rPr>
        <w:footnoteRef/>
      </w:r>
      <w:r>
        <w:t xml:space="preserve"> </w:t>
      </w:r>
      <w:r>
        <w:t xml:space="preserve">Kristensen 2019, PMID 31422062.</w:t>
      </w:r>
    </w:p>
  </w:footnote>
  <w:footnote w:id="2560">
    <w:p>
      <w:pPr>
        <w:pStyle w:val="FootnoteText"/>
      </w:pPr>
      <w:r>
        <w:rPr>
          <w:rStyle w:val="FootnoteReference"/>
        </w:rPr>
        <w:footnoteRef/>
      </w:r>
      <w:r>
        <w:t xml:space="preserve"> </w:t>
      </w:r>
      <w:r>
        <w:t xml:space="preserve">McGuire 2025, PMID 40162642.</w:t>
      </w:r>
    </w:p>
  </w:footnote>
  <w:footnote w:id="2561">
    <w:p>
      <w:pPr>
        <w:pStyle w:val="FootnoteText"/>
      </w:pPr>
      <w:r>
        <w:rPr>
          <w:rStyle w:val="FootnoteReference"/>
        </w:rPr>
        <w:footnoteRef/>
      </w:r>
      <w:r>
        <w:t xml:space="preserve"> </w:t>
      </w:r>
      <w:r>
        <w:t xml:space="preserve">NCT06632444.</w:t>
      </w:r>
    </w:p>
  </w:footnote>
  <w:footnote w:id="2562">
    <w:p>
      <w:pPr>
        <w:pStyle w:val="FootnoteText"/>
      </w:pPr>
      <w:r>
        <w:rPr>
          <w:rStyle w:val="FootnoteReference"/>
        </w:rPr>
        <w:footnoteRef/>
      </w:r>
      <w:r>
        <w:t xml:space="preserve"> </w:t>
      </w:r>
      <w:r>
        <w:t xml:space="preserve">NCT06632457.</w:t>
      </w:r>
    </w:p>
  </w:footnote>
  <w:footnote w:id="2564">
    <w:p>
      <w:pPr>
        <w:pStyle w:val="FootnoteText"/>
      </w:pPr>
      <w:r>
        <w:rPr>
          <w:rStyle w:val="FootnoteReference"/>
        </w:rPr>
        <w:footnoteRef/>
      </w:r>
      <w:r>
        <w:t xml:space="preserve"> </w:t>
      </w:r>
      <w:r>
        <w:t xml:space="preserve">Buse 2013, PMID 23141817.</w:t>
      </w:r>
    </w:p>
  </w:footnote>
  <w:footnote w:id="2565">
    <w:p>
      <w:pPr>
        <w:pStyle w:val="FootnoteText"/>
      </w:pPr>
      <w:r>
        <w:rPr>
          <w:rStyle w:val="FootnoteReference"/>
        </w:rPr>
        <w:footnoteRef/>
      </w:r>
      <w:r>
        <w:t xml:space="preserve"> </w:t>
      </w:r>
      <w:r>
        <w:t xml:space="preserve">Rubino 2022, PMID 35015037.</w:t>
      </w:r>
    </w:p>
  </w:footnote>
  <w:footnote w:id="2566">
    <w:p>
      <w:pPr>
        <w:pStyle w:val="FootnoteText"/>
      </w:pPr>
      <w:r>
        <w:rPr>
          <w:rStyle w:val="FootnoteReference"/>
        </w:rPr>
        <w:footnoteRef/>
      </w:r>
      <w:r>
        <w:t xml:space="preserve"> </w:t>
      </w:r>
      <w:r>
        <w:t xml:space="preserve">Frías 2021, PMID 34170647.</w:t>
      </w:r>
    </w:p>
  </w:footnote>
  <w:footnote w:id="2567">
    <w:p>
      <w:pPr>
        <w:pStyle w:val="FootnoteText"/>
      </w:pPr>
      <w:r>
        <w:rPr>
          <w:rStyle w:val="FootnoteReference"/>
        </w:rPr>
        <w:footnoteRef/>
      </w:r>
      <w:r>
        <w:t xml:space="preserve"> </w:t>
      </w:r>
      <w:r>
        <w:t xml:space="preserve">Yamauchi 2026, PMID 42009015.</w:t>
      </w:r>
    </w:p>
  </w:footnote>
  <w:footnote w:id="2568">
    <w:p>
      <w:pPr>
        <w:pStyle w:val="FootnoteText"/>
      </w:pPr>
      <w:r>
        <w:rPr>
          <w:rStyle w:val="FootnoteReference"/>
        </w:rPr>
        <w:footnoteRef/>
      </w:r>
      <w:r>
        <w:t xml:space="preserve"> </w:t>
      </w:r>
      <w:r>
        <w:t xml:space="preserve">Hsia 2026, PMID 42628555.</w:t>
      </w:r>
    </w:p>
  </w:footnote>
  <w:footnote w:id="2569">
    <w:p>
      <w:pPr>
        <w:pStyle w:val="FootnoteText"/>
      </w:pPr>
      <w:r>
        <w:rPr>
          <w:rStyle w:val="FootnoteReference"/>
        </w:rPr>
        <w:footnoteRef/>
      </w:r>
      <w:r>
        <w:t xml:space="preserve"> </w:t>
      </w:r>
      <w:r>
        <w:t xml:space="preserve">Kristensen 2019, PMID 31422062.</w:t>
      </w:r>
    </w:p>
  </w:footnote>
  <w:footnote w:id="2570">
    <w:p>
      <w:pPr>
        <w:pStyle w:val="FootnoteText"/>
      </w:pPr>
      <w:r>
        <w:rPr>
          <w:rStyle w:val="FootnoteReference"/>
        </w:rPr>
        <w:footnoteRef/>
      </w:r>
      <w:r>
        <w:t xml:space="preserve"> </w:t>
      </w:r>
      <w:r>
        <w:t xml:space="preserve">Sodhi 2023, PMID 37796527.</w:t>
      </w:r>
    </w:p>
  </w:footnote>
  <w:footnote w:id="2571">
    <w:p>
      <w:pPr>
        <w:pStyle w:val="FootnoteText"/>
      </w:pPr>
      <w:r>
        <w:rPr>
          <w:rStyle w:val="FootnoteReference"/>
        </w:rPr>
        <w:footnoteRef/>
      </w:r>
      <w:r>
        <w:t xml:space="preserve"> </w:t>
      </w:r>
      <w:r>
        <w:t xml:space="preserve">Silverii 2025, PMID 40437949.</w:t>
      </w:r>
    </w:p>
  </w:footnote>
  <w:footnote w:id="2572">
    <w:p>
      <w:pPr>
        <w:pStyle w:val="FootnoteText"/>
      </w:pPr>
      <w:r>
        <w:rPr>
          <w:rStyle w:val="FootnoteReference"/>
        </w:rPr>
        <w:footnoteRef/>
      </w:r>
      <w:r>
        <w:t xml:space="preserve"> </w:t>
      </w:r>
      <w:r>
        <w:t xml:space="preserve">Simonsen 2025, PMID 40098249.</w:t>
      </w:r>
    </w:p>
  </w:footnote>
  <w:footnote w:id="2573">
    <w:p>
      <w:pPr>
        <w:pStyle w:val="FootnoteText"/>
      </w:pPr>
      <w:r>
        <w:rPr>
          <w:rStyle w:val="FootnoteReference"/>
        </w:rPr>
        <w:footnoteRef/>
      </w:r>
      <w:r>
        <w:t xml:space="preserve"> </w:t>
      </w:r>
      <w:r>
        <w:t xml:space="preserve">Look 2025, PMID 39996356.</w:t>
      </w:r>
    </w:p>
  </w:footnote>
  <w:footnote w:id="2575">
    <w:p>
      <w:pPr>
        <w:pStyle w:val="FootnoteText"/>
      </w:pPr>
      <w:r>
        <w:rPr>
          <w:rStyle w:val="FootnoteReference"/>
        </w:rPr>
        <w:footnoteRef/>
      </w:r>
      <w:r>
        <w:t xml:space="preserve"> </w:t>
      </w:r>
      <w:r>
        <w:t xml:space="preserve">NCT06662383.</w:t>
      </w:r>
    </w:p>
  </w:footnote>
  <w:footnote w:id="2576">
    <w:p>
      <w:pPr>
        <w:pStyle w:val="FootnoteText"/>
      </w:pPr>
      <w:r>
        <w:rPr>
          <w:rStyle w:val="FootnoteReference"/>
        </w:rPr>
        <w:footnoteRef/>
      </w:r>
      <w:r>
        <w:t xml:space="preserve"> </w:t>
      </w:r>
      <w:r>
        <w:t xml:space="preserve">NCT06184568, NCT06884293.</w:t>
      </w:r>
    </w:p>
  </w:footnote>
  <w:footnote w:id="2581">
    <w:p>
      <w:pPr>
        <w:pStyle w:val="FootnoteText"/>
      </w:pPr>
      <w:r>
        <w:rPr>
          <w:rStyle w:val="FootnoteReference"/>
        </w:rPr>
        <w:footnoteRef/>
      </w:r>
      <w:r>
        <w:t xml:space="preserve"> </w:t>
      </w:r>
      <w:r>
        <w:t xml:space="preserve">Porsteinsson 2025, PMID 41393340.</w:t>
      </w:r>
    </w:p>
  </w:footnote>
  <w:footnote w:id="2583">
    <w:p>
      <w:pPr>
        <w:pStyle w:val="FootnoteText"/>
      </w:pPr>
      <w:r>
        <w:rPr>
          <w:rStyle w:val="FootnoteReference"/>
        </w:rPr>
        <w:footnoteRef/>
      </w:r>
      <w:r>
        <w:t xml:space="preserve"> </w:t>
      </w:r>
      <w:r>
        <w:t xml:space="preserve">Nass 2008, PMID 18981485.</w:t>
      </w:r>
    </w:p>
  </w:footnote>
  <w:footnote w:id="2585">
    <w:p>
      <w:pPr>
        <w:pStyle w:val="FootnoteText"/>
      </w:pPr>
      <w:r>
        <w:rPr>
          <w:rStyle w:val="FootnoteReference"/>
        </w:rPr>
        <w:footnoteRef/>
      </w:r>
      <w:r>
        <w:t xml:space="preserve"> </w:t>
      </w:r>
      <w:r>
        <w:t xml:space="preserve">Gajda 2019, PMID 30136411.</w:t>
      </w:r>
    </w:p>
  </w:footnote>
  <w:footnote w:id="2587">
    <w:p>
      <w:pPr>
        <w:pStyle w:val="FootnoteText"/>
      </w:pPr>
      <w:r>
        <w:rPr>
          <w:rStyle w:val="FootnoteReference"/>
        </w:rPr>
        <w:footnoteRef/>
      </w:r>
      <w:r>
        <w:t xml:space="preserve"> </w:t>
      </w:r>
      <w:r>
        <w:t xml:space="preserve">Beck 2014, PMID 25331030.</w:t>
      </w:r>
    </w:p>
  </w:footnote>
  <w:footnote w:id="2588">
    <w:p>
      <w:pPr>
        <w:pStyle w:val="FootnoteText"/>
      </w:pPr>
      <w:r>
        <w:rPr>
          <w:rStyle w:val="FootnoteReference"/>
        </w:rPr>
        <w:footnoteRef/>
      </w:r>
      <w:r>
        <w:t xml:space="preserve"> </w:t>
      </w:r>
      <w:r>
        <w:t xml:space="preserve">Leal 2014, PMID 24619793.</w:t>
      </w:r>
    </w:p>
  </w:footnote>
  <w:footnote w:id="2589">
    <w:p>
      <w:pPr>
        <w:pStyle w:val="FootnoteText"/>
      </w:pPr>
      <w:r>
        <w:rPr>
          <w:rStyle w:val="FootnoteReference"/>
        </w:rPr>
        <w:footnoteRef/>
      </w:r>
      <w:r>
        <w:t xml:space="preserve"> </w:t>
      </w:r>
      <w:r>
        <w:t xml:space="preserve">Myung 2025, PMID 40324552.</w:t>
      </w:r>
    </w:p>
  </w:footnote>
  <w:footnote w:id="2592">
    <w:p>
      <w:pPr>
        <w:pStyle w:val="FootnoteText"/>
      </w:pPr>
      <w:r>
        <w:rPr>
          <w:rStyle w:val="FootnoteReference"/>
        </w:rPr>
        <w:footnoteRef/>
      </w:r>
      <w:r>
        <w:t xml:space="preserve"> </w:t>
      </w:r>
      <w:r>
        <w:t xml:space="preserve">Breindahl 2015, PMID 24771717.</w:t>
      </w:r>
    </w:p>
  </w:footnote>
  <w:footnote w:id="2604">
    <w:p>
      <w:pPr>
        <w:pStyle w:val="FootnoteText"/>
      </w:pPr>
      <w:r>
        <w:rPr>
          <w:rStyle w:val="FootnoteReference"/>
        </w:rPr>
        <w:footnoteRef/>
      </w:r>
      <w:r>
        <w:t xml:space="preserve"> </w:t>
      </w:r>
      <w:r>
        <w:t xml:space="preserve">Simonsen 2025, PMID 40098249.</w:t>
      </w:r>
    </w:p>
  </w:footnote>
  <w:footnote w:id="2605">
    <w:p>
      <w:pPr>
        <w:pStyle w:val="FootnoteText"/>
      </w:pPr>
      <w:r>
        <w:rPr>
          <w:rStyle w:val="FootnoteReference"/>
        </w:rPr>
        <w:footnoteRef/>
      </w:r>
      <w:r>
        <w:t xml:space="preserve"> </w:t>
      </w:r>
      <w:r>
        <w:t xml:space="preserve">Yang 2026, PMID 41915388.</w:t>
      </w:r>
    </w:p>
  </w:footnote>
  <w:footnote w:id="2606">
    <w:p>
      <w:pPr>
        <w:pStyle w:val="FootnoteText"/>
      </w:pPr>
      <w:r>
        <w:rPr>
          <w:rStyle w:val="FootnoteReference"/>
        </w:rPr>
        <w:footnoteRef/>
      </w:r>
      <w:r>
        <w:t xml:space="preserve"> </w:t>
      </w:r>
      <w:r>
        <w:t xml:space="preserve">Ismaiel 2025, PMID 40804463.</w:t>
      </w:r>
    </w:p>
  </w:footnote>
  <w:footnote w:id="2607">
    <w:p>
      <w:pPr>
        <w:pStyle w:val="FootnoteText"/>
      </w:pPr>
      <w:r>
        <w:rPr>
          <w:rStyle w:val="FootnoteReference"/>
        </w:rPr>
        <w:footnoteRef/>
      </w:r>
      <w:r>
        <w:t xml:space="preserve"> </w:t>
      </w:r>
      <w:r>
        <w:t xml:space="preserve">Sanyal 2024, PMID 38847460.</w:t>
      </w:r>
    </w:p>
  </w:footnote>
  <w:footnote w:id="2608">
    <w:p>
      <w:pPr>
        <w:pStyle w:val="FootnoteText"/>
      </w:pPr>
      <w:r>
        <w:rPr>
          <w:rStyle w:val="FootnoteReference"/>
        </w:rPr>
        <w:footnoteRef/>
      </w:r>
      <w:r>
        <w:t xml:space="preserve"> </w:t>
      </w:r>
      <w:r>
        <w:t xml:space="preserve">Clayton 2022, PMID 35147466.</w:t>
      </w:r>
    </w:p>
  </w:footnote>
  <w:footnote w:id="2609">
    <w:p>
      <w:pPr>
        <w:pStyle w:val="FootnoteText"/>
      </w:pPr>
      <w:r>
        <w:rPr>
          <w:rStyle w:val="FootnoteReference"/>
        </w:rPr>
        <w:footnoteRef/>
      </w:r>
      <w:r>
        <w:t xml:space="preserve"> </w:t>
      </w:r>
      <w:r>
        <w:t xml:space="preserve">Edelman 2006, PMID 17003291.</w:t>
      </w:r>
    </w:p>
  </w:footnote>
  <w:footnote w:id="2610">
    <w:p>
      <w:pPr>
        <w:pStyle w:val="FootnoteText"/>
      </w:pPr>
      <w:r>
        <w:rPr>
          <w:rStyle w:val="FootnoteReference"/>
        </w:rPr>
        <w:footnoteRef/>
      </w:r>
      <w:r>
        <w:t xml:space="preserve"> </w:t>
      </w:r>
      <w:r>
        <w:t xml:space="preserve">Sridharan 2026, PMID 39924461.</w:t>
      </w:r>
    </w:p>
  </w:footnote>
  <w:footnote w:id="2611">
    <w:p>
      <w:pPr>
        <w:pStyle w:val="FootnoteText"/>
      </w:pPr>
      <w:r>
        <w:rPr>
          <w:rStyle w:val="FootnoteReference"/>
        </w:rPr>
        <w:footnoteRef/>
      </w:r>
      <w:r>
        <w:t xml:space="preserve"> </w:t>
      </w:r>
      <w:r>
        <w:t xml:space="preserve">Sodhi 2023, PMID 37796527.</w:t>
      </w:r>
    </w:p>
  </w:footnote>
  <w:footnote w:id="2612">
    <w:p>
      <w:pPr>
        <w:pStyle w:val="FootnoteText"/>
      </w:pPr>
      <w:r>
        <w:rPr>
          <w:rStyle w:val="FootnoteReference"/>
        </w:rPr>
        <w:footnoteRef/>
      </w:r>
      <w:r>
        <w:t xml:space="preserve"> </w:t>
      </w:r>
      <w:r>
        <w:t xml:space="preserve">Chiang 2025, PMID 40499738.</w:t>
      </w:r>
    </w:p>
  </w:footnote>
  <w:footnote w:id="2613">
    <w:p>
      <w:pPr>
        <w:pStyle w:val="FootnoteText"/>
      </w:pPr>
      <w:r>
        <w:rPr>
          <w:rStyle w:val="FootnoteReference"/>
        </w:rPr>
        <w:footnoteRef/>
      </w:r>
      <w:r>
        <w:t xml:space="preserve"> </w:t>
      </w:r>
      <w:r>
        <w:t xml:space="preserve">Crisafulli 2026, PMID 41183330.</w:t>
      </w:r>
    </w:p>
  </w:footnote>
  <w:footnote w:id="2615">
    <w:p>
      <w:pPr>
        <w:pStyle w:val="FootnoteText"/>
      </w:pPr>
      <w:r>
        <w:rPr>
          <w:rStyle w:val="FootnoteReference"/>
        </w:rPr>
        <w:footnoteRef/>
      </w:r>
      <w:r>
        <w:t xml:space="preserve"> </w:t>
      </w:r>
      <w:r>
        <w:t xml:space="preserve">He 2022, PMID 35344001.</w:t>
      </w:r>
    </w:p>
  </w:footnote>
  <w:footnote w:id="2616">
    <w:p>
      <w:pPr>
        <w:pStyle w:val="FootnoteText"/>
      </w:pPr>
      <w:r>
        <w:rPr>
          <w:rStyle w:val="FootnoteReference"/>
        </w:rPr>
        <w:footnoteRef/>
      </w:r>
      <w:r>
        <w:t xml:space="preserve"> </w:t>
      </w:r>
      <w:r>
        <w:t xml:space="preserve">Weghuber 2022, PMID 36322838.</w:t>
      </w:r>
    </w:p>
  </w:footnote>
  <w:footnote w:id="2617">
    <w:p>
      <w:pPr>
        <w:pStyle w:val="FootnoteText"/>
      </w:pPr>
      <w:r>
        <w:rPr>
          <w:rStyle w:val="FootnoteReference"/>
        </w:rPr>
        <w:footnoteRef/>
      </w:r>
      <w:r>
        <w:t xml:space="preserve"> </w:t>
      </w:r>
      <w:r>
        <w:t xml:space="preserve">Wen 2025, PMID 40988099.</w:t>
      </w:r>
    </w:p>
  </w:footnote>
  <w:footnote w:id="2619">
    <w:p>
      <w:pPr>
        <w:pStyle w:val="FootnoteText"/>
      </w:pPr>
      <w:r>
        <w:rPr>
          <w:rStyle w:val="FootnoteReference"/>
        </w:rPr>
        <w:footnoteRef/>
      </w:r>
      <w:r>
        <w:t xml:space="preserve"> </w:t>
      </w:r>
      <w:r>
        <w:t xml:space="preserve">Hegedüs 2018, PMID 29279300.</w:t>
      </w:r>
    </w:p>
  </w:footnote>
  <w:footnote w:id="2621">
    <w:p>
      <w:pPr>
        <w:pStyle w:val="FootnoteText"/>
      </w:pPr>
      <w:r>
        <w:rPr>
          <w:rStyle w:val="FootnoteReference"/>
        </w:rPr>
        <w:footnoteRef/>
      </w:r>
      <w:r>
        <w:t xml:space="preserve"> </w:t>
      </w:r>
      <w:r>
        <w:t xml:space="preserve">Marso 2016, PMID 27633186.</w:t>
      </w:r>
    </w:p>
  </w:footnote>
  <w:footnote w:id="2622">
    <w:p>
      <w:pPr>
        <w:pStyle w:val="FootnoteText"/>
      </w:pPr>
      <w:r>
        <w:rPr>
          <w:rStyle w:val="FootnoteReference"/>
        </w:rPr>
        <w:footnoteRef/>
      </w:r>
      <w:r>
        <w:t xml:space="preserve"> </w:t>
      </w:r>
      <w:r>
        <w:t xml:space="preserve">Natividade 2025, PMID 40810985.</w:t>
      </w:r>
    </w:p>
  </w:footnote>
  <w:footnote w:id="2623">
    <w:p>
      <w:pPr>
        <w:pStyle w:val="FootnoteText"/>
      </w:pPr>
      <w:r>
        <w:rPr>
          <w:rStyle w:val="FootnoteReference"/>
        </w:rPr>
        <w:footnoteRef/>
      </w:r>
      <w:r>
        <w:t xml:space="preserve"> </w:t>
      </w:r>
      <w:r>
        <w:t xml:space="preserve">Hathaway 2024, PMID 38958939.</w:t>
      </w:r>
    </w:p>
  </w:footnote>
  <w:footnote w:id="2624">
    <w:p>
      <w:pPr>
        <w:pStyle w:val="FootnoteText"/>
      </w:pPr>
      <w:r>
        <w:rPr>
          <w:rStyle w:val="FootnoteReference"/>
        </w:rPr>
        <w:footnoteRef/>
      </w:r>
      <w:r>
        <w:t xml:space="preserve"> </w:t>
      </w:r>
      <w:r>
        <w:t xml:space="preserve">Simonsen 2025, PMID 40098249.</w:t>
      </w:r>
    </w:p>
  </w:footnote>
  <w:footnote w:id="2625">
    <w:p>
      <w:pPr>
        <w:pStyle w:val="FootnoteText"/>
      </w:pPr>
      <w:r>
        <w:rPr>
          <w:rStyle w:val="FootnoteReference"/>
        </w:rPr>
        <w:footnoteRef/>
      </w:r>
      <w:r>
        <w:t xml:space="preserve"> </w:t>
      </w:r>
      <w:r>
        <w:t xml:space="preserve">Wang 2025, PMID 40788646.</w:t>
      </w:r>
    </w:p>
  </w:footnote>
  <w:footnote w:id="2626">
    <w:p>
      <w:pPr>
        <w:pStyle w:val="FootnoteText"/>
      </w:pPr>
      <w:r>
        <w:rPr>
          <w:rStyle w:val="FootnoteReference"/>
        </w:rPr>
        <w:footnoteRef/>
      </w:r>
      <w:r>
        <w:t xml:space="preserve"> </w:t>
      </w:r>
      <w:r>
        <w:t xml:space="preserve">Chou 2025, PMID 39491755.</w:t>
      </w:r>
    </w:p>
  </w:footnote>
  <w:footnote w:id="2627">
    <w:p>
      <w:pPr>
        <w:pStyle w:val="FootnoteText"/>
      </w:pPr>
      <w:r>
        <w:rPr>
          <w:rStyle w:val="FootnoteReference"/>
        </w:rPr>
        <w:footnoteRef/>
      </w:r>
      <w:r>
        <w:t xml:space="preserve"> </w:t>
      </w:r>
      <w:r>
        <w:t xml:space="preserve">Liu 2026, PMID 41475544.</w:t>
      </w:r>
    </w:p>
  </w:footnote>
  <w:footnote w:id="2629">
    <w:p>
      <w:pPr>
        <w:pStyle w:val="FootnoteText"/>
      </w:pPr>
      <w:r>
        <w:rPr>
          <w:rStyle w:val="FootnoteReference"/>
        </w:rPr>
        <w:footnoteRef/>
      </w:r>
      <w:r>
        <w:t xml:space="preserve"> </w:t>
      </w:r>
      <w:r>
        <w:t xml:space="preserve">Marso 2016, PMID 27633186.</w:t>
      </w:r>
    </w:p>
  </w:footnote>
  <w:footnote w:id="2630">
    <w:p>
      <w:pPr>
        <w:pStyle w:val="FootnoteText"/>
      </w:pPr>
      <w:r>
        <w:rPr>
          <w:rStyle w:val="FootnoteReference"/>
        </w:rPr>
        <w:footnoteRef/>
      </w:r>
      <w:r>
        <w:t xml:space="preserve"> </w:t>
      </w:r>
      <w:r>
        <w:t xml:space="preserve">Bellido 2026, PMID 42810372.</w:t>
      </w:r>
    </w:p>
  </w:footnote>
  <w:footnote w:id="2631">
    <w:p>
      <w:pPr>
        <w:pStyle w:val="FootnoteText"/>
      </w:pPr>
      <w:r>
        <w:rPr>
          <w:rStyle w:val="FootnoteReference"/>
        </w:rPr>
        <w:footnoteRef/>
      </w:r>
      <w:r>
        <w:t xml:space="preserve"> </w:t>
      </w:r>
      <w:r>
        <w:t xml:space="preserve">Liu 2007, PMID 17227934.</w:t>
      </w:r>
    </w:p>
  </w:footnote>
  <w:footnote w:id="2632">
    <w:p>
      <w:pPr>
        <w:pStyle w:val="FootnoteText"/>
      </w:pPr>
      <w:r>
        <w:rPr>
          <w:rStyle w:val="FootnoteReference"/>
        </w:rPr>
        <w:footnoteRef/>
      </w:r>
      <w:r>
        <w:t xml:space="preserve"> </w:t>
      </w:r>
      <w:r>
        <w:t xml:space="preserve">Adunsky 2011, PMID 21067829.</w:t>
      </w:r>
    </w:p>
  </w:footnote>
  <w:footnote w:id="2633">
    <w:p>
      <w:pPr>
        <w:pStyle w:val="FootnoteText"/>
      </w:pPr>
      <w:r>
        <w:rPr>
          <w:rStyle w:val="FootnoteReference"/>
        </w:rPr>
        <w:footnoteRef/>
      </w:r>
      <w:r>
        <w:t xml:space="preserve"> </w:t>
      </w:r>
      <w:r>
        <w:t xml:space="preserve">White 2017, PMID 27977473.</w:t>
      </w:r>
    </w:p>
  </w:footnote>
  <w:footnote w:id="2634">
    <w:p>
      <w:pPr>
        <w:pStyle w:val="FootnoteText"/>
      </w:pPr>
      <w:r>
        <w:rPr>
          <w:rStyle w:val="FootnoteReference"/>
        </w:rPr>
        <w:footnoteRef/>
      </w:r>
      <w:r>
        <w:t xml:space="preserve"> </w:t>
      </w:r>
      <w:r>
        <w:t xml:space="preserve">Lissy 2021, PMID 32961034.</w:t>
      </w:r>
    </w:p>
  </w:footnote>
  <w:footnote w:id="2635">
    <w:p>
      <w:pPr>
        <w:pStyle w:val="FootnoteText"/>
      </w:pPr>
      <w:r>
        <w:rPr>
          <w:rStyle w:val="FootnoteReference"/>
        </w:rPr>
        <w:footnoteRef/>
      </w:r>
      <w:r>
        <w:t xml:space="preserve"> </w:t>
      </w:r>
      <w:r>
        <w:t xml:space="preserve">Mayer-Hubner 1996, PMID 8596357.</w:t>
      </w:r>
    </w:p>
  </w:footnote>
  <w:footnote w:id="2636">
    <w:p>
      <w:pPr>
        <w:pStyle w:val="FootnoteText"/>
      </w:pPr>
      <w:r>
        <w:rPr>
          <w:rStyle w:val="FootnoteReference"/>
        </w:rPr>
        <w:footnoteRef/>
      </w:r>
      <w:r>
        <w:t xml:space="preserve"> </w:t>
      </w:r>
      <w:r>
        <w:t xml:space="preserve">Nelson 2012, PMID 23121206.</w:t>
      </w:r>
    </w:p>
  </w:footnote>
  <w:footnote w:id="2638">
    <w:p>
      <w:pPr>
        <w:pStyle w:val="FootnoteText"/>
      </w:pPr>
      <w:r>
        <w:rPr>
          <w:rStyle w:val="FootnoteReference"/>
        </w:rPr>
        <w:footnoteRef/>
      </w:r>
      <w:r>
        <w:t xml:space="preserve"> </w:t>
      </w:r>
      <w:r>
        <w:t xml:space="preserve">Han 2026, PMID 41852258.</w:t>
      </w:r>
    </w:p>
  </w:footnote>
  <w:footnote w:id="2639">
    <w:p>
      <w:pPr>
        <w:pStyle w:val="FootnoteText"/>
      </w:pPr>
      <w:r>
        <w:rPr>
          <w:rStyle w:val="FootnoteReference"/>
        </w:rPr>
        <w:footnoteRef/>
      </w:r>
      <w:r>
        <w:t xml:space="preserve"> </w:t>
      </w:r>
      <w:r>
        <w:t xml:space="preserve">Ueda 2024, PMID 39226030.</w:t>
      </w:r>
    </w:p>
  </w:footnote>
  <w:footnote w:id="2640">
    <w:p>
      <w:pPr>
        <w:pStyle w:val="FootnoteText"/>
      </w:pPr>
      <w:r>
        <w:rPr>
          <w:rStyle w:val="FootnoteReference"/>
        </w:rPr>
        <w:footnoteRef/>
      </w:r>
      <w:r>
        <w:t xml:space="preserve"> </w:t>
      </w:r>
      <w:r>
        <w:t xml:space="preserve">Wadden 2026, PMID 41537305.</w:t>
      </w:r>
    </w:p>
  </w:footnote>
  <w:footnote w:id="2641">
    <w:p>
      <w:pPr>
        <w:pStyle w:val="FootnoteText"/>
      </w:pPr>
      <w:r>
        <w:rPr>
          <w:rStyle w:val="FootnoteReference"/>
        </w:rPr>
        <w:footnoteRef/>
      </w:r>
      <w:r>
        <w:t xml:space="preserve"> </w:t>
      </w:r>
      <w:r>
        <w:t xml:space="preserve">Silva 2026, PMID 42115753.</w:t>
      </w:r>
    </w:p>
  </w:footnote>
  <w:footnote w:id="2643">
    <w:p>
      <w:pPr>
        <w:pStyle w:val="FootnoteText"/>
      </w:pPr>
      <w:r>
        <w:rPr>
          <w:rStyle w:val="FootnoteReference"/>
        </w:rPr>
        <w:footnoteRef/>
      </w:r>
      <w:r>
        <w:t xml:space="preserve"> </w:t>
      </w:r>
      <w:r>
        <w:t xml:space="preserve">Sridharan 2026, PMID 39924461.</w:t>
      </w:r>
    </w:p>
  </w:footnote>
  <w:footnote w:id="2644">
    <w:p>
      <w:pPr>
        <w:pStyle w:val="FootnoteText"/>
      </w:pPr>
      <w:r>
        <w:rPr>
          <w:rStyle w:val="FootnoteReference"/>
        </w:rPr>
        <w:footnoteRef/>
      </w:r>
      <w:r>
        <w:t xml:space="preserve"> </w:t>
      </w:r>
      <w:r>
        <w:t xml:space="preserve">Kanti 2021, PMID 34058738.</w:t>
      </w:r>
    </w:p>
  </w:footnote>
  <w:footnote w:id="2645">
    <w:p>
      <w:pPr>
        <w:pStyle w:val="FootnoteText"/>
      </w:pPr>
      <w:r>
        <w:rPr>
          <w:rStyle w:val="FootnoteReference"/>
        </w:rPr>
        <w:footnoteRef/>
      </w:r>
      <w:r>
        <w:t xml:space="preserve"> </w:t>
      </w:r>
      <w:r>
        <w:t xml:space="preserve">Clayton 2022, PMID 35147466.</w:t>
      </w:r>
    </w:p>
  </w:footnote>
  <w:footnote w:id="2646">
    <w:p>
      <w:pPr>
        <w:pStyle w:val="FootnoteText"/>
      </w:pPr>
      <w:r>
        <w:rPr>
          <w:rStyle w:val="FootnoteReference"/>
        </w:rPr>
        <w:footnoteRef/>
      </w:r>
      <w:r>
        <w:t xml:space="preserve"> </w:t>
      </w:r>
      <w:r>
        <w:t xml:space="preserve">Burian 2019, PMID 31119650.</w:t>
      </w:r>
    </w:p>
  </w:footnote>
  <w:footnote w:id="2647">
    <w:p>
      <w:pPr>
        <w:pStyle w:val="FootnoteText"/>
      </w:pPr>
      <w:r>
        <w:rPr>
          <w:rStyle w:val="FootnoteReference"/>
        </w:rPr>
        <w:footnoteRef/>
      </w:r>
      <w:r>
        <w:t xml:space="preserve"> </w:t>
      </w:r>
      <w:r>
        <w:t xml:space="preserve">Gupta 2026, PMID 42930571.</w:t>
      </w:r>
    </w:p>
  </w:footnote>
  <w:footnote w:id="2648">
    <w:p>
      <w:pPr>
        <w:pStyle w:val="FootnoteText"/>
      </w:pPr>
      <w:r>
        <w:rPr>
          <w:rStyle w:val="FootnoteReference"/>
        </w:rPr>
        <w:footnoteRef/>
      </w:r>
      <w:r>
        <w:t xml:space="preserve"> </w:t>
      </w:r>
      <w:r>
        <w:t xml:space="preserve">Bellido 2026, PMID 42810372.</w:t>
      </w:r>
    </w:p>
  </w:footnote>
  <w:footnote w:id="2649">
    <w:p>
      <w:pPr>
        <w:pStyle w:val="FootnoteText"/>
      </w:pPr>
      <w:r>
        <w:rPr>
          <w:rStyle w:val="FootnoteReference"/>
        </w:rPr>
        <w:footnoteRef/>
      </w:r>
      <w:r>
        <w:t xml:space="preserve"> </w:t>
      </w:r>
      <w:r>
        <w:t xml:space="preserve">Dolkar 2018, PMID 29665030.</w:t>
      </w:r>
    </w:p>
  </w:footnote>
  <w:footnote w:id="2651">
    <w:p>
      <w:pPr>
        <w:pStyle w:val="FootnoteText"/>
      </w:pPr>
      <w:r>
        <w:rPr>
          <w:rStyle w:val="FootnoteReference"/>
        </w:rPr>
        <w:footnoteRef/>
      </w:r>
      <w:r>
        <w:t xml:space="preserve"> </w:t>
      </w:r>
      <w:r>
        <w:t xml:space="preserve">Arimura 2016, PMID 27020037.</w:t>
      </w:r>
    </w:p>
  </w:footnote>
  <w:footnote w:id="2652">
    <w:p>
      <w:pPr>
        <w:pStyle w:val="FootnoteText"/>
      </w:pPr>
      <w:r>
        <w:rPr>
          <w:rStyle w:val="FootnoteReference"/>
        </w:rPr>
        <w:footnoteRef/>
      </w:r>
      <w:r>
        <w:t xml:space="preserve"> </w:t>
      </w:r>
      <w:r>
        <w:t xml:space="preserve">MacLean 2014, PMID 24762108.</w:t>
      </w:r>
    </w:p>
  </w:footnote>
  <w:footnote w:id="2653">
    <w:p>
      <w:pPr>
        <w:pStyle w:val="FootnoteText"/>
      </w:pPr>
      <w:r>
        <w:rPr>
          <w:rStyle w:val="FootnoteReference"/>
        </w:rPr>
        <w:footnoteRef/>
      </w:r>
      <w:r>
        <w:t xml:space="preserve"> </w:t>
      </w:r>
      <w:r>
        <w:t xml:space="preserve">Liu 2007, PMID 17227934.</w:t>
      </w:r>
    </w:p>
  </w:footnote>
  <w:footnote w:id="2655">
    <w:p>
      <w:pPr>
        <w:pStyle w:val="FootnoteText"/>
      </w:pPr>
      <w:r>
        <w:rPr>
          <w:rStyle w:val="FootnoteReference"/>
        </w:rPr>
        <w:footnoteRef/>
      </w:r>
      <w:r>
        <w:t xml:space="preserve"> </w:t>
      </w:r>
      <w:r>
        <w:t xml:space="preserve">Chernausek 2007, PMID 17192294.</w:t>
      </w:r>
    </w:p>
  </w:footnote>
  <w:footnote w:id="2656">
    <w:p>
      <w:pPr>
        <w:pStyle w:val="FootnoteText"/>
      </w:pPr>
      <w:r>
        <w:rPr>
          <w:rStyle w:val="FootnoteReference"/>
        </w:rPr>
        <w:footnoteRef/>
      </w:r>
      <w:r>
        <w:t xml:space="preserve"> </w:t>
      </w:r>
      <w:r>
        <w:t xml:space="preserve">Edelman 2006, PMID 17003291.</w:t>
      </w:r>
    </w:p>
  </w:footnote>
  <w:footnote w:id="2657">
    <w:p>
      <w:pPr>
        <w:pStyle w:val="FootnoteText"/>
      </w:pPr>
      <w:r>
        <w:rPr>
          <w:rStyle w:val="FootnoteReference"/>
        </w:rPr>
        <w:footnoteRef/>
      </w:r>
      <w:r>
        <w:t xml:space="preserve"> </w:t>
      </w:r>
      <w:r>
        <w:t xml:space="preserve">Kendall 2005, PMID 15855571.</w:t>
      </w:r>
    </w:p>
  </w:footnote>
  <w:footnote w:id="2658">
    <w:p>
      <w:pPr>
        <w:pStyle w:val="FootnoteText"/>
      </w:pPr>
      <w:r>
        <w:rPr>
          <w:rStyle w:val="FootnoteReference"/>
        </w:rPr>
        <w:footnoteRef/>
      </w:r>
      <w:r>
        <w:t xml:space="preserve"> </w:t>
      </w:r>
      <w:r>
        <w:t xml:space="preserve">Nass 2008, PMID 18981485.</w:t>
      </w:r>
    </w:p>
  </w:footnote>
  <w:footnote w:id="2659">
    <w:p>
      <w:pPr>
        <w:pStyle w:val="FootnoteText"/>
      </w:pPr>
      <w:r>
        <w:rPr>
          <w:rStyle w:val="FootnoteReference"/>
        </w:rPr>
        <w:footnoteRef/>
      </w:r>
      <w:r>
        <w:t xml:space="preserve"> </w:t>
      </w:r>
      <w:r>
        <w:t xml:space="preserve">Liu 2007, PMID 17227934.</w:t>
      </w:r>
    </w:p>
  </w:footnote>
  <w:footnote w:id="2663">
    <w:p>
      <w:pPr>
        <w:pStyle w:val="FootnoteText"/>
      </w:pPr>
      <w:r>
        <w:rPr>
          <w:rStyle w:val="FootnoteReference"/>
        </w:rPr>
        <w:footnoteRef/>
      </w:r>
      <w:r>
        <w:t xml:space="preserve"> </w:t>
      </w:r>
      <w:r>
        <w:t xml:space="preserve">Silverii 2025, PMID 40437949.</w:t>
      </w:r>
    </w:p>
  </w:footnote>
  <w:footnote w:id="2665">
    <w:p>
      <w:pPr>
        <w:pStyle w:val="FootnoteText"/>
      </w:pPr>
      <w:r>
        <w:rPr>
          <w:rStyle w:val="FootnoteReference"/>
        </w:rPr>
        <w:footnoteRef/>
      </w:r>
      <w:r>
        <w:t xml:space="preserve"> </w:t>
      </w:r>
      <w:r>
        <w:t xml:space="preserve">Renehan 2004, PMID 15110491.</w:t>
      </w:r>
    </w:p>
  </w:footnote>
  <w:footnote w:id="2666">
    <w:p>
      <w:pPr>
        <w:pStyle w:val="FootnoteText"/>
      </w:pPr>
      <w:r>
        <w:rPr>
          <w:rStyle w:val="FootnoteReference"/>
        </w:rPr>
        <w:footnoteRef/>
      </w:r>
      <w:r>
        <w:t xml:space="preserve"> </w:t>
      </w:r>
      <w:r>
        <w:t xml:space="preserve">Murphy 2020, PMID 32169310.</w:t>
      </w:r>
    </w:p>
  </w:footnote>
  <w:footnote w:id="2667">
    <w:p>
      <w:pPr>
        <w:pStyle w:val="FootnoteText"/>
      </w:pPr>
      <w:r>
        <w:rPr>
          <w:rStyle w:val="FootnoteReference"/>
        </w:rPr>
        <w:footnoteRef/>
      </w:r>
      <w:r>
        <w:t xml:space="preserve"> </w:t>
      </w:r>
      <w:r>
        <w:t xml:space="preserve">Murphy 2020, PMID 31884074.</w:t>
      </w:r>
    </w:p>
  </w:footnote>
  <w:footnote w:id="2668">
    <w:p>
      <w:pPr>
        <w:pStyle w:val="FootnoteText"/>
      </w:pPr>
      <w:r>
        <w:rPr>
          <w:rStyle w:val="FootnoteReference"/>
        </w:rPr>
        <w:footnoteRef/>
      </w:r>
      <w:r>
        <w:t xml:space="preserve"> </w:t>
      </w:r>
      <w:r>
        <w:t xml:space="preserve">Murphy 2020, PMID 32169310.</w:t>
      </w:r>
    </w:p>
  </w:footnote>
  <w:footnote w:id="2669">
    <w:p>
      <w:pPr>
        <w:pStyle w:val="FootnoteText"/>
      </w:pPr>
      <w:r>
        <w:rPr>
          <w:rStyle w:val="FootnoteReference"/>
        </w:rPr>
        <w:footnoteRef/>
      </w:r>
      <w:r>
        <w:t xml:space="preserve"> </w:t>
      </w:r>
      <w:r>
        <w:t xml:space="preserve">Dal 2018, PMID 29590449.</w:t>
      </w:r>
    </w:p>
  </w:footnote>
  <w:footnote w:id="2670">
    <w:p>
      <w:pPr>
        <w:pStyle w:val="FootnoteText"/>
      </w:pPr>
      <w:r>
        <w:rPr>
          <w:rStyle w:val="FootnoteReference"/>
        </w:rPr>
        <w:footnoteRef/>
      </w:r>
      <w:r>
        <w:t xml:space="preserve"> </w:t>
      </w:r>
      <w:r>
        <w:t xml:space="preserve">Guevara-Aguirre 2011, PMID 21325617.</w:t>
      </w:r>
    </w:p>
  </w:footnote>
  <w:footnote w:id="2671">
    <w:p>
      <w:pPr>
        <w:pStyle w:val="FootnoteText"/>
      </w:pPr>
      <w:r>
        <w:rPr>
          <w:rStyle w:val="FootnoteReference"/>
        </w:rPr>
        <w:footnoteRef/>
      </w:r>
      <w:r>
        <w:t xml:space="preserve"> </w:t>
      </w:r>
      <w:r>
        <w:t xml:space="preserve">Swerdlow 2017, PMID 28187225.</w:t>
      </w:r>
    </w:p>
  </w:footnote>
  <w:footnote w:id="2672">
    <w:p>
      <w:pPr>
        <w:pStyle w:val="FootnoteText"/>
      </w:pPr>
      <w:r>
        <w:rPr>
          <w:rStyle w:val="FootnoteReference"/>
        </w:rPr>
        <w:footnoteRef/>
      </w:r>
      <w:r>
        <w:t xml:space="preserve"> </w:t>
      </w:r>
      <w:r>
        <w:t xml:space="preserve">Child 2015, PMID 25810462.</w:t>
      </w:r>
    </w:p>
  </w:footnote>
  <w:footnote w:id="2673">
    <w:p>
      <w:pPr>
        <w:pStyle w:val="FootnoteText"/>
      </w:pPr>
      <w:r>
        <w:rPr>
          <w:rStyle w:val="FootnoteReference"/>
        </w:rPr>
        <w:footnoteRef/>
      </w:r>
      <w:r>
        <w:t xml:space="preserve"> </w:t>
      </w:r>
      <w:r>
        <w:t xml:space="preserve">Nass 2008, PMID 18981485.</w:t>
      </w:r>
    </w:p>
  </w:footnote>
  <w:footnote w:id="2675">
    <w:p>
      <w:pPr>
        <w:pStyle w:val="FootnoteText"/>
      </w:pPr>
      <w:r>
        <w:rPr>
          <w:rStyle w:val="FootnoteReference"/>
        </w:rPr>
        <w:footnoteRef/>
      </w:r>
      <w:r>
        <w:t xml:space="preserve"> </w:t>
      </w:r>
      <w:r>
        <w:t xml:space="preserve">Hsieh 2017, PMID 27847966.</w:t>
      </w:r>
    </w:p>
  </w:footnote>
  <w:footnote w:id="2676">
    <w:p>
      <w:pPr>
        <w:pStyle w:val="FootnoteText"/>
      </w:pPr>
      <w:r>
        <w:rPr>
          <w:rStyle w:val="FootnoteReference"/>
        </w:rPr>
        <w:footnoteRef/>
      </w:r>
      <w:r>
        <w:t xml:space="preserve"> </w:t>
      </w:r>
      <w:r>
        <w:t xml:space="preserve">Sikiric 2025, PMID 40573323.</w:t>
      </w:r>
    </w:p>
  </w:footnote>
  <w:footnote w:id="2677">
    <w:p>
      <w:pPr>
        <w:pStyle w:val="FootnoteText"/>
      </w:pPr>
      <w:r>
        <w:rPr>
          <w:rStyle w:val="FootnoteReference"/>
        </w:rPr>
        <w:footnoteRef/>
      </w:r>
      <w:r>
        <w:t xml:space="preserve"> </w:t>
      </w:r>
      <w:r>
        <w:t xml:space="preserve">Wang 2016, PMID 27596300.</w:t>
      </w:r>
    </w:p>
  </w:footnote>
  <w:footnote w:id="2678">
    <w:p>
      <w:pPr>
        <w:pStyle w:val="FootnoteText"/>
      </w:pPr>
      <w:r>
        <w:rPr>
          <w:rStyle w:val="FootnoteReference"/>
        </w:rPr>
        <w:footnoteRef/>
      </w:r>
      <w:r>
        <w:t xml:space="preserve"> </w:t>
      </w:r>
      <w:r>
        <w:t xml:space="preserve">Larsson 2007, PMID 17495241.</w:t>
      </w:r>
    </w:p>
  </w:footnote>
  <w:footnote w:id="2679">
    <w:p>
      <w:pPr>
        <w:pStyle w:val="FootnoteText"/>
      </w:pPr>
      <w:r>
        <w:rPr>
          <w:rStyle w:val="FootnoteReference"/>
        </w:rPr>
        <w:footnoteRef/>
      </w:r>
      <w:r>
        <w:t xml:space="preserve"> </w:t>
      </w:r>
      <w:r>
        <w:t xml:space="preserve">Moreno Ayala 2020, PMID 32444831.</w:t>
      </w:r>
    </w:p>
  </w:footnote>
  <w:footnote w:id="2680">
    <w:p>
      <w:pPr>
        <w:pStyle w:val="FootnoteText"/>
      </w:pPr>
      <w:r>
        <w:rPr>
          <w:rStyle w:val="FootnoteReference"/>
        </w:rPr>
        <w:footnoteRef/>
      </w:r>
      <w:r>
        <w:t xml:space="preserve"> </w:t>
      </w:r>
      <w:r>
        <w:t xml:space="preserve">Al-Dulaimi 2025, PMID 40908429.</w:t>
      </w:r>
    </w:p>
  </w:footnote>
  <w:footnote w:id="2681">
    <w:p>
      <w:pPr>
        <w:pStyle w:val="FootnoteText"/>
      </w:pPr>
      <w:r>
        <w:rPr>
          <w:rStyle w:val="FootnoteReference"/>
        </w:rPr>
        <w:footnoteRef/>
      </w:r>
      <w:r>
        <w:t xml:space="preserve"> </w:t>
      </w:r>
      <w:r>
        <w:t xml:space="preserve">Anisimov 2003, PMID 14501183.</w:t>
      </w:r>
    </w:p>
  </w:footnote>
  <w:footnote w:id="2682">
    <w:p>
      <w:pPr>
        <w:pStyle w:val="FootnoteText"/>
      </w:pPr>
      <w:r>
        <w:rPr>
          <w:rStyle w:val="FootnoteReference"/>
        </w:rPr>
        <w:footnoteRef/>
      </w:r>
      <w:r>
        <w:t xml:space="preserve"> </w:t>
      </w:r>
      <w:r>
        <w:t xml:space="preserve">Chen 2018, PMID 29843147.</w:t>
      </w:r>
    </w:p>
  </w:footnote>
  <w:footnote w:id="2683">
    <w:p>
      <w:pPr>
        <w:pStyle w:val="FootnoteText"/>
      </w:pPr>
      <w:r>
        <w:rPr>
          <w:rStyle w:val="FootnoteReference"/>
        </w:rPr>
        <w:footnoteRef/>
      </w:r>
      <w:r>
        <w:t xml:space="preserve"> </w:t>
      </w:r>
      <w:r>
        <w:t xml:space="preserve">Wright 2015, PMID 25649658.</w:t>
      </w:r>
    </w:p>
  </w:footnote>
  <w:footnote w:id="2685">
    <w:p>
      <w:pPr>
        <w:pStyle w:val="FootnoteText"/>
      </w:pPr>
      <w:r>
        <w:rPr>
          <w:rStyle w:val="FootnoteReference"/>
        </w:rPr>
        <w:footnoteRef/>
      </w:r>
      <w:r>
        <w:t xml:space="preserve"> </w:t>
      </w:r>
      <w:r>
        <w:t xml:space="preserve">Habbema 2017, PMID 28266027.</w:t>
      </w:r>
    </w:p>
  </w:footnote>
  <w:footnote w:id="2686">
    <w:p>
      <w:pPr>
        <w:pStyle w:val="FootnoteText"/>
      </w:pPr>
      <w:r>
        <w:rPr>
          <w:rStyle w:val="FootnoteReference"/>
        </w:rPr>
        <w:footnoteRef/>
      </w:r>
      <w:r>
        <w:t xml:space="preserve"> </w:t>
      </w:r>
      <w:r>
        <w:t xml:space="preserve">Burian 2019, PMID 31119650.</w:t>
      </w:r>
    </w:p>
  </w:footnote>
  <w:footnote w:id="2687">
    <w:p>
      <w:pPr>
        <w:pStyle w:val="FootnoteText"/>
      </w:pPr>
      <w:r>
        <w:rPr>
          <w:rStyle w:val="FootnoteReference"/>
        </w:rPr>
        <w:footnoteRef/>
      </w:r>
      <w:r>
        <w:t xml:space="preserve"> </w:t>
      </w:r>
      <w:r>
        <w:t xml:space="preserve">Arisi 2021, PMID 33721252.</w:t>
      </w:r>
    </w:p>
  </w:footnote>
  <w:footnote w:id="2688">
    <w:p>
      <w:pPr>
        <w:pStyle w:val="FootnoteText"/>
      </w:pPr>
      <w:r>
        <w:rPr>
          <w:rStyle w:val="FootnoteReference"/>
        </w:rPr>
        <w:footnoteRef/>
      </w:r>
      <w:r>
        <w:t xml:space="preserve"> </w:t>
      </w:r>
      <w:r>
        <w:t xml:space="preserve">Kanti 2021, PMID 34058738.</w:t>
      </w:r>
    </w:p>
  </w:footnote>
  <w:footnote w:id="2690">
    <w:p>
      <w:pPr>
        <w:pStyle w:val="FootnoteText"/>
      </w:pPr>
      <w:r>
        <w:rPr>
          <w:rStyle w:val="FootnoteReference"/>
        </w:rPr>
        <w:footnoteRef/>
      </w:r>
      <w:r>
        <w:t xml:space="preserve"> </w:t>
      </w:r>
      <w:r>
        <w:t xml:space="preserve">Bjerre Knudsen 2010, PMID 20203154.</w:t>
      </w:r>
    </w:p>
  </w:footnote>
  <w:footnote w:id="2691">
    <w:p>
      <w:pPr>
        <w:pStyle w:val="FootnoteText"/>
      </w:pPr>
      <w:r>
        <w:rPr>
          <w:rStyle w:val="FootnoteReference"/>
        </w:rPr>
        <w:footnoteRef/>
      </w:r>
      <w:r>
        <w:t xml:space="preserve"> </w:t>
      </w:r>
      <w:r>
        <w:t xml:space="preserve">Gier 2012, PMID 22031513.</w:t>
      </w:r>
    </w:p>
  </w:footnote>
  <w:footnote w:id="2692">
    <w:p>
      <w:pPr>
        <w:pStyle w:val="FootnoteText"/>
      </w:pPr>
      <w:r>
        <w:rPr>
          <w:rStyle w:val="FootnoteReference"/>
        </w:rPr>
        <w:footnoteRef/>
      </w:r>
      <w:r>
        <w:t xml:space="preserve"> </w:t>
      </w:r>
      <w:r>
        <w:t xml:space="preserve">Hegedüs 2018, PMID 29279300.</w:t>
      </w:r>
    </w:p>
  </w:footnote>
  <w:footnote w:id="2693">
    <w:p>
      <w:pPr>
        <w:pStyle w:val="FootnoteText"/>
      </w:pPr>
      <w:r>
        <w:rPr>
          <w:rStyle w:val="FootnoteReference"/>
        </w:rPr>
        <w:footnoteRef/>
      </w:r>
      <w:r>
        <w:t xml:space="preserve"> </w:t>
      </w:r>
      <w:r>
        <w:t xml:space="preserve">Bezin 2023, PMID 36356111.</w:t>
      </w:r>
    </w:p>
  </w:footnote>
  <w:footnote w:id="2694">
    <w:p>
      <w:pPr>
        <w:pStyle w:val="FootnoteText"/>
      </w:pPr>
      <w:r>
        <w:rPr>
          <w:rStyle w:val="FootnoteReference"/>
        </w:rPr>
        <w:footnoteRef/>
      </w:r>
      <w:r>
        <w:t xml:space="preserve"> </w:t>
      </w:r>
      <w:r>
        <w:t xml:space="preserve">Pasternak 2024, PMID 38683947.</w:t>
      </w:r>
    </w:p>
  </w:footnote>
  <w:footnote w:id="2695">
    <w:p>
      <w:pPr>
        <w:pStyle w:val="FootnoteText"/>
      </w:pPr>
      <w:r>
        <w:rPr>
          <w:rStyle w:val="FootnoteReference"/>
        </w:rPr>
        <w:footnoteRef/>
      </w:r>
      <w:r>
        <w:t xml:space="preserve"> </w:t>
      </w:r>
      <w:r>
        <w:t xml:space="preserve">Silverii 2025, PMID 40437949.</w:t>
      </w:r>
    </w:p>
  </w:footnote>
  <w:footnote w:id="2697">
    <w:p>
      <w:pPr>
        <w:pStyle w:val="FootnoteText"/>
      </w:pPr>
      <w:r>
        <w:rPr>
          <w:rStyle w:val="FootnoteReference"/>
        </w:rPr>
        <w:footnoteRef/>
      </w:r>
      <w:r>
        <w:t xml:space="preserve"> </w:t>
      </w:r>
      <w:r>
        <w:t xml:space="preserve">Wen 2025, PMID 40988099.</w:t>
      </w:r>
    </w:p>
  </w:footnote>
  <w:footnote w:id="2698">
    <w:p>
      <w:pPr>
        <w:pStyle w:val="FootnoteText"/>
      </w:pPr>
      <w:r>
        <w:rPr>
          <w:rStyle w:val="FootnoteReference"/>
        </w:rPr>
        <w:footnoteRef/>
      </w:r>
      <w:r>
        <w:t xml:space="preserve"> </w:t>
      </w:r>
      <w:r>
        <w:t xml:space="preserve">Wang 2024, PMID 38967919.</w:t>
      </w:r>
    </w:p>
  </w:footnote>
  <w:footnote w:id="2699">
    <w:p>
      <w:pPr>
        <w:pStyle w:val="FootnoteText"/>
      </w:pPr>
      <w:r>
        <w:rPr>
          <w:rStyle w:val="FootnoteReference"/>
        </w:rPr>
        <w:footnoteRef/>
      </w:r>
      <w:r>
        <w:t xml:space="preserve"> </w:t>
      </w:r>
      <w:r>
        <w:t xml:space="preserve">Rajan 2026, PMID 42541759.</w:t>
      </w:r>
    </w:p>
  </w:footnote>
  <w:footnote w:id="2704">
    <w:p>
      <w:pPr>
        <w:pStyle w:val="FootnoteText"/>
      </w:pPr>
      <w:r>
        <w:rPr>
          <w:rStyle w:val="FootnoteReference"/>
        </w:rPr>
        <w:footnoteRef/>
      </w:r>
      <w:r>
        <w:t xml:space="preserve"> </w:t>
      </w:r>
      <w:r>
        <w:t xml:space="preserve">Shankar 2014, PMID 24764037.</w:t>
      </w:r>
    </w:p>
  </w:footnote>
  <w:footnote w:id="2706">
    <w:p>
      <w:pPr>
        <w:pStyle w:val="FootnoteText"/>
      </w:pPr>
      <w:r>
        <w:rPr>
          <w:rStyle w:val="FootnoteReference"/>
        </w:rPr>
        <w:footnoteRef/>
      </w:r>
      <w:r>
        <w:t xml:space="preserve"> </w:t>
      </w:r>
      <w:r>
        <w:t xml:space="preserve">Buse 2011, PMID 21450987.</w:t>
      </w:r>
    </w:p>
  </w:footnote>
  <w:footnote w:id="2707">
    <w:p>
      <w:pPr>
        <w:pStyle w:val="FootnoteText"/>
      </w:pPr>
      <w:r>
        <w:rPr>
          <w:rStyle w:val="FootnoteReference"/>
        </w:rPr>
        <w:footnoteRef/>
      </w:r>
      <w:r>
        <w:t xml:space="preserve"> </w:t>
      </w:r>
      <w:r>
        <w:t xml:space="preserve">Mullins 2024, PMID 37700637.</w:t>
      </w:r>
    </w:p>
  </w:footnote>
  <w:footnote w:id="2709">
    <w:p>
      <w:pPr>
        <w:pStyle w:val="FootnoteText"/>
      </w:pPr>
      <w:r>
        <w:rPr>
          <w:rStyle w:val="FootnoteReference"/>
        </w:rPr>
        <w:footnoteRef/>
      </w:r>
      <w:r>
        <w:t xml:space="preserve"> </w:t>
      </w:r>
      <w:r>
        <w:t xml:space="preserve">Taj 2026, PMID 41395692.</w:t>
      </w:r>
    </w:p>
  </w:footnote>
  <w:footnote w:id="2710">
    <w:p>
      <w:pPr>
        <w:pStyle w:val="FootnoteText"/>
      </w:pPr>
      <w:r>
        <w:rPr>
          <w:rStyle w:val="FootnoteReference"/>
        </w:rPr>
        <w:footnoteRef/>
      </w:r>
      <w:r>
        <w:t xml:space="preserve"> </w:t>
      </w:r>
      <w:r>
        <w:t xml:space="preserve">Wysham 2015, PMID 25744115.</w:t>
      </w:r>
    </w:p>
  </w:footnote>
  <w:footnote w:id="2711">
    <w:p>
      <w:pPr>
        <w:pStyle w:val="FootnoteText"/>
      </w:pPr>
      <w:r>
        <w:rPr>
          <w:rStyle w:val="FootnoteReference"/>
        </w:rPr>
        <w:footnoteRef/>
      </w:r>
      <w:r>
        <w:t xml:space="preserve"> </w:t>
      </w:r>
      <w:r>
        <w:t xml:space="preserve">Chen 2021, PMID 33748252.</w:t>
      </w:r>
    </w:p>
  </w:footnote>
  <w:footnote w:id="2713">
    <w:p>
      <w:pPr>
        <w:pStyle w:val="FootnoteText"/>
      </w:pPr>
      <w:r>
        <w:rPr>
          <w:rStyle w:val="FootnoteReference"/>
        </w:rPr>
        <w:footnoteRef/>
      </w:r>
      <w:r>
        <w:t xml:space="preserve"> </w:t>
      </w:r>
      <w:r>
        <w:t xml:space="preserve">Anthony 2024, PMID 38363873.</w:t>
      </w:r>
    </w:p>
  </w:footnote>
  <w:footnote w:id="2714">
    <w:p>
      <w:pPr>
        <w:pStyle w:val="FootnoteText"/>
      </w:pPr>
      <w:r>
        <w:rPr>
          <w:rStyle w:val="FootnoteReference"/>
        </w:rPr>
        <w:footnoteRef/>
      </w:r>
      <w:r>
        <w:t xml:space="preserve"> </w:t>
      </w:r>
      <w:r>
        <w:t xml:space="preserve">Pradhan 2022, PMID 35136902.</w:t>
      </w:r>
    </w:p>
  </w:footnote>
  <w:footnote w:id="2715">
    <w:p>
      <w:pPr>
        <w:pStyle w:val="FootnoteText"/>
      </w:pPr>
      <w:r>
        <w:rPr>
          <w:rStyle w:val="FootnoteReference"/>
        </w:rPr>
        <w:footnoteRef/>
      </w:r>
      <w:r>
        <w:t xml:space="preserve"> </w:t>
      </w:r>
      <w:r>
        <w:t xml:space="preserve">Ornelas 2018, PMID 30350785.</w:t>
      </w:r>
    </w:p>
  </w:footnote>
  <w:footnote w:id="2716">
    <w:p>
      <w:pPr>
        <w:pStyle w:val="FootnoteText"/>
      </w:pPr>
      <w:r>
        <w:rPr>
          <w:rStyle w:val="FootnoteReference"/>
        </w:rPr>
        <w:footnoteRef/>
      </w:r>
      <w:r>
        <w:t xml:space="preserve"> </w:t>
      </w:r>
      <w:r>
        <w:t xml:space="preserve">Shamriz 2019, PMID 31296642.</w:t>
      </w:r>
    </w:p>
  </w:footnote>
  <w:footnote w:id="2717">
    <w:p>
      <w:pPr>
        <w:pStyle w:val="FootnoteText"/>
      </w:pPr>
      <w:r>
        <w:rPr>
          <w:rStyle w:val="FootnoteReference"/>
        </w:rPr>
        <w:footnoteRef/>
      </w:r>
      <w:r>
        <w:t xml:space="preserve"> </w:t>
      </w:r>
      <w:r>
        <w:t xml:space="preserve">He 2023, PMID 38186543.</w:t>
      </w:r>
    </w:p>
  </w:footnote>
  <w:footnote w:id="2718">
    <w:p>
      <w:pPr>
        <w:pStyle w:val="FootnoteText"/>
      </w:pPr>
      <w:r>
        <w:rPr>
          <w:rStyle w:val="FootnoteReference"/>
        </w:rPr>
        <w:footnoteRef/>
      </w:r>
      <w:r>
        <w:t xml:space="preserve"> </w:t>
      </w:r>
      <w:r>
        <w:t xml:space="preserve">Kraft 2026, PMID 42194666.</w:t>
      </w:r>
    </w:p>
  </w:footnote>
  <w:footnote w:id="2719">
    <w:p>
      <w:pPr>
        <w:pStyle w:val="FootnoteText"/>
      </w:pPr>
      <w:r>
        <w:rPr>
          <w:rStyle w:val="FootnoteReference"/>
        </w:rPr>
        <w:footnoteRef/>
      </w:r>
      <w:r>
        <w:t xml:space="preserve"> </w:t>
      </w:r>
      <w:r>
        <w:t xml:space="preserve">Trimmel 2024, PMID 39055722.</w:t>
      </w:r>
    </w:p>
  </w:footnote>
  <w:footnote w:id="2720">
    <w:p>
      <w:pPr>
        <w:pStyle w:val="FootnoteText"/>
      </w:pPr>
      <w:r>
        <w:rPr>
          <w:rStyle w:val="FootnoteReference"/>
        </w:rPr>
        <w:footnoteRef/>
      </w:r>
      <w:r>
        <w:t xml:space="preserve"> </w:t>
      </w:r>
      <w:r>
        <w:t xml:space="preserve">Röper 2004, PMID 15127162.</w:t>
      </w:r>
    </w:p>
  </w:footnote>
  <w:footnote w:id="2722">
    <w:p>
      <w:pPr>
        <w:pStyle w:val="FootnoteText"/>
      </w:pPr>
      <w:r>
        <w:rPr>
          <w:rStyle w:val="FootnoteReference"/>
        </w:rPr>
        <w:footnoteRef/>
      </w:r>
      <w:r>
        <w:t xml:space="preserve"> </w:t>
      </w:r>
      <w:r>
        <w:t xml:space="preserve">Lande 2007, PMID 17873860.</w:t>
      </w:r>
    </w:p>
  </w:footnote>
  <w:footnote w:id="2723">
    <w:p>
      <w:pPr>
        <w:pStyle w:val="FootnoteText"/>
      </w:pPr>
      <w:r>
        <w:rPr>
          <w:rStyle w:val="FootnoteReference"/>
        </w:rPr>
        <w:footnoteRef/>
      </w:r>
      <w:r>
        <w:t xml:space="preserve"> </w:t>
      </w:r>
      <w:r>
        <w:t xml:space="preserve">Lande 2014, PMID 25470744.</w:t>
      </w:r>
    </w:p>
  </w:footnote>
  <w:footnote w:id="2724">
    <w:p>
      <w:pPr>
        <w:pStyle w:val="FootnoteText"/>
      </w:pPr>
      <w:r>
        <w:rPr>
          <w:rStyle w:val="FootnoteReference"/>
        </w:rPr>
        <w:footnoteRef/>
      </w:r>
      <w:r>
        <w:t xml:space="preserve"> </w:t>
      </w:r>
      <w:r>
        <w:t xml:space="preserve">Dolkar 2018, PMID 29665030.</w:t>
      </w:r>
    </w:p>
  </w:footnote>
  <w:footnote w:id="2725">
    <w:p>
      <w:pPr>
        <w:pStyle w:val="FootnoteText"/>
      </w:pPr>
      <w:r>
        <w:rPr>
          <w:rStyle w:val="FootnoteReference"/>
        </w:rPr>
        <w:footnoteRef/>
      </w:r>
      <w:r>
        <w:t xml:space="preserve"> </w:t>
      </w:r>
      <w:r>
        <w:t xml:space="preserve">Gupta 2026, PMID 42930571.</w:t>
      </w:r>
    </w:p>
  </w:footnote>
  <w:footnote w:id="2727">
    <w:p>
      <w:pPr>
        <w:pStyle w:val="FootnoteText"/>
      </w:pPr>
      <w:r>
        <w:rPr>
          <w:rStyle w:val="FootnoteReference"/>
        </w:rPr>
        <w:footnoteRef/>
      </w:r>
      <w:r>
        <w:t xml:space="preserve"> </w:t>
      </w:r>
      <w:r>
        <w:t xml:space="preserve">De Groot 2023, PMID 37467878.</w:t>
      </w:r>
    </w:p>
  </w:footnote>
  <w:footnote w:id="2728">
    <w:p>
      <w:pPr>
        <w:pStyle w:val="FootnoteText"/>
      </w:pPr>
      <w:r>
        <w:rPr>
          <w:rStyle w:val="FootnoteReference"/>
        </w:rPr>
        <w:footnoteRef/>
      </w:r>
      <w:r>
        <w:t xml:space="preserve"> </w:t>
      </w:r>
      <w:r>
        <w:t xml:space="preserve">Mattei 2025, PMID 41445733.</w:t>
      </w:r>
    </w:p>
  </w:footnote>
  <w:footnote w:id="2729">
    <w:p>
      <w:pPr>
        <w:pStyle w:val="FootnoteText"/>
      </w:pPr>
      <w:r>
        <w:rPr>
          <w:rStyle w:val="FootnoteReference"/>
        </w:rPr>
        <w:footnoteRef/>
      </w:r>
      <w:r>
        <w:t xml:space="preserve"> </w:t>
      </w:r>
      <w:r>
        <w:t xml:space="preserve">Hach 2024, PMID 39379664.</w:t>
      </w:r>
    </w:p>
  </w:footnote>
  <w:footnote w:id="2730">
    <w:p>
      <w:pPr>
        <w:pStyle w:val="FootnoteText"/>
      </w:pPr>
      <w:r>
        <w:rPr>
          <w:rStyle w:val="FootnoteReference"/>
        </w:rPr>
        <w:footnoteRef/>
      </w:r>
      <w:r>
        <w:t xml:space="preserve"> </w:t>
      </w:r>
      <w:r>
        <w:t xml:space="preserve">Tang 2025, PMID 40398094.</w:t>
      </w:r>
    </w:p>
  </w:footnote>
  <w:footnote w:id="2731">
    <w:p>
      <w:pPr>
        <w:pStyle w:val="FootnoteText"/>
      </w:pPr>
      <w:r>
        <w:rPr>
          <w:rStyle w:val="FootnoteReference"/>
        </w:rPr>
        <w:footnoteRef/>
      </w:r>
      <w:r>
        <w:t xml:space="preserve"> </w:t>
      </w:r>
      <w:r>
        <w:t xml:space="preserve">Janvier 2018, PMID 28941153.</w:t>
      </w:r>
    </w:p>
  </w:footnote>
  <w:footnote w:id="2735">
    <w:p>
      <w:pPr>
        <w:pStyle w:val="FootnoteText"/>
      </w:pPr>
      <w:r>
        <w:rPr>
          <w:rStyle w:val="FootnoteReference"/>
        </w:rPr>
        <w:footnoteRef/>
      </w:r>
      <w:r>
        <w:t xml:space="preserve"> </w:t>
      </w:r>
      <w:r>
        <w:t xml:space="preserve">Vanhee 2015, PMID 26003685.</w:t>
      </w:r>
    </w:p>
  </w:footnote>
  <w:footnote w:id="2737">
    <w:p>
      <w:pPr>
        <w:pStyle w:val="FootnoteText"/>
      </w:pPr>
      <w:r>
        <w:rPr>
          <w:rStyle w:val="FootnoteReference"/>
        </w:rPr>
        <w:footnoteRef/>
      </w:r>
      <w:r>
        <w:t xml:space="preserve"> </w:t>
      </w:r>
      <w:r>
        <w:t xml:space="preserve">Høj 2021, PMID 33686802.</w:t>
      </w:r>
    </w:p>
  </w:footnote>
  <w:footnote w:id="2738">
    <w:p>
      <w:pPr>
        <w:pStyle w:val="FootnoteText"/>
      </w:pPr>
      <w:r>
        <w:rPr>
          <w:rStyle w:val="FootnoteReference"/>
        </w:rPr>
        <w:footnoteRef/>
      </w:r>
      <w:r>
        <w:t xml:space="preserve"> </w:t>
      </w:r>
      <w:r>
        <w:t xml:space="preserve">Venhuis 2016, PMID 26456392.</w:t>
      </w:r>
    </w:p>
  </w:footnote>
  <w:footnote w:id="2739">
    <w:p>
      <w:pPr>
        <w:pStyle w:val="FootnoteText"/>
      </w:pPr>
      <w:r>
        <w:rPr>
          <w:rStyle w:val="FootnoteReference"/>
        </w:rPr>
        <w:footnoteRef/>
      </w:r>
      <w:r>
        <w:t xml:space="preserve"> </w:t>
      </w:r>
      <w:r>
        <w:t xml:space="preserve">Vanhee 2017, PMID 27390261.</w:t>
      </w:r>
    </w:p>
  </w:footnote>
  <w:footnote w:id="2740">
    <w:p>
      <w:pPr>
        <w:pStyle w:val="FootnoteText"/>
      </w:pPr>
      <w:r>
        <w:rPr>
          <w:rStyle w:val="FootnoteReference"/>
        </w:rPr>
        <w:footnoteRef/>
      </w:r>
      <w:r>
        <w:t xml:space="preserve"> </w:t>
      </w:r>
      <w:r>
        <w:t xml:space="preserve">Delcourt 2023, PMID 36482504.</w:t>
      </w:r>
    </w:p>
  </w:footnote>
  <w:footnote w:id="2741">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Van Wagoner 2017, PMID 29183075.</w:t>
      </w:r>
    </w:p>
  </w:footnote>
  <w:footnote w:id="2744">
    <w:p>
      <w:pPr>
        <w:pStyle w:val="FootnoteText"/>
      </w:pPr>
      <w:r>
        <w:rPr>
          <w:rStyle w:val="FootnoteReference"/>
        </w:rPr>
        <w:footnoteRef/>
      </w:r>
      <w:r>
        <w:t xml:space="preserve"> </w:t>
      </w:r>
      <w:r>
        <w:t xml:space="preserve">Fabresse 2021, PMID 33838562.</w:t>
      </w:r>
    </w:p>
  </w:footnote>
  <w:footnote w:id="2745">
    <w:p>
      <w:pPr>
        <w:pStyle w:val="FootnoteText"/>
      </w:pPr>
      <w:r>
        <w:rPr>
          <w:rStyle w:val="FootnoteReference"/>
        </w:rPr>
        <w:footnoteRef/>
      </w:r>
      <w:r>
        <w:t xml:space="preserve"> </w:t>
      </w:r>
      <w:r>
        <w:t xml:space="preserve">Barrios 2025, PMID 40551438.</w:t>
      </w:r>
    </w:p>
  </w:footnote>
  <w:footnote w:id="2747">
    <w:p>
      <w:pPr>
        <w:pStyle w:val="FootnoteText"/>
      </w:pPr>
      <w:r>
        <w:rPr>
          <w:rStyle w:val="FootnoteReference"/>
        </w:rPr>
        <w:footnoteRef/>
      </w:r>
      <w:r>
        <w:t xml:space="preserve"> </w:t>
      </w:r>
      <w:r>
        <w:t xml:space="preserve">Janvier 2018, PMID 30029448.</w:t>
      </w:r>
    </w:p>
  </w:footnote>
  <w:footnote w:id="2748">
    <w:p>
      <w:pPr>
        <w:pStyle w:val="FootnoteText"/>
      </w:pPr>
      <w:r>
        <w:rPr>
          <w:rStyle w:val="FootnoteReference"/>
        </w:rPr>
        <w:footnoteRef/>
      </w:r>
      <w:r>
        <w:t xml:space="preserve"> </w:t>
      </w:r>
      <w:r>
        <w:t xml:space="preserve">Mongongu 2021, PMID 33587816.</w:t>
      </w:r>
    </w:p>
  </w:footnote>
  <w:footnote w:id="2749">
    <w:p>
      <w:pPr>
        <w:pStyle w:val="FootnoteText"/>
      </w:pPr>
      <w:r>
        <w:rPr>
          <w:rStyle w:val="FootnoteReference"/>
        </w:rPr>
        <w:footnoteRef/>
      </w:r>
      <w:r>
        <w:t xml:space="preserve"> </w:t>
      </w:r>
      <w:r>
        <w:t xml:space="preserve">Deville 2024, PMID 39302005.</w:t>
      </w:r>
    </w:p>
  </w:footnote>
  <w:footnote w:id="2750">
    <w:p>
      <w:pPr>
        <w:pStyle w:val="FootnoteText"/>
      </w:pPr>
      <w:r>
        <w:rPr>
          <w:rStyle w:val="FootnoteReference"/>
        </w:rPr>
        <w:footnoteRef/>
      </w:r>
      <w:r>
        <w:t xml:space="preserve"> </w:t>
      </w:r>
      <w:r>
        <w:t xml:space="preserve">Gajda 2019, PMID 30136411.</w:t>
      </w:r>
    </w:p>
  </w:footnote>
  <w:footnote w:id="2752">
    <w:p>
      <w:pPr>
        <w:pStyle w:val="FootnoteText"/>
      </w:pPr>
      <w:r>
        <w:rPr>
          <w:rStyle w:val="FootnoteReference"/>
        </w:rPr>
        <w:footnoteRef/>
      </w:r>
      <w:r>
        <w:t xml:space="preserve"> </w:t>
      </w:r>
      <w:r>
        <w:t xml:space="preserve">Janvier 2018, PMID 30029448.</w:t>
      </w:r>
    </w:p>
  </w:footnote>
  <w:footnote w:id="2753">
    <w:p>
      <w:pPr>
        <w:pStyle w:val="FootnoteText"/>
      </w:pPr>
      <w:r>
        <w:rPr>
          <w:rStyle w:val="FootnoteReference"/>
        </w:rPr>
        <w:footnoteRef/>
      </w:r>
      <w:r>
        <w:t xml:space="preserve"> </w:t>
      </w:r>
      <w:r>
        <w:t xml:space="preserve">Janvier 2018, PMID 28941153.</w:t>
      </w:r>
    </w:p>
  </w:footnote>
  <w:footnote w:id="2754">
    <w:p>
      <w:pPr>
        <w:pStyle w:val="FootnoteText"/>
      </w:pPr>
      <w:r>
        <w:rPr>
          <w:rStyle w:val="FootnoteReference"/>
        </w:rPr>
        <w:footnoteRef/>
      </w:r>
      <w:r>
        <w:t xml:space="preserve"> </w:t>
      </w:r>
      <w:r>
        <w:t xml:space="preserve">Ashraf 2024, PMID 39509151.</w:t>
      </w:r>
    </w:p>
  </w:footnote>
  <w:footnote w:id="2757">
    <w:p>
      <w:pPr>
        <w:pStyle w:val="FootnoteText"/>
      </w:pPr>
      <w:r>
        <w:rPr>
          <w:rStyle w:val="FootnoteReference"/>
        </w:rPr>
        <w:footnoteRef/>
      </w:r>
      <w:r>
        <w:t xml:space="preserve"> </w:t>
      </w:r>
      <w:r>
        <w:t xml:space="preserve">Deconinck 2021, PMID 33453144.</w:t>
      </w:r>
    </w:p>
  </w:footnote>
  <w:footnote w:id="2758">
    <w:p>
      <w:pPr>
        <w:pStyle w:val="FootnoteText"/>
      </w:pPr>
      <w:r>
        <w:rPr>
          <w:rStyle w:val="FootnoteReference"/>
        </w:rPr>
        <w:footnoteRef/>
      </w:r>
      <w:r>
        <w:t xml:space="preserve"> </w:t>
      </w:r>
      <w:r>
        <w:t xml:space="preserve">Vanhee 2015, PMID 25535022.</w:t>
      </w:r>
    </w:p>
  </w:footnote>
  <w:footnote w:id="2759">
    <w:p>
      <w:pPr>
        <w:pStyle w:val="FootnoteText"/>
      </w:pPr>
      <w:r>
        <w:rPr>
          <w:rStyle w:val="FootnoteReference"/>
        </w:rPr>
        <w:footnoteRef/>
      </w:r>
      <w:r>
        <w:t xml:space="preserve"> </w:t>
      </w:r>
      <w:r>
        <w:t xml:space="preserve">Vanhee 2020, PMID 31667971.</w:t>
      </w:r>
    </w:p>
  </w:footnote>
  <w:footnote w:id="2760">
    <w:p>
      <w:pPr>
        <w:pStyle w:val="FootnoteText"/>
      </w:pPr>
      <w:r>
        <w:rPr>
          <w:rStyle w:val="FootnoteReference"/>
        </w:rPr>
        <w:footnoteRef/>
      </w:r>
      <w:r>
        <w:t xml:space="preserve"> </w:t>
      </w:r>
      <w:r>
        <w:t xml:space="preserve">White 2026, PMID 41480958.</w:t>
      </w:r>
    </w:p>
  </w:footnote>
  <w:footnote w:id="2761">
    <w:p>
      <w:pPr>
        <w:pStyle w:val="FootnoteText"/>
      </w:pPr>
      <w:r>
        <w:rPr>
          <w:rStyle w:val="FootnoteReference"/>
        </w:rPr>
        <w:footnoteRef/>
      </w:r>
      <w:r>
        <w:t xml:space="preserve"> </w:t>
      </w:r>
      <w:r>
        <w:t xml:space="preserve">Barrios 2025, PMID 40551438.</w:t>
      </w:r>
    </w:p>
  </w:footnote>
  <w:footnote w:id="2764">
    <w:p>
      <w:pPr>
        <w:pStyle w:val="FootnoteText"/>
      </w:pPr>
      <w:r>
        <w:rPr>
          <w:rStyle w:val="FootnoteReference"/>
        </w:rPr>
        <w:footnoteRef/>
      </w:r>
      <w:r>
        <w:t xml:space="preserve"> </w:t>
      </w:r>
      <w:r>
        <w:t xml:space="preserve">Gaw 2024, PMID 38421490.</w:t>
      </w:r>
    </w:p>
  </w:footnote>
  <w:footnote w:id="2765">
    <w:p>
      <w:pPr>
        <w:pStyle w:val="FootnoteText"/>
      </w:pPr>
      <w:r>
        <w:rPr>
          <w:rStyle w:val="FootnoteReference"/>
        </w:rPr>
        <w:footnoteRef/>
      </w:r>
      <w:r>
        <w:t xml:space="preserve"> </w:t>
      </w:r>
      <w:r>
        <w:t xml:space="preserve">Senthilkumar 2026, PMID 41784916.</w:t>
      </w:r>
    </w:p>
  </w:footnote>
  <w:footnote w:id="2766">
    <w:p>
      <w:pPr>
        <w:pStyle w:val="FootnoteText"/>
      </w:pPr>
      <w:r>
        <w:rPr>
          <w:rStyle w:val="FootnoteReference"/>
        </w:rPr>
        <w:footnoteRef/>
      </w:r>
      <w:r>
        <w:t xml:space="preserve"> </w:t>
      </w:r>
      <w:r>
        <w:t xml:space="preserve">Gaw 2024, PMID 38421490; Ho 2025, PMID 40371098.</w:t>
      </w:r>
    </w:p>
  </w:footnote>
  <w:footnote w:id="2767">
    <w:p>
      <w:pPr>
        <w:pStyle w:val="FootnoteText"/>
      </w:pPr>
      <w:r>
        <w:rPr>
          <w:rStyle w:val="FootnoteReference"/>
        </w:rPr>
        <w:footnoteRef/>
      </w:r>
      <w:r>
        <w:t xml:space="preserve"> </w:t>
      </w:r>
      <w:r>
        <w:t xml:space="preserve">Marshall 2024, PMID 38861153.</w:t>
      </w:r>
    </w:p>
  </w:footnote>
  <w:footnote w:id="2768">
    <w:p>
      <w:pPr>
        <w:pStyle w:val="FootnoteText"/>
      </w:pPr>
      <w:r>
        <w:rPr>
          <w:rStyle w:val="FootnoteReference"/>
        </w:rPr>
        <w:footnoteRef/>
      </w:r>
      <w:r>
        <w:t xml:space="preserve"> </w:t>
      </w:r>
      <w:r>
        <w:t xml:space="preserve">Ho 2025, PMID 40371098.</w:t>
      </w:r>
    </w:p>
  </w:footnote>
  <w:footnote w:id="2769">
    <w:p>
      <w:pPr>
        <w:pStyle w:val="FootnoteText"/>
      </w:pPr>
      <w:r>
        <w:rPr>
          <w:rStyle w:val="FootnoteReference"/>
        </w:rPr>
        <w:footnoteRef/>
      </w:r>
      <w:r>
        <w:t xml:space="preserve"> </w:t>
      </w:r>
      <w:r>
        <w:t xml:space="preserve">Gaw 2024, PMID 38421490; Senthilkumar 2026, PMID 41784916.</w:t>
      </w:r>
    </w:p>
  </w:footnote>
  <w:footnote w:id="2770">
    <w:p>
      <w:pPr>
        <w:pStyle w:val="FootnoteText"/>
      </w:pPr>
      <w:r>
        <w:rPr>
          <w:rStyle w:val="FootnoteReference"/>
        </w:rPr>
        <w:footnoteRef/>
      </w:r>
      <w:r>
        <w:t xml:space="preserve"> </w:t>
      </w:r>
      <w:r>
        <w:t xml:space="preserve">Muschler 2025, PMID 39803696.</w:t>
      </w:r>
    </w:p>
  </w:footnote>
  <w:footnote w:id="2771">
    <w:p>
      <w:pPr>
        <w:pStyle w:val="FootnoteText"/>
      </w:pPr>
      <w:r>
        <w:rPr>
          <w:rStyle w:val="FootnoteReference"/>
        </w:rPr>
        <w:footnoteRef/>
      </w:r>
      <w:r>
        <w:t xml:space="preserve"> </w:t>
      </w:r>
      <w:r>
        <w:t xml:space="preserve">Ho 2025, PMID 40371098.</w:t>
      </w:r>
    </w:p>
  </w:footnote>
  <w:footnote w:id="2772">
    <w:p>
      <w:pPr>
        <w:pStyle w:val="FootnoteText"/>
      </w:pPr>
      <w:r>
        <w:rPr>
          <w:rStyle w:val="FootnoteReference"/>
        </w:rPr>
        <w:footnoteRef/>
      </w:r>
      <w:r>
        <w:t xml:space="preserve"> </w:t>
      </w:r>
      <w:r>
        <w:t xml:space="preserve">Marshall 2024, PMID 38861153.</w:t>
      </w:r>
    </w:p>
  </w:footnote>
  <w:footnote w:id="2773">
    <w:p>
      <w:pPr>
        <w:pStyle w:val="FootnoteText"/>
      </w:pPr>
      <w:r>
        <w:rPr>
          <w:rStyle w:val="FootnoteReference"/>
        </w:rPr>
        <w:footnoteRef/>
      </w:r>
      <w:r>
        <w:t xml:space="preserve"> </w:t>
      </w:r>
      <w:r>
        <w:t xml:space="preserve">Kraft 2026, PMID 42194666.</w:t>
      </w:r>
    </w:p>
  </w:footnote>
  <w:footnote w:id="2774">
    <w:p>
      <w:pPr>
        <w:pStyle w:val="FootnoteText"/>
      </w:pPr>
      <w:r>
        <w:rPr>
          <w:rStyle w:val="FootnoteReference"/>
        </w:rPr>
        <w:footnoteRef/>
      </w:r>
      <w:r>
        <w:t xml:space="preserve"> </w:t>
      </w:r>
      <w:r>
        <w:t xml:space="preserve">Senthilkumar 2026, PMID 41784916.</w:t>
      </w:r>
    </w:p>
  </w:footnote>
  <w:footnote w:id="2779">
    <w:p>
      <w:pPr>
        <w:pStyle w:val="FootnoteText"/>
      </w:pPr>
      <w:r>
        <w:rPr>
          <w:rStyle w:val="FootnoteReference"/>
        </w:rPr>
        <w:footnoteRef/>
      </w:r>
      <w:r>
        <w:t xml:space="preserve"> </w:t>
      </w:r>
      <w:r>
        <w:t xml:space="preserve">Cesta 2024, PMID 38079178.</w:t>
      </w:r>
    </w:p>
  </w:footnote>
  <w:footnote w:id="2780">
    <w:p>
      <w:pPr>
        <w:pStyle w:val="FootnoteText"/>
      </w:pPr>
      <w:r>
        <w:rPr>
          <w:rStyle w:val="FootnoteReference"/>
        </w:rPr>
        <w:footnoteRef/>
      </w:r>
      <w:r>
        <w:t xml:space="preserve"> </w:t>
      </w:r>
      <w:r>
        <w:t xml:space="preserve">Dao 2024, PMID 38663923.</w:t>
      </w:r>
    </w:p>
  </w:footnote>
  <w:footnote w:id="2781">
    <w:p>
      <w:pPr>
        <w:pStyle w:val="FootnoteText"/>
      </w:pPr>
      <w:r>
        <w:rPr>
          <w:rStyle w:val="FootnoteReference"/>
        </w:rPr>
        <w:footnoteRef/>
      </w:r>
      <w:r>
        <w:t xml:space="preserve"> </w:t>
      </w:r>
      <w:r>
        <w:t xml:space="preserve">Brown 2026, PMID 42258827.</w:t>
      </w:r>
    </w:p>
  </w:footnote>
  <w:footnote w:id="2782">
    <w:p>
      <w:pPr>
        <w:pStyle w:val="FootnoteText"/>
      </w:pPr>
      <w:r>
        <w:rPr>
          <w:rStyle w:val="FootnoteReference"/>
        </w:rPr>
        <w:footnoteRef/>
      </w:r>
      <w:r>
        <w:t xml:space="preserve"> </w:t>
      </w:r>
      <w:r>
        <w:t xml:space="preserve">Uysal 2026, PMID 42420519.</w:t>
      </w:r>
    </w:p>
  </w:footnote>
  <w:footnote w:id="2783">
    <w:p>
      <w:pPr>
        <w:pStyle w:val="FootnoteText"/>
      </w:pPr>
      <w:r>
        <w:rPr>
          <w:rStyle w:val="FootnoteReference"/>
        </w:rPr>
        <w:footnoteRef/>
      </w:r>
      <w:r>
        <w:t xml:space="preserve"> </w:t>
      </w:r>
      <w:r>
        <w:t xml:space="preserve">NCT06867835.</w:t>
      </w:r>
    </w:p>
  </w:footnote>
  <w:footnote w:id="2785">
    <w:p>
      <w:pPr>
        <w:pStyle w:val="FootnoteText"/>
      </w:pPr>
      <w:r>
        <w:rPr>
          <w:rStyle w:val="FootnoteReference"/>
        </w:rPr>
        <w:footnoteRef/>
      </w:r>
      <w:r>
        <w:t xml:space="preserve"> </w:t>
      </w:r>
      <w:r>
        <w:t xml:space="preserve">Kapitza 2015, PMID 25475122.</w:t>
      </w:r>
    </w:p>
  </w:footnote>
  <w:footnote w:id="2786">
    <w:p>
      <w:pPr>
        <w:pStyle w:val="FootnoteText"/>
      </w:pPr>
      <w:r>
        <w:rPr>
          <w:rStyle w:val="FootnoteReference"/>
        </w:rPr>
        <w:footnoteRef/>
      </w:r>
      <w:r>
        <w:t xml:space="preserve"> </w:t>
      </w:r>
      <w:r>
        <w:t xml:space="preserve">Skelley 2024, PMID 37940101.</w:t>
      </w:r>
    </w:p>
  </w:footnote>
  <w:footnote w:id="2787">
    <w:p>
      <w:pPr>
        <w:pStyle w:val="FootnoteText"/>
      </w:pPr>
      <w:r>
        <w:rPr>
          <w:rStyle w:val="FootnoteReference"/>
        </w:rPr>
        <w:footnoteRef/>
      </w:r>
      <w:r>
        <w:t xml:space="preserve"> </w:t>
      </w:r>
      <w:r>
        <w:t xml:space="preserve">Clayton 2022, PMID 35147466.</w:t>
      </w:r>
    </w:p>
  </w:footnote>
  <w:footnote w:id="2788">
    <w:p>
      <w:pPr>
        <w:pStyle w:val="FootnoteText"/>
      </w:pPr>
      <w:r>
        <w:rPr>
          <w:rStyle w:val="FootnoteReference"/>
        </w:rPr>
        <w:footnoteRef/>
      </w:r>
      <w:r>
        <w:t xml:space="preserve"> </w:t>
      </w:r>
      <w:r>
        <w:t xml:space="preserve">Lissy 2021, PMID 32961034.</w:t>
      </w:r>
    </w:p>
  </w:footnote>
  <w:footnote w:id="2790">
    <w:p>
      <w:pPr>
        <w:pStyle w:val="FootnoteText"/>
      </w:pPr>
      <w:r>
        <w:rPr>
          <w:rStyle w:val="FootnoteReference"/>
        </w:rPr>
        <w:footnoteRef/>
      </w:r>
      <w:r>
        <w:t xml:space="preserve"> </w:t>
      </w:r>
      <w:r>
        <w:t xml:space="preserve">Baig 2025, PMID 39694296.</w:t>
      </w:r>
    </w:p>
  </w:footnote>
  <w:footnote w:id="2791">
    <w:p>
      <w:pPr>
        <w:pStyle w:val="FootnoteText"/>
      </w:pPr>
      <w:r>
        <w:rPr>
          <w:rStyle w:val="FootnoteReference"/>
        </w:rPr>
        <w:footnoteRef/>
      </w:r>
      <w:r>
        <w:t xml:space="preserve"> </w:t>
      </w:r>
      <w:r>
        <w:t xml:space="preserve">Vlaeminck 2026, PMID 41631344.</w:t>
      </w:r>
    </w:p>
  </w:footnote>
  <w:footnote w:id="2792">
    <w:p>
      <w:pPr>
        <w:pStyle w:val="FootnoteText"/>
      </w:pPr>
      <w:r>
        <w:rPr>
          <w:rStyle w:val="FootnoteReference"/>
        </w:rPr>
        <w:footnoteRef/>
      </w:r>
      <w:r>
        <w:t xml:space="preserve"> </w:t>
      </w:r>
      <w:r>
        <w:t xml:space="preserve">Wu 2026, PMID 40940281.</w:t>
      </w:r>
    </w:p>
  </w:footnote>
  <w:footnote w:id="2793">
    <w:p>
      <w:pPr>
        <w:pStyle w:val="FootnoteText"/>
      </w:pPr>
      <w:r>
        <w:rPr>
          <w:rStyle w:val="FootnoteReference"/>
        </w:rPr>
        <w:footnoteRef/>
      </w:r>
      <w:r>
        <w:t xml:space="preserve"> </w:t>
      </w:r>
      <w:r>
        <w:t xml:space="preserve">NCT07276763.</w:t>
      </w:r>
    </w:p>
  </w:footnote>
  <w:footnote w:id="2795">
    <w:p>
      <w:pPr>
        <w:pStyle w:val="FootnoteText"/>
      </w:pPr>
      <w:r>
        <w:rPr>
          <w:rStyle w:val="FootnoteReference"/>
        </w:rPr>
        <w:footnoteRef/>
      </w:r>
      <w:r>
        <w:t xml:space="preserve"> </w:t>
      </w:r>
      <w:r>
        <w:t xml:space="preserve">Kendall 2005, PMID 15855571.</w:t>
      </w:r>
    </w:p>
  </w:footnote>
  <w:footnote w:id="2796">
    <w:p>
      <w:pPr>
        <w:pStyle w:val="FootnoteText"/>
      </w:pPr>
      <w:r>
        <w:rPr>
          <w:rStyle w:val="FootnoteReference"/>
        </w:rPr>
        <w:footnoteRef/>
      </w:r>
      <w:r>
        <w:t xml:space="preserve"> </w:t>
      </w:r>
      <w:r>
        <w:t xml:space="preserve">Edelman 2006, PMID 17003291.</w:t>
      </w:r>
    </w:p>
  </w:footnote>
  <w:footnote w:id="2798">
    <w:p>
      <w:pPr>
        <w:pStyle w:val="FootnoteText"/>
      </w:pPr>
      <w:r>
        <w:rPr>
          <w:rStyle w:val="FootnoteReference"/>
        </w:rPr>
        <w:footnoteRef/>
      </w:r>
      <w:r>
        <w:t xml:space="preserve"> </w:t>
      </w:r>
      <w:r>
        <w:t xml:space="preserve">Kelly 2020, PMID 32233338.</w:t>
      </w:r>
    </w:p>
  </w:footnote>
  <w:footnote w:id="2799">
    <w:p>
      <w:pPr>
        <w:pStyle w:val="FootnoteText"/>
      </w:pPr>
      <w:r>
        <w:rPr>
          <w:rStyle w:val="FootnoteReference"/>
        </w:rPr>
        <w:footnoteRef/>
      </w:r>
      <w:r>
        <w:t xml:space="preserve"> </w:t>
      </w:r>
      <w:r>
        <w:t xml:space="preserve">Silva 2026, PMID 42115753.</w:t>
      </w:r>
    </w:p>
  </w:footnote>
  <w:footnote w:id="2800">
    <w:p>
      <w:pPr>
        <w:pStyle w:val="FootnoteText"/>
      </w:pPr>
      <w:r>
        <w:rPr>
          <w:rStyle w:val="FootnoteReference"/>
        </w:rPr>
        <w:footnoteRef/>
      </w:r>
      <w:r>
        <w:t xml:space="preserve"> </w:t>
      </w:r>
      <w:r>
        <w:t xml:space="preserve">Senthilkumar 2026, PMID 41784916.</w:t>
      </w:r>
    </w:p>
  </w:footnote>
  <w:footnote w:id="2801">
    <w:p>
      <w:pPr>
        <w:pStyle w:val="FootnoteText"/>
      </w:pPr>
      <w:r>
        <w:rPr>
          <w:rStyle w:val="FootnoteReference"/>
        </w:rPr>
        <w:footnoteRef/>
      </w:r>
      <w:r>
        <w:t xml:space="preserve"> </w:t>
      </w:r>
      <w:r>
        <w:t xml:space="preserve">Coutinho 2026, PMID 41880199.</w:t>
      </w:r>
    </w:p>
  </w:footnote>
  <w:footnote w:id="2803">
    <w:p>
      <w:pPr>
        <w:pStyle w:val="FootnoteText"/>
      </w:pPr>
      <w:r>
        <w:rPr>
          <w:rStyle w:val="FootnoteReference"/>
        </w:rPr>
        <w:footnoteRef/>
      </w:r>
      <w:r>
        <w:t xml:space="preserve"> </w:t>
      </w:r>
      <w:r>
        <w:t xml:space="preserve">Liu 2007, PMID 17227934.</w:t>
      </w:r>
    </w:p>
  </w:footnote>
  <w:footnote w:id="2804">
    <w:p>
      <w:pPr>
        <w:pStyle w:val="FootnoteText"/>
      </w:pPr>
      <w:r>
        <w:rPr>
          <w:rStyle w:val="FootnoteReference"/>
        </w:rPr>
        <w:footnoteRef/>
      </w:r>
      <w:r>
        <w:t xml:space="preserve"> </w:t>
      </w:r>
      <w:r>
        <w:t xml:space="preserve">Adunsky 2011, PMID 21067829.</w:t>
      </w:r>
    </w:p>
  </w:footnote>
  <w:footnote w:id="2806">
    <w:p>
      <w:pPr>
        <w:pStyle w:val="FootnoteText"/>
      </w:pPr>
      <w:r>
        <w:rPr>
          <w:rStyle w:val="FootnoteReference"/>
        </w:rPr>
        <w:footnoteRef/>
      </w:r>
      <w:r>
        <w:t xml:space="preserve"> </w:t>
      </w:r>
      <w:r>
        <w:t xml:space="preserve">Look 2025, PMID 39996356.</w:t>
      </w:r>
    </w:p>
  </w:footnote>
  <w:footnote w:id="2807">
    <w:p>
      <w:pPr>
        <w:pStyle w:val="FootnoteText"/>
      </w:pPr>
      <w:r>
        <w:rPr>
          <w:rStyle w:val="FootnoteReference"/>
        </w:rPr>
        <w:footnoteRef/>
      </w:r>
      <w:r>
        <w:t xml:space="preserve"> </w:t>
      </w:r>
      <w:r>
        <w:t xml:space="preserve">Karakasis 2025, PMID 39719170.</w:t>
      </w:r>
    </w:p>
  </w:footnote>
  <w:footnote w:id="2808">
    <w:p>
      <w:pPr>
        <w:pStyle w:val="FootnoteText"/>
      </w:pPr>
      <w:r>
        <w:rPr>
          <w:rStyle w:val="FootnoteReference"/>
        </w:rPr>
        <w:footnoteRef/>
      </w:r>
      <w:r>
        <w:t xml:space="preserve"> </w:t>
      </w:r>
      <w:r>
        <w:t xml:space="preserve">Batsis 2026, PMID 41996180.</w:t>
      </w:r>
    </w:p>
  </w:footnote>
  <w:footnote w:id="2809">
    <w:p>
      <w:pPr>
        <w:pStyle w:val="FootnoteText"/>
      </w:pPr>
      <w:r>
        <w:rPr>
          <w:rStyle w:val="FootnoteReference"/>
        </w:rPr>
        <w:footnoteRef/>
      </w:r>
      <w:r>
        <w:t xml:space="preserve"> </w:t>
      </w:r>
      <w:r>
        <w:t xml:space="preserve">Laverde 2026, PMID 42321502.</w:t>
      </w:r>
    </w:p>
  </w:footnote>
  <w:footnote w:id="2811">
    <w:p>
      <w:pPr>
        <w:pStyle w:val="FootnoteText"/>
      </w:pPr>
      <w:r>
        <w:rPr>
          <w:rStyle w:val="FootnoteReference"/>
        </w:rPr>
        <w:footnoteRef/>
      </w:r>
      <w:r>
        <w:t xml:space="preserve"> </w:t>
      </w:r>
      <w:r>
        <w:t xml:space="preserve">Guerdjikova 2024, PMID 38329147.</w:t>
      </w:r>
    </w:p>
  </w:footnote>
  <w:footnote w:id="2812">
    <w:p>
      <w:pPr>
        <w:pStyle w:val="FootnoteText"/>
      </w:pPr>
      <w:r>
        <w:rPr>
          <w:rStyle w:val="FootnoteReference"/>
        </w:rPr>
        <w:footnoteRef/>
      </w:r>
      <w:r>
        <w:t xml:space="preserve"> </w:t>
      </w:r>
      <w:r>
        <w:t xml:space="preserve">Peiper 2026, PMID 42340738.</w:t>
      </w:r>
    </w:p>
  </w:footnote>
  <w:footnote w:id="2813">
    <w:p>
      <w:pPr>
        <w:pStyle w:val="FootnoteText"/>
      </w:pPr>
      <w:r>
        <w:rPr>
          <w:rStyle w:val="FootnoteReference"/>
        </w:rPr>
        <w:footnoteRef/>
      </w:r>
      <w:r>
        <w:t xml:space="preserve"> </w:t>
      </w:r>
      <w:r>
        <w:t xml:space="preserve">Keshen 2026, PMID 42742590.</w:t>
      </w:r>
    </w:p>
  </w:footnote>
  <w:footnote w:id="2814">
    <w:p>
      <w:pPr>
        <w:pStyle w:val="FootnoteText"/>
      </w:pPr>
      <w:r>
        <w:rPr>
          <w:rStyle w:val="FootnoteReference"/>
        </w:rPr>
        <w:footnoteRef/>
      </w:r>
      <w:r>
        <w:t xml:space="preserve"> </w:t>
      </w:r>
      <w:r>
        <w:t xml:space="preserve">Keshen 2026, PMID 42742590.</w:t>
      </w:r>
    </w:p>
  </w:footnote>
  <w:footnote w:id="2816">
    <w:p>
      <w:pPr>
        <w:pStyle w:val="FootnoteText"/>
      </w:pPr>
      <w:r>
        <w:rPr>
          <w:rStyle w:val="FootnoteReference"/>
        </w:rPr>
        <w:footnoteRef/>
      </w:r>
      <w:r>
        <w:t xml:space="preserve"> </w:t>
      </w:r>
      <w:r>
        <w:t xml:space="preserve">Borschel 2026, PMID 42874322.</w:t>
      </w:r>
    </w:p>
  </w:footnote>
  <w:footnote w:id="2817">
    <w:p>
      <w:pPr>
        <w:pStyle w:val="FootnoteText"/>
      </w:pPr>
      <w:r>
        <w:rPr>
          <w:rStyle w:val="FootnoteReference"/>
        </w:rPr>
        <w:footnoteRef/>
      </w:r>
      <w:r>
        <w:t xml:space="preserve"> </w:t>
      </w:r>
      <w:r>
        <w:t xml:space="preserve">Barrios 2025, PMID 40551438.</w:t>
      </w:r>
    </w:p>
  </w:footnote>
  <w:footnote w:id="2818">
    <w:p>
      <w:pPr>
        <w:pStyle w:val="FootnoteText"/>
      </w:pPr>
      <w:r>
        <w:rPr>
          <w:rStyle w:val="FootnoteReference"/>
        </w:rPr>
        <w:footnoteRef/>
      </w:r>
      <w:r>
        <w:t xml:space="preserve"> </w:t>
      </w:r>
      <w:r>
        <w:t xml:space="preserve">Gajda 2019, PMID 30136411.</w:t>
      </w:r>
    </w:p>
  </w:footnote>
  <w:footnote w:id="2819">
    <w:p>
      <w:pPr>
        <w:pStyle w:val="FootnoteText"/>
      </w:pPr>
      <w:r>
        <w:rPr>
          <w:rStyle w:val="FootnoteReference"/>
        </w:rPr>
        <w:footnoteRef/>
      </w:r>
      <w:r>
        <w:t xml:space="preserve"> </w:t>
      </w:r>
      <w:r>
        <w:t xml:space="preserve">La Vignera 2026, PMID 42511463.</w:t>
      </w:r>
    </w:p>
  </w:footnote>
  <w:footnote w:id="2820">
    <w:p>
      <w:pPr>
        <w:pStyle w:val="FootnoteText"/>
      </w:pPr>
      <w:r>
        <w:rPr>
          <w:rStyle w:val="FootnoteReference"/>
        </w:rPr>
        <w:footnoteRef/>
      </w:r>
      <w:r>
        <w:t xml:space="preserve"> </w:t>
      </w:r>
      <w:r>
        <w:t xml:space="preserve">Villegas Meza 2026, PMID 42160466.</w:t>
      </w:r>
    </w:p>
  </w:footnote>
  <w:footnote w:id="2825">
    <w:p>
      <w:pPr>
        <w:pStyle w:val="FootnoteText"/>
      </w:pPr>
      <w:r>
        <w:rPr>
          <w:rStyle w:val="FootnoteReference"/>
        </w:rPr>
        <w:footnoteRef/>
      </w:r>
      <w:r>
        <w:t xml:space="preserve"> </w:t>
      </w:r>
      <w:r>
        <w:t xml:space="preserve">NCT07543458.</w:t>
      </w:r>
    </w:p>
  </w:footnote>
  <w:footnote w:id="2826">
    <w:p>
      <w:pPr>
        <w:pStyle w:val="FootnoteText"/>
      </w:pPr>
      <w:r>
        <w:rPr>
          <w:rStyle w:val="FootnoteReference"/>
        </w:rPr>
        <w:footnoteRef/>
      </w:r>
      <w:r>
        <w:t xml:space="preserve"> </w:t>
      </w:r>
      <w:r>
        <w:t xml:space="preserve">NCT04020055, NCT06904261.</w:t>
      </w:r>
    </w:p>
  </w:footnote>
  <w:footnote w:id="2828">
    <w:p>
      <w:pPr>
        <w:pStyle w:val="FootnoteText"/>
      </w:pPr>
      <w:r>
        <w:rPr>
          <w:rStyle w:val="FootnoteReference"/>
        </w:rPr>
        <w:footnoteRef/>
      </w:r>
      <w:r>
        <w:t xml:space="preserve"> </w:t>
      </w:r>
      <w:r>
        <w:t xml:space="preserve">NCT05086614.</w:t>
      </w:r>
    </w:p>
  </w:footnote>
  <w:footnote w:id="2829">
    <w:p>
      <w:pPr>
        <w:pStyle w:val="FootnoteText"/>
      </w:pPr>
      <w:r>
        <w:rPr>
          <w:rStyle w:val="FootnoteReference"/>
        </w:rPr>
        <w:footnoteRef/>
      </w:r>
      <w:r>
        <w:t xml:space="preserve"> </w:t>
      </w:r>
      <w:r>
        <w:t xml:space="preserve">NCT05555589.</w:t>
      </w:r>
    </w:p>
  </w:footnote>
  <w:footnote w:id="2830">
    <w:p>
      <w:pPr>
        <w:pStyle w:val="FootnoteText"/>
      </w:pPr>
      <w:r>
        <w:rPr>
          <w:rStyle w:val="FootnoteReference"/>
        </w:rPr>
        <w:footnoteRef/>
      </w:r>
      <w:r>
        <w:t xml:space="preserve"> </w:t>
      </w:r>
      <w:r>
        <w:t xml:space="preserve">NCT06373731.</w:t>
      </w:r>
    </w:p>
  </w:footnote>
  <w:footnote w:id="2831">
    <w:p>
      <w:pPr>
        <w:pStyle w:val="FootnoteText"/>
      </w:pPr>
      <w:r>
        <w:rPr>
          <w:rStyle w:val="FootnoteReference"/>
        </w:rPr>
        <w:footnoteRef/>
      </w:r>
      <w:r>
        <w:t xml:space="preserve"> </w:t>
      </w:r>
      <w:r>
        <w:t xml:space="preserve">NCT06109649.</w:t>
      </w:r>
    </w:p>
  </w:footnote>
  <w:footnote w:id="2832">
    <w:p>
      <w:pPr>
        <w:pStyle w:val="FootnoteText"/>
      </w:pPr>
      <w:r>
        <w:rPr>
          <w:rStyle w:val="FootnoteReference"/>
        </w:rPr>
        <w:footnoteRef/>
      </w:r>
      <w:r>
        <w:t xml:space="preserve"> </w:t>
      </w:r>
      <w:r>
        <w:t xml:space="preserve">NCT06948214.</w:t>
      </w:r>
    </w:p>
  </w:footnote>
  <w:footnote w:id="2833">
    <w:p>
      <w:pPr>
        <w:pStyle w:val="FootnoteText"/>
      </w:pPr>
      <w:r>
        <w:rPr>
          <w:rStyle w:val="FootnoteReference"/>
        </w:rPr>
        <w:footnoteRef/>
      </w:r>
      <w:r>
        <w:t xml:space="preserve"> </w:t>
      </w:r>
      <w:r>
        <w:t xml:space="preserve">NCT04903002.</w:t>
      </w:r>
    </w:p>
  </w:footnote>
  <w:footnote w:id="2834">
    <w:p>
      <w:pPr>
        <w:pStyle w:val="FootnoteText"/>
      </w:pPr>
      <w:r>
        <w:rPr>
          <w:rStyle w:val="FootnoteReference"/>
        </w:rPr>
        <w:footnoteRef/>
      </w:r>
      <w:r>
        <w:t xml:space="preserve"> </w:t>
      </w:r>
      <w:r>
        <w:t xml:space="preserve">NCT07675980.</w:t>
      </w:r>
    </w:p>
  </w:footnote>
  <w:footnote w:id="2837">
    <w:p>
      <w:pPr>
        <w:pStyle w:val="FootnoteText"/>
      </w:pPr>
      <w:r>
        <w:rPr>
          <w:rStyle w:val="FootnoteReference"/>
        </w:rPr>
        <w:footnoteRef/>
      </w:r>
      <w:r>
        <w:t xml:space="preserve"> </w:t>
      </w:r>
      <w:r>
        <w:t xml:space="preserve">NCT06662383.</w:t>
      </w:r>
    </w:p>
  </w:footnote>
  <w:footnote w:id="2838">
    <w:p>
      <w:pPr>
        <w:pStyle w:val="FootnoteText"/>
      </w:pPr>
      <w:r>
        <w:rPr>
          <w:rStyle w:val="FootnoteReference"/>
        </w:rPr>
        <w:footnoteRef/>
      </w:r>
      <w:r>
        <w:t xml:space="preserve"> </w:t>
      </w:r>
      <w:r>
        <w:t xml:space="preserve">NCT07889648.</w:t>
      </w:r>
    </w:p>
  </w:footnote>
  <w:footnote w:id="2839">
    <w:p>
      <w:pPr>
        <w:pStyle w:val="FootnoteText"/>
      </w:pPr>
      <w:r>
        <w:rPr>
          <w:rStyle w:val="FootnoteReference"/>
        </w:rPr>
        <w:footnoteRef/>
      </w:r>
      <w:r>
        <w:t xml:space="preserve"> </w:t>
      </w:r>
      <w:r>
        <w:t xml:space="preserve">NCT06780449.</w:t>
      </w:r>
    </w:p>
  </w:footnote>
  <w:footnote w:id="2840">
    <w:p>
      <w:pPr>
        <w:pStyle w:val="FootnoteText"/>
      </w:pPr>
      <w:r>
        <w:rPr>
          <w:rStyle w:val="FootnoteReference"/>
        </w:rPr>
        <w:footnoteRef/>
      </w:r>
      <w:r>
        <w:t xml:space="preserve"> </w:t>
      </w:r>
      <w:r>
        <w:t xml:space="preserve">NCT07575399.</w:t>
      </w:r>
    </w:p>
  </w:footnote>
  <w:footnote w:id="2841">
    <w:p>
      <w:pPr>
        <w:pStyle w:val="FootnoteText"/>
      </w:pPr>
      <w:r>
        <w:rPr>
          <w:rStyle w:val="FootnoteReference"/>
        </w:rPr>
        <w:footnoteRef/>
      </w:r>
      <w:r>
        <w:t xml:space="preserve"> </w:t>
      </w:r>
      <w:r>
        <w:t xml:space="preserve">NCT07845500.</w:t>
      </w:r>
    </w:p>
  </w:footnote>
  <w:footnote w:id="2842">
    <w:p>
      <w:pPr>
        <w:pStyle w:val="FootnoteText"/>
      </w:pPr>
      <w:r>
        <w:rPr>
          <w:rStyle w:val="FootnoteReference"/>
        </w:rPr>
        <w:footnoteRef/>
      </w:r>
      <w:r>
        <w:t xml:space="preserve"> </w:t>
      </w:r>
      <w:r>
        <w:t xml:space="preserve">Aronne 2024, PMID 38078870.</w:t>
      </w:r>
    </w:p>
  </w:footnote>
  <w:footnote w:id="2843">
    <w:p>
      <w:pPr>
        <w:pStyle w:val="FootnoteText"/>
      </w:pPr>
      <w:r>
        <w:rPr>
          <w:rStyle w:val="FootnoteReference"/>
        </w:rPr>
        <w:footnoteRef/>
      </w:r>
      <w:r>
        <w:t xml:space="preserve"> </w:t>
      </w:r>
      <w:r>
        <w:t xml:space="preserve">NCT06257966.</w:t>
      </w:r>
    </w:p>
  </w:footnote>
  <w:footnote w:id="2844">
    <w:p>
      <w:pPr>
        <w:pStyle w:val="FootnoteText"/>
      </w:pPr>
      <w:r>
        <w:rPr>
          <w:rStyle w:val="FootnoteReference"/>
        </w:rPr>
        <w:footnoteRef/>
      </w:r>
      <w:r>
        <w:t xml:space="preserve"> </w:t>
      </w:r>
      <w:r>
        <w:t xml:space="preserve">NCT06439277, NCT07817875.</w:t>
      </w:r>
    </w:p>
  </w:footnote>
  <w:footnote w:id="2845">
    <w:p>
      <w:pPr>
        <w:pStyle w:val="FootnoteText"/>
      </w:pPr>
      <w:r>
        <w:rPr>
          <w:rStyle w:val="FootnoteReference"/>
        </w:rPr>
        <w:footnoteRef/>
      </w:r>
      <w:r>
        <w:t xml:space="preserve"> </w:t>
      </w:r>
      <w:r>
        <w:t xml:space="preserve">NCT06672939.</w:t>
      </w:r>
    </w:p>
  </w:footnote>
  <w:footnote w:id="2847">
    <w:p>
      <w:pPr>
        <w:pStyle w:val="FootnoteText"/>
      </w:pPr>
      <w:r>
        <w:rPr>
          <w:rStyle w:val="FootnoteReference"/>
        </w:rPr>
        <w:footnoteRef/>
      </w:r>
      <w:r>
        <w:t xml:space="preserve"> </w:t>
      </w:r>
      <w:r>
        <w:t xml:space="preserve">Jastreboff 2023, PMID 37366315.</w:t>
      </w:r>
    </w:p>
  </w:footnote>
  <w:footnote w:id="2848">
    <w:p>
      <w:pPr>
        <w:pStyle w:val="FootnoteText"/>
      </w:pPr>
      <w:r>
        <w:rPr>
          <w:rStyle w:val="FootnoteReference"/>
        </w:rPr>
        <w:footnoteRef/>
      </w:r>
      <w:r>
        <w:t xml:space="preserve"> </w:t>
      </w:r>
      <w:r>
        <w:t xml:space="preserve">Jastreboff 2026, PMID 42814954.</w:t>
      </w:r>
    </w:p>
  </w:footnote>
  <w:footnote w:id="2849">
    <w:p>
      <w:pPr>
        <w:pStyle w:val="FootnoteText"/>
      </w:pPr>
      <w:r>
        <w:rPr>
          <w:rStyle w:val="FootnoteReference"/>
        </w:rPr>
        <w:footnoteRef/>
      </w:r>
      <w:r>
        <w:t xml:space="preserve"> </w:t>
      </w:r>
      <w:r>
        <w:t xml:space="preserve">NCT06383390.</w:t>
      </w:r>
    </w:p>
  </w:footnote>
  <w:footnote w:id="2851">
    <w:p>
      <w:pPr>
        <w:pStyle w:val="FootnoteText"/>
      </w:pPr>
      <w:r>
        <w:rPr>
          <w:rStyle w:val="FootnoteReference"/>
        </w:rPr>
        <w:footnoteRef/>
      </w:r>
      <w:r>
        <w:t xml:space="preserve"> </w:t>
      </w:r>
      <w:r>
        <w:t xml:space="preserve">Garvey 2025, PMID 40544433.</w:t>
      </w:r>
    </w:p>
  </w:footnote>
  <w:footnote w:id="2852">
    <w:p>
      <w:pPr>
        <w:pStyle w:val="FootnoteText"/>
      </w:pPr>
      <w:r>
        <w:rPr>
          <w:rStyle w:val="FootnoteReference"/>
        </w:rPr>
        <w:footnoteRef/>
      </w:r>
      <w:r>
        <w:t xml:space="preserve"> </w:t>
      </w:r>
      <w:r>
        <w:t xml:space="preserve">Dahl 2025, PMID 40550231.</w:t>
      </w:r>
    </w:p>
  </w:footnote>
  <w:footnote w:id="2853">
    <w:p>
      <w:pPr>
        <w:pStyle w:val="FootnoteText"/>
      </w:pPr>
      <w:r>
        <w:rPr>
          <w:rStyle w:val="FootnoteReference"/>
        </w:rPr>
        <w:footnoteRef/>
      </w:r>
      <w:r>
        <w:t xml:space="preserve"> </w:t>
      </w:r>
      <w:r>
        <w:t xml:space="preserve">Billings 2025, PMID 41207310.</w:t>
      </w:r>
    </w:p>
  </w:footnote>
  <w:footnote w:id="2854">
    <w:p>
      <w:pPr>
        <w:pStyle w:val="FootnoteText"/>
      </w:pPr>
      <w:r>
        <w:rPr>
          <w:rStyle w:val="FootnoteReference"/>
        </w:rPr>
        <w:footnoteRef/>
      </w:r>
      <w:r>
        <w:t xml:space="preserve"> </w:t>
      </w:r>
      <w:r>
        <w:t xml:space="preserve">Garvey 2026, PMID 42810355.</w:t>
      </w:r>
    </w:p>
  </w:footnote>
  <w:footnote w:id="2856">
    <w:p>
      <w:pPr>
        <w:pStyle w:val="FootnoteText"/>
      </w:pPr>
      <w:r>
        <w:rPr>
          <w:rStyle w:val="FootnoteReference"/>
        </w:rPr>
        <w:footnoteRef/>
      </w:r>
      <w:r>
        <w:t xml:space="preserve"> </w:t>
      </w:r>
      <w:r>
        <w:t xml:space="preserve">Yie 2026, PMID 42592044.</w:t>
      </w:r>
    </w:p>
  </w:footnote>
  <w:footnote w:id="2857">
    <w:p>
      <w:pPr>
        <w:pStyle w:val="FootnoteText"/>
      </w:pPr>
      <w:r>
        <w:rPr>
          <w:rStyle w:val="FootnoteReference"/>
        </w:rPr>
        <w:footnoteRef/>
      </w:r>
      <w:r>
        <w:t xml:space="preserve"> </w:t>
      </w:r>
      <w:r>
        <w:t xml:space="preserve">Jastreboff 2025, PMID 40549887.</w:t>
      </w:r>
    </w:p>
  </w:footnote>
  <w:footnote w:id="2859">
    <w:p>
      <w:pPr>
        <w:pStyle w:val="FootnoteText"/>
      </w:pPr>
      <w:r>
        <w:rPr>
          <w:rStyle w:val="FootnoteReference"/>
        </w:rPr>
        <w:footnoteRef/>
      </w:r>
      <w:r>
        <w:t xml:space="preserve"> </w:t>
      </w:r>
      <w:r>
        <w:t xml:space="preserve">Heymsfield 2021, PMID 33439265.</w:t>
      </w:r>
    </w:p>
  </w:footnote>
  <w:footnote w:id="2860">
    <w:p>
      <w:pPr>
        <w:pStyle w:val="FootnoteText"/>
      </w:pPr>
      <w:r>
        <w:rPr>
          <w:rStyle w:val="FootnoteReference"/>
        </w:rPr>
        <w:footnoteRef/>
      </w:r>
      <w:r>
        <w:t xml:space="preserve"> </w:t>
      </w:r>
      <w:r>
        <w:t xml:space="preserve">Heymsfield 2026, PMID 41772149.</w:t>
      </w:r>
    </w:p>
  </w:footnote>
  <w:footnote w:id="2861">
    <w:p>
      <w:pPr>
        <w:pStyle w:val="FootnoteText"/>
      </w:pPr>
      <w:r>
        <w:rPr>
          <w:rStyle w:val="FootnoteReference"/>
        </w:rPr>
        <w:footnoteRef/>
      </w:r>
      <w:r>
        <w:t xml:space="preserve"> </w:t>
      </w:r>
      <w:r>
        <w:t xml:space="preserve">NCT05933499.</w:t>
      </w:r>
    </w:p>
  </w:footnote>
  <w:footnote w:id="2867">
    <w:p>
      <w:pPr>
        <w:pStyle w:val="FootnoteText"/>
      </w:pPr>
      <w:r>
        <w:rPr>
          <w:rStyle w:val="FootnoteReference"/>
        </w:rPr>
        <w:footnoteRef/>
      </w:r>
      <w:r>
        <w:t xml:space="preserve"> </w:t>
      </w:r>
      <w:r>
        <w:t xml:space="preserve">Drucker 2020, PMID 31848464.</w:t>
      </w:r>
    </w:p>
  </w:footnote>
  <w:footnote w:id="2868">
    <w:p>
      <w:pPr>
        <w:pStyle w:val="FootnoteText"/>
      </w:pPr>
      <w:r>
        <w:rPr>
          <w:rStyle w:val="FootnoteReference"/>
        </w:rPr>
        <w:footnoteRef/>
      </w:r>
      <w:r>
        <w:t xml:space="preserve"> </w:t>
      </w:r>
      <w:r>
        <w:t xml:space="preserve">Vahora 2026, PMID 42687069.</w:t>
      </w:r>
    </w:p>
  </w:footnote>
  <w:footnote w:id="2870">
    <w:p>
      <w:pPr>
        <w:pStyle w:val="FootnoteText"/>
      </w:pPr>
      <w:r>
        <w:rPr>
          <w:rStyle w:val="FootnoteReference"/>
        </w:rPr>
        <w:footnoteRef/>
      </w:r>
      <w:r>
        <w:t xml:space="preserve"> </w:t>
      </w:r>
      <w:r>
        <w:t xml:space="preserve">Levi 2026, PMID 42437874.</w:t>
      </w:r>
    </w:p>
  </w:footnote>
  <w:footnote w:id="2872">
    <w:p>
      <w:pPr>
        <w:pStyle w:val="FootnoteText"/>
      </w:pPr>
      <w:r>
        <w:rPr>
          <w:rStyle w:val="FootnoteReference"/>
        </w:rPr>
        <w:footnoteRef/>
      </w:r>
      <w:r>
        <w:t xml:space="preserve"> </w:t>
      </w:r>
      <w:r>
        <w:t xml:space="preserve">McGuire 2025, PMID 40162642.</w:t>
      </w:r>
    </w:p>
  </w:footnote>
  <w:footnote w:id="2874">
    <w:p>
      <w:pPr>
        <w:pStyle w:val="FootnoteText"/>
      </w:pPr>
      <w:r>
        <w:rPr>
          <w:rStyle w:val="FootnoteReference"/>
        </w:rPr>
        <w:footnoteRef/>
      </w:r>
      <w:r>
        <w:t xml:space="preserve"> </w:t>
      </w:r>
      <w:r>
        <w:t xml:space="preserve">Mora 2026, PMID 42532079.</w:t>
      </w:r>
    </w:p>
  </w:footnote>
  <w:footnote w:id="2875">
    <w:p>
      <w:pPr>
        <w:pStyle w:val="FootnoteText"/>
      </w:pPr>
      <w:r>
        <w:rPr>
          <w:rStyle w:val="FootnoteReference"/>
        </w:rPr>
        <w:footnoteRef/>
      </w:r>
      <w:r>
        <w:t xml:space="preserve"> </w:t>
      </w:r>
      <w:r>
        <w:t xml:space="preserve">NCT07815067.</w:t>
      </w:r>
    </w:p>
  </w:footnote>
  <w:footnote w:id="2877">
    <w:p>
      <w:pPr>
        <w:pStyle w:val="FootnoteText"/>
      </w:pPr>
      <w:r>
        <w:rPr>
          <w:rStyle w:val="FootnoteReference"/>
        </w:rPr>
        <w:footnoteRef/>
      </w:r>
      <w:r>
        <w:t xml:space="preserve"> </w:t>
      </w:r>
      <w:r>
        <w:t xml:space="preserve">Johns 2023, PMID 37125593.</w:t>
      </w:r>
    </w:p>
  </w:footnote>
  <w:footnote w:id="2878">
    <w:p>
      <w:pPr>
        <w:pStyle w:val="FootnoteText"/>
      </w:pPr>
      <w:r>
        <w:rPr>
          <w:rStyle w:val="FootnoteReference"/>
        </w:rPr>
        <w:footnoteRef/>
      </w:r>
      <w:r>
        <w:t xml:space="preserve"> </w:t>
      </w:r>
      <w:r>
        <w:t xml:space="preserve">Navar 2026, PMID 41879224.</w:t>
      </w:r>
    </w:p>
  </w:footnote>
  <w:footnote w:id="2879">
    <w:p>
      <w:pPr>
        <w:pStyle w:val="FootnoteText"/>
      </w:pPr>
      <w:r>
        <w:rPr>
          <w:rStyle w:val="FootnoteReference"/>
        </w:rPr>
        <w:footnoteRef/>
      </w:r>
      <w:r>
        <w:t xml:space="preserve"> </w:t>
      </w:r>
      <w:r>
        <w:t xml:space="preserve">Bissonnette 2025, PMID 41191940.</w:t>
      </w:r>
    </w:p>
  </w:footnote>
  <w:footnote w:id="2880">
    <w:p>
      <w:pPr>
        <w:pStyle w:val="FootnoteText"/>
      </w:pPr>
      <w:r>
        <w:rPr>
          <w:rStyle w:val="FootnoteReference"/>
        </w:rPr>
        <w:footnoteRef/>
      </w:r>
      <w:r>
        <w:t xml:space="preserve"> </w:t>
      </w:r>
      <w:r>
        <w:t xml:space="preserve">Knight 2025, PMID 40629250.</w:t>
      </w:r>
    </w:p>
  </w:footnote>
  <w:footnote w:id="2883">
    <w:p>
      <w:pPr>
        <w:pStyle w:val="FootnoteText"/>
      </w:pPr>
      <w:r>
        <w:rPr>
          <w:rStyle w:val="FootnoteReference"/>
        </w:rPr>
        <w:footnoteRef/>
      </w:r>
      <w:r>
        <w:t xml:space="preserve"> </w:t>
      </w:r>
      <w:r>
        <w:t xml:space="preserve">Rosenstock 2026, PMID 41765029.</w:t>
      </w:r>
    </w:p>
  </w:footnote>
  <w:footnote w:id="2884">
    <w:p>
      <w:pPr>
        <w:pStyle w:val="FootnoteText"/>
      </w:pPr>
      <w:r>
        <w:rPr>
          <w:rStyle w:val="FootnoteReference"/>
        </w:rPr>
        <w:footnoteRef/>
      </w:r>
      <w:r>
        <w:t xml:space="preserve"> </w:t>
      </w:r>
      <w:r>
        <w:t xml:space="preserve">Wharton 2025, PMID 40960239.</w:t>
      </w:r>
    </w:p>
  </w:footnote>
  <w:footnote w:id="2885">
    <w:p>
      <w:pPr>
        <w:pStyle w:val="FootnoteText"/>
      </w:pPr>
      <w:r>
        <w:rPr>
          <w:rStyle w:val="FootnoteReference"/>
        </w:rPr>
        <w:footnoteRef/>
      </w:r>
      <w:r>
        <w:t xml:space="preserve"> </w:t>
      </w:r>
      <w:r>
        <w:t xml:space="preserve">Rosenstock 2026, PMID 41765029.</w:t>
      </w:r>
    </w:p>
  </w:footnote>
  <w:footnote w:id="2886">
    <w:p>
      <w:pPr>
        <w:pStyle w:val="FootnoteText"/>
      </w:pPr>
      <w:r>
        <w:rPr>
          <w:rStyle w:val="FootnoteReference"/>
        </w:rPr>
        <w:footnoteRef/>
      </w:r>
      <w:r>
        <w:t xml:space="preserve"> </w:t>
      </w:r>
      <w:r>
        <w:t xml:space="preserve">Aronne 2026, PMID 42120723.</w:t>
      </w:r>
    </w:p>
  </w:footnote>
  <w:footnote w:id="2887">
    <w:p>
      <w:pPr>
        <w:pStyle w:val="FootnoteText"/>
      </w:pPr>
      <w:r>
        <w:rPr>
          <w:rStyle w:val="FootnoteReference"/>
        </w:rPr>
        <w:footnoteRef/>
      </w:r>
      <w:r>
        <w:t xml:space="preserve"> </w:t>
      </w:r>
      <w:r>
        <w:t xml:space="preserve">Wharton 2026, PMID 42338042.</w:t>
      </w:r>
    </w:p>
  </w:footnote>
  <w:footnote w:id="2889">
    <w:p>
      <w:pPr>
        <w:pStyle w:val="FootnoteText"/>
      </w:pPr>
      <w:r>
        <w:rPr>
          <w:rStyle w:val="FootnoteReference"/>
        </w:rPr>
        <w:footnoteRef/>
      </w:r>
      <w:r>
        <w:t xml:space="preserve"> </w:t>
      </w:r>
      <w:r>
        <w:t xml:space="preserve">Buckeridge 2025, PMID 40539310.</w:t>
      </w:r>
    </w:p>
  </w:footnote>
  <w:footnote w:id="2892">
    <w:p>
      <w:pPr>
        <w:pStyle w:val="FootnoteText"/>
      </w:pPr>
      <w:r>
        <w:rPr>
          <w:rStyle w:val="FootnoteReference"/>
        </w:rPr>
        <w:footnoteRef/>
      </w:r>
      <w:r>
        <w:t xml:space="preserve"> </w:t>
      </w:r>
      <w:r>
        <w:t xml:space="preserve">Michalak 2026, PMID 42225305.</w:t>
      </w:r>
    </w:p>
  </w:footnote>
  <w:footnote w:id="2894">
    <w:p>
      <w:pPr>
        <w:pStyle w:val="FootnoteText"/>
      </w:pPr>
      <w:r>
        <w:rPr>
          <w:rStyle w:val="FootnoteReference"/>
        </w:rPr>
        <w:footnoteRef/>
      </w:r>
      <w:r>
        <w:t xml:space="preserve"> </w:t>
      </w:r>
      <w:r>
        <w:t xml:space="preserve">Vahora 2026, PMID 42687069.</w:t>
      </w:r>
    </w:p>
  </w:footnote>
  <w:footnote w:id="2895">
    <w:p>
      <w:pPr>
        <w:pStyle w:val="FootnoteText"/>
      </w:pPr>
      <w:r>
        <w:rPr>
          <w:rStyle w:val="FootnoteReference"/>
        </w:rPr>
        <w:footnoteRef/>
      </w:r>
      <w:r>
        <w:t xml:space="preserve"> </w:t>
      </w:r>
      <w:r>
        <w:t xml:space="preserve">NCT07241390.</w:t>
      </w:r>
    </w:p>
  </w:footnote>
  <w:footnote w:id="2896">
    <w:p>
      <w:pPr>
        <w:pStyle w:val="FootnoteText"/>
      </w:pPr>
      <w:r>
        <w:rPr>
          <w:rStyle w:val="FootnoteReference"/>
        </w:rPr>
        <w:footnoteRef/>
      </w:r>
      <w:r>
        <w:t xml:space="preserve"> </w:t>
      </w:r>
      <w:r>
        <w:t xml:space="preserve">Levi 2026, PMID 42437874.</w:t>
      </w:r>
    </w:p>
  </w:footnote>
  <w:footnote w:id="2897">
    <w:p>
      <w:pPr>
        <w:pStyle w:val="FootnoteText"/>
      </w:pPr>
      <w:r>
        <w:rPr>
          <w:rStyle w:val="FootnoteReference"/>
        </w:rPr>
        <w:footnoteRef/>
      </w:r>
      <w:r>
        <w:t xml:space="preserve"> </w:t>
      </w:r>
      <w:r>
        <w:t xml:space="preserve">Belcourt 2026, PMID 41689811.</w:t>
      </w:r>
    </w:p>
  </w:footnote>
  <w:footnote w:id="2898">
    <w:p>
      <w:pPr>
        <w:pStyle w:val="FootnoteText"/>
      </w:pPr>
      <w:r>
        <w:rPr>
          <w:rStyle w:val="FootnoteReference"/>
        </w:rPr>
        <w:footnoteRef/>
      </w:r>
      <w:r>
        <w:t xml:space="preserve"> </w:t>
      </w:r>
      <w:r>
        <w:t xml:space="preserve">Hach 2024, PMID 39379664.</w:t>
      </w:r>
    </w:p>
  </w:footnote>
  <w:footnote w:id="2903">
    <w:p>
      <w:pPr>
        <w:pStyle w:val="FootnoteText"/>
      </w:pPr>
      <w:r>
        <w:rPr>
          <w:rStyle w:val="FootnoteReference"/>
        </w:rPr>
        <w:footnoteRef/>
      </w:r>
      <w:r>
        <w:t xml:space="preserve"> </w:t>
      </w:r>
      <w:r>
        <w:t xml:space="preserve">Hach 2024, PMID 39379664.</w:t>
      </w:r>
    </w:p>
  </w:footnote>
  <w:footnote w:id="2905">
    <w:p>
      <w:pPr>
        <w:pStyle w:val="FootnoteText"/>
      </w:pPr>
      <w:r>
        <w:rPr>
          <w:rStyle w:val="FootnoteReference"/>
        </w:rPr>
        <w:footnoteRef/>
      </w:r>
      <w:r>
        <w:t xml:space="preserve"> </w:t>
      </w:r>
      <w:r>
        <w:t xml:space="preserve">Rubino 2022, PMID 35015037.</w:t>
      </w:r>
    </w:p>
  </w:footnote>
  <w:footnote w:id="2907">
    <w:p>
      <w:pPr>
        <w:pStyle w:val="FootnoteText"/>
      </w:pPr>
      <w:r>
        <w:rPr>
          <w:rStyle w:val="FootnoteReference"/>
        </w:rPr>
        <w:footnoteRef/>
      </w:r>
      <w:r>
        <w:t xml:space="preserve"> </w:t>
      </w:r>
      <w:r>
        <w:t xml:space="preserve">Levi 2026, PMID 42437874.</w:t>
      </w:r>
    </w:p>
  </w:footnote>
  <w:footnote w:id="2908">
    <w:p>
      <w:pPr>
        <w:pStyle w:val="FootnoteText"/>
      </w:pPr>
      <w:r>
        <w:rPr>
          <w:rStyle w:val="FootnoteReference"/>
        </w:rPr>
        <w:footnoteRef/>
      </w:r>
      <w:r>
        <w:t xml:space="preserve"> </w:t>
      </w:r>
      <w:r>
        <w:t xml:space="preserve">Mohan 2026, PMID 42747945.</w:t>
      </w:r>
    </w:p>
  </w:footnote>
  <w:footnote w:id="2909">
    <w:p>
      <w:pPr>
        <w:pStyle w:val="FootnoteText"/>
      </w:pPr>
      <w:r>
        <w:rPr>
          <w:rStyle w:val="FootnoteReference"/>
        </w:rPr>
        <w:footnoteRef/>
      </w:r>
      <w:r>
        <w:t xml:space="preserve"> </w:t>
      </w:r>
      <w:r>
        <w:t xml:space="preserve">Mani 2025, PMID 41358329.</w:t>
      </w:r>
    </w:p>
  </w:footnote>
  <w:footnote w:id="2910">
    <w:p>
      <w:pPr>
        <w:pStyle w:val="FootnoteText"/>
      </w:pPr>
      <w:r>
        <w:rPr>
          <w:rStyle w:val="FootnoteReference"/>
        </w:rPr>
        <w:footnoteRef/>
      </w:r>
      <w:r>
        <w:t xml:space="preserve"> </w:t>
      </w:r>
      <w:r>
        <w:t xml:space="preserve">Celletti 2026, PMID 41324410.</w:t>
      </w:r>
    </w:p>
  </w:footnote>
  <w:footnote w:id="2913">
    <w:p>
      <w:pPr>
        <w:pStyle w:val="FootnoteText"/>
      </w:pPr>
      <w:r>
        <w:rPr>
          <w:rStyle w:val="FootnoteReference"/>
        </w:rPr>
        <w:footnoteRef/>
      </w:r>
      <w:r>
        <w:t xml:space="preserve"> </w:t>
      </w:r>
      <w:r>
        <w:t xml:space="preserve">DiStefano 2025, PMID 39776466.</w:t>
      </w:r>
    </w:p>
  </w:footnote>
  <w:footnote w:id="2914">
    <w:p>
      <w:pPr>
        <w:pStyle w:val="FootnoteText"/>
      </w:pPr>
      <w:r>
        <w:rPr>
          <w:rStyle w:val="FootnoteReference"/>
        </w:rPr>
        <w:footnoteRef/>
      </w:r>
      <w:r>
        <w:t xml:space="preserve"> </w:t>
      </w:r>
      <w:r>
        <w:t xml:space="preserve">Belcourt 2026, PMID 41689811.</w:t>
      </w:r>
    </w:p>
  </w:footnote>
  <w:footnote w:id="2915">
    <w:p>
      <w:pPr>
        <w:pStyle w:val="FootnoteText"/>
      </w:pPr>
      <w:r>
        <w:rPr>
          <w:rStyle w:val="FootnoteReference"/>
        </w:rPr>
        <w:footnoteRef/>
      </w:r>
      <w:r>
        <w:t xml:space="preserve"> </w:t>
      </w:r>
      <w:r>
        <w:t xml:space="preserve">Jordan 2026, PMID 42010938.</w:t>
      </w:r>
    </w:p>
  </w:footnote>
  <w:footnote w:id="2917">
    <w:p>
      <w:pPr>
        <w:pStyle w:val="FootnoteText"/>
      </w:pPr>
      <w:r>
        <w:rPr>
          <w:rStyle w:val="FootnoteReference"/>
        </w:rPr>
        <w:footnoteRef/>
      </w:r>
      <w:r>
        <w:t xml:space="preserve"> </w:t>
      </w:r>
      <w:r>
        <w:t xml:space="preserve">Mailhac 2024, PMID 38685990.</w:t>
      </w:r>
    </w:p>
  </w:footnote>
  <w:footnote w:id="2918">
    <w:p>
      <w:pPr>
        <w:pStyle w:val="FootnoteText"/>
      </w:pPr>
      <w:r>
        <w:rPr>
          <w:rStyle w:val="FootnoteReference"/>
        </w:rPr>
        <w:footnoteRef/>
      </w:r>
      <w:r>
        <w:t xml:space="preserve"> </w:t>
      </w:r>
      <w:r>
        <w:t xml:space="preserve">Gasoyan 2025, PMID 41039650.</w:t>
      </w:r>
    </w:p>
  </w:footnote>
  <w:footnote w:id="2920">
    <w:p>
      <w:pPr>
        <w:pStyle w:val="FootnoteText"/>
      </w:pPr>
      <w:r>
        <w:rPr>
          <w:rStyle w:val="FootnoteReference"/>
        </w:rPr>
        <w:footnoteRef/>
      </w:r>
      <w:r>
        <w:t xml:space="preserve"> </w:t>
      </w:r>
      <w:r>
        <w:t xml:space="preserve">Hwang 2025, PMID 40085108.</w:t>
      </w:r>
    </w:p>
  </w:footnote>
  <w:footnote w:id="2921">
    <w:p>
      <w:pPr>
        <w:pStyle w:val="FootnoteText"/>
      </w:pPr>
      <w:r>
        <w:rPr>
          <w:rStyle w:val="FootnoteReference"/>
        </w:rPr>
        <w:footnoteRef/>
      </w:r>
      <w:r>
        <w:t xml:space="preserve"> </w:t>
      </w:r>
      <w:r>
        <w:t xml:space="preserve">Dhippayom 2026, PMID 41365841.</w:t>
      </w:r>
    </w:p>
  </w:footnote>
  <w:footnote w:id="2922">
    <w:p>
      <w:pPr>
        <w:pStyle w:val="FootnoteText"/>
      </w:pPr>
      <w:r>
        <w:rPr>
          <w:rStyle w:val="FootnoteReference"/>
        </w:rPr>
        <w:footnoteRef/>
      </w:r>
      <w:r>
        <w:t xml:space="preserve"> </w:t>
      </w:r>
      <w:r>
        <w:t xml:space="preserve">Hennessy 2026, PMID 41637062.</w:t>
      </w:r>
    </w:p>
  </w:footnote>
  <w:footnote w:id="2923">
    <w:p>
      <w:pPr>
        <w:pStyle w:val="FootnoteText"/>
      </w:pPr>
      <w:r>
        <w:rPr>
          <w:rStyle w:val="FootnoteReference"/>
        </w:rPr>
        <w:footnoteRef/>
      </w:r>
      <w:r>
        <w:t xml:space="preserve"> </w:t>
      </w:r>
      <w:r>
        <w:t xml:space="preserve">Scannell 2026, PMID 42640207.</w:t>
      </w:r>
    </w:p>
  </w:footnote>
  <w:footnote w:id="2926">
    <w:p>
      <w:pPr>
        <w:pStyle w:val="FootnoteText"/>
      </w:pPr>
      <w:r>
        <w:rPr>
          <w:rStyle w:val="FootnoteReference"/>
        </w:rPr>
        <w:footnoteRef/>
      </w:r>
      <w:r>
        <w:t xml:space="preserve"> </w:t>
      </w:r>
      <w:r>
        <w:t xml:space="preserve">Wilding 2022, PMID 35441470.</w:t>
      </w:r>
    </w:p>
  </w:footnote>
  <w:footnote w:id="2930">
    <w:p>
      <w:pPr>
        <w:pStyle w:val="FootnoteText"/>
      </w:pPr>
      <w:r>
        <w:rPr>
          <w:rStyle w:val="FootnoteReference"/>
        </w:rPr>
        <w:footnoteRef/>
      </w:r>
      <w:r>
        <w:t xml:space="preserve"> </w:t>
      </w:r>
      <w:r>
        <w:t xml:space="preserve">Cummings 2026, PMID 41865758.</w:t>
      </w:r>
    </w:p>
  </w:footnote>
  <w:footnote w:id="2931">
    <w:p>
      <w:pPr>
        <w:pStyle w:val="FootnoteText"/>
      </w:pPr>
      <w:r>
        <w:rPr>
          <w:rStyle w:val="FootnoteReference"/>
        </w:rPr>
        <w:footnoteRef/>
      </w:r>
      <w:r>
        <w:t xml:space="preserve"> </w:t>
      </w:r>
      <w:r>
        <w:t xml:space="preserve">Vijiaratnam 2025, PMID 39919773.</w:t>
      </w:r>
    </w:p>
  </w:footnote>
  <w:footnote w:id="2932">
    <w:p>
      <w:pPr>
        <w:pStyle w:val="FootnoteText"/>
      </w:pPr>
      <w:r>
        <w:rPr>
          <w:rStyle w:val="FootnoteReference"/>
        </w:rPr>
        <w:footnoteRef/>
      </w:r>
      <w:r>
        <w:t xml:space="preserve"> </w:t>
      </w:r>
      <w:r>
        <w:t xml:space="preserve">NCT05556512.</w:t>
      </w:r>
    </w:p>
  </w:footnote>
  <w:footnote w:id="2933">
    <w:p>
      <w:pPr>
        <w:pStyle w:val="FootnoteText"/>
      </w:pPr>
      <w:r>
        <w:rPr>
          <w:rStyle w:val="FootnoteReference"/>
        </w:rPr>
        <w:footnoteRef/>
      </w:r>
      <w:r>
        <w:t xml:space="preserve"> </w:t>
      </w:r>
      <w:r>
        <w:t xml:space="preserve">NCT05669755.</w:t>
      </w:r>
    </w:p>
  </w:footnote>
  <w:footnote w:id="2934">
    <w:p>
      <w:pPr>
        <w:pStyle w:val="FootnoteText"/>
      </w:pPr>
      <w:r>
        <w:rPr>
          <w:rStyle w:val="FootnoteReference"/>
        </w:rPr>
        <w:footnoteRef/>
      </w:r>
      <w:r>
        <w:t xml:space="preserve"> </w:t>
      </w:r>
      <w:r>
        <w:t xml:space="preserve">NCT06383390.</w:t>
      </w:r>
    </w:p>
  </w:footnote>
  <w:footnote w:id="2935">
    <w:p>
      <w:pPr>
        <w:pStyle w:val="FootnoteText"/>
      </w:pPr>
      <w:r>
        <w:rPr>
          <w:rStyle w:val="FootnoteReference"/>
        </w:rPr>
        <w:footnoteRef/>
      </w:r>
      <w:r>
        <w:t xml:space="preserve"> </w:t>
      </w:r>
      <w:r>
        <w:t xml:space="preserve">NCT06632457.</w:t>
      </w:r>
    </w:p>
  </w:footnote>
  <w:footnote w:id="2936">
    <w:p>
      <w:pPr>
        <w:pStyle w:val="FootnoteText"/>
      </w:pPr>
      <w:r>
        <w:rPr>
          <w:rStyle w:val="FootnoteReference"/>
        </w:rPr>
        <w:footnoteRef/>
      </w:r>
      <w:r>
        <w:t xml:space="preserve"> </w:t>
      </w:r>
      <w:r>
        <w:t xml:space="preserve">NCT07037433, NCT07037459.</w:t>
      </w:r>
    </w:p>
  </w:footnote>
  <w:footnote w:id="2937">
    <w:p>
      <w:pPr>
        <w:pStyle w:val="FootnoteText"/>
      </w:pPr>
      <w:r>
        <w:rPr>
          <w:rStyle w:val="FootnoteReference"/>
        </w:rPr>
        <w:footnoteRef/>
      </w:r>
      <w:r>
        <w:t xml:space="preserve"> </w:t>
      </w:r>
      <w:r>
        <w:t xml:space="preserve">NCT07861100.</w:t>
      </w:r>
    </w:p>
  </w:footnote>
  <w:footnote w:id="2938">
    <w:p>
      <w:pPr>
        <w:pStyle w:val="FootnoteText"/>
      </w:pPr>
      <w:r>
        <w:rPr>
          <w:rStyle w:val="FootnoteReference"/>
        </w:rPr>
        <w:footnoteRef/>
      </w:r>
      <w:r>
        <w:t xml:space="preserve"> </w:t>
      </w:r>
      <w:r>
        <w:t xml:space="preserve">NCT07241390.</w:t>
      </w:r>
    </w:p>
  </w:footnote>
  <w:footnote w:id="2939">
    <w:p>
      <w:pPr>
        <w:pStyle w:val="FootnoteText"/>
      </w:pPr>
      <w:r>
        <w:rPr>
          <w:rStyle w:val="FootnoteReference"/>
        </w:rPr>
        <w:footnoteRef/>
      </w:r>
      <w:r>
        <w:t xml:space="preserve"> </w:t>
      </w:r>
      <w:r>
        <w:t xml:space="preserve">NCT07165028.</w:t>
      </w:r>
    </w:p>
  </w:footnote>
  <w:footnote w:id="2940">
    <w:p>
      <w:pPr>
        <w:pStyle w:val="FootnoteText"/>
      </w:pPr>
      <w:r>
        <w:rPr>
          <w:rStyle w:val="FootnoteReference"/>
        </w:rPr>
        <w:footnoteRef/>
      </w:r>
      <w:r>
        <w:t xml:space="preserve"> </w:t>
      </w:r>
      <w:r>
        <w:t xml:space="preserve">Levi 2026, PMID 42437874.</w:t>
      </w:r>
    </w:p>
  </w:footnote>
  <w:footnote w:id="2942">
    <w:p>
      <w:pPr>
        <w:pStyle w:val="FootnoteText"/>
      </w:pPr>
      <w:r>
        <w:rPr>
          <w:rStyle w:val="FootnoteReference"/>
        </w:rPr>
        <w:footnoteRef/>
      </w:r>
      <w:r>
        <w:t xml:space="preserve"> </w:t>
      </w:r>
      <w:r>
        <w:t xml:space="preserve">NCT05086614.</w:t>
      </w:r>
    </w:p>
  </w:footnote>
  <w:footnote w:id="2943">
    <w:p>
      <w:pPr>
        <w:pStyle w:val="FootnoteText"/>
      </w:pPr>
      <w:r>
        <w:rPr>
          <w:rStyle w:val="FootnoteReference"/>
        </w:rPr>
        <w:footnoteRef/>
      </w:r>
      <w:r>
        <w:t xml:space="preserve"> </w:t>
      </w:r>
      <w:r>
        <w:t xml:space="preserve">NCT05555589.</w:t>
      </w:r>
    </w:p>
  </w:footnote>
  <w:footnote w:id="2945">
    <w:p>
      <w:pPr>
        <w:pStyle w:val="FootnoteText"/>
      </w:pPr>
      <w:r>
        <w:rPr>
          <w:rStyle w:val="FootnoteReference"/>
        </w:rPr>
        <w:footnoteRef/>
      </w:r>
      <w:r>
        <w:t xml:space="preserve"> </w:t>
      </w:r>
      <w:r>
        <w:t xml:space="preserve">NCT00903110.</w:t>
      </w:r>
    </w:p>
  </w:footnote>
  <w:footnote w:id="2947">
    <w:p>
      <w:pPr>
        <w:pStyle w:val="FootnoteText"/>
      </w:pPr>
      <w:r>
        <w:rPr>
          <w:rStyle w:val="FootnoteReference"/>
        </w:rPr>
        <w:footnoteRef/>
      </w:r>
      <w:r>
        <w:t xml:space="preserve"> </w:t>
      </w:r>
      <w:r>
        <w:t xml:space="preserve">NCT06373731.</w:t>
      </w:r>
    </w:p>
  </w:footnote>
  <w:footnote w:id="2948">
    <w:p>
      <w:pPr>
        <w:pStyle w:val="FootnoteText"/>
      </w:pPr>
      <w:r>
        <w:rPr>
          <w:rStyle w:val="FootnoteReference"/>
        </w:rPr>
        <w:footnoteRef/>
      </w:r>
      <w:r>
        <w:t xml:space="preserve"> </w:t>
      </w:r>
      <w:r>
        <w:t xml:space="preserve">NCT05755997.</w:t>
      </w:r>
    </w:p>
  </w:footnote>
  <w:footnote w:id="2949">
    <w:p>
      <w:pPr>
        <w:pStyle w:val="FootnoteText"/>
      </w:pPr>
      <w:r>
        <w:rPr>
          <w:rStyle w:val="FootnoteReference"/>
        </w:rPr>
        <w:footnoteRef/>
      </w:r>
      <w:r>
        <w:t xml:space="preserve"> </w:t>
      </w:r>
      <w:r>
        <w:t xml:space="preserve">NCT07888595.</w:t>
      </w:r>
    </w:p>
  </w:footnote>
  <w:footnote w:id="2951">
    <w:p>
      <w:pPr>
        <w:pStyle w:val="FootnoteText"/>
      </w:pPr>
      <w:r>
        <w:rPr>
          <w:rStyle w:val="FootnoteReference"/>
        </w:rPr>
        <w:footnoteRef/>
      </w:r>
      <w:r>
        <w:t xml:space="preserve"> </w:t>
      </w:r>
      <w:r>
        <w:t xml:space="preserve">NCT06109649.</w:t>
      </w:r>
    </w:p>
  </w:footnote>
  <w:footnote w:id="2954">
    <w:p>
      <w:pPr>
        <w:pStyle w:val="FootnoteText"/>
      </w:pPr>
      <w:r>
        <w:rPr>
          <w:rStyle w:val="FootnoteReference"/>
        </w:rPr>
        <w:footnoteRef/>
      </w:r>
      <w:r>
        <w:t xml:space="preserve"> </w:t>
      </w:r>
      <w:r>
        <w:t xml:space="preserve">Celletti 2026, PMID 41324410.</w:t>
      </w:r>
    </w:p>
  </w:footnote>
  <w:footnote w:id="2956">
    <w:p>
      <w:pPr>
        <w:pStyle w:val="FootnoteText"/>
      </w:pPr>
      <w:r>
        <w:rPr>
          <w:rStyle w:val="FootnoteReference"/>
        </w:rPr>
        <w:footnoteRef/>
      </w:r>
      <w:r>
        <w:t xml:space="preserve"> </w:t>
      </w:r>
      <w:r>
        <w:t xml:space="preserve">Wilding 2022, PMID 35441470.</w:t>
      </w:r>
    </w:p>
  </w:footnote>
  <w:footnote w:id="2957">
    <w:p>
      <w:pPr>
        <w:pStyle w:val="FootnoteText"/>
      </w:pPr>
      <w:r>
        <w:rPr>
          <w:rStyle w:val="FootnoteReference"/>
        </w:rPr>
        <w:footnoteRef/>
      </w:r>
      <w:r>
        <w:t xml:space="preserve"> </w:t>
      </w:r>
      <w:r>
        <w:t xml:space="preserve">Aronne 2024, PMID 38078870.</w:t>
      </w:r>
    </w:p>
  </w:footnote>
  <w:footnote w:id="2958">
    <w:p>
      <w:pPr>
        <w:pStyle w:val="FootnoteText"/>
      </w:pPr>
      <w:r>
        <w:rPr>
          <w:rStyle w:val="FootnoteReference"/>
        </w:rPr>
        <w:footnoteRef/>
      </w:r>
      <w:r>
        <w:t xml:space="preserve"> </w:t>
      </w:r>
      <w:r>
        <w:t xml:space="preserve">Aronne 2026, PMID 42120723.</w:t>
      </w:r>
    </w:p>
  </w:footnote>
  <w:footnote w:id="2959">
    <w:p>
      <w:pPr>
        <w:pStyle w:val="FootnoteText"/>
      </w:pPr>
      <w:r>
        <w:rPr>
          <w:rStyle w:val="FootnoteReference"/>
        </w:rPr>
        <w:footnoteRef/>
      </w:r>
      <w:r>
        <w:t xml:space="preserve"> </w:t>
      </w:r>
      <w:r>
        <w:t xml:space="preserve">Cengiz 2025, PMID 39950222.</w:t>
      </w:r>
    </w:p>
  </w:footnote>
  <w:footnote w:id="2961">
    <w:p>
      <w:pPr>
        <w:pStyle w:val="FootnoteText"/>
      </w:pPr>
      <w:r>
        <w:rPr>
          <w:rStyle w:val="FootnoteReference"/>
        </w:rPr>
        <w:footnoteRef/>
      </w:r>
      <w:r>
        <w:t xml:space="preserve"> </w:t>
      </w:r>
      <w:r>
        <w:t xml:space="preserve">Celletti 2026, PMID 41324410.</w:t>
      </w:r>
    </w:p>
  </w:footnote>
  <w:footnote w:id="2963">
    <w:p>
      <w:pPr>
        <w:pStyle w:val="FootnoteText"/>
      </w:pPr>
      <w:r>
        <w:rPr>
          <w:rStyle w:val="FootnoteReference"/>
        </w:rPr>
        <w:footnoteRef/>
      </w:r>
      <w:r>
        <w:t xml:space="preserve"> </w:t>
      </w:r>
      <w:r>
        <w:t xml:space="preserve">Rubin 2026, PMID 42853576.</w:t>
      </w:r>
    </w:p>
  </w:footnote>
  <w:footnote w:id="2964">
    <w:p>
      <w:pPr>
        <w:pStyle w:val="FootnoteText"/>
      </w:pPr>
      <w:r>
        <w:rPr>
          <w:rStyle w:val="FootnoteReference"/>
        </w:rPr>
        <w:footnoteRef/>
      </w:r>
      <w:r>
        <w:t xml:space="preserve"> </w:t>
      </w:r>
      <w:r>
        <w:t xml:space="preserve">Belcourt 2026, PMID 41689811.</w:t>
      </w:r>
    </w:p>
  </w:footnote>
  <w:footnote w:id="2965">
    <w:p>
      <w:pPr>
        <w:pStyle w:val="FootnoteText"/>
      </w:pPr>
      <w:r>
        <w:rPr>
          <w:rStyle w:val="FootnoteReference"/>
        </w:rPr>
        <w:footnoteRef/>
      </w:r>
      <w:r>
        <w:t xml:space="preserve"> </w:t>
      </w:r>
      <w:r>
        <w:t xml:space="preserve">Willis 2026, PMID 42752426.</w:t>
      </w:r>
    </w:p>
  </w:footnote>
  <w:footnote w:id="2967">
    <w:p>
      <w:pPr>
        <w:pStyle w:val="FootnoteText"/>
      </w:pPr>
      <w:r>
        <w:rPr>
          <w:rStyle w:val="FootnoteReference"/>
        </w:rPr>
        <w:footnoteRef/>
      </w:r>
      <w:r>
        <w:t xml:space="preserve"> </w:t>
      </w:r>
      <w:r>
        <w:t xml:space="preserve">Wei 2025, PMID 40787887.</w:t>
      </w:r>
    </w:p>
  </w:footnote>
  <w:footnote w:id="2968">
    <w:p>
      <w:pPr>
        <w:pStyle w:val="FootnoteText"/>
      </w:pPr>
      <w:r>
        <w:rPr>
          <w:rStyle w:val="FootnoteReference"/>
        </w:rPr>
        <w:footnoteRef/>
      </w:r>
      <w:r>
        <w:t xml:space="preserve"> </w:t>
      </w:r>
      <w:r>
        <w:t xml:space="preserve">Rettie 2025, PMID 40542165.</w:t>
      </w:r>
    </w:p>
  </w:footnote>
  <w:footnote w:id="2969">
    <w:p>
      <w:pPr>
        <w:pStyle w:val="FootnoteText"/>
      </w:pPr>
      <w:r>
        <w:rPr>
          <w:rStyle w:val="FootnoteReference"/>
        </w:rPr>
        <w:footnoteRef/>
      </w:r>
      <w:r>
        <w:t xml:space="preserve"> </w:t>
      </w:r>
      <w:r>
        <w:t xml:space="preserve">Wang 2025, PMID 39825096.</w:t>
      </w:r>
    </w:p>
  </w:footnote>
  <w:footnote w:id="2970">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 von Semaglutid bis BPC-157: Was Studien am Menschen wirklich zeigen, welche Risiken bekannt sind, wie die Rechtslage ist und was die Forschung bringt.</dc:description>
  <dc:language>de-DE</dc:language>
  <dc:subject/>
  <cp:keywords/>
  <dcterms:created xsi:type="dcterms:W3CDTF">2026-10-29T19:54:25Z</dcterms:created>
  <dcterms:modified xsi:type="dcterms:W3CDTF">2026-10-29T19:54:25Z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Alle Rechte vorbehalten.</vt:lpwstr>
  </property>
  <property fmtid="{D5CDD505-2E9C-101B-9397-08002B2CF9AE}" pid="5" name="toc-title">
    <vt:lpwstr>Inhalt</vt:lpwstr>
  </property>
</Properties>
</file>