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20" w:name="créditos"/>
    <w:p>
      <w:pPr>
        <w:pStyle w:val="Heading1"/>
      </w:pPr>
      <w:r>
        <w:t xml:space="preserve">Créditos</w:t>
      </w:r>
    </w:p>
    <w:p>
      <w:pPr>
        <w:pStyle w:val="FirstParagraph"/>
      </w:pPr>
      <w:r>
        <w:rPr>
          <w:bCs/>
          <w:b/>
        </w:rPr>
        <w:t xml:space="preserve">El manual de los péptidos</w:t>
      </w:r>
      <w:r>
        <w:t xml:space="preserve"> </w:t>
      </w:r>
      <w:r>
        <w:t xml:space="preserve">Todos los estudios en humanos comparados – efectos, riesgos, situación legal y perspectivas</w:t>
      </w:r>
    </w:p>
    <w:p>
      <w:pPr>
        <w:pStyle w:val="BodyText"/>
      </w:pPr>
      <w:r>
        <w:t xml:space="preserve">© 2026 Josef Gallab. Todos los derechos reservados.</w:t>
      </w:r>
    </w:p>
    <w:p>
      <w:pPr>
        <w:pStyle w:val="BodyText"/>
      </w:pPr>
      <w:r>
        <w:t xml:space="preserve">Primera edición. Estado de la investigación: octubre/noviembre de 2026. Traducido del original alemán.</w:t>
      </w:r>
    </w:p>
    <w:p>
      <w:pPr>
        <w:pStyle w:val="BodyText"/>
      </w:pPr>
      <w:r>
        <w:t xml:space="preserve">Este libro tiene fines exclusivamente informativos. No sustituye el consejo, el diagnóstico ni el tratamiento médico</w:t>
      </w:r>
      <w:r>
        <w:t xml:space="preserve"> </w:t>
      </w:r>
      <w:r>
        <w:t xml:space="preserve">y no contiene recomendaciones de uso. Muchas de las sustancias descritas no están autorizadas como medicamentos.</w:t>
      </w:r>
    </w:p>
    <w:p>
      <w:pPr>
        <w:pStyle w:val="BodyText"/>
      </w:pPr>
      <w:r>
        <w:t xml:space="preserve">Cubierta: Josef Gallab</w:t>
      </w:r>
    </w:p>
    <w:p>
      <w:pPr>
        <w:pStyle w:val="BodyText"/>
      </w:pPr>
      <w:r>
        <w:t xml:space="preserve">La información sobre autorizaciones, situación legal y estado antidopaje refleja la situación de octubre/noviembre de 2026. Puede cambiar en cualquier momento: compruébela antes de tomar cualquier decisión. Las fuentes de cada afirmación figuran en las notas al pie y en el índice de estudios.</w:t>
      </w:r>
    </w:p>
    <w:p>
      <w:pPr>
        <w:pStyle w:val="BodyText"/>
      </w:pPr>
      <w:r>
        <w:t xml:space="preserve">Queda prohibida la reproducción o distribución total o parcial sin la autorización escrita del autor.</w:t>
      </w:r>
    </w:p>
    <w:bookmarkEnd w:id="20"/>
    <w:bookmarkStart w:id="21" w:name="prólogo"/>
    <w:p>
      <w:pPr>
        <w:pStyle w:val="Heading1"/>
      </w:pPr>
      <w:r>
        <w:t xml:space="preserve">Prólogo</w:t>
      </w:r>
    </w:p>
    <w:p>
      <w:pPr>
        <w:pStyle w:val="FirstParagraph"/>
      </w:pPr>
      <w:r>
        <w:t xml:space="preserve">Desde hace más de cinco años, los péptidos no me sueltan. Empezó como a tantos otros: con el deporte, con el deseo de recuperarme más rápido, de rendir más y de sacar más partido a mi cuerpo. A través del biohacking me topé con sustancias de las que la mayoría de la gente nunca ha oído hablar: BPC-157, MOTS-c, Semax, GHK-Cu y, más tarde, la retatrutida. Me dediqué a fondo a ellas, leí innumerables testimonios y hablé con muchas personas que las utilizan.</w:t>
      </w:r>
    </w:p>
    <w:p>
      <w:pPr>
        <w:pStyle w:val="BodyText"/>
      </w:pPr>
      <w:r>
        <w:t xml:space="preserve">Lo que una y otra vez me molestaba era esto: la información que uno encuentra es o publicidad o alarmismo. Las páginas de los vendedores prometen milagros, en los foros se alternan el entusiasmo y las historias de terror, y en el otro lado suele haber un rechazo generalizado. Lo que casi siempre falta es una mirada sobria a los estudios. ¿Qué se ha investigado realmente, en personas y no solo en ratas? ¿Qué tamaño tenían los estudios? ¿Qué se sabe sobre los riesgos?</w:t>
      </w:r>
    </w:p>
    <w:p>
      <w:pPr>
        <w:pStyle w:val="BodyText"/>
      </w:pPr>
      <w:r>
        <w:t xml:space="preserve">Este libro es el libro que a mí mismo me habría gustado tener hace cinco años.</w:t>
      </w:r>
    </w:p>
    <w:p>
      <w:pPr>
        <w:pStyle w:val="BodyText"/>
      </w:pPr>
      <w:r>
        <w:t xml:space="preserve">Estoy convencido de que los péptidos se cuentan entre los avances más apasionantes de la medicina. Los medicamentos GLP-1 han cambiado en pocos años nuestra forma de pensar sobre el exceso de peso, la diabetes y la salud cardiovascular. Muchos otros péptidos muestran en el laboratorio y en los primeros estudios un potencial que me entusiasma. Creo que algún día podrán resolver muchos de nuestros problemas de salud y ayudarnos a sacar lo mejor de nuestro cuerpo.</w:t>
      </w:r>
    </w:p>
    <w:p>
      <w:pPr>
        <w:pStyle w:val="BodyText"/>
      </w:pPr>
      <w:r>
        <w:t xml:space="preserve">Pero —y precisamente por eso este libro es como es— el entusiasmo no sustituye a las pruebas. Para muchos péptidos que se celebran en internet no existe hasta hoy ni un solo estudio concluyente en seres humanos. Por muchos que sean, los testimonios son casos aislados y no una prueba. Quien sigue a ciegas cada moda corre riesgos que a menudo nadie conoce: productos contaminados del mercado gris, consecuencias desconocidas a largo plazo, problemas legales.</w:t>
      </w:r>
    </w:p>
    <w:p>
      <w:pPr>
        <w:pStyle w:val="BodyText"/>
      </w:pPr>
      <w:r>
        <w:t xml:space="preserve">Por eso, en este libro encontrarás para cada uno de los 58 péptidos ambas cosas: el potencial y las preguntas abiertas. Cada afirmación está respaldada por una fuente que puedes consultar tú mismo. Los niveles de evidencia de la A a la D te muestran de un vistazo lo seguro que es el conocimiento. Y donde los datos son escasos, se dice expresamente.</w:t>
      </w:r>
    </w:p>
    <w:p>
      <w:pPr>
        <w:pStyle w:val="BodyText"/>
      </w:pPr>
      <w:r>
        <w:t xml:space="preserve">Aquí no encontrarás dosis ni fuentes de suministro. Es intencionado. Este libro quiere ayudarte a formarte tu propio juicio y a plantear las preguntas adecuadas cuando hables con tu médica o tu médico.</w:t>
      </w:r>
    </w:p>
    <w:p>
      <w:pPr>
        <w:pStyle w:val="BodyText"/>
      </w:pPr>
      <w:r>
        <w:t xml:space="preserve">La investigación avanza más rápido que nunca. Mucho de lo que hoy sigue abierto tendrá respuesta en pocos años. Me alegra pensarlo, y espero que este libro te acompañe en ese camino.</w:t>
      </w:r>
    </w:p>
    <w:p>
      <w:pPr>
        <w:pStyle w:val="BodyText"/>
      </w:pPr>
      <w:r>
        <w:rPr>
          <w:iCs/>
          <w:i/>
        </w:rPr>
        <w:t xml:space="preserve">Josef Gallab</w:t>
      </w:r>
    </w:p>
    <w:bookmarkEnd w:id="21"/>
    <w:bookmarkStart w:id="28" w:name="aviso-importante"/>
    <w:p>
      <w:pPr>
        <w:pStyle w:val="Heading1"/>
      </w:pPr>
      <w:r>
        <w:t xml:space="preserve">Aviso importante</w:t>
      </w:r>
    </w:p>
    <w:bookmarkStart w:id="22" w:name="no-sustituye-al-consejo-médico"/>
    <w:p>
      <w:pPr>
        <w:pStyle w:val="Heading3"/>
      </w:pPr>
      <w:r>
        <w:t xml:space="preserve">No sustituye al consejo médico</w:t>
      </w:r>
    </w:p>
    <w:p>
      <w:pPr>
        <w:pStyle w:val="FirstParagraph"/>
      </w:pPr>
      <w:r>
        <w:t xml:space="preserve">Este libro tiene una finalidad exclusivamente informativa y educativa de carácter general. No sustituye al asesoramiento, el diagnóstico ni el tratamiento médicos. Antes de tomar decisiones sobre tu salud o de empezar, suspender o modificar un medicamento, habla con un médico o una médica, o con un farmacéutico o una farmacéutica. Ante síntomas agudos, acude a un servicio de urgencias o llama al número de emergencias.</w:t>
      </w:r>
    </w:p>
    <w:bookmarkEnd w:id="22"/>
    <w:bookmarkStart w:id="23" w:name="ninguna-recomendación-de-uso"/>
    <w:p>
      <w:pPr>
        <w:pStyle w:val="Heading3"/>
      </w:pPr>
      <w:r>
        <w:t xml:space="preserve">Ninguna recomendación de uso</w:t>
      </w:r>
    </w:p>
    <w:p>
      <w:pPr>
        <w:pStyle w:val="FirstParagraph"/>
      </w:pPr>
      <w:r>
        <w:t xml:space="preserve">Este libro no contiene, de forma deliberada, recomendaciones sobre el uso de péptidos, ni dosis, ni instrucciones de toma o de inyección, ni ciclos de uso, ni recomendaciones de combinación. Cuando en el texto se menciona una dosis, describe únicamente lo que se investigó en un estudio concreto. No es una recomendación y no puede trasladarse a tu situación personal. En el caso de los medicamentos autorizados, lo determinante son la ficha técnica, el prospecto y el seguimiento médico.</w:t>
      </w:r>
    </w:p>
    <w:bookmarkEnd w:id="23"/>
    <w:bookmarkStart w:id="24" w:name="muchas-sustancias-no-están-autorizadas"/>
    <w:p>
      <w:pPr>
        <w:pStyle w:val="Heading3"/>
      </w:pPr>
      <w:r>
        <w:t xml:space="preserve">Muchas sustancias no están autorizadas</w:t>
      </w:r>
    </w:p>
    <w:p>
      <w:pPr>
        <w:pStyle w:val="FirstParagraph"/>
      </w:pPr>
      <w:r>
        <w:t xml:space="preserve">Numerosos péptidos descritos en este libro</w:t>
      </w:r>
      <w:r>
        <w:t xml:space="preserve"> </w:t>
      </w:r>
      <w:r>
        <w:rPr>
          <w:bCs/>
          <w:b/>
        </w:rPr>
        <w:t xml:space="preserve">no</w:t>
      </w:r>
      <w:r>
        <w:t xml:space="preserve"> </w:t>
      </w:r>
      <w:r>
        <w:t xml:space="preserve">están autorizados como medicamentos en la Unión Europea, en Austria, en Alemania ni en Estados Unidos. Para muchos de ellos solo existen estudios en animales o de laboratorio. La presentación de estas sustancias en este libro no constituye ninguna afirmación sobre su eficacia o seguridad en el ser humano ni una invitación a utilizarlas. Los productos que se ofrecen en internet como «Research Peptides» o «solo para fines de investigación» pueden estar mal dosificados, contaminados o falsificados. Su uso puede tener consecuencias graves para la salud y consecuencias jurídicas.</w:t>
      </w:r>
    </w:p>
    <w:bookmarkEnd w:id="24"/>
    <w:bookmarkStart w:id="25" w:name="dopaje"/>
    <w:p>
      <w:pPr>
        <w:pStyle w:val="Heading3"/>
      </w:pPr>
      <w:r>
        <w:t xml:space="preserve">Dopaje</w:t>
      </w:r>
    </w:p>
    <w:p>
      <w:pPr>
        <w:pStyle w:val="FirstParagraph"/>
      </w:pPr>
      <w:r>
        <w:t xml:space="preserve">Muchos de los péptidos descritos figuran en la Lista de Prohibiciones de la Agencia Mundial Antidopaje (WADA). Su uso puede conllevar sanciones para los deportistas sometidos a controles antidopaje. En Austria y Alemania, el comercio, la cesión y, en determinados casos, también la posesión de sustancias dopantes pueden ser constitutivos de delito.</w:t>
      </w:r>
    </w:p>
    <w:bookmarkEnd w:id="25"/>
    <w:bookmarkStart w:id="26" w:name="actualidad-y-garantía"/>
    <w:p>
      <w:pPr>
        <w:pStyle w:val="Heading3"/>
      </w:pPr>
      <w:r>
        <w:t xml:space="preserve">Actualidad y garantía</w:t>
      </w:r>
    </w:p>
    <w:p>
      <w:pPr>
        <w:pStyle w:val="FirstParagraph"/>
      </w:pPr>
      <w:r>
        <w:t xml:space="preserve">La información de este libro corresponde al</w:t>
      </w:r>
      <w:r>
        <w:t xml:space="preserve"> </w:t>
      </w:r>
      <w:r>
        <w:rPr>
          <w:bCs/>
          <w:b/>
        </w:rPr>
        <w:t xml:space="preserve">estado de noviembre de 2026</w:t>
      </w:r>
      <w:r>
        <w:t xml:space="preserve">. La búsqueda en las bases de datos se realizó en octubre de 2026. Los conocimientos médicos, las autorizaciones, las leyes y las normas antidopaje cambian constantemente. Todos los datos se han recopilado según el leal saber y entender del autor y con gran cuidado, pero sin garantía de exactitud, integridad ni actualidad. Queda excluida, en la medida en que la ley lo permita, la responsabilidad del autor por daños derivados del uso de la información contenida en este libro. La exposición de la situación jurídica no constituye asesoramiento jurídico.</w:t>
      </w:r>
    </w:p>
    <w:bookmarkEnd w:id="26"/>
    <w:bookmarkStart w:id="27" w:name="cómo-se-ha-elaborado-este-libro"/>
    <w:p>
      <w:pPr>
        <w:pStyle w:val="Heading3"/>
      </w:pPr>
      <w:r>
        <w:t xml:space="preserve">Cómo se ha elaborado este libro</w:t>
      </w:r>
    </w:p>
    <w:p>
      <w:pPr>
        <w:pStyle w:val="FirstParagraph"/>
      </w:pPr>
      <w:r>
        <w:t xml:space="preserve">Para este libro se realizaron búsquedas sistemáticas en las bases de datos PubMed y ClinicalTrials.gov y se analizaron los resúmenes de los estudios encontrados.</w:t>
      </w:r>
    </w:p>
    <w:p>
      <w:pPr>
        <w:pStyle w:val="BodyText"/>
      </w:pPr>
      <w:r>
        <w:t xml:space="preserve">Para evitar errores, se aplican reglas estrictas: cada estudio mencionado se cita con su número de PubMed (PMID) o con su número de registro en ClinicalTrials.gov (número NCT). Cada cifra procede del resumen de la publicación correspondiente o del registro del estudio. Además, todos los números citados se cotejaron automáticamente con las bases de datos. Así, puedes consultar cada fuente por ti mismo y comprobar los datos. Cómo hacerlo se explica en el apartado siguiente; encontrarás más detalles sobre la búsqueda bibliográfica en el anexo «Metodología».</w:t>
      </w:r>
    </w:p>
    <w:bookmarkEnd w:id="27"/>
    <w:bookmarkEnd w:id="28"/>
    <w:bookmarkStart w:id="37" w:name="sobre-este-libro"/>
    <w:p>
      <w:pPr>
        <w:pStyle w:val="Heading1"/>
      </w:pPr>
      <w:r>
        <w:t xml:space="preserve">Sobre este libro</w:t>
      </w:r>
    </w:p>
    <w:bookmarkStart w:id="29" w:name="para-qué-sirve-este-libro"/>
    <w:p>
      <w:pPr>
        <w:pStyle w:val="Heading3"/>
      </w:pPr>
      <w:r>
        <w:t xml:space="preserve">Para qué sirve este libro</w:t>
      </w:r>
    </w:p>
    <w:p>
      <w:pPr>
        <w:pStyle w:val="FirstParagraph"/>
      </w:pPr>
      <w:r>
        <w:t xml:space="preserve">Los péptidos están en boca de todos. Las inyecciones para adelgazar como la semaglutida y la tirzepatida han cambiado el tratamiento del exceso de peso, y en internet se ofrecen decenas de péptidos más: para una curación más rápida, más músculo, una piel mejor, más energía o una vida más larga. Entre las promesas de foros, redes sociales y tiendas en línea y lo que realmente se ha investigado en el ser humano suele abrirse una gran brecha.</w:t>
      </w:r>
    </w:p>
    <w:p>
      <w:pPr>
        <w:pStyle w:val="BodyText"/>
      </w:pPr>
      <w:r>
        <w:t xml:space="preserve">Este libro pretende hacer visible esa brecha. Para cada péptido tratado expone con sobriedad qué estudios en seres humanos existen, qué muestran y qué no, qué riesgos se conocen y cuál es la situación jurídica. Compara los péptidos entre sí y valora la solidez de las pruebas en cada caso. Su objetivo es ayudarte a examinar críticamente las afirmaciones y a mantener conversaciones informadas con médicos y farmacias.</w:t>
      </w:r>
    </w:p>
    <w:bookmarkEnd w:id="29"/>
    <w:bookmarkStart w:id="30" w:name="para-quién-está-escrito-este-libro"/>
    <w:p>
      <w:pPr>
        <w:pStyle w:val="Heading3"/>
      </w:pPr>
      <w:r>
        <w:t xml:space="preserve">Para quién está escrito este libro</w:t>
      </w:r>
    </w:p>
    <w:p>
      <w:pPr>
        <w:numPr>
          <w:ilvl w:val="0"/>
          <w:numId w:val="1001"/>
        </w:numPr>
        <w:pStyle w:val="Compact"/>
      </w:pPr>
      <w:r>
        <w:t xml:space="preserve">Para</w:t>
      </w:r>
      <w:r>
        <w:t xml:space="preserve"> </w:t>
      </w:r>
      <w:r>
        <w:rPr>
          <w:bCs/>
          <w:b/>
        </w:rPr>
        <w:t xml:space="preserve">lectores no especialistas interesados</w:t>
      </w:r>
      <w:r>
        <w:t xml:space="preserve"> </w:t>
      </w:r>
      <w:r>
        <w:t xml:space="preserve">que quieren saber qué hay detrás del auge de los péptidos.</w:t>
      </w:r>
    </w:p>
    <w:p>
      <w:pPr>
        <w:numPr>
          <w:ilvl w:val="0"/>
          <w:numId w:val="1001"/>
        </w:numPr>
        <w:pStyle w:val="Compact"/>
      </w:pPr>
      <w:r>
        <w:t xml:space="preserve">Para personas a las que se ha recetado un</w:t>
      </w:r>
      <w:r>
        <w:t xml:space="preserve"> </w:t>
      </w:r>
      <w:r>
        <w:rPr>
          <w:bCs/>
          <w:b/>
        </w:rPr>
        <w:t xml:space="preserve">medicamento peptídico autorizado</w:t>
      </w:r>
      <w:r>
        <w:t xml:space="preserve"> </w:t>
      </w:r>
      <w:r>
        <w:t xml:space="preserve">o que se lo están planteando y quieren entender los datos de los estudios.</w:t>
      </w:r>
    </w:p>
    <w:p>
      <w:pPr>
        <w:numPr>
          <w:ilvl w:val="0"/>
          <w:numId w:val="1001"/>
        </w:numPr>
        <w:pStyle w:val="Compact"/>
      </w:pPr>
      <w:r>
        <w:t xml:space="preserve">Para</w:t>
      </w:r>
      <w:r>
        <w:t xml:space="preserve"> </w:t>
      </w:r>
      <w:r>
        <w:rPr>
          <w:bCs/>
          <w:b/>
        </w:rPr>
        <w:t xml:space="preserve">deportistas</w:t>
      </w:r>
      <w:r>
        <w:t xml:space="preserve"> </w:t>
      </w:r>
      <w:r>
        <w:t xml:space="preserve">y entrenadores que quieren evaluar las promesas publicitarias y los riesgos de dopaje.</w:t>
      </w:r>
    </w:p>
    <w:p>
      <w:pPr>
        <w:numPr>
          <w:ilvl w:val="0"/>
          <w:numId w:val="1001"/>
        </w:numPr>
        <w:pStyle w:val="Compact"/>
      </w:pPr>
      <w:r>
        <w:t xml:space="preserve">Para</w:t>
      </w:r>
      <w:r>
        <w:t xml:space="preserve"> </w:t>
      </w:r>
      <w:r>
        <w:rPr>
          <w:bCs/>
          <w:b/>
        </w:rPr>
        <w:t xml:space="preserve">profesionales</w:t>
      </w:r>
      <w:r>
        <w:t xml:space="preserve"> </w:t>
      </w:r>
      <w:r>
        <w:t xml:space="preserve">de la farmacia, la medicina, la nutrición, la cosmética y el periodismo que buscan una visión de conjunto rápida y basada en fuentes.</w:t>
      </w:r>
    </w:p>
    <w:p>
      <w:pPr>
        <w:pStyle w:val="FirstParagraph"/>
      </w:pPr>
      <w:r>
        <w:t xml:space="preserve">No se necesitan conocimientos previos. Los términos técnicos se explican la primera vez que aparecen y figuran además en el glosario.</w:t>
      </w:r>
    </w:p>
    <w:bookmarkEnd w:id="30"/>
    <w:bookmarkStart w:id="31" w:name="cómo-está-estructurado-el-libro"/>
    <w:p>
      <w:pPr>
        <w:pStyle w:val="Heading3"/>
      </w:pPr>
      <w:r>
        <w:t xml:space="preserve">Cómo está estructurado el libro</w:t>
      </w:r>
    </w:p>
    <w:p>
      <w:pPr>
        <w:pStyle w:val="FirstParagraph"/>
      </w:pPr>
      <w:r>
        <w:rPr>
          <w:bCs/>
          <w:b/>
        </w:rPr>
        <w:t xml:space="preserve">Parte I – Fundamentos</w:t>
      </w:r>
      <w:r>
        <w:t xml:space="preserve"> </w:t>
      </w:r>
      <w:r>
        <w:t xml:space="preserve">explica qué son los péptidos, cómo ha evolucionado la medicina peptídica, cómo llegan los péptidos al organismo, cómo se leen los estudios, qué ocurre en el mercado gris y qué marco jurídico se aplica. Si no estás familiarizado con estos temas, conviene empezar por aquí.</w:t>
      </w:r>
    </w:p>
    <w:p>
      <w:pPr>
        <w:pStyle w:val="BodyText"/>
      </w:pPr>
      <w:r>
        <w:rPr>
          <w:bCs/>
          <w:b/>
        </w:rPr>
        <w:t xml:space="preserve">Parte II – Los péptidos</w:t>
      </w:r>
      <w:r>
        <w:t xml:space="preserve"> </w:t>
      </w:r>
      <w:r>
        <w:t xml:space="preserve">presenta los distintos principios activos en seis grupos: metabolismo y peso; curación, regeneración y sistema inmunitario; eje de la hormona del crecimiento; cerebro, sueño y longevidad; hormonas, sexualidad y pigmentación; colágeno, nutrición y cosmética. Cada capítulo sigue la misma estructura: ficha, principio de acción, estudios en seres humanos, estudios en animales y de laboratorio, riesgos y efectos adversos, situación jurídica, estudios en curso y perspectivas, conclusión. Así podrás comparar fácilmente los péptidos entre sí y consultar de forma específica.</w:t>
      </w:r>
    </w:p>
    <w:p>
      <w:pPr>
        <w:pStyle w:val="BodyText"/>
      </w:pPr>
      <w:r>
        <w:rPr>
          <w:bCs/>
          <w:b/>
        </w:rPr>
        <w:t xml:space="preserve">Parte III – La gran comparación</w:t>
      </w:r>
      <w:r>
        <w:t xml:space="preserve"> </w:t>
      </w:r>
      <w:r>
        <w:t xml:space="preserve">sitúa todos los péptidos uno junto a otro y compara directamente los medicamentos GLP-1.</w:t>
      </w:r>
    </w:p>
    <w:p>
      <w:pPr>
        <w:pStyle w:val="BodyText"/>
      </w:pPr>
      <w:r>
        <w:rPr>
          <w:bCs/>
          <w:b/>
        </w:rPr>
        <w:t xml:space="preserve">Parte IV – Riesgos</w:t>
      </w:r>
      <w:r>
        <w:t xml:space="preserve"> </w:t>
      </w:r>
      <w:r>
        <w:t xml:space="preserve">resume los efectos adversos, los riesgos de cáncer e inmunitarios, los problemas de los productos del mercado gris y los grupos de riesgo especiales.</w:t>
      </w:r>
    </w:p>
    <w:p>
      <w:pPr>
        <w:pStyle w:val="BodyText"/>
      </w:pPr>
      <w:r>
        <w:rPr>
          <w:bCs/>
          <w:b/>
        </w:rPr>
        <w:t xml:space="preserve">Parte V – Futuro</w:t>
      </w:r>
      <w:r>
        <w:t xml:space="preserve"> </w:t>
      </w:r>
      <w:r>
        <w:t xml:space="preserve">examina la cartera de desarrollo, las nuevas formas de administración, el vencimiento de patentes y los precios. Se distinguen claramente los hechos confirmados de las valoraciones.</w:t>
      </w:r>
    </w:p>
    <w:p>
      <w:pPr>
        <w:pStyle w:val="BodyText"/>
      </w:pPr>
      <w:r>
        <w:t xml:space="preserve">En el</w:t>
      </w:r>
      <w:r>
        <w:t xml:space="preserve"> </w:t>
      </w:r>
      <w:r>
        <w:rPr>
          <w:bCs/>
          <w:b/>
        </w:rPr>
        <w:t xml:space="preserve">anexo</w:t>
      </w:r>
      <w:r>
        <w:t xml:space="preserve"> </w:t>
      </w:r>
      <w:r>
        <w:t xml:space="preserve">encontrarás el glosario, la metodología de la búsqueda y el índice de los estudios analizados.</w:t>
      </w:r>
    </w:p>
    <w:bookmarkEnd w:id="31"/>
    <w:bookmarkStart w:id="32" w:name="los-niveles-de-evidencia"/>
    <w:p>
      <w:pPr>
        <w:pStyle w:val="Heading3"/>
      </w:pPr>
      <w:r>
        <w:t xml:space="preserve">Los niveles de evidencia</w:t>
      </w:r>
    </w:p>
    <w:p>
      <w:pPr>
        <w:pStyle w:val="FirstParagraph"/>
      </w:pPr>
      <w:r>
        <w:t xml:space="preserve">Cada péptido recibe en su ficha un nivel de evidencia. Este describe la calidad de los datos disponibles</w:t>
      </w:r>
      <w:r>
        <w:t xml:space="preserve"> </w:t>
      </w:r>
      <w:r>
        <w:rPr>
          <w:bCs/>
          <w:b/>
        </w:rPr>
        <w:t xml:space="preserve">en el ser humano</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Nivel</w:t>
            </w:r>
          </w:p>
        </w:tc>
        <w:tc>
          <w:tcPr/>
          <w:p>
            <w:pPr>
              <w:pStyle w:val="Compact"/>
              <w:jc w:val="left"/>
            </w:pPr>
            <w:r>
              <w:t xml:space="preserve">Significado</w:t>
            </w:r>
          </w:p>
        </w:tc>
      </w:tr>
      <w:tr>
        <w:tc>
          <w:tcPr/>
          <w:p>
            <w:pPr>
              <w:pStyle w:val="Compact"/>
              <w:jc w:val="left"/>
            </w:pPr>
            <w:r>
              <w:t xml:space="preserve">A</w:t>
            </w:r>
          </w:p>
        </w:tc>
        <w:tc>
          <w:tcPr/>
          <w:p>
            <w:pPr>
              <w:pStyle w:val="Compact"/>
              <w:jc w:val="left"/>
            </w:pPr>
            <w:r>
              <w:t xml:space="preserve">varios estudios aleatorizados grandes en seres humanos, autorización como medicamento</w:t>
            </w:r>
          </w:p>
        </w:tc>
      </w:tr>
      <w:tr>
        <w:tc>
          <w:tcPr/>
          <w:p>
            <w:pPr>
              <w:pStyle w:val="Compact"/>
              <w:jc w:val="left"/>
            </w:pPr>
            <w:r>
              <w:t xml:space="preserve">B</w:t>
            </w:r>
          </w:p>
        </w:tc>
        <w:tc>
          <w:tcPr/>
          <w:p>
            <w:pPr>
              <w:pStyle w:val="Compact"/>
              <w:jc w:val="left"/>
            </w:pPr>
            <w:r>
              <w:t xml:space="preserve">estudios aleatorizados aislados en seres humanos</w:t>
            </w:r>
          </w:p>
        </w:tc>
      </w:tr>
      <w:tr>
        <w:tc>
          <w:tcPr/>
          <w:p>
            <w:pPr>
              <w:pStyle w:val="Compact"/>
              <w:jc w:val="left"/>
            </w:pPr>
            <w:r>
              <w:t xml:space="preserve">C</w:t>
            </w:r>
          </w:p>
        </w:tc>
        <w:tc>
          <w:tcPr/>
          <w:p>
            <w:pPr>
              <w:pStyle w:val="Compact"/>
              <w:jc w:val="left"/>
            </w:pPr>
            <w:r>
              <w:t xml:space="preserve">solo estudios pequeños o no controlados en seres humanos</w:t>
            </w:r>
          </w:p>
        </w:tc>
      </w:tr>
      <w:tr>
        <w:tc>
          <w:tcPr/>
          <w:p>
            <w:pPr>
              <w:pStyle w:val="Compact"/>
              <w:jc w:val="left"/>
            </w:pPr>
            <w:r>
              <w:t xml:space="preserve">D</w:t>
            </w:r>
          </w:p>
        </w:tc>
        <w:tc>
          <w:tcPr/>
          <w:p>
            <w:pPr>
              <w:pStyle w:val="Compact"/>
              <w:jc w:val="left"/>
            </w:pPr>
            <w:r>
              <w:t xml:space="preserve">solo estudios en animales y de laboratorio</w:t>
            </w:r>
          </w:p>
        </w:tc>
      </w:tr>
    </w:tbl>
    <w:p>
      <w:pPr>
        <w:pStyle w:val="BodyText"/>
      </w:pPr>
      <w:r>
        <w:t xml:space="preserve">El nivel de evidencia no es una recomendación ni una afirmación sobre la seguridad de una sustancia. También un principio activo de nivel A tiene efectos adversos, y una sustancia de nivel D no es necesariamente ineficaz: simplemente aún no se ha estudiado lo suficiente en el ser humano. Qué significan los términos «aleatorizado», «controlado» o «variable subrogada» se explica en el capítulo «Cómo leer correctamente los estudios».</w:t>
      </w:r>
    </w:p>
    <w:bookmarkEnd w:id="32"/>
    <w:bookmarkStart w:id="33" w:name="cómo-se-citan-las-fuentes"/>
    <w:p>
      <w:pPr>
        <w:pStyle w:val="Heading3"/>
      </w:pPr>
      <w:r>
        <w:t xml:space="preserve">Cómo se citan las fuentes</w:t>
      </w:r>
    </w:p>
    <w:p>
      <w:pPr>
        <w:pStyle w:val="FirstParagraph"/>
      </w:pPr>
      <w:r>
        <w:t xml:space="preserve">Para que el texto sea fácil de leer, las fuentes figuran en notas al pie. En el libro electrónico aparece un pequeño número volado en el lugar correspondiente; al tocarlo se muestra la fuente. Cada nota indica el primer autor o la primera autora, el año de publicación y el número de PubMed, por ejemplo: Wilding 2021, PMID 33567185.</w:t>
      </w:r>
    </w:p>
    <w:p>
      <w:pPr>
        <w:pStyle w:val="BodyText"/>
      </w:pPr>
      <w:r>
        <w:t xml:space="preserve">Los estudios registrados, en especial los que están en curso, figuran con su número en el registro estadounidense de ensayos ClinicalTrials.gov, por ejemplo NCT03548935. En las tablas, las fuentes aparecen directamente en la primera columna.</w:t>
      </w:r>
    </w:p>
    <w:p>
      <w:pPr>
        <w:pStyle w:val="BodyText"/>
      </w:pPr>
      <w:r>
        <w:t xml:space="preserve">Las notas se recogen al final de cada capítulo; el índice completo de estudios se encuentra en el anexo.</w:t>
      </w:r>
    </w:p>
    <w:bookmarkEnd w:id="33"/>
    <w:bookmarkStart w:id="34" w:name="cómo-consultar-una-fuente"/>
    <w:p>
      <w:pPr>
        <w:pStyle w:val="Heading3"/>
      </w:pPr>
      <w:r>
        <w:t xml:space="preserve">Cómo consultar una fuente</w:t>
      </w:r>
    </w:p>
    <w:p>
      <w:pPr>
        <w:pStyle w:val="FirstParagraph"/>
      </w:pPr>
      <w:r>
        <w:rPr>
          <w:bCs/>
          <w:b/>
        </w:rPr>
        <w:t xml:space="preserve">PMID</w:t>
      </w:r>
      <w:r>
        <w:t xml:space="preserve">: el número de identificación de PubMed es un número único para cada entrada de PubMed, la base de datos bibliográfica de libre acceso de la National Library of Medicine de Estados Unidos.</w:t>
      </w:r>
    </w:p>
    <w:p>
      <w:pPr>
        <w:numPr>
          <w:ilvl w:val="0"/>
          <w:numId w:val="1002"/>
        </w:numPr>
        <w:pStyle w:val="Compact"/>
      </w:pPr>
      <w:r>
        <w:t xml:space="preserve">Abre en tu navegador la página pubmed.ncbi.nlm.nih.gov.</w:t>
      </w:r>
    </w:p>
    <w:p>
      <w:pPr>
        <w:numPr>
          <w:ilvl w:val="0"/>
          <w:numId w:val="1002"/>
        </w:numPr>
        <w:pStyle w:val="Compact"/>
      </w:pPr>
      <w:r>
        <w:t xml:space="preserve">Introduce el número en el campo de búsqueda, por ejemplo 33567185, e inicia la búsqueda.</w:t>
      </w:r>
    </w:p>
    <w:p>
      <w:pPr>
        <w:numPr>
          <w:ilvl w:val="0"/>
          <w:numId w:val="1002"/>
        </w:numPr>
        <w:pStyle w:val="Compact"/>
      </w:pPr>
      <w:r>
        <w:t xml:space="preserve">Llegarás directamente a la entrada con el título, los autores, la revista y, por lo general, un resumen (abstract).</w:t>
      </w:r>
    </w:p>
    <w:p>
      <w:pPr>
        <w:pStyle w:val="FirstParagraph"/>
      </w:pPr>
      <w:r>
        <w:t xml:space="preserve">También puedes añadir el número directamente a la dirección: pubmed.ncbi.nlm.nih.gov/33567185. Muchas entradas contienen un enlace al texto completo, que en parte es de acceso libre y en parte solo está disponible previo pago.</w:t>
      </w:r>
    </w:p>
    <w:p>
      <w:pPr>
        <w:pStyle w:val="BodyText"/>
      </w:pPr>
      <w:r>
        <w:rPr>
          <w:bCs/>
          <w:b/>
        </w:rPr>
        <w:t xml:space="preserve">Número NCT</w:t>
      </w:r>
      <w:r>
        <w:t xml:space="preserve">: los estudios registrados los encuentras en la página clinicaltrials.gov introduciendo el número en el campo de búsqueda o añadiéndolo a la dirección clinicaltrials.gov/study/, por ejemplo clinicaltrials.gov/study/NCT03548935. Allí verás el diseño del estudio, el número de participantes, las variables de valoración y el estado actual.</w:t>
      </w:r>
    </w:p>
    <w:bookmarkEnd w:id="34"/>
    <w:bookmarkStart w:id="35" w:name="Xe31bb433385f6b1e6f72c2f3b5a3cdf9a317868"/>
    <w:p>
      <w:pPr>
        <w:pStyle w:val="Heading3"/>
      </w:pPr>
      <w:r>
        <w:t xml:space="preserve">Lo que este libro deliberadamente no contiene</w:t>
      </w:r>
    </w:p>
    <w:p>
      <w:pPr>
        <w:numPr>
          <w:ilvl w:val="0"/>
          <w:numId w:val="1003"/>
        </w:numPr>
        <w:pStyle w:val="Compact"/>
      </w:pPr>
      <w:r>
        <w:rPr>
          <w:bCs/>
          <w:b/>
        </w:rPr>
        <w:t xml:space="preserve">Ni dosis ni instrucciones de uso.</w:t>
      </w:r>
      <w:r>
        <w:t xml:space="preserve"> </w:t>
      </w:r>
      <w:r>
        <w:t xml:space="preserve">No se indica cuánto, con qué frecuencia ni durante cuánto tiempo debe utilizarse un péptido, no hay instrucciones para disolverlo o inyectarlo ni combinaciones de varias sustancias. En el caso de los medicamentos autorizados, el libro remite a la ficha técnica y al seguimiento médico.</w:t>
      </w:r>
    </w:p>
    <w:p>
      <w:pPr>
        <w:numPr>
          <w:ilvl w:val="0"/>
          <w:numId w:val="1003"/>
        </w:numPr>
        <w:pStyle w:val="Compact"/>
      </w:pPr>
      <w:r>
        <w:rPr>
          <w:bCs/>
          <w:b/>
        </w:rPr>
        <w:t xml:space="preserve">Ni fuentes de suministro.</w:t>
      </w:r>
      <w:r>
        <w:t xml:space="preserve"> </w:t>
      </w:r>
      <w:r>
        <w:t xml:space="preserve">No se mencionan tiendas, fabricantes, farmacias ni países en los que puedan adquirirse péptidos, ni se dan indicaciones sobre cómo eludir los controles.</w:t>
      </w:r>
    </w:p>
    <w:p>
      <w:pPr>
        <w:numPr>
          <w:ilvl w:val="0"/>
          <w:numId w:val="1003"/>
        </w:numPr>
        <w:pStyle w:val="Compact"/>
      </w:pPr>
      <w:r>
        <w:rPr>
          <w:bCs/>
          <w:b/>
        </w:rPr>
        <w:t xml:space="preserve">Ni promesas de curación.</w:t>
      </w:r>
      <w:r>
        <w:t xml:space="preserve"> </w:t>
      </w:r>
      <w:r>
        <w:t xml:space="preserve">El libro informa de lo que se ha observado en los estudios, no de lo que una sustancia hará en tu caso.</w:t>
      </w:r>
    </w:p>
    <w:p>
      <w:pPr>
        <w:numPr>
          <w:ilvl w:val="0"/>
          <w:numId w:val="1003"/>
        </w:numPr>
        <w:pStyle w:val="Compact"/>
      </w:pPr>
      <w:r>
        <w:rPr>
          <w:bCs/>
          <w:b/>
        </w:rPr>
        <w:t xml:space="preserve">Ni recomendaciones de productos.</w:t>
      </w:r>
      <w:r>
        <w:t xml:space="preserve"> </w:t>
      </w:r>
      <w:r>
        <w:t xml:space="preserve">No se recomiendan marcas ni proveedores. Los nombres comerciales de medicamentos autorizados solo se mencionan cuando son necesarios para la comprensión.</w:t>
      </w:r>
    </w:p>
    <w:bookmarkEnd w:id="35"/>
    <w:bookmarkStart w:id="36" w:name="una-última-palabra"/>
    <w:p>
      <w:pPr>
        <w:pStyle w:val="Heading3"/>
      </w:pPr>
      <w:r>
        <w:t xml:space="preserve">Una última palabra</w:t>
      </w:r>
    </w:p>
    <w:p>
      <w:pPr>
        <w:pStyle w:val="FirstParagraph"/>
      </w:pPr>
      <w:r>
        <w:t xml:space="preserve">Este libro es una herramienta para reflexionar, no una guía de automedicación. Si después de leerlo tienes más preguntas que antes, no es mala señal: a menudo la respuesta más honesta a la pregunta «¿Funciona este péptido?» es «Todavía nadie lo sabe».</w:t>
      </w:r>
    </w:p>
    <w:bookmarkEnd w:id="36"/>
    <w:bookmarkEnd w:id="37"/>
    <w:bookmarkStart w:id="231" w:name="parte-i-fundamentos"/>
    <w:p>
      <w:pPr>
        <w:pStyle w:val="Heading1"/>
      </w:pPr>
      <w:r>
        <w:t xml:space="preserve">Parte I – Fundamentos</w:t>
      </w:r>
    </w:p>
    <w:p>
      <w:pPr>
        <w:pStyle w:val="FirstParagraph"/>
      </w:pPr>
      <w:r>
        <w:t xml:space="preserve">Antes de que la Parte II se ocupe de los distintos principios activos, esta parte sienta las bases. Descubrirás qué es químicamente un péptido, cómo un extracto de páncreas de perro se convirtió en el plazo de un siglo en uno de los grupos de medicamentos con mayor volumen de ventas del mundo, por qué la mayoría de los péptidos deben inyectarse, cómo leer un estudio sin dejarse engañar por los titulares, qué contienen realmente los viales del mercado gris y qué normas jurídicas se aplican.</w:t>
      </w:r>
    </w:p>
    <w:p>
      <w:pPr>
        <w:pStyle w:val="BodyText"/>
      </w:pPr>
      <w:r>
        <w:t xml:space="preserve">Quien solo quiera consultar un péptido concreto puede saltar directamente a la Parte II. No obstante, los capítulos de esta parte explican los conceptos y criterios que se emplean allí constantemente, como «aleatorizado», «variable subrogada», «nivel de evidencia B» o «Research Peptide». Por eso merece la pena echarles un vistazo, incluso si tiene prisa.</w:t>
      </w:r>
    </w:p>
    <w:bookmarkStart w:id="63" w:name="qué-son-los-péptidos-y-qué-no-son"/>
    <w:p>
      <w:pPr>
        <w:pStyle w:val="Heading2"/>
      </w:pPr>
      <w:r>
        <w:t xml:space="preserve">Qué son los péptidos y qué no son</w:t>
      </w:r>
    </w:p>
    <w:p>
      <w:pPr>
        <w:pStyle w:val="FirstParagraph"/>
      </w:pPr>
      <w:r>
        <w:t xml:space="preserve">La palabra «péptido» ha hecho una carrera asombrosa en los últimos años. Aparece en cremas para la piel y en proteínas en polvo, en anuncios de inyecciones para adelgazar y en foros de internet en los que se debate sobre «péptidos curativos». Sin embargo, el término designa en principio solo un determinado tipo de estructura química, ni más ni menos. No dice nada sobre si una sustancia es eficaz, si es segura o si llega siquiera al organismo. Este capítulo aclara los conceptos básicos y desmonta algunos malentendidos muy extendidos.</w:t>
      </w:r>
    </w:p>
    <w:bookmarkStart w:id="38" w:name="aminoácidos-los-componentes-básicos"/>
    <w:p>
      <w:pPr>
        <w:pStyle w:val="Heading3"/>
      </w:pPr>
      <w:r>
        <w:t xml:space="preserve">Aminoácidos: los componentes básicos</w:t>
      </w:r>
    </w:p>
    <w:p>
      <w:pPr>
        <w:pStyle w:val="FirstParagraph"/>
      </w:pPr>
      <w:r>
        <w:t xml:space="preserve">Todos los péptidos y proteínas están formados por aminoácidos. Un aminoácido es una molécula pequeña con dos componentes característicos: un grupo amino (que contiene nitrógeno) y un grupo ácido (grupo carboxilo). Entre ambos se sitúa un átomo de carbono central del que cuelga una llamada cadena lateral. Esta cadena lateral es lo que distingue a los aminoácidos entre sí: puede ser pequeña y discreta, como en la glicina; oleosa e hidrófoba, como en la leucina; con carga eléctrica, como en la lisina; o con azufre, como en la cisteína.</w:t>
      </w:r>
    </w:p>
    <w:p>
      <w:pPr>
        <w:pStyle w:val="BodyText"/>
      </w:pPr>
      <w:r>
        <w:t xml:space="preserve">El cuerpo humano construye sus proteínas esencialmente a partir de 20 aminoácidos estándar. Algunos puede fabricarlos por sí mismo; otros, los aminoácidos «esenciales», debe obtenerlos de la alimentación. Además, existen cientos de aminoácidos más que se encuentran en la naturaleza o se fabrican en el laboratorio. Para el desarrollo de medicamentos, estos aminoácidos «no naturales» son importantes porque pueden hacer que un péptido sea más estable. Encontrarás un ejemplo más abajo, en el caso de la semaglutida.</w:t>
      </w:r>
    </w:p>
    <w:p>
      <w:pPr>
        <w:pStyle w:val="BodyText"/>
      </w:pPr>
      <w:r>
        <w:t xml:space="preserve">Algo importante para entender muchas promesas publicitarias: los aminoácidos sueltos no son péptidos. Un complemento alimenticio con arginina, glutamina o «BCAA» contiene aminoácidos libres, es decir, componentes sueltos, no un péptido.</w:t>
      </w:r>
    </w:p>
    <w:bookmarkEnd w:id="38"/>
    <w:bookmarkStart w:id="39" w:name="el-enlace-peptídico"/>
    <w:p>
      <w:pPr>
        <w:pStyle w:val="Heading3"/>
      </w:pPr>
      <w:r>
        <w:t xml:space="preserve">El enlace peptídico</w:t>
      </w:r>
    </w:p>
    <w:p>
      <w:pPr>
        <w:pStyle w:val="FirstParagraph"/>
      </w:pPr>
      <w:r>
        <w:t xml:space="preserve">Cuando dos aminoácidos se unen, el grupo ácido de uno reacciona con el grupo amino del otro. En el proceso se libera una molécula de agua y se forma una unión estable: el enlace peptídico. El resultado se llama dipéptido. Si se añade otro aminoácido, se obtiene un tripéptido, luego un tetrapéptido, y así sucesivamente. Una cadena de este tipo siempre tiene una dirección: comienza con un grupo amino libre (el «extremo N-terminal») y termina con un grupo ácido libre (el «extremo C-terminal»). Por eso, en los artículos científicos los aminoácidos se escriben siempre de izquierda a derecha, del extremo N al extremo C, a menudo con abreviaturas de una letra. El tripéptido «GHK», por ejemplo, significa glicina–histidina–lisina.</w:t>
      </w:r>
    </w:p>
    <w:p>
      <w:pPr>
        <w:pStyle w:val="BodyText"/>
      </w:pPr>
      <w:r>
        <w:t xml:space="preserve">El orden de los aminoácidos se denomina secuencia o estructura primaria. Es decisivo: dos péptidos formados por los mismos componentes en distinto orden son sustancias diferentes con propiedades distintas, del mismo modo que «Roma» y «amor» están formadas por las mismas letras.</w:t>
      </w:r>
    </w:p>
    <w:bookmarkEnd w:id="39"/>
    <w:bookmarkStart w:id="42" w:name="Xe44d307d0333c36214a18f17d6dddfc95618f72"/>
    <w:p>
      <w:pPr>
        <w:pStyle w:val="Heading3"/>
      </w:pPr>
      <w:r>
        <w:t xml:space="preserve">¿Péptido o proteína? Una cuestión de longitud</w:t>
      </w:r>
    </w:p>
    <w:p>
      <w:pPr>
        <w:pStyle w:val="FirstParagraph"/>
      </w:pPr>
      <w:r>
        <w:t xml:space="preserve">Entre péptidos y proteínas no existe un límite científico nítido, sino una convención. A grandes rasgos:</w:t>
      </w:r>
    </w:p>
    <w:p>
      <w:pPr>
        <w:numPr>
          <w:ilvl w:val="0"/>
          <w:numId w:val="1004"/>
        </w:numPr>
        <w:pStyle w:val="Compact"/>
      </w:pPr>
      <w:r>
        <w:rPr>
          <w:bCs/>
          <w:b/>
        </w:rPr>
        <w:t xml:space="preserve">Oligopéptidos</w:t>
      </w:r>
      <w:r>
        <w:t xml:space="preserve">: aproximadamente de 2 a 10 aminoácidos, por ejemplo el tripéptido glutatión o el dipéptido carnosina.</w:t>
      </w:r>
    </w:p>
    <w:p>
      <w:pPr>
        <w:numPr>
          <w:ilvl w:val="0"/>
          <w:numId w:val="1004"/>
        </w:numPr>
        <w:pStyle w:val="Compact"/>
      </w:pPr>
      <w:r>
        <w:rPr>
          <w:bCs/>
          <w:b/>
        </w:rPr>
        <w:t xml:space="preserve">Polipéptidos</w:t>
      </w:r>
      <w:r>
        <w:t xml:space="preserve">: cadenas más largas, hasta unos 50 aminoácidos.</w:t>
      </w:r>
    </w:p>
    <w:p>
      <w:pPr>
        <w:numPr>
          <w:ilvl w:val="0"/>
          <w:numId w:val="1004"/>
        </w:numPr>
        <w:pStyle w:val="Compact"/>
      </w:pPr>
      <w:r>
        <w:rPr>
          <w:bCs/>
          <w:b/>
        </w:rPr>
        <w:t xml:space="preserve">Proteínas</w:t>
      </w:r>
      <w:r>
        <w:t xml:space="preserve">: moléculas más grandes, por lo general con más de 50 aminoácidos y un plegamiento espacial definido.</w:t>
      </w:r>
    </w:p>
    <w:p>
      <w:pPr>
        <w:pStyle w:val="FirstParagraph"/>
      </w:pPr>
      <w:r>
        <w:t xml:space="preserve">La insulina, con 51 aminoácidos, se sitúa justo en ese límite. Está formada por dos cadenas unidas por puentes de azufre y, según el manual, se la denomina péptido o proteína pequeña. La hormona del crecimiento humana, en cambio, es claramente una proteína: su forma más frecuente consta de 191 aminoácidos y pesa unos 22.000 dalton</w:t>
      </w:r>
      <w:r>
        <w:rPr>
          <w:rStyle w:val="FootnoteReference"/>
        </w:rPr>
        <w:footnoteReference w:id="40"/>
      </w:r>
      <w:r>
        <w:t xml:space="preserve">. El dalton es la unidad de masa de las moléculas; un aminoácido medio dentro de una cadena pesa algo más de 100 dalton.</w:t>
      </w:r>
    </w:p>
    <w:p>
      <w:pPr>
        <w:pStyle w:val="BodyText"/>
      </w:pPr>
      <w:r>
        <w:t xml:space="preserve">Algunos ejemplos de este libro a modo de orientación: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Sustancia</w:t>
            </w:r>
          </w:p>
        </w:tc>
        <w:tc>
          <w:tcPr/>
          <w:p>
            <w:pPr>
              <w:pStyle w:val="Compact"/>
              <w:jc w:val="left"/>
            </w:pPr>
            <w:r>
              <w:t xml:space="preserve">Longitud</w:t>
            </w:r>
          </w:p>
        </w:tc>
        <w:tc>
          <w:tcPr/>
          <w:p>
            <w:pPr>
              <w:pStyle w:val="Compact"/>
              <w:jc w:val="left"/>
            </w:pPr>
            <w:r>
              <w:t xml:space="preserve">Observación</w:t>
            </w:r>
          </w:p>
        </w:tc>
      </w:tr>
      <w:tr>
        <w:tc>
          <w:tcPr/>
          <w:p>
            <w:pPr>
              <w:pStyle w:val="Compact"/>
              <w:jc w:val="left"/>
            </w:pPr>
            <w:r>
              <w:t xml:space="preserve">Carnosina</w:t>
            </w:r>
          </w:p>
        </w:tc>
        <w:tc>
          <w:tcPr/>
          <w:p>
            <w:pPr>
              <w:pStyle w:val="Compact"/>
              <w:jc w:val="left"/>
            </w:pPr>
            <w:r>
              <w:t xml:space="preserve">2 aminoácidos</w:t>
            </w:r>
          </w:p>
        </w:tc>
        <w:tc>
          <w:tcPr/>
          <w:p>
            <w:pPr>
              <w:pStyle w:val="Compact"/>
              <w:jc w:val="left"/>
            </w:pPr>
            <w:r>
              <w:t xml:space="preserve">presente en los músculos</w:t>
            </w:r>
          </w:p>
        </w:tc>
      </w:tr>
      <w:tr>
        <w:tc>
          <w:tcPr/>
          <w:p>
            <w:pPr>
              <w:pStyle w:val="Compact"/>
              <w:jc w:val="left"/>
            </w:pPr>
            <w:r>
              <w:t xml:space="preserve">Glutatión</w:t>
            </w:r>
          </w:p>
        </w:tc>
        <w:tc>
          <w:tcPr/>
          <w:p>
            <w:pPr>
              <w:pStyle w:val="Compact"/>
              <w:jc w:val="left"/>
            </w:pPr>
            <w:r>
              <w:t xml:space="preserve">3 aminoácidos</w:t>
            </w:r>
          </w:p>
        </w:tc>
        <w:tc>
          <w:tcPr/>
          <w:p>
            <w:pPr>
              <w:pStyle w:val="Compact"/>
              <w:jc w:val="left"/>
            </w:pPr>
            <w:r>
              <w:t xml:space="preserve">molécula protectora endógena</w:t>
            </w:r>
          </w:p>
        </w:tc>
      </w:tr>
      <w:tr>
        <w:tc>
          <w:tcPr/>
          <w:p>
            <w:pPr>
              <w:pStyle w:val="Compact"/>
              <w:jc w:val="left"/>
            </w:pPr>
            <w:r>
              <w:t xml:space="preserve">Oxitocina</w:t>
            </w:r>
          </w:p>
        </w:tc>
        <w:tc>
          <w:tcPr/>
          <w:p>
            <w:pPr>
              <w:pStyle w:val="Compact"/>
              <w:jc w:val="left"/>
            </w:pPr>
            <w:r>
              <w:t xml:space="preserve">9 aminoácidos</w:t>
            </w:r>
          </w:p>
        </w:tc>
        <w:tc>
          <w:tcPr/>
          <w:p>
            <w:pPr>
              <w:pStyle w:val="Compact"/>
              <w:jc w:val="left"/>
            </w:pPr>
            <w:r>
              <w:t xml:space="preserve">hormona de estructura cíclica</w:t>
            </w:r>
          </w:p>
        </w:tc>
      </w:tr>
      <w:tr>
        <w:tc>
          <w:tcPr/>
          <w:p>
            <w:pPr>
              <w:pStyle w:val="Compact"/>
              <w:jc w:val="left"/>
            </w:pPr>
            <w:r>
              <w:t xml:space="preserve">GLP-1 (forma activa)</w:t>
            </w:r>
          </w:p>
        </w:tc>
        <w:tc>
          <w:tcPr/>
          <w:p>
            <w:pPr>
              <w:pStyle w:val="Compact"/>
              <w:jc w:val="left"/>
            </w:pPr>
            <w:r>
              <w:t xml:space="preserve">30 aminoácidos</w:t>
            </w:r>
          </w:p>
        </w:tc>
        <w:tc>
          <w:tcPr/>
          <w:p>
            <w:pPr>
              <w:pStyle w:val="Compact"/>
              <w:jc w:val="left"/>
            </w:pPr>
            <w:r>
              <w:t xml:space="preserve">hormona intestinal</w:t>
            </w:r>
          </w:p>
        </w:tc>
      </w:tr>
      <w:tr>
        <w:tc>
          <w:tcPr/>
          <w:p>
            <w:pPr>
              <w:pStyle w:val="Compact"/>
              <w:jc w:val="left"/>
            </w:pPr>
            <w:r>
              <w:t xml:space="preserve">Exendina-4 (exenatida)</w:t>
            </w:r>
          </w:p>
        </w:tc>
        <w:tc>
          <w:tcPr/>
          <w:p>
            <w:pPr>
              <w:pStyle w:val="Compact"/>
              <w:jc w:val="left"/>
            </w:pPr>
            <w:r>
              <w:t xml:space="preserve">39 aminoácidos</w:t>
            </w:r>
          </w:p>
        </w:tc>
        <w:tc>
          <w:tcPr/>
          <w:p>
            <w:pPr>
              <w:pStyle w:val="Compact"/>
              <w:jc w:val="left"/>
            </w:pPr>
            <w:r>
              <w:t xml:space="preserve">procedente del veneno de un lagarto</w:t>
            </w:r>
          </w:p>
        </w:tc>
      </w:tr>
      <w:tr>
        <w:tc>
          <w:tcPr/>
          <w:p>
            <w:pPr>
              <w:pStyle w:val="Compact"/>
              <w:jc w:val="left"/>
            </w:pPr>
            <w:r>
              <w:t xml:space="preserve">Insulina</w:t>
            </w:r>
          </w:p>
        </w:tc>
        <w:tc>
          <w:tcPr/>
          <w:p>
            <w:pPr>
              <w:pStyle w:val="Compact"/>
              <w:jc w:val="left"/>
            </w:pPr>
            <w:r>
              <w:t xml:space="preserve">51 aminoácidos</w:t>
            </w:r>
          </w:p>
        </w:tc>
        <w:tc>
          <w:tcPr/>
          <w:p>
            <w:pPr>
              <w:pStyle w:val="Compact"/>
              <w:jc w:val="left"/>
            </w:pPr>
            <w:r>
              <w:t xml:space="preserve">dos cadenas</w:t>
            </w:r>
          </w:p>
        </w:tc>
      </w:tr>
      <w:tr>
        <w:tc>
          <w:tcPr/>
          <w:p>
            <w:pPr>
              <w:pStyle w:val="Compact"/>
              <w:jc w:val="left"/>
            </w:pPr>
            <w:r>
              <w:t xml:space="preserve">Hormona del crecimiento</w:t>
            </w:r>
          </w:p>
        </w:tc>
        <w:tc>
          <w:tcPr/>
          <w:p>
            <w:pPr>
              <w:pStyle w:val="Compact"/>
              <w:jc w:val="left"/>
            </w:pPr>
            <w:r>
              <w:t xml:space="preserve">191 aminoácidos</w:t>
            </w:r>
          </w:p>
        </w:tc>
        <w:tc>
          <w:tcPr/>
          <w:p>
            <w:pPr>
              <w:pStyle w:val="Compact"/>
              <w:jc w:val="left"/>
            </w:pPr>
            <w:r>
              <w:t xml:space="preserve">proteína</w:t>
            </w:r>
          </w:p>
        </w:tc>
      </w:tr>
    </w:tbl>
    <w:p>
      <w:pPr>
        <w:pStyle w:val="BodyText"/>
      </w:pPr>
      <w:r>
        <w:t xml:space="preserve">La longitud de la exendina-4 figura en su primera descripción</w:t>
      </w:r>
      <w:r>
        <w:rPr>
          <w:rStyle w:val="FootnoteReference"/>
        </w:rPr>
        <w:footnoteReference w:id="41"/>
      </w:r>
      <w:r>
        <w:t xml:space="preserve">; los demás datos corresponden a conocimientos de manual.</w:t>
      </w:r>
    </w:p>
    <w:p>
      <w:pPr>
        <w:pStyle w:val="BodyText"/>
      </w:pPr>
      <w:r>
        <w:t xml:space="preserve">En la práctica, la longitud es importante por varias razones. Los péptidos cortos se fabrican químicamente de forma más sencilla y barata. Las cadenas largas se pliegan en formas complejas que pueden ser imprescindibles para su efecto. Y cuanto más grande es una molécula, más difícil le resulta atravesar la piel o la pared intestinal; se hablará de ello en el capítulo sobre las formas de administración.</w:t>
      </w:r>
    </w:p>
    <w:bookmarkEnd w:id="42"/>
    <w:bookmarkStart w:id="44" w:name="cómo-actúan-los-péptidos-en-el-organismo"/>
    <w:p>
      <w:pPr>
        <w:pStyle w:val="Heading3"/>
      </w:pPr>
      <w:r>
        <w:t xml:space="preserve">Cómo actúan los péptidos en el organismo</w:t>
      </w:r>
    </w:p>
    <w:p>
      <w:pPr>
        <w:pStyle w:val="FirstParagraph"/>
      </w:pPr>
      <w:r>
        <w:t xml:space="preserve">El cuerpo humano utiliza los péptidos sobre todo como mensajeros. Una hormona peptídica se produce en una célula, se libera a la sangre o a los tejidos y se acopla en otra célula a un receptor adecuado. Los receptores son moléculas proteicas de la membrana celular que funcionan como una cerradura: solo la llave adecuada desencadena una señal en el interior de la célula.</w:t>
      </w:r>
    </w:p>
    <w:p>
      <w:pPr>
        <w:pStyle w:val="BodyText"/>
      </w:pPr>
      <w:r>
        <w:t xml:space="preserve">Como los péptidos suelen ser demasiado grandes y demasiado hidrosolubles para atravesar la membrana celular, de naturaleza grasa, la mayoría actúa a través de receptores situados en la superficie celular. Muchos de ellos pertenecen a la gran familia de los receptores acoplados a proteínas G. El receptor de GLP-1, a través del cual actúan la semaglutida o la liraglutida, es uno de ellos. No solo se encuentra en el páncreas, sino también en el tubo digestivo, el corazón, los pulmones, los riñones y el cerebro</w:t>
      </w:r>
      <w:r>
        <w:rPr>
          <w:rStyle w:val="FootnoteReference"/>
        </w:rPr>
        <w:footnoteReference w:id="43"/>
      </w:r>
      <w:r>
        <w:t xml:space="preserve">, lo que explica por qué estos principios activos tienen efectos tan diversos.</w:t>
      </w:r>
    </w:p>
    <w:p>
      <w:pPr>
        <w:pStyle w:val="BodyText"/>
      </w:pPr>
      <w:r>
        <w:t xml:space="preserve">Los péptidos desempeñan funciones muy distintas en el organismo:</w:t>
      </w:r>
    </w:p>
    <w:p>
      <w:pPr>
        <w:numPr>
          <w:ilvl w:val="0"/>
          <w:numId w:val="1005"/>
        </w:numPr>
        <w:pStyle w:val="Compact"/>
      </w:pPr>
      <w:r>
        <w:rPr>
          <w:bCs/>
          <w:b/>
        </w:rPr>
        <w:t xml:space="preserve">Hormonas</w:t>
      </w:r>
      <w:r>
        <w:t xml:space="preserve"> </w:t>
      </w:r>
      <w:r>
        <w:t xml:space="preserve">como la insulina, el glucagón, el GLP-1, la oxitocina o la vasopresina regulan el metabolismo, el equilibrio hídrico y la reproducción.</w:t>
      </w:r>
    </w:p>
    <w:p>
      <w:pPr>
        <w:numPr>
          <w:ilvl w:val="0"/>
          <w:numId w:val="1005"/>
        </w:numPr>
        <w:pStyle w:val="Compact"/>
      </w:pPr>
      <w:r>
        <w:rPr>
          <w:bCs/>
          <w:b/>
        </w:rPr>
        <w:t xml:space="preserve">Factores liberadores</w:t>
      </w:r>
      <w:r>
        <w:t xml:space="preserve"> </w:t>
      </w:r>
      <w:r>
        <w:t xml:space="preserve">del hipotálamo, como la hormona liberadora de gonadotropinas (GnRH), dan órdenes a la hipófisis.</w:t>
      </w:r>
    </w:p>
    <w:p>
      <w:pPr>
        <w:numPr>
          <w:ilvl w:val="0"/>
          <w:numId w:val="1005"/>
        </w:numPr>
        <w:pStyle w:val="Compact"/>
      </w:pPr>
      <w:r>
        <w:rPr>
          <w:bCs/>
          <w:b/>
        </w:rPr>
        <w:t xml:space="preserve">Neuropéptidos</w:t>
      </w:r>
      <w:r>
        <w:t xml:space="preserve"> </w:t>
      </w:r>
      <w:r>
        <w:t xml:space="preserve">como las endorfinas actúan como señales en el sistema nervioso.</w:t>
      </w:r>
    </w:p>
    <w:p>
      <w:pPr>
        <w:numPr>
          <w:ilvl w:val="0"/>
          <w:numId w:val="1005"/>
        </w:numPr>
        <w:pStyle w:val="Compact"/>
      </w:pPr>
      <w:r>
        <w:rPr>
          <w:bCs/>
          <w:b/>
        </w:rPr>
        <w:t xml:space="preserve">Péptidos antimicrobianos</w:t>
      </w:r>
      <w:r>
        <w:t xml:space="preserve"> </w:t>
      </w:r>
      <w:r>
        <w:t xml:space="preserve">como el LL-37 forman parte de la defensa inmunitaria innata.</w:t>
      </w:r>
    </w:p>
    <w:p>
      <w:pPr>
        <w:numPr>
          <w:ilvl w:val="0"/>
          <w:numId w:val="1005"/>
        </w:numPr>
        <w:pStyle w:val="Compact"/>
      </w:pPr>
      <w:r>
        <w:rPr>
          <w:bCs/>
          <w:b/>
        </w:rPr>
        <w:t xml:space="preserve">Componentes estructurales y productos de degradación</w:t>
      </w:r>
      <w:r>
        <w:t xml:space="preserve">: cuando se digieren el colágeno o las proteínas de la leche se forman péptidos cortos, algunos de los cuales son detectables en la sangre.</w:t>
      </w:r>
    </w:p>
    <w:p>
      <w:pPr>
        <w:pStyle w:val="FirstParagraph"/>
      </w:pPr>
      <w:r>
        <w:t xml:space="preserve">Esta diversidad explica por qué bajo el término «péptido» se agrupan sustancias tan dispares: tanto un medicamento para la diabetes muy potente y sujeto a prescripción médica como un colágeno en polvo del supermercado.</w:t>
      </w:r>
    </w:p>
    <w:bookmarkEnd w:id="44"/>
    <w:bookmarkStart w:id="48" w:name="Xc7360c936e00ae16c031ee0c26b6018abf90b13"/>
    <w:p>
      <w:pPr>
        <w:pStyle w:val="Heading3"/>
      </w:pPr>
      <w:r>
        <w:t xml:space="preserve">Vida breve: el problema fundamental de los péptidos naturales</w:t>
      </w:r>
    </w:p>
    <w:p>
      <w:pPr>
        <w:pStyle w:val="FirstParagraph"/>
      </w:pPr>
      <w:r>
        <w:t xml:space="preserve">Los péptidos endógenos suelen estar diseñados para un efecto breve y preciso. El organismo dispone de una gran variedad de enzimas que rompen los enlaces peptídicos, las llamadas peptidasas o proteasas. Tiene sentido: una señal hormonal debe aparecer después de comer y volver a desaparecer.</w:t>
      </w:r>
    </w:p>
    <w:p>
      <w:pPr>
        <w:pStyle w:val="BodyText"/>
      </w:pPr>
      <w:r>
        <w:t xml:space="preserve">Para un medicamento, sin embargo, esta vida breve es un problema. El GLP-1 natural es fragmentado rápidamente por la enzima dipeptidil peptidasa-4 (DPP-4). En plasma sanguíneo humano en el tubo de ensayo, la semivida fue de unos 20 minutos</w:t>
      </w:r>
      <w:r>
        <w:rPr>
          <w:rStyle w:val="FootnoteReference"/>
        </w:rPr>
        <w:footnoteReference w:id="45"/>
      </w:r>
      <w:r>
        <w:t xml:space="preserve">; en el organismo, además, el GLP-1 se elimina rápidamente de la circulación. Por eso, el GLP-1 sin modificar apenas serviría como medicamento.</w:t>
      </w:r>
    </w:p>
    <w:p>
      <w:pPr>
        <w:pStyle w:val="BodyText"/>
      </w:pPr>
      <w:r>
        <w:t xml:space="preserve">La solución de la investigación farmacéutica consistió en modificar la molécula de forma específica. En la semaglutida se sustituyeron dos aminoácidos del GLP-1 natural —en la posición 8 se encuentra el aminoácido no natural Aib, que protege la molécula frente a la DPP-4— y se unió a la cadena, mediante un espaciador, un ácido graso. El ácido graso hace que la semaglutida se una de forma reversible en la sangre a la proteína transportadora albúmina</w:t>
      </w:r>
      <w:r>
        <w:rPr>
          <w:rStyle w:val="FootnoteReference"/>
        </w:rPr>
        <w:footnoteReference w:id="46"/>
      </w:r>
      <w:r>
        <w:t xml:space="preserve">. Así se forma un depósito del que el principio activo se libera lentamente. La semivida en el ser humano es de aproximadamente una semana</w:t>
      </w:r>
      <w:r>
        <w:rPr>
          <w:rStyle w:val="FootnoteReference"/>
        </w:rPr>
        <w:footnoteReference w:id="47"/>
      </w:r>
      <w:r>
        <w:t xml:space="preserve">; por eso basta con una inyección semanal.</w:t>
      </w:r>
    </w:p>
    <w:p>
      <w:pPr>
        <w:pStyle w:val="BodyText"/>
      </w:pPr>
      <w:r>
        <w:t xml:space="preserve">Este principio —modelo natural, estabilizado de forma específica— recorre toda la medicina peptídica moderna. Pero también significa que un medicamento peptídico</w:t>
      </w:r>
      <w:r>
        <w:t xml:space="preserve"> </w:t>
      </w:r>
      <w:r>
        <w:rPr>
          <w:bCs/>
          <w:b/>
        </w:rPr>
        <w:t xml:space="preserve">no</w:t>
      </w:r>
      <w:r>
        <w:t xml:space="preserve"> </w:t>
      </w:r>
      <w:r>
        <w:t xml:space="preserve">suele ser una sustancia «natural» en el sentido de endógena y sin modificar. Es una molécula inspirada en la naturaleza, pero optimizada en el laboratorio.</w:t>
      </w:r>
    </w:p>
    <w:bookmarkEnd w:id="48"/>
    <w:bookmarkStart w:id="52" w:name="cómo-se-fabrican-los-péptidos"/>
    <w:p>
      <w:pPr>
        <w:pStyle w:val="Heading3"/>
      </w:pPr>
      <w:r>
        <w:t xml:space="preserve">Cómo se fabrican los péptidos</w:t>
      </w:r>
    </w:p>
    <w:p>
      <w:pPr>
        <w:pStyle w:val="FirstParagraph"/>
      </w:pPr>
      <w:r>
        <w:t xml:space="preserve">Existen tres vías fundamentales para obtener péptidos:</w:t>
      </w:r>
    </w:p>
    <w:p>
      <w:pPr>
        <w:pStyle w:val="BodyText"/>
      </w:pPr>
      <w:r>
        <w:rPr>
          <w:bCs/>
          <w:b/>
        </w:rPr>
        <w:t xml:space="preserve">Síntesis química.</w:t>
      </w:r>
      <w:r>
        <w:t xml:space="preserve"> </w:t>
      </w:r>
      <w:r>
        <w:t xml:space="preserve">Desde la década de 1960, los péptidos se construyen componente a componente sobre un soporte sólido. Este procedimiento de síntesis de péptidos en fase sólida fue desarrollado por Robert Bruce Merrifield</w:t>
      </w:r>
      <w:r>
        <w:rPr>
          <w:rStyle w:val="FootnoteReference"/>
        </w:rPr>
        <w:footnoteReference w:id="49"/>
      </w:r>
      <w:r>
        <w:t xml:space="preserve">, que recibió por ello el Premio Nobel de Química en 1984. Hoy en día estas síntesis están en gran parte automatizadas. Son la base de casi todos los péptidos cortos, incluidos los que se ofrecen en el mercado gris. No obstante, en cada paso de acoplamiento pueden producirse errores, como aminoácidos ausentes o duplicados. Por eso es imprescindible un paso de purificación cuidadoso.</w:t>
      </w:r>
    </w:p>
    <w:p>
      <w:pPr>
        <w:pStyle w:val="BodyText"/>
      </w:pPr>
      <w:r>
        <w:rPr>
          <w:bCs/>
          <w:b/>
        </w:rPr>
        <w:t xml:space="preserve">Producción por ingeniería genética (recombinante).</w:t>
      </w:r>
      <w:r>
        <w:t xml:space="preserve"> </w:t>
      </w:r>
      <w:r>
        <w:t xml:space="preserve">Las instrucciones de construcción del péptido se introducen en bacterias o levaduras, que lo producen después en grandes tanques. La insulina humana fue el primer medicamento fabricado de este modo; se utilizó en estudios clínicos en seres humanos a partir de 1980</w:t>
      </w:r>
      <w:r>
        <w:rPr>
          <w:rStyle w:val="FootnoteReference"/>
        </w:rPr>
        <w:footnoteReference w:id="50"/>
      </w:r>
      <w:r>
        <w:t xml:space="preserve">. Los péptidos y proteínas de mayor tamaño se siguen obteniendo hoy mayoritariamente de esta forma, en parte combinada con pasos de modificación química.</w:t>
      </w:r>
    </w:p>
    <w:p>
      <w:pPr>
        <w:pStyle w:val="BodyText"/>
      </w:pPr>
      <w:r>
        <w:rPr>
          <w:bCs/>
          <w:b/>
        </w:rPr>
        <w:t xml:space="preserve">Obtención a partir de fuentes naturales.</w:t>
      </w:r>
      <w:r>
        <w:t xml:space="preserve"> </w:t>
      </w:r>
      <w:r>
        <w:t xml:space="preserve">Las primeras insulinas se obtenían del páncreas de vacas y cerdos. Los péptidos de colágeno se producen hoy descomponiendo con enzimas en fragmentos más pequeños el colágeno de piel, huesos o escamas de pescado (hidrólisis). Estos hidrolizados son mezclas de muchos péptidos diferentes, no un principio activo uniforme.</w:t>
      </w:r>
    </w:p>
    <w:p>
      <w:pPr>
        <w:pStyle w:val="BodyText"/>
      </w:pPr>
      <w:r>
        <w:t xml:space="preserve">La vía de fabricación es relevante para la seguridad. Un estudio comparó productos de imitación de semaglutida y liraglutida con los preparados originales y halló en algunos principios activos de imitación nuevas impurezas, entre ellas proteínas de mayor peso molecular, trazas de metales y restos de disolventes</w:t>
      </w:r>
      <w:r>
        <w:rPr>
          <w:rStyle w:val="FootnoteReference"/>
        </w:rPr>
        <w:footnoteReference w:id="51"/>
      </w:r>
      <w:r>
        <w:t xml:space="preserve">. Si estas diferencias son clínicamente relevantes es una cuestión abierta, pero muestran que «el mismo principio activo» no significa automáticamente «el mismo producto». Por cierto, el estudio fue realizado por el fabricante de los preparados originales, algo que debe tenerse en cuenta al valorarlo.</w:t>
      </w:r>
    </w:p>
    <w:bookmarkEnd w:id="52"/>
    <w:bookmarkStart w:id="55" w:name="X2d3683797b9783534e141f3a1fb97cc937e26e4"/>
    <w:p>
      <w:pPr>
        <w:pStyle w:val="Heading3"/>
      </w:pPr>
      <w:r>
        <w:t xml:space="preserve">Los péptidos como medicamentos: un grupo en crecimiento</w:t>
      </w:r>
    </w:p>
    <w:p>
      <w:pPr>
        <w:pStyle w:val="FirstParagraph"/>
      </w:pPr>
      <w:r>
        <w:t xml:space="preserve">Los péptidos ocupan un nicho entre las «moléculas pequeñas» clásicas (como la aspirina o la metformina) y los grandes fármacos biológicos (como los anticuerpos). Pueden unirse de forma muy específica a un receptor, lo que a menudo se traduce en pocos efectos adversos indeseados en otros lugares. Al mismo tiempo, es más difícil presentarlos en forma de comprimido y su fabricación suele ser cara.</w:t>
      </w:r>
    </w:p>
    <w:p>
      <w:pPr>
        <w:pStyle w:val="BodyText"/>
      </w:pPr>
      <w:r>
        <w:t xml:space="preserve">Según un artículo de revisión, desde la introducción de la insulina más de 80 medicamentos peptídicos han llegado al mercado, por ejemplo contra la diabetes, el cáncer, la osteoporosis, la esclerosis múltiple, la infección por VIH y el dolor crónico</w:t>
      </w:r>
      <w:r>
        <w:rPr>
          <w:rStyle w:val="FootnoteReference"/>
        </w:rPr>
        <w:footnoteReference w:id="53"/>
      </w:r>
      <w:r>
        <w:t xml:space="preserve">. Otro análisis contabilizó más de 150 péptidos en desarrollo clínico activo</w:t>
      </w:r>
      <w:r>
        <w:rPr>
          <w:rStyle w:val="FootnoteReference"/>
        </w:rPr>
        <w:footnoteReference w:id="54"/>
      </w:r>
      <w:r>
        <w:t xml:space="preserve">. Las cifras varían según el método de recuento, pero apuntan en la misma dirección: los péptidos son una parte consolidada y creciente de la medicina.</w:t>
      </w:r>
    </w:p>
    <w:p>
      <w:pPr>
        <w:pStyle w:val="BodyText"/>
      </w:pPr>
      <w:r>
        <w:t xml:space="preserve">Es posible que conozcas muchos péptidos farmacológicos sin haberlos percibido como tales: la insulina, el antiosteoporótico teriparatida (un fragmento de la hormona paratiroidea de 34 aminoácidos), los principios activos contra el cáncer de próstata que actúan sobre el sistema de la GnRH, la oxitocina utilizada para inducir las contracciones del parto o el antibiótico vancomicina, un glucopéptido.</w:t>
      </w:r>
    </w:p>
    <w:bookmarkEnd w:id="55"/>
    <w:bookmarkStart w:id="57" w:name="lo-que-no-son-los-péptidos"/>
    <w:p>
      <w:pPr>
        <w:pStyle w:val="Heading3"/>
      </w:pPr>
      <w:r>
        <w:t xml:space="preserve">Lo que no son los péptidos</w:t>
      </w:r>
    </w:p>
    <w:p>
      <w:pPr>
        <w:pStyle w:val="FirstParagraph"/>
      </w:pPr>
      <w:r>
        <w:t xml:space="preserve">Precisamente porque el término se ha vuelto tan popular, merece la pena repasar algunos malentendidos frecuentes.</w:t>
      </w:r>
    </w:p>
    <w:p>
      <w:pPr>
        <w:pStyle w:val="BodyText"/>
      </w:pPr>
      <w:r>
        <w:rPr>
          <w:bCs/>
          <w:b/>
        </w:rPr>
        <w:t xml:space="preserve">«Péptido» no es un sello de calidad.</w:t>
      </w:r>
      <w:r>
        <w:t xml:space="preserve"> </w:t>
      </w:r>
      <w:r>
        <w:t xml:space="preserve">La estructura química no dice nada sobre el beneficio o el riesgo. La insulina salva vidas a diario; en una cantidad equivocada puede ser mortal. Un péptido no es automáticamente más suave que un medicamento «químico».</w:t>
      </w:r>
    </w:p>
    <w:p>
      <w:pPr>
        <w:pStyle w:val="BodyText"/>
      </w:pPr>
      <w:r>
        <w:rPr>
          <w:bCs/>
          <w:b/>
        </w:rPr>
        <w:t xml:space="preserve">«Endógeno» no significa «inocuo».</w:t>
      </w:r>
      <w:r>
        <w:t xml:space="preserve"> </w:t>
      </w:r>
      <w:r>
        <w:t xml:space="preserve">Muchos péptidos del mercado gris se anuncian como «endógenos» o «bioidénticos». Pero también las sustancias endógenas pueden causar daño en cantidades anormalmente altas, en el lugar equivocado o durante mucho tiempo. Un ejemplo es el sistema de la hormona del crecimiento: su déficit enferma, y un exceso persistente también. Además, muchos péptidos supuestamente endógenos son en realidad variantes o fragmentos que no existen como tales en el organismo. El BPC-157, por ejemplo, es una secuencia de 15 aminoácidos</w:t>
      </w:r>
      <w:r>
        <w:rPr>
          <w:rStyle w:val="FootnoteReference"/>
        </w:rPr>
        <w:footnoteReference w:id="56"/>
      </w:r>
      <w:r>
        <w:t xml:space="preserve"> </w:t>
      </w:r>
      <w:r>
        <w:t xml:space="preserve">que sus descubridores derivaron del jugo gástrico; no está establecido como hormona propia del ser humano.</w:t>
      </w:r>
    </w:p>
    <w:p>
      <w:pPr>
        <w:pStyle w:val="BodyText"/>
      </w:pPr>
      <w:r>
        <w:rPr>
          <w:bCs/>
          <w:b/>
        </w:rPr>
        <w:t xml:space="preserve">Los péptidos no son esteroides.</w:t>
      </w:r>
      <w:r>
        <w:t xml:space="preserve"> </w:t>
      </w:r>
      <w:r>
        <w:t xml:space="preserve">Los anabolizantes como la testosterona son hormonas esteroideas con un esqueleto químico completamente distinto, formado por anillos de carbono. Actúan a través de receptores situados en el interior de la célula. En el ámbito del fitness, ambos grupos se meten a veces en el mismo saco; química y farmacológicamente tienen poco en común.</w:t>
      </w:r>
    </w:p>
    <w:p>
      <w:pPr>
        <w:pStyle w:val="BodyText"/>
      </w:pPr>
      <w:r>
        <w:rPr>
          <w:bCs/>
          <w:b/>
        </w:rPr>
        <w:t xml:space="preserve">No todo lo que actúa de forma parecida es un péptido.</w:t>
      </w:r>
      <w:r>
        <w:t xml:space="preserve"> </w:t>
      </w:r>
      <w:r>
        <w:t xml:space="preserve">El orforglipron, por ejemplo, activa el receptor de GLP-1 igual que la semaglutida, pero es una molécula pequeña no peptídica. El ibutamoren (MK-677) estimula la secreción de hormona del crecimiento como algunos péptidos, pero no lo es. Por eso, ambos se tratan en este libro solo a efectos comparativos.</w:t>
      </w:r>
    </w:p>
    <w:p>
      <w:pPr>
        <w:pStyle w:val="BodyText"/>
      </w:pPr>
      <w:r>
        <w:rPr>
          <w:bCs/>
          <w:b/>
        </w:rPr>
        <w:t xml:space="preserve">Un péptido en una crema no es lo mismo que un péptido en una inyección.</w:t>
      </w:r>
      <w:r>
        <w:t xml:space="preserve"> </w:t>
      </w:r>
      <w:r>
        <w:t xml:space="preserve">Los péptidos cosméticos como el palmitoil pentapéptido-4 están diseñados expresamente para actuar en la capa más superficial de la piel. Si penetran, y hasta qué profundidad, es otra cuestión. A la inversa, un péptido que se inyecta como medicamento no atraviesa sin más la piel si se aplica sobre ella.</w:t>
      </w:r>
    </w:p>
    <w:p>
      <w:pPr>
        <w:pStyle w:val="BodyText"/>
      </w:pPr>
      <w:r>
        <w:rPr>
          <w:bCs/>
          <w:b/>
        </w:rPr>
        <w:t xml:space="preserve">Los péptidos ingeridos suelen digerirse.</w:t>
      </w:r>
      <w:r>
        <w:t xml:space="preserve"> </w:t>
      </w:r>
      <w:r>
        <w:t xml:space="preserve">El tubo digestivo está diseñado para descomponer las proteínas en aminoácidos y fragmentos muy cortos. Por eso, una hormona peptídica que se traga se degrada, por regla general, antes de poder actuar. Las excepciones —como algunos péptidos muy pequeños del colágeno detectables en la sangre o el comprimido de semaglutida con su excipiente— se explican dos capítulos más adelante.</w:t>
      </w:r>
    </w:p>
    <w:bookmarkEnd w:id="57"/>
    <w:bookmarkStart w:id="58" w:name="natural-idéntico-al-natural-modificado"/>
    <w:p>
      <w:pPr>
        <w:pStyle w:val="Heading3"/>
      </w:pPr>
      <w:r>
        <w:t xml:space="preserve">Natural, idéntico al natural, modificado</w:t>
      </w:r>
    </w:p>
    <w:p>
      <w:pPr>
        <w:pStyle w:val="FirstParagraph"/>
      </w:pPr>
      <w:r>
        <w:t xml:space="preserve">Para clasificar los péptidos de la Parte II resulta útil una distinción sencilla:</w:t>
      </w:r>
    </w:p>
    <w:p>
      <w:pPr>
        <w:numPr>
          <w:ilvl w:val="0"/>
          <w:numId w:val="1006"/>
        </w:numPr>
        <w:pStyle w:val="Compact"/>
      </w:pPr>
      <w:r>
        <w:rPr>
          <w:bCs/>
          <w:b/>
        </w:rPr>
        <w:t xml:space="preserve">Los péptidos idénticos a los naturales</w:t>
      </w:r>
      <w:r>
        <w:t xml:space="preserve"> </w:t>
      </w:r>
      <w:r>
        <w:t xml:space="preserve">corresponden exactamente a una molécula endógena, como la oxitocina o el glutatión.</w:t>
      </w:r>
    </w:p>
    <w:p>
      <w:pPr>
        <w:numPr>
          <w:ilvl w:val="0"/>
          <w:numId w:val="1006"/>
        </w:numPr>
        <w:pStyle w:val="Compact"/>
      </w:pPr>
      <w:r>
        <w:rPr>
          <w:bCs/>
          <w:b/>
        </w:rPr>
        <w:t xml:space="preserve">Los análogos modificados</w:t>
      </w:r>
      <w:r>
        <w:t xml:space="preserve"> </w:t>
      </w:r>
      <w:r>
        <w:t xml:space="preserve">derivan del modelo natural, pero se han modificado de forma específica: mediante aminoácidos sustituidos, ácidos grasos añadidos o estructuras cíclicas. Casi todos los medicamentos peptídicos modernos pertenecen a este grupo.</w:t>
      </w:r>
    </w:p>
    <w:p>
      <w:pPr>
        <w:numPr>
          <w:ilvl w:val="0"/>
          <w:numId w:val="1006"/>
        </w:numPr>
        <w:pStyle w:val="Compact"/>
      </w:pPr>
      <w:r>
        <w:rPr>
          <w:bCs/>
          <w:b/>
        </w:rPr>
        <w:t xml:space="preserve">Los péptidos ajenos o de nuevo diseño</w:t>
      </w:r>
      <w:r>
        <w:t xml:space="preserve"> </w:t>
      </w:r>
      <w:r>
        <w:t xml:space="preserve">proceden de otros seres vivos (como la exendina-4 de la saliva del monstruo de Gila) o se han desarrollado de nuevo en el laboratorio (como los péptidos cosméticos o los agonistas dobles y triples tirzepatida y retatrutida).</w:t>
      </w:r>
    </w:p>
    <w:p>
      <w:pPr>
        <w:pStyle w:val="FirstParagraph"/>
      </w:pPr>
      <w:r>
        <w:t xml:space="preserve">Esta clasificación por sí sola no es decisiva para la seguridad. Pero ayuda a entender por qué los estudios en seres humanos son imprescindibles en los tres grupos: incluso una molécula idéntica a la natural se comporta de otra manera cuando se administra desde fuera en grandes cantidades.</w:t>
      </w:r>
    </w:p>
    <w:bookmarkEnd w:id="58"/>
    <w:bookmarkStart w:id="61" w:name="Xe800e09dad28d148dab21c2e621ec9890584a75"/>
    <w:p>
      <w:pPr>
        <w:pStyle w:val="Heading3"/>
      </w:pPr>
      <w:r>
        <w:t xml:space="preserve">Por qué los péptidos reciben ahora tanta atención</w:t>
      </w:r>
    </w:p>
    <w:p>
      <w:pPr>
        <w:pStyle w:val="FirstParagraph"/>
      </w:pPr>
      <w:r>
        <w:t xml:space="preserve">Tres evoluciones explican el auge de los últimos años:</w:t>
      </w:r>
    </w:p>
    <w:p>
      <w:pPr>
        <w:pStyle w:val="BodyText"/>
      </w:pPr>
      <w:r>
        <w:rPr>
          <w:bCs/>
          <w:b/>
        </w:rPr>
        <w:t xml:space="preserve">En primer lugar, los medicamentos GLP-1.</w:t>
      </w:r>
      <w:r>
        <w:t xml:space="preserve"> </w:t>
      </w:r>
      <w:r>
        <w:t xml:space="preserve">Los resultados de principios activos como la semaglutida y la tirzepatida en el exceso de peso han llevado a los péptidos a los titulares. En el estudio de registro STEP 1, los participantes que recibieron semaglutida perdieron de media el 14,9 % de su peso corporal, frente al 2,4 % con placebo</w:t>
      </w:r>
      <w:r>
        <w:rPr>
          <w:rStyle w:val="FootnoteReference"/>
        </w:rPr>
        <w:footnoteReference w:id="59"/>
      </w:r>
      <w:r>
        <w:t xml:space="preserve">. Hasta entonces no se habían alcanzado cifras así con medicamentos.</w:t>
      </w:r>
    </w:p>
    <w:p>
      <w:pPr>
        <w:pStyle w:val="BodyText"/>
      </w:pPr>
      <w:r>
        <w:rPr>
          <w:bCs/>
          <w:b/>
        </w:rPr>
        <w:t xml:space="preserve">En segundo lugar, la facilidad de acceso.</w:t>
      </w:r>
      <w:r>
        <w:t xml:space="preserve"> </w:t>
      </w:r>
      <w:r>
        <w:t xml:space="preserve">Hoy en día, los péptidos cortos pueden sintetizarse a bajo coste en muchos países y se ofrecen en todo el mundo a través de internet, a menudo con la etiqueta «solo para fines de investigación». Qué significa esto se trata en el capítulo sobre el mercado gris.</w:t>
      </w:r>
    </w:p>
    <w:p>
      <w:pPr>
        <w:pStyle w:val="BodyText"/>
      </w:pPr>
      <w:r>
        <w:rPr>
          <w:bCs/>
          <w:b/>
        </w:rPr>
        <w:t xml:space="preserve">En tercer lugar, las redes sociales.</w:t>
      </w:r>
      <w:r>
        <w:t xml:space="preserve"> </w:t>
      </w:r>
      <w:r>
        <w:t xml:space="preserve">Los testimonios, las fotos de antes y después y las recomendaciones de influencers se difunden más rápido que los datos científicos. Un artículo de revisión describe cómo la publicidad digital, el acceso al mercado gris y la autoinyección interactúan y normalizan productos cuya identidad, pureza y seguridad no están claras</w:t>
      </w:r>
      <w:r>
        <w:rPr>
          <w:rStyle w:val="FootnoteReference"/>
        </w:rPr>
        <w:footnoteReference w:id="60"/>
      </w:r>
      <w:r>
        <w:t xml:space="preserve">.</w:t>
      </w:r>
    </w:p>
    <w:p>
      <w:pPr>
        <w:pStyle w:val="BodyText"/>
      </w:pPr>
      <w:r>
        <w:t xml:space="preserve">Este libro pretende ofrecer aquí un contrapunto sobrio: para cada péptido se examina qué se ha investigado realmente en el ser humano y qué no.</w:t>
      </w:r>
    </w:p>
    <w:bookmarkEnd w:id="61"/>
    <w:bookmarkStart w:id="62" w:name="lo-esencial-en-resumen"/>
    <w:p>
      <w:pPr>
        <w:pStyle w:val="Heading3"/>
      </w:pPr>
      <w:r>
        <w:t xml:space="preserve">Lo esencial en resumen</w:t>
      </w:r>
    </w:p>
    <w:p>
      <w:pPr>
        <w:numPr>
          <w:ilvl w:val="0"/>
          <w:numId w:val="1007"/>
        </w:numPr>
        <w:pStyle w:val="Compact"/>
      </w:pPr>
      <w:r>
        <w:t xml:space="preserve">Los péptidos son cadenas de aminoácidos unidos por enlaces peptídicos. A partir de unos 50 aminoácidos se suele hablar de proteínas.</w:t>
      </w:r>
    </w:p>
    <w:p>
      <w:pPr>
        <w:numPr>
          <w:ilvl w:val="0"/>
          <w:numId w:val="1007"/>
        </w:numPr>
        <w:pStyle w:val="Compact"/>
      </w:pPr>
      <w:r>
        <w:t xml:space="preserve">En el organismo, los péptidos actúan sobre todo como mensajeros a través de receptores de la superficie celular.</w:t>
      </w:r>
    </w:p>
    <w:p>
      <w:pPr>
        <w:numPr>
          <w:ilvl w:val="0"/>
          <w:numId w:val="1007"/>
        </w:numPr>
        <w:pStyle w:val="Compact"/>
      </w:pPr>
      <w:r>
        <w:t xml:space="preserve">Los péptidos naturales se degradan rápidamente. Por eso, los medicamentos peptídicos modernos son casi siempre moléculas modificadas de forma específica.</w:t>
      </w:r>
    </w:p>
    <w:p>
      <w:pPr>
        <w:numPr>
          <w:ilvl w:val="0"/>
          <w:numId w:val="1007"/>
        </w:numPr>
        <w:pStyle w:val="Compact"/>
      </w:pPr>
      <w:r>
        <w:t xml:space="preserve">Los péptidos se sintetizan químicamente, se producen por ingeniería genética o se obtienen de fuentes naturales. La vía de fabricación y la pureza influyen en la seguridad.</w:t>
      </w:r>
    </w:p>
    <w:p>
      <w:pPr>
        <w:numPr>
          <w:ilvl w:val="0"/>
          <w:numId w:val="1007"/>
        </w:numPr>
        <w:pStyle w:val="Compact"/>
      </w:pPr>
      <w:r>
        <w:t xml:space="preserve">«Péptido» es una descripción química, no un sello de calidad. Solo los buenos estudios pueden demostrar si un péptido concreto es eficaz y seguro en el ser humano.</w:t>
      </w:r>
    </w:p>
    <w:bookmarkEnd w:id="62"/>
    <w:bookmarkEnd w:id="63"/>
    <w:bookmarkStart w:id="100" w:name="X86c49c171f6893a764782d4e14ad611f4fff43b"/>
    <w:p>
      <w:pPr>
        <w:pStyle w:val="Heading2"/>
      </w:pPr>
      <w:r>
        <w:t xml:space="preserve">Breve historia: de la insulina a los medicamentos GLP-1</w:t>
      </w:r>
    </w:p>
    <w:p>
      <w:pPr>
        <w:pStyle w:val="FirstParagraph"/>
      </w:pPr>
      <w:r>
        <w:t xml:space="preserve">La historia de los medicamentos peptídicos es una historia de avances decisivos, callejones sin salida y casualidades asombrosas. Comienza con un experimento desesperado en Toronto, pasa por el veneno de un lagarto del desierto norteamericano y termina, de momento, en inyecciones para adelgazar que figuran entre los medicamentos más vendidos del mundo. Este capítulo recorre las etapas más importantes. Pretende ayudarte a situar en su contexto el revuelo actual en torno a los péptidos: mucho de lo que se vende como revolucionario se apoya sobre los hombros de cien años de laboriosa investigación.</w:t>
      </w:r>
    </w:p>
    <w:bookmarkStart w:id="64" w:name="X8e614624e86b7d223a73ac5444418eeb14d09a8"/>
    <w:p>
      <w:pPr>
        <w:pStyle w:val="Heading3"/>
      </w:pPr>
      <w:r>
        <w:t xml:space="preserve">Antes de 1922: se descubren los mensajeros químicos</w:t>
      </w:r>
    </w:p>
    <w:p>
      <w:pPr>
        <w:pStyle w:val="FirstParagraph"/>
      </w:pPr>
      <w:r>
        <w:t xml:space="preserve">Hacia 1900 se impuso en la fisiología una idea nueva: los órganos no se comunican solo a través de los nervios, sino también mediante mensajeros químicos presentes en la sangre. Los fisiólogos británicos William Bayliss y Ernest Starling describieron en 1902 la secretina, una sustancia de la pared intestinal que estimula al páncreas a producir jugo. Poco después, Starling acuñó para estos mensajeros el término «hormona». La secretina es, como se sabe hoy, un péptido. Así pues, un péptido estuvo en el origen de toda la investigación hormonal.</w:t>
      </w:r>
    </w:p>
    <w:p>
      <w:pPr>
        <w:pStyle w:val="BodyText"/>
      </w:pPr>
      <w:r>
        <w:t xml:space="preserve">Al mismo tiempo se sabía que la diabetes (diabetes mellitus) estaba relacionada con el páncreas. Los perros a los que se extirpaba este órgano desarrollaban una diabetes mortal. Muchos grupos de investigación intentaron obtener de la glándula la supuesta sustancia que reducía el azúcar en sangre. Sin embargo, los extractos eran ineficaces o estaban tan contaminados que provocaban reacciones graves.</w:t>
      </w:r>
    </w:p>
    <w:bookmarkEnd w:id="64"/>
    <w:bookmarkStart w:id="68" w:name="X7408614b2fac4a204700aec98f497a854a3b194"/>
    <w:p>
      <w:pPr>
        <w:pStyle w:val="Heading3"/>
      </w:pPr>
      <w:r>
        <w:t xml:space="preserve">1922: la insulina, el primer medicamento peptídico</w:t>
      </w:r>
    </w:p>
    <w:p>
      <w:pPr>
        <w:pStyle w:val="FirstParagraph"/>
      </w:pPr>
      <w:r>
        <w:t xml:space="preserve">En el verano de 1921, un grupo de la Universidad de Toronto dio el paso decisivo. Frederick Banting y Charles Best, bajo la dirección de John Macleod, obtuvieron un extracto que reducía la glucemia en perros sin páncreas. El bioquímico James Collip mejoró la purificación hasta el punto de que el extracto pudo probarse en seres humanos. En enero de 1922, un muchacho de 14 años con diabetes grave recibió las primeras inyecciones en Toronto. Ese mismo año, el grupo informó de su experiencia con pacientes</w:t>
      </w:r>
      <w:r>
        <w:rPr>
          <w:rStyle w:val="FootnoteReference"/>
        </w:rPr>
        <w:footnoteReference w:id="65"/>
      </w:r>
      <w:r>
        <w:t xml:space="preserve">.</w:t>
      </w:r>
    </w:p>
    <w:p>
      <w:pPr>
        <w:pStyle w:val="BodyText"/>
      </w:pPr>
      <w:r>
        <w:t xml:space="preserve">El efecto fue espectacular: la diabetes tipo 1, hasta entonces mortal en poco tiempo, se convirtió en una enfermedad crónica tratable. Un artículo de revisión con motivo del centenario describe precisamente este cambio como el núcleo del descubrimiento</w:t>
      </w:r>
      <w:r>
        <w:rPr>
          <w:rStyle w:val="FootnoteReference"/>
        </w:rPr>
        <w:footnoteReference w:id="66"/>
      </w:r>
      <w:r>
        <w:t xml:space="preserve">. Banting y Macleod recibieron en 1923 el Premio Nobel de Medicina.</w:t>
      </w:r>
    </w:p>
    <w:p>
      <w:pPr>
        <w:pStyle w:val="BodyText"/>
      </w:pPr>
      <w:r>
        <w:t xml:space="preserve">Las décadas siguientes giraron, como resume una revisión histórica, en torno a cuestiones muy prácticas: producir suficiente insulina, hacerla más pura para evitar reacciones alérgicas, establecer estándares y prolongar la duración del efecto para que fueran necesarias menos inyecciones</w:t>
      </w:r>
      <w:r>
        <w:rPr>
          <w:rStyle w:val="FootnoteReference"/>
        </w:rPr>
        <w:footnoteReference w:id="67"/>
      </w:r>
      <w:r>
        <w:t xml:space="preserve">. Precisamente estos temas —fabricación, pureza, duración del efecto, administración— acompañan a la medicina peptídica hasta hoy.</w:t>
      </w:r>
    </w:p>
    <w:bookmarkEnd w:id="68"/>
    <w:bookmarkStart w:id="71" w:name="Xb1e1cc713ae9b6c14b3eb45a088ad72479e6df8"/>
    <w:p>
      <w:pPr>
        <w:pStyle w:val="Heading3"/>
      </w:pPr>
      <w:r>
        <w:t xml:space="preserve">Década de 1950: los péptidos se vuelven legibles y fabricables</w:t>
      </w:r>
    </w:p>
    <w:p>
      <w:pPr>
        <w:pStyle w:val="FirstParagraph"/>
      </w:pPr>
      <w:r>
        <w:t xml:space="preserve">Durante mucho tiempo no estuvo claro cómo estaba constituida químicamente la insulina. A principios de la década de 1950, el bioquímico británico Frederick Sanger descifró paso a paso la secuencia de aminoácidos de las dos cadenas de la insulina</w:t>
      </w:r>
      <w:r>
        <w:rPr>
          <w:rStyle w:val="FootnoteReference"/>
        </w:rPr>
        <w:footnoteReference w:id="69"/>
      </w:r>
      <w:r>
        <w:t xml:space="preserve">. La insulina se convirtió así en la primera proteína cuya secuencia completa se conocía. Sanger recibió por ello el Premio Nobel de Química en 1958. El descubrimiento de que las proteínas tienen un orden de componentes fijo y exactamente definido fue fundamental para toda la biología molecular.</w:t>
      </w:r>
    </w:p>
    <w:p>
      <w:pPr>
        <w:pStyle w:val="BodyText"/>
      </w:pPr>
      <w:r>
        <w:t xml:space="preserve">Casi al mismo tiempo, el químico estadounidense Vincent du Vigneaud logró la primera síntesis química de una hormona peptídica: la oxitocina, una hormona de nueve aminoácidos que desencadena las contracciones del parto y la salida de la leche. Fue galardonado por ello con el Premio Nobel de Química en 1955. Por primera vez se había «reproducido» en el laboratorio una hormona endógena; la oxitocina sintética se sigue utilizando hoy en obstetricia.</w:t>
      </w:r>
    </w:p>
    <w:p>
      <w:pPr>
        <w:pStyle w:val="BodyText"/>
      </w:pPr>
      <w:r>
        <w:t xml:space="preserve">En la década de 1960, Robert Bruce Merrifield desarrolló la síntesis en fase sólida, en la que una cadena peptídica se alarga componente a componente sobre un soporte sólido</w:t>
      </w:r>
      <w:r>
        <w:rPr>
          <w:rStyle w:val="FootnoteReference"/>
        </w:rPr>
        <w:footnoteReference w:id="70"/>
      </w:r>
      <w:r>
        <w:t xml:space="preserve">. El procedimiento podía automatizarse y fue lo que hizo viable la fabricación de cualquier péptido corto. Merrifield recibió el Premio Nobel de Química en 1984. Sin esta técnica no existirían ni la mayoría de los medicamentos peptídicos modernos ni el mercado gris actual.</w:t>
      </w:r>
    </w:p>
    <w:bookmarkEnd w:id="71"/>
    <w:bookmarkStart w:id="73" w:name="décadas-de-1960-y-1970-medir-y-regular"/>
    <w:p>
      <w:pPr>
        <w:pStyle w:val="Heading3"/>
      </w:pPr>
      <w:r>
        <w:t xml:space="preserve">Décadas de 1960 y 1970: medir y regular</w:t>
      </w:r>
    </w:p>
    <w:p>
      <w:pPr>
        <w:pStyle w:val="FirstParagraph"/>
      </w:pPr>
      <w:r>
        <w:t xml:space="preserve">Otro obstáculo era la posibilidad de medirlos. Las hormonas peptídicas están presentes en la sangre en cantidades ínfimas. Rosalyn Yalow y Solomon Berson desarrollaron un método de medición con anticuerpos y moléculas marcadas radiactivamente, el radioinmunoensayo, y determinaron con él por primera vez la insulina en la sangre de seres humanos</w:t>
      </w:r>
      <w:r>
        <w:rPr>
          <w:rStyle w:val="FootnoteReference"/>
        </w:rPr>
        <w:footnoteReference w:id="72"/>
      </w:r>
      <w:r>
        <w:t xml:space="preserve">. Yalow recibió el Premio Nobel en 1977. De repente era posible seguir cuándo libera el organismo cada hormona peptídica.</w:t>
      </w:r>
    </w:p>
    <w:p>
      <w:pPr>
        <w:pStyle w:val="BodyText"/>
      </w:pPr>
      <w:r>
        <w:t xml:space="preserve">Ese mismo año fueron galardonados Roger Guillemin y Andrew Schally. Habían descifrado los mensajeros peptídicos del hipotálamo, la región cerebral que da órdenes a la hipófisis. De estos descubrimientos surgieron clases enteras de medicamentos: los derivados de la hormona liberadora de gonadotropinas (GnRH) se utilizan, por ejemplo, en el cáncer de próstata, la endometriosis y los tratamientos de fertilidad. La hormona somatostatina sirvió de modelo para la octreotida, que se emplea en tumores productores de hormonas y en la acromegalia. También los péptidos liberadores de hormona del crecimiento, que se tratan en detalle en la Parte II, tienen aquí sus raíces.</w:t>
      </w:r>
    </w:p>
    <w:bookmarkEnd w:id="73"/>
    <w:bookmarkStart w:id="77" w:name="X99407c05d9644cbcf0d292a0cf64e9afac375ba"/>
    <w:p>
      <w:pPr>
        <w:pStyle w:val="Heading3"/>
      </w:pPr>
      <w:r>
        <w:t xml:space="preserve">Década de 1980: la ingeniería genética lo cambia todo</w:t>
      </w:r>
    </w:p>
    <w:p>
      <w:pPr>
        <w:pStyle w:val="FirstParagraph"/>
      </w:pPr>
      <w:r>
        <w:t xml:space="preserve">Hasta la década de 1980, la insulina procedía del páncreas de animales de matadero. La hormona del crecimiento humana se obtenía de las hipófisis de personas fallecidas; este periodo abarcó de 1958 a 1985</w:t>
      </w:r>
      <w:r>
        <w:rPr>
          <w:rStyle w:val="FootnoteReference"/>
        </w:rPr>
        <w:footnoteReference w:id="74"/>
      </w:r>
      <w:r>
        <w:t xml:space="preserve">. Este método de obtención tuvo una trágica contrapartida: algunos niños que habían recibido esa hormona desarrollaron años después la enfermedad de Creutzfeldt-Jakob, transmitida por preparados contaminados. El episodio sigue siendo hoy un recordatorio de lo importantes que son la pureza y el origen de los principios activos biológicos.</w:t>
      </w:r>
    </w:p>
    <w:p>
      <w:pPr>
        <w:pStyle w:val="BodyText"/>
      </w:pPr>
      <w:r>
        <w:t xml:space="preserve">La ingeniería genética ofreció una salida. La insulina humana, producida en bacterias, empezó a utilizarse en estudios clínicos en seres humanos a partir de 1980 y fue el primer medicamento obtenido mediante tecnología de ADN recombinante</w:t>
      </w:r>
      <w:r>
        <w:rPr>
          <w:rStyle w:val="FootnoteReference"/>
        </w:rPr>
        <w:footnoteReference w:id="75"/>
      </w:r>
      <w:r>
        <w:t xml:space="preserve">. Pocos años después llegó la hormona del crecimiento recombinante. Por primera vez se disponía de péptidos y proteínas humanos en cantidades prácticamente ilimitadas.</w:t>
      </w:r>
    </w:p>
    <w:p>
      <w:pPr>
        <w:pStyle w:val="BodyText"/>
      </w:pPr>
      <w:r>
        <w:t xml:space="preserve">En la década de 1990, los fabricantes fueron un paso más allá: modificaron de forma específica las moléculas de insulina para que actuaran más rápido o más despacio. Estos «análogos de insulina» fueron un precursor del principio que más tarde haría tan exitosos a los medicamentos GLP-1: un modelo natural, optimizado en el laboratorio para su uso.</w:t>
      </w:r>
    </w:p>
    <w:p>
      <w:pPr>
        <w:pStyle w:val="BodyText"/>
      </w:pPr>
      <w:r>
        <w:t xml:space="preserve">También se consolidaron otros medicamentos peptídicos. Un ejemplo es la teriparatida, un fragmento de la hormona paratiroidea. En un gran estudio con 1637 mujeres posmenopáusicas con osteoporosis, se produjeron nuevas fracturas vertebrales en el 14 % de las mujeres con placebo, pero solo en el 5 % y el 4 %, respectivamente, en los dos grupos de teriparatida</w:t>
      </w:r>
      <w:r>
        <w:rPr>
          <w:rStyle w:val="FootnoteReference"/>
        </w:rPr>
        <w:footnoteReference w:id="76"/>
      </w:r>
      <w:r>
        <w:t xml:space="preserve">. Los estudios de este tipo, con variables «duras» como las fracturas óseas, fijaron el listón con el que deben medirse también los nuevos péptidos.</w:t>
      </w:r>
    </w:p>
    <w:bookmarkEnd w:id="77"/>
    <w:bookmarkStart w:id="80" w:name="X1e6593454364dd7c0b39572b1c89e0706184b1f"/>
    <w:p>
      <w:pPr>
        <w:pStyle w:val="Heading3"/>
      </w:pPr>
      <w:r>
        <w:t xml:space="preserve">Las incretinas: del intestino al medicamento</w:t>
      </w:r>
    </w:p>
    <w:p>
      <w:pPr>
        <w:pStyle w:val="FirstParagraph"/>
      </w:pPr>
      <w:r>
        <w:t xml:space="preserve">La historia de los medicamentos GLP-1 comienza con una observación de la década de 1960: el azúcar que se ingiere desencadena una secreción de insulina mucho mayor que la misma cantidad de azúcar inyectada directamente en la sangre. Por tanto, el intestino debe enviar señales al páncreas durante la comida. A estas sustancias señalizadoras se las llamó incretinas.</w:t>
      </w:r>
    </w:p>
    <w:p>
      <w:pPr>
        <w:pStyle w:val="BodyText"/>
      </w:pPr>
      <w:r>
        <w:t xml:space="preserve">La primera incretina conocida fue el GIP (polipéptido insulinotrópico dependiente de glucosa). En la década de 1980 se descubrió una segunda: el péptido similar al glucagón tipo 1 (glucagon-like peptide-1), abreviado GLP-1. Un grupo británico demostró en 1987 que el GLP-1 aumenta en la sangre humana después de una comida, que —infundido en cantidades similares a las posteriores a comer— aumentaba la secreción de insulina y reducía la glucemia en siete voluntarios, y que era más eficaz que el GIP</w:t>
      </w:r>
      <w:r>
        <w:rPr>
          <w:rStyle w:val="FootnoteReference"/>
        </w:rPr>
        <w:footnoteReference w:id="78"/>
      </w:r>
      <w:r>
        <w:t xml:space="preserve">.</w:t>
      </w:r>
    </w:p>
    <w:p>
      <w:pPr>
        <w:pStyle w:val="BodyText"/>
      </w:pPr>
      <w:r>
        <w:t xml:space="preserve">El problema: el GLP-1 natural es degradado en la sangre en cuestión de minutos por la enzima DPP-4</w:t>
      </w:r>
      <w:r>
        <w:rPr>
          <w:rStyle w:val="FootnoteReference"/>
        </w:rPr>
        <w:footnoteReference w:id="79"/>
      </w:r>
      <w:r>
        <w:t xml:space="preserve">. Así apenas podía utilizarse como medicamento. Se siguieron dos vías de solución: inhibidores de la enzima degradadora (las llamadas gliptinas, autorizadas como comprimidos y que no son péptidos) y réplicas estables del propio GLP-1.</w:t>
      </w:r>
    </w:p>
    <w:bookmarkEnd w:id="80"/>
    <w:bookmarkStart w:id="83" w:name="el-veneno-del-lagarto-la-exenatida"/>
    <w:p>
      <w:pPr>
        <w:pStyle w:val="Heading3"/>
      </w:pPr>
      <w:r>
        <w:t xml:space="preserve">El veneno del lagarto: la exenatida</w:t>
      </w:r>
    </w:p>
    <w:p>
      <w:pPr>
        <w:pStyle w:val="FirstParagraph"/>
      </w:pPr>
      <w:r>
        <w:t xml:space="preserve">La primera réplica estable llegó por un camino inesperado. A principios de la década de 1990, el endocrinólogo estadounidense John Eng estudió el veneno del monstruo de Gila (Heloderma suspectum), un reptil venenoso del suroeste de Estados Unidos. Aisló de él un péptido de 39 aminoácidos al que llamó exendina-4</w:t>
      </w:r>
      <w:r>
        <w:rPr>
          <w:rStyle w:val="FootnoteReference"/>
        </w:rPr>
        <w:footnoteReference w:id="81"/>
      </w:r>
      <w:r>
        <w:t xml:space="preserve">. La exendina-4 se parece al GLP-1 humano, activa el mismo receptor, pero apenas es atacada por la DPP-4.</w:t>
      </w:r>
    </w:p>
    <w:p>
      <w:pPr>
        <w:pStyle w:val="BodyText"/>
      </w:pPr>
      <w:r>
        <w:t xml:space="preserve">La exendina-4 sintética recibió el nombre de exenatida y fue autorizada en Estados Unidos en 2005 como el primer medicamento de esta clase. En uno de los estudios de registro, con 336 personas con diabetes tipo 2 que ya tomaban metformina, el valor de glucemia a largo plazo HbA1c disminuyó al cabo de 30 semanas 0,78 puntos porcentuales en el grupo de dosis más alta, mientras que con placebo aumentó ligeramente 0,08 puntos porcentuales. Al mismo tiempo, los participantes que recibieron exenatida perdieron peso, 2,8 kg con la dosis más alta</w:t>
      </w:r>
      <w:r>
        <w:rPr>
          <w:rStyle w:val="FootnoteReference"/>
        </w:rPr>
        <w:footnoteReference w:id="82"/>
      </w:r>
      <w:r>
        <w:t xml:space="preserve">. Al principio, la exenatida debía inyectarse dos veces al día.</w:t>
      </w:r>
    </w:p>
    <w:p>
      <w:pPr>
        <w:pStyle w:val="BodyText"/>
      </w:pPr>
      <w:r>
        <w:t xml:space="preserve">La pérdida de peso se consideraba entonces un efecto secundario bienvenido. Que precisamente este efecto haría famosa a toda la clase dos décadas después probablemente lo intuían pocos.</w:t>
      </w:r>
    </w:p>
    <w:bookmarkEnd w:id="83"/>
    <w:bookmarkStart w:id="88" w:name="X5e484ea14db2158fa87e7f405da70d9f6399121"/>
    <w:p>
      <w:pPr>
        <w:pStyle w:val="Heading3"/>
      </w:pPr>
      <w:r>
        <w:t xml:space="preserve">Acción más prolongada: liraglutida y semaglutida</w:t>
      </w:r>
    </w:p>
    <w:p>
      <w:pPr>
        <w:pStyle w:val="FirstParagraph"/>
      </w:pPr>
      <w:r>
        <w:t xml:space="preserve">El fabricante danés Novo Nordisk siguió otro camino. En lugar de utilizar un péptido ajeno, modificó el GLP-1 humano de manera que se uniera en la sangre a la proteína transportadora albúmina y, por tanto, se degradara más lentamente. El resultado fue la liraglutida, que se inyecta una vez al día y fue autorizada en la UE en 2009. Una revisión de sus desarrolladores describe cómo se buscaron combinaciones adecuadas de ácido graso y espaciador para maximizar la unión a la albúmina sin perder el efecto sobre el receptor</w:t>
      </w:r>
      <w:r>
        <w:rPr>
          <w:rStyle w:val="FootnoteReference"/>
        </w:rPr>
        <w:footnoteReference w:id="84"/>
      </w:r>
      <w:r>
        <w:t xml:space="preserve">.</w:t>
      </w:r>
    </w:p>
    <w:p>
      <w:pPr>
        <w:pStyle w:val="BodyText"/>
      </w:pPr>
      <w:r>
        <w:t xml:space="preserve">Más tarde, la liraglutida se probó también a dosis más altas para el tratamiento del peso. En el estudio SCALE, con 3731 participantes sin diabetes, las personas que recibieron liraglutida perdieron de media 8,4 kg en 56 semanas, frente a 2,8 kg con placebo</w:t>
      </w:r>
      <w:r>
        <w:rPr>
          <w:rStyle w:val="FootnoteReference"/>
        </w:rPr>
        <w:footnoteReference w:id="85"/>
      </w:r>
      <w:r>
        <w:t xml:space="preserve">.</w:t>
      </w:r>
    </w:p>
    <w:p>
      <w:pPr>
        <w:pStyle w:val="BodyText"/>
      </w:pPr>
      <w:r>
        <w:t xml:space="preserve">El siguiente paso lo marcó la semaglutida: una molécula unida aún más intensamente a la albúmina, que solo debe inyectarse una vez a la semana</w:t>
      </w:r>
      <w:r>
        <w:rPr>
          <w:rStyle w:val="FootnoteReference"/>
        </w:rPr>
        <w:footnoteReference w:id="86"/>
      </w:r>
      <w:r>
        <w:t xml:space="preserve">. En el estudio de registro STEP 1, con 1961 adultos con sobrepeso u obesidad, el peso corporal disminuyó de media un 14,9 % en 68 semanas, frente a un 2,4 % con placebo</w:t>
      </w:r>
      <w:r>
        <w:rPr>
          <w:rStyle w:val="FootnoteReference"/>
        </w:rPr>
        <w:footnoteReference w:id="87"/>
      </w:r>
      <w:r>
        <w:t xml:space="preserve">. Este orden de magnitud superaba claramente todo lo que habían logrado los medicamentos para adelgazar anteriores.</w:t>
      </w:r>
    </w:p>
    <w:bookmarkEnd w:id="88"/>
    <w:bookmarkStart w:id="92" w:name="de-la-glucemia-al-corazón"/>
    <w:p>
      <w:pPr>
        <w:pStyle w:val="Heading3"/>
      </w:pPr>
      <w:r>
        <w:t xml:space="preserve">De la glucemia al corazón</w:t>
      </w:r>
    </w:p>
    <w:p>
      <w:pPr>
        <w:pStyle w:val="FirstParagraph"/>
      </w:pPr>
      <w:r>
        <w:t xml:space="preserve">Un punto de inflexión llegó cuando, a partir de 2008 y tras problemas con otro antidiabético, las autoridades exigieron a los nuevos medicamentos para la diabetes que demostraran su seguridad cardiovascular en grandes estudios. En principio, estos estudios solo debían demostrar que los fármacos no ponían en peligro el corazón. Con los medicamentos GLP-1 mostraron más.</w:t>
      </w:r>
    </w:p>
    <w:p>
      <w:pPr>
        <w:pStyle w:val="BodyText"/>
      </w:pPr>
      <w:r>
        <w:t xml:space="preserve">En el estudio LEADER, con 9340 personas con diabetes tipo 2 y alto riesgo cardiovascular, el evento combinado de muerte cardiovascular, infarto de miocardio no mortal o ictus se produjo en el 13,0 % con liraglutida y en el 14,9 % con placebo</w:t>
      </w:r>
      <w:r>
        <w:rPr>
          <w:rStyle w:val="FootnoteReference"/>
        </w:rPr>
        <w:footnoteReference w:id="89"/>
      </w:r>
      <w:r>
        <w:t xml:space="preserve">. En el estudio SUSTAIN-6, con 3297 participantes, fue del 6,6 % con semaglutida y del 8,9 % con placebo; no obstante, con semaglutida se produjeron con más frecuencia complicaciones en la retina</w:t>
      </w:r>
      <w:r>
        <w:rPr>
          <w:rStyle w:val="FootnoteReference"/>
        </w:rPr>
        <w:footnoteReference w:id="90"/>
      </w:r>
      <w:r>
        <w:t xml:space="preserve">.</w:t>
      </w:r>
    </w:p>
    <w:p>
      <w:pPr>
        <w:pStyle w:val="BodyText"/>
      </w:pPr>
      <w:r>
        <w:t xml:space="preserve">En 2023 llegó el estudio SELECT, el primero que investigó a personas con sobrepeso y enfermedad cardiovascular, pero sin diabetes. En 17.604 participantes, el evento cardiovascular combinado se produjo a lo largo de una media de 39,8 meses en el 6,5 % con semaglutida y en el 8,0 % con placebo</w:t>
      </w:r>
      <w:r>
        <w:rPr>
          <w:rStyle w:val="FootnoteReference"/>
        </w:rPr>
        <w:footnoteReference w:id="91"/>
      </w:r>
      <w:r>
        <w:t xml:space="preserve">. Con ello quedó demostrado que un medicamento peptídico en la obesidad puede influir no solo en el peso, sino también en eventos duros como los infartos. Qué significan estos porcentajes, y por qué hay que distinguir entre diferencias relativas y absolutas, se explica en el capítulo «Cómo leer correctamente los estudios».</w:t>
      </w:r>
    </w:p>
    <w:bookmarkEnd w:id="92"/>
    <w:bookmarkStart w:id="96" w:name="el-comprimido-y-los-agonistas-múltiples"/>
    <w:p>
      <w:pPr>
        <w:pStyle w:val="Heading3"/>
      </w:pPr>
      <w:r>
        <w:t xml:space="preserve">El comprimido y los agonistas múltiples</w:t>
      </w:r>
    </w:p>
    <w:p>
      <w:pPr>
        <w:pStyle w:val="FirstParagraph"/>
      </w:pPr>
      <w:r>
        <w:t xml:space="preserve">Otras dos evoluciones han marcado los últimos años.</w:t>
      </w:r>
    </w:p>
    <w:p>
      <w:pPr>
        <w:pStyle w:val="BodyText"/>
      </w:pPr>
      <w:r>
        <w:rPr>
          <w:bCs/>
          <w:b/>
        </w:rPr>
        <w:t xml:space="preserve">El primer comprimido peptídico de esta clase.</w:t>
      </w:r>
      <w:r>
        <w:t xml:space="preserve"> </w:t>
      </w:r>
      <w:r>
        <w:t xml:space="preserve">Gracias a un excipiente especial se logró disponer de la semaglutida en forma de comprimido. En el estudio PIONEER 1, la semaglutida oral redujo el valor de HbA1c en personas con diabetes tipo 2 de forma claramente mayor que el placebo</w:t>
      </w:r>
      <w:r>
        <w:rPr>
          <w:rStyle w:val="FootnoteReference"/>
        </w:rPr>
        <w:footnoteReference w:id="93"/>
      </w:r>
      <w:r>
        <w:t xml:space="preserve">. Cómo funciona esto técnicamente se explica en el capítulo siguiente.</w:t>
      </w:r>
    </w:p>
    <w:p>
      <w:pPr>
        <w:pStyle w:val="BodyText"/>
      </w:pPr>
      <w:r>
        <w:rPr>
          <w:bCs/>
          <w:b/>
        </w:rPr>
        <w:t xml:space="preserve">Principios activos combinados.</w:t>
      </w:r>
      <w:r>
        <w:t xml:space="preserve"> </w:t>
      </w:r>
      <w:r>
        <w:t xml:space="preserve">La tirzepatida activa simultáneamente el receptor de GLP-1 y el de GIP. En el estudio SURMOUNT-1, con 2539 adultos con obesidad, la pérdida de peso media al cabo de 72 semanas fue, según la dosis, del 15,0 % al 20,9 %, frente al 3,1 % con placebo</w:t>
      </w:r>
      <w:r>
        <w:rPr>
          <w:rStyle w:val="FootnoteReference"/>
        </w:rPr>
        <w:footnoteReference w:id="94"/>
      </w:r>
      <w:r>
        <w:t xml:space="preserve">. Actualmente se están evaluando en grandes estudios agonistas triples como la retatrutida, así como combinaciones con la hormona amilina. La Parte II los presenta uno por uno, y la Parte V echa un vistazo a la cartera de desarrollo.</w:t>
      </w:r>
    </w:p>
    <w:p>
      <w:pPr>
        <w:pStyle w:val="BodyText"/>
      </w:pPr>
      <w:r>
        <w:t xml:space="preserve">Es llamativo que la incretina GIP, considerada en la década de 1980 más débil que el GLP-1</w:t>
      </w:r>
      <w:r>
        <w:rPr>
          <w:rStyle w:val="FootnoteReference"/>
        </w:rPr>
        <w:footnoteReference w:id="95"/>
      </w:r>
      <w:r>
        <w:t xml:space="preserve">, vuelva a desempeñar un papel en combinación. La investigación rara vez avanza en línea recta.</w:t>
      </w:r>
    </w:p>
    <w:bookmarkEnd w:id="96"/>
    <w:bookmarkStart w:id="97" w:name="la-otra-cara-del-éxito"/>
    <w:p>
      <w:pPr>
        <w:pStyle w:val="Heading3"/>
      </w:pPr>
      <w:r>
        <w:t xml:space="preserve">La otra cara del éxito</w:t>
      </w:r>
    </w:p>
    <w:p>
      <w:pPr>
        <w:pStyle w:val="FirstParagraph"/>
      </w:pPr>
      <w:r>
        <w:t xml:space="preserve">El enorme éxito de los medicamentos GLP-1 tuvo efectos secundarios más allá de la farmacología. Los problemas de suministro a partir de 2022 hicieron que personas con diabetes no pudieran obtener temporalmente sus medicamentos. En Estados Unidos, las farmacias aprovecharon una norma de excepción para elaborar preparados de imitación. En todo el mundo aparecieron falsificaciones que, en algunos casos, contenían insulina en lugar de semaglutida. Y el creciente interés por los «péptidos» en general abrió un mercado para sustancias que nunca se han estudiado adecuadamente en seres humanos. El capítulo sobre el mercado gris lo aborda en detalle.</w:t>
      </w:r>
    </w:p>
    <w:bookmarkEnd w:id="97"/>
    <w:bookmarkStart w:id="98" w:name="lo-que-enseña-la-historia"/>
    <w:p>
      <w:pPr>
        <w:pStyle w:val="Heading3"/>
      </w:pPr>
      <w:r>
        <w:t xml:space="preserve">Lo que enseña la historia</w:t>
      </w:r>
    </w:p>
    <w:p>
      <w:pPr>
        <w:pStyle w:val="FirstParagraph"/>
      </w:pPr>
      <w:r>
        <w:t xml:space="preserve">De cien años de medicina peptídica pueden extraerse algunas lecciones útiles para evaluar las sustancias de este libro:</w:t>
      </w:r>
    </w:p>
    <w:p>
      <w:pPr>
        <w:numPr>
          <w:ilvl w:val="0"/>
          <w:numId w:val="1008"/>
        </w:numPr>
        <w:pStyle w:val="Compact"/>
      </w:pPr>
      <w:r>
        <w:rPr>
          <w:bCs/>
          <w:b/>
        </w:rPr>
        <w:t xml:space="preserve">La pureza no es un detalle.</w:t>
      </w:r>
      <w:r>
        <w:t xml:space="preserve"> </w:t>
      </w:r>
      <w:r>
        <w:t xml:space="preserve">Desde los extractos de insulina contaminados de los primeros tiempos hasta la hormona del crecimiento obtenida de hipófisis de cadáveres, la historia muestra que la calidad de fabricación puede decidir entre la vida y la muerte.</w:t>
      </w:r>
    </w:p>
    <w:p>
      <w:pPr>
        <w:numPr>
          <w:ilvl w:val="0"/>
          <w:numId w:val="1008"/>
        </w:numPr>
        <w:pStyle w:val="Compact"/>
      </w:pPr>
      <w:r>
        <w:rPr>
          <w:bCs/>
          <w:b/>
        </w:rPr>
        <w:t xml:space="preserve">Mecanismo de acción no es lo mismo que beneficio.</w:t>
      </w:r>
      <w:r>
        <w:t xml:space="preserve"> </w:t>
      </w:r>
      <w:r>
        <w:t xml:space="preserve">Que un péptido actúe sobre un receptor no significa todavía que sea útil para las personas. En el caso de los medicamentos GLP-1 hicieron falta grandes estudios con miles de participantes y varios años de seguimiento.</w:t>
      </w:r>
    </w:p>
    <w:p>
      <w:pPr>
        <w:numPr>
          <w:ilvl w:val="0"/>
          <w:numId w:val="1008"/>
        </w:numPr>
        <w:pStyle w:val="Compact"/>
      </w:pPr>
      <w:r>
        <w:rPr>
          <w:bCs/>
          <w:b/>
        </w:rPr>
        <w:t xml:space="preserve">Hay sorpresas en ambas direcciones.</w:t>
      </w:r>
      <w:r>
        <w:t xml:space="preserve"> </w:t>
      </w:r>
      <w:r>
        <w:t xml:space="preserve">La pérdida de peso con exenatida fue al principio una nota al margen, y los efectos de protección cardíaca se descubrieron en estudios de seguridad. A la inversa, los grandes estudios también revelaron riesgos inesperados, como las complicaciones retinianas en SUSTAIN-6.</w:t>
      </w:r>
    </w:p>
    <w:p>
      <w:pPr>
        <w:numPr>
          <w:ilvl w:val="0"/>
          <w:numId w:val="1008"/>
        </w:numPr>
        <w:pStyle w:val="Compact"/>
      </w:pPr>
      <w:r>
        <w:rPr>
          <w:bCs/>
          <w:b/>
        </w:rPr>
        <w:t xml:space="preserve">Las buenas ideas necesitan tiempo.</w:t>
      </w:r>
      <w:r>
        <w:t xml:space="preserve"> </w:t>
      </w:r>
      <w:r>
        <w:t xml:space="preserve">Entre la descripción del GLP-1 en el ser humano en 1987 y la autorización de la semaglutida para el tratamiento del peso pasaron más de tres décadas. Los péptidos que hoy se anuncian en internet como un «gran avance» sin que exista un solo estudio controlado en seres humanos se encuentran, en el mejor de los casos, al comienzo de ese camino.</w:t>
      </w:r>
    </w:p>
    <w:bookmarkEnd w:id="98"/>
    <w:bookmarkStart w:id="99" w:name="cronología"/>
    <w:p>
      <w:pPr>
        <w:pStyle w:val="Heading3"/>
      </w:pPr>
      <w:r>
        <w:t xml:space="preserve">Cronología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Año</w:t>
            </w:r>
          </w:p>
        </w:tc>
        <w:tc>
          <w:tcPr/>
          <w:p>
            <w:pPr>
              <w:pStyle w:val="Compact"/>
              <w:jc w:val="left"/>
            </w:pPr>
            <w:r>
              <w:t xml:space="preserve">Acontecimiento</w:t>
            </w:r>
          </w:p>
        </w:tc>
      </w:tr>
      <w:tr>
        <w:tc>
          <w:tcPr/>
          <w:p>
            <w:pPr>
              <w:pStyle w:val="Compact"/>
              <w:jc w:val="left"/>
            </w:pPr>
            <w:r>
              <w:t xml:space="preserve">1902</w:t>
            </w:r>
          </w:p>
        </w:tc>
        <w:tc>
          <w:tcPr/>
          <w:p>
            <w:pPr>
              <w:pStyle w:val="Compact"/>
              <w:jc w:val="left"/>
            </w:pPr>
            <w:r>
              <w:t xml:space="preserve">Descripción de la secretina, la primera hormona (un péptido)</w:t>
            </w:r>
          </w:p>
        </w:tc>
      </w:tr>
      <w:tr>
        <w:tc>
          <w:tcPr/>
          <w:p>
            <w:pPr>
              <w:pStyle w:val="Compact"/>
              <w:jc w:val="left"/>
            </w:pPr>
            <w:r>
              <w:t xml:space="preserve">1922</w:t>
            </w:r>
          </w:p>
        </w:tc>
        <w:tc>
          <w:tcPr/>
          <w:p>
            <w:pPr>
              <w:pStyle w:val="Compact"/>
              <w:jc w:val="left"/>
            </w:pPr>
            <w:r>
              <w:t xml:space="preserve">Primer tratamiento de un ser humano con insulina en Toronto</w:t>
            </w:r>
          </w:p>
        </w:tc>
      </w:tr>
      <w:tr>
        <w:tc>
          <w:tcPr/>
          <w:p>
            <w:pPr>
              <w:pStyle w:val="Compact"/>
              <w:jc w:val="left"/>
            </w:pPr>
            <w:r>
              <w:t xml:space="preserve">1951–1955</w:t>
            </w:r>
          </w:p>
        </w:tc>
        <w:tc>
          <w:tcPr/>
          <w:p>
            <w:pPr>
              <w:pStyle w:val="Compact"/>
              <w:jc w:val="left"/>
            </w:pPr>
            <w:r>
              <w:t xml:space="preserve">Sanger descifra la secuencia de la insulina</w:t>
            </w:r>
          </w:p>
        </w:tc>
      </w:tr>
      <w:tr>
        <w:tc>
          <w:tcPr/>
          <w:p>
            <w:pPr>
              <w:pStyle w:val="Compact"/>
              <w:jc w:val="left"/>
            </w:pPr>
            <w:r>
              <w:t xml:space="preserve">1953</w:t>
            </w:r>
          </w:p>
        </w:tc>
        <w:tc>
          <w:tcPr/>
          <w:p>
            <w:pPr>
              <w:pStyle w:val="Compact"/>
              <w:jc w:val="left"/>
            </w:pPr>
            <w:r>
              <w:t xml:space="preserve">Primera síntesis química de una hormona peptídica (oxitocina)</w:t>
            </w:r>
          </w:p>
        </w:tc>
      </w:tr>
      <w:tr>
        <w:tc>
          <w:tcPr/>
          <w:p>
            <w:pPr>
              <w:pStyle w:val="Compact"/>
              <w:jc w:val="left"/>
            </w:pPr>
            <w:r>
              <w:t xml:space="preserve">Década de 1960</w:t>
            </w:r>
          </w:p>
        </w:tc>
        <w:tc>
          <w:tcPr/>
          <w:p>
            <w:pPr>
              <w:pStyle w:val="Compact"/>
              <w:jc w:val="left"/>
            </w:pPr>
            <w:r>
              <w:t xml:space="preserve">Síntesis en fase sólida (Merrifield), radioinmunoensayo</w:t>
            </w:r>
          </w:p>
        </w:tc>
      </w:tr>
      <w:tr>
        <w:tc>
          <w:tcPr/>
          <w:p>
            <w:pPr>
              <w:pStyle w:val="Compact"/>
              <w:jc w:val="left"/>
            </w:pPr>
            <w:r>
              <w:t xml:space="preserve">1980</w:t>
            </w:r>
          </w:p>
        </w:tc>
        <w:tc>
          <w:tcPr/>
          <w:p>
            <w:pPr>
              <w:pStyle w:val="Compact"/>
              <w:jc w:val="left"/>
            </w:pPr>
            <w:r>
              <w:t xml:space="preserve">Insulina humana obtenida por ingeniería genética en estudios clínicos</w:t>
            </w:r>
          </w:p>
        </w:tc>
      </w:tr>
      <w:tr>
        <w:tc>
          <w:tcPr/>
          <w:p>
            <w:pPr>
              <w:pStyle w:val="Compact"/>
              <w:jc w:val="left"/>
            </w:pPr>
            <w:r>
              <w:t xml:space="preserve">1985</w:t>
            </w:r>
          </w:p>
        </w:tc>
        <w:tc>
          <w:tcPr/>
          <w:p>
            <w:pPr>
              <w:pStyle w:val="Compact"/>
              <w:jc w:val="left"/>
            </w:pPr>
            <w:r>
              <w:t xml:space="preserve">Fin de la obtención de hormona del crecimiento de hipófisis</w:t>
            </w:r>
          </w:p>
        </w:tc>
      </w:tr>
      <w:tr>
        <w:tc>
          <w:tcPr/>
          <w:p>
            <w:pPr>
              <w:pStyle w:val="Compact"/>
              <w:jc w:val="left"/>
            </w:pPr>
            <w:r>
              <w:t xml:space="preserve">1987</w:t>
            </w:r>
          </w:p>
        </w:tc>
        <w:tc>
          <w:tcPr/>
          <w:p>
            <w:pPr>
              <w:pStyle w:val="Compact"/>
              <w:jc w:val="left"/>
            </w:pPr>
            <w:r>
              <w:t xml:space="preserve">Descripción del GLP-1 como incretina en el ser humano</w:t>
            </w:r>
          </w:p>
        </w:tc>
      </w:tr>
      <w:tr>
        <w:tc>
          <w:tcPr/>
          <w:p>
            <w:pPr>
              <w:pStyle w:val="Compact"/>
              <w:jc w:val="left"/>
            </w:pPr>
            <w:r>
              <w:t xml:space="preserve">1992</w:t>
            </w:r>
          </w:p>
        </w:tc>
        <w:tc>
          <w:tcPr/>
          <w:p>
            <w:pPr>
              <w:pStyle w:val="Compact"/>
              <w:jc w:val="left"/>
            </w:pPr>
            <w:r>
              <w:t xml:space="preserve">Descubrimiento de la exendina-4 en el veneno del lagarto</w:t>
            </w:r>
          </w:p>
        </w:tc>
      </w:tr>
      <w:tr>
        <w:tc>
          <w:tcPr/>
          <w:p>
            <w:pPr>
              <w:pStyle w:val="Compact"/>
              <w:jc w:val="left"/>
            </w:pPr>
            <w:r>
              <w:t xml:space="preserve">2005</w:t>
            </w:r>
          </w:p>
        </w:tc>
        <w:tc>
          <w:tcPr/>
          <w:p>
            <w:pPr>
              <w:pStyle w:val="Compact"/>
              <w:jc w:val="left"/>
            </w:pPr>
            <w:r>
              <w:t xml:space="preserve">Autorización de la exenatida en Estados Unidos</w:t>
            </w:r>
          </w:p>
        </w:tc>
      </w:tr>
      <w:tr>
        <w:tc>
          <w:tcPr/>
          <w:p>
            <w:pPr>
              <w:pStyle w:val="Compact"/>
              <w:jc w:val="left"/>
            </w:pPr>
            <w:r>
              <w:t xml:space="preserve">2009</w:t>
            </w:r>
          </w:p>
        </w:tc>
        <w:tc>
          <w:tcPr/>
          <w:p>
            <w:pPr>
              <w:pStyle w:val="Compact"/>
              <w:jc w:val="left"/>
            </w:pPr>
            <w:r>
              <w:t xml:space="preserve">Autorización de la liraglutida en la UE</w:t>
            </w:r>
          </w:p>
        </w:tc>
      </w:tr>
      <w:tr>
        <w:tc>
          <w:tcPr/>
          <w:p>
            <w:pPr>
              <w:pStyle w:val="Compact"/>
              <w:jc w:val="left"/>
            </w:pPr>
            <w:r>
              <w:t xml:space="preserve">2016</w:t>
            </w:r>
          </w:p>
        </w:tc>
        <w:tc>
          <w:tcPr/>
          <w:p>
            <w:pPr>
              <w:pStyle w:val="Compact"/>
              <w:jc w:val="left"/>
            </w:pPr>
            <w:r>
              <w:t xml:space="preserve">LEADER y SUSTAIN-6: menos eventos cardiovasculares</w:t>
            </w:r>
          </w:p>
        </w:tc>
      </w:tr>
      <w:tr>
        <w:tc>
          <w:tcPr/>
          <w:p>
            <w:pPr>
              <w:pStyle w:val="Compact"/>
              <w:jc w:val="left"/>
            </w:pPr>
            <w:r>
              <w:t xml:space="preserve">2019</w:t>
            </w:r>
          </w:p>
        </w:tc>
        <w:tc>
          <w:tcPr/>
          <w:p>
            <w:pPr>
              <w:pStyle w:val="Compact"/>
              <w:jc w:val="left"/>
            </w:pPr>
            <w:r>
              <w:t xml:space="preserve">Primer comprimido de GLP-1 (semaglutida oral)</w:t>
            </w:r>
          </w:p>
        </w:tc>
      </w:tr>
      <w:tr>
        <w:tc>
          <w:tcPr/>
          <w:p>
            <w:pPr>
              <w:pStyle w:val="Compact"/>
              <w:jc w:val="left"/>
            </w:pPr>
            <w:r>
              <w:t xml:space="preserve">2021</w:t>
            </w:r>
          </w:p>
        </w:tc>
        <w:tc>
          <w:tcPr/>
          <w:p>
            <w:pPr>
              <w:pStyle w:val="Compact"/>
              <w:jc w:val="left"/>
            </w:pPr>
            <w:r>
              <w:t xml:space="preserve">Semaglutida para el tratamiento del peso (programa STEP)</w:t>
            </w:r>
          </w:p>
        </w:tc>
      </w:tr>
      <w:tr>
        <w:tc>
          <w:tcPr/>
          <w:p>
            <w:pPr>
              <w:pStyle w:val="Compact"/>
              <w:jc w:val="left"/>
            </w:pPr>
            <w:r>
              <w:t xml:space="preserve">2022</w:t>
            </w:r>
          </w:p>
        </w:tc>
        <w:tc>
          <w:tcPr/>
          <w:p>
            <w:pPr>
              <w:pStyle w:val="Compact"/>
              <w:jc w:val="left"/>
            </w:pPr>
            <w:r>
              <w:t xml:space="preserve">Tirzepatida: primer agonista doble GIP/GLP-1</w:t>
            </w:r>
          </w:p>
        </w:tc>
      </w:tr>
      <w:tr>
        <w:tc>
          <w:tcPr/>
          <w:p>
            <w:pPr>
              <w:pStyle w:val="Compact"/>
              <w:jc w:val="left"/>
            </w:pPr>
            <w:r>
              <w:t xml:space="preserve">2023</w:t>
            </w:r>
          </w:p>
        </w:tc>
        <w:tc>
          <w:tcPr/>
          <w:p>
            <w:pPr>
              <w:pStyle w:val="Compact"/>
              <w:jc w:val="left"/>
            </w:pPr>
            <w:r>
              <w:t xml:space="preserve">SELECT: protección cardíaca en la obesidad sin diabetes</w:t>
            </w:r>
          </w:p>
        </w:tc>
      </w:tr>
    </w:tbl>
    <w:p>
      <w:pPr>
        <w:pStyle w:val="BodyText"/>
      </w:pPr>
      <w:r>
        <w:t xml:space="preserve">Los años de autorización se refieren en cada caso a la primera autorización; en otros países y para otras indicaciones rigen en parte otras fechas. Estado en 2026; comprueba la información actualizada si es necesario.</w:t>
      </w:r>
    </w:p>
    <w:bookmarkEnd w:id="99"/>
    <w:bookmarkEnd w:id="100"/>
    <w:bookmarkStart w:id="135" w:name="X959ea981e88c9cf14963e6a7d09e2d0c8002398"/>
    <w:p>
      <w:pPr>
        <w:pStyle w:val="Heading2"/>
      </w:pPr>
      <w:r>
        <w:t xml:space="preserve">Cómo llegan los péptidos al organismo y por qué es difícil</w:t>
      </w:r>
    </w:p>
    <w:p>
      <w:pPr>
        <w:pStyle w:val="FirstParagraph"/>
      </w:pPr>
      <w:r>
        <w:t xml:space="preserve">Casi todos los medicamentos peptídicos que conoces se inyectan: la insulina, la semaglutida, la tirzepatida, la teriparatida. No es casualidad ni una preferencia de la industria farmacéutica, sino una consecuencia de la biología. El cuerpo humano es excelente descomponiendo proteínas y péptidos; al fin y al cabo, vive de dividir las proteínas de los alimentos en sus componentes básicos. Este capítulo explica qué obstáculos debe superar un péptido en su camino hacia el lugar donde actúa, qué vías ha encontrado la medicina y por qué muchas promesas sobre gotas, cápsulas y cremas deben considerarse con cautela.</w:t>
      </w:r>
    </w:p>
    <w:bookmarkStart w:id="102" w:name="X364d77215ce167ed962b62bafc7c09ef908a5ba"/>
    <w:p>
      <w:pPr>
        <w:pStyle w:val="Heading3"/>
      </w:pPr>
      <w:r>
        <w:t xml:space="preserve">El problema fundamental: la biodisponibilidad</w:t>
      </w:r>
    </w:p>
    <w:p>
      <w:pPr>
        <w:pStyle w:val="FirstParagraph"/>
      </w:pPr>
      <w:r>
        <w:t xml:space="preserve">Un concepto central en este capítulo es la</w:t>
      </w:r>
      <w:r>
        <w:t xml:space="preserve"> </w:t>
      </w:r>
      <w:r>
        <w:rPr>
          <w:bCs/>
          <w:b/>
        </w:rPr>
        <w:t xml:space="preserve">biodisponibilidad</w:t>
      </w:r>
      <w:r>
        <w:t xml:space="preserve">. Indica qué proporción de una cantidad administrada llega realmente sin modificar a la circulación sanguínea. En una infusión directa en la vena es, por definición, el 100 %. En todas las demás vías se pierde una parte: por degradación, por barreras o porque la sustancia simplemente se vuelve a eliminar.</w:t>
      </w:r>
    </w:p>
    <w:p>
      <w:pPr>
        <w:pStyle w:val="BodyText"/>
      </w:pPr>
      <w:r>
        <w:t xml:space="preserve">En los péptidos, la biodisponibilidad es especialmente crítica porque confluyen tres propiedades:</w:t>
      </w:r>
    </w:p>
    <w:p>
      <w:pPr>
        <w:numPr>
          <w:ilvl w:val="0"/>
          <w:numId w:val="1009"/>
        </w:numPr>
        <w:pStyle w:val="Compact"/>
      </w:pPr>
      <w:r>
        <w:rPr>
          <w:bCs/>
          <w:b/>
        </w:rPr>
        <w:t xml:space="preserve">Son sensibles a las enzimas.</w:t>
      </w:r>
      <w:r>
        <w:t xml:space="preserve"> </w:t>
      </w:r>
      <w:r>
        <w:t xml:space="preserve">Los enlaces peptídicos son escindidos de forma específica por enzimas digestivas como la pepsina en el estómago o la tripsina en el intestino delgado, además de por numerosas enzimas de la sangre y los tejidos.</w:t>
      </w:r>
    </w:p>
    <w:p>
      <w:pPr>
        <w:numPr>
          <w:ilvl w:val="0"/>
          <w:numId w:val="1009"/>
        </w:numPr>
        <w:pStyle w:val="Compact"/>
      </w:pPr>
      <w:r>
        <w:rPr>
          <w:bCs/>
          <w:b/>
        </w:rPr>
        <w:t xml:space="preserve">Son grandes.</w:t>
      </w:r>
      <w:r>
        <w:t xml:space="preserve"> </w:t>
      </w:r>
      <w:r>
        <w:t xml:space="preserve">En comparación con los fármacos clásicos como el ibuprofeno, la mayoría de los péptidos son enormes. Un péptido de solo diez aminoácidos ya pesa más de 1000 dalton.</w:t>
      </w:r>
    </w:p>
    <w:p>
      <w:pPr>
        <w:numPr>
          <w:ilvl w:val="0"/>
          <w:numId w:val="1009"/>
        </w:numPr>
        <w:pStyle w:val="Compact"/>
      </w:pPr>
      <w:r>
        <w:rPr>
          <w:bCs/>
          <w:b/>
        </w:rPr>
        <w:t xml:space="preserve">Suelen ser hidrosolubles y a menudo tienen carga eléctrica.</w:t>
      </w:r>
      <w:r>
        <w:t xml:space="preserve"> </w:t>
      </w:r>
      <w:r>
        <w:t xml:space="preserve">Por ello les cuesta atravesar las membranas grasas de las células.</w:t>
      </w:r>
    </w:p>
    <w:p>
      <w:pPr>
        <w:pStyle w:val="FirstParagraph"/>
      </w:pPr>
      <w:r>
        <w:t xml:space="preserve">Cada vía de administración es un intento de sortear estos obstáculos. Un artículo de revisión sobre péptidos orales resume que los principios activos proteicos y peptídicos deben administrarse, por regla general, evitando el tubo digestivo, lo que puede perjudicar la adherencia terapéutica</w:t>
      </w:r>
      <w:r>
        <w:rPr>
          <w:rStyle w:val="FootnoteReference"/>
        </w:rPr>
        <w:footnoteReference w:id="101"/>
      </w:r>
      <w:r>
        <w:t xml:space="preserve">.</w:t>
      </w:r>
    </w:p>
    <w:bookmarkEnd w:id="102"/>
    <w:bookmarkStart w:id="106" w:name="Xae4c527a59c36bb39eafccf8bff9b5aecf2b716"/>
    <w:p>
      <w:pPr>
        <w:pStyle w:val="Heading3"/>
      </w:pPr>
      <w:r>
        <w:t xml:space="preserve">La inyección: la vía estándar, con inconvenientes</w:t>
      </w:r>
    </w:p>
    <w:p>
      <w:pPr>
        <w:pStyle w:val="FirstParagraph"/>
      </w:pPr>
      <w:r>
        <w:t xml:space="preserve">La mayoría de los medicamentos peptídicos se inyectan por vía</w:t>
      </w:r>
      <w:r>
        <w:t xml:space="preserve"> </w:t>
      </w:r>
      <w:r>
        <w:rPr>
          <w:bCs/>
          <w:b/>
        </w:rPr>
        <w:t xml:space="preserve">subcutánea</w:t>
      </w:r>
      <w:r>
        <w:t xml:space="preserve">, es decir, en el tejido graso bajo la piel, normalmente en el abdomen, el muslo o la parte superior del brazo. Desde allí, el principio activo pasa a la circulación a través de pequeños vasos sanguíneos y vasos linfáticos. La biodisponibilidad es alta, y los pacientes pueden ponerse la inyección ellos mismos tras recibir formación. Con menos frecuencia, los péptidos se administran en el músculo (vía</w:t>
      </w:r>
      <w:r>
        <w:t xml:space="preserve"> </w:t>
      </w:r>
      <w:r>
        <w:rPr>
          <w:bCs/>
          <w:b/>
        </w:rPr>
        <w:t xml:space="preserve">intramuscular</w:t>
      </w:r>
      <w:r>
        <w:t xml:space="preserve">) o directamente en la vena (vía</w:t>
      </w:r>
      <w:r>
        <w:t xml:space="preserve"> </w:t>
      </w:r>
      <w:r>
        <w:rPr>
          <w:bCs/>
          <w:b/>
        </w:rPr>
        <w:t xml:space="preserve">intravenosa</w:t>
      </w:r>
      <w:r>
        <w:t xml:space="preserve">), por ejemplo en el hospital.</w:t>
      </w:r>
    </w:p>
    <w:p>
      <w:pPr>
        <w:pStyle w:val="BodyText"/>
      </w:pPr>
      <w:r>
        <w:t xml:space="preserve">La inyección evita el tubo digestivo, pero no las enzimas de la sangre. Por eso, la investigación farmacéutica ha dedicado muchos esfuerzos a hacer que los péptidos duren más:</w:t>
      </w:r>
    </w:p>
    <w:p>
      <w:pPr>
        <w:numPr>
          <w:ilvl w:val="0"/>
          <w:numId w:val="1010"/>
        </w:numPr>
        <w:pStyle w:val="Compact"/>
      </w:pPr>
      <w:r>
        <w:rPr>
          <w:bCs/>
          <w:b/>
        </w:rPr>
        <w:t xml:space="preserve">Sustitución de aminoácidos</w:t>
      </w:r>
      <w:r>
        <w:t xml:space="preserve"> </w:t>
      </w:r>
      <w:r>
        <w:t xml:space="preserve">en los puntos donde atacan las enzimas.</w:t>
      </w:r>
    </w:p>
    <w:p>
      <w:pPr>
        <w:numPr>
          <w:ilvl w:val="0"/>
          <w:numId w:val="1010"/>
        </w:numPr>
        <w:pStyle w:val="Compact"/>
      </w:pPr>
      <w:r>
        <w:rPr>
          <w:bCs/>
          <w:b/>
        </w:rPr>
        <w:t xml:space="preserve">Unión de ácidos grasos</w:t>
      </w:r>
      <w:r>
        <w:t xml:space="preserve">, para que el péptido se una a la proteína plasmática albúmina. La liraglutida y la semaglutida aprovechan este principio</w:t>
      </w:r>
      <w:r>
        <w:rPr>
          <w:rStyle w:val="FootnoteReference"/>
        </w:rPr>
        <w:footnoteReference w:id="103"/>
      </w:r>
      <w:r>
        <w:t xml:space="preserve">. En la semaglutida se obtiene así una semivida de aproximadamente una semana</w:t>
      </w:r>
      <w:r>
        <w:rPr>
          <w:rStyle w:val="FootnoteReference"/>
        </w:rPr>
        <w:footnoteReference w:id="104"/>
      </w:r>
      <w:r>
        <w:t xml:space="preserve">.</w:t>
      </w:r>
    </w:p>
    <w:p>
      <w:pPr>
        <w:numPr>
          <w:ilvl w:val="0"/>
          <w:numId w:val="1010"/>
        </w:numPr>
        <w:pStyle w:val="Compact"/>
      </w:pPr>
      <w:r>
        <w:rPr>
          <w:bCs/>
          <w:b/>
        </w:rPr>
        <w:t xml:space="preserve">Acoplamiento a moléculas más grandes</w:t>
      </w:r>
      <w:r>
        <w:t xml:space="preserve">, por ejemplo a fragmentos de anticuerpos o a polímeros como el polietilenglicol. La dulaglutida es un ejemplo de molécula de GLP-1 unida a un fragmento de anticuerpo.</w:t>
      </w:r>
    </w:p>
    <w:p>
      <w:pPr>
        <w:numPr>
          <w:ilvl w:val="0"/>
          <w:numId w:val="1010"/>
        </w:numPr>
        <w:pStyle w:val="Compact"/>
      </w:pPr>
      <w:r>
        <w:rPr>
          <w:bCs/>
          <w:b/>
        </w:rPr>
        <w:t xml:space="preserve">Formas de depósito</w:t>
      </w:r>
      <w:r>
        <w:t xml:space="preserve">, en las que el principio activo está incluido en diminutas microesferas o geles de los que se libera lentamente.</w:t>
      </w:r>
    </w:p>
    <w:p>
      <w:pPr>
        <w:pStyle w:val="FirstParagraph"/>
      </w:pPr>
      <w:r>
        <w:t xml:space="preserve">Para los usuarios, la inyección también conlleva obligaciones: el producto debe ser estéril, la aguja solo puede utilizarse una vez y muchos preparados deben conservarse refrigerados. Las plumas precargadas con pasos de dosis predefinidos reducen claramente el riesgo de errores. Lo importante que es esto lo muestra una serie de casos de un centro de información toxicológica de Estados Unidos: con semaglutida dispensada en farmacias en viales con jeringas se produjeron sobredosis de diez veces la dosis, entre otras cosas porque se confundieron mililitros, «unidades» y miligramos</w:t>
      </w:r>
      <w:r>
        <w:rPr>
          <w:rStyle w:val="FootnoteReference"/>
        </w:rPr>
        <w:footnoteReference w:id="105"/>
      </w:r>
      <w:r>
        <w:t xml:space="preserve">. Más información en el capítulo sobre el mercado gris.</w:t>
      </w:r>
    </w:p>
    <w:bookmarkEnd w:id="106"/>
    <w:bookmarkStart w:id="108" w:name="el-comprimido-la-vía-más-difícil"/>
    <w:p>
      <w:pPr>
        <w:pStyle w:val="Heading3"/>
      </w:pPr>
      <w:r>
        <w:t xml:space="preserve">El comprimido: la vía más difícil</w:t>
      </w:r>
    </w:p>
    <w:p>
      <w:pPr>
        <w:pStyle w:val="FirstParagraph"/>
      </w:pPr>
      <w:r>
        <w:t xml:space="preserve">Un comprimido sería la solución más cómoda para la mayoría de las personas. Para los péptidos es, al mismo tiempo, la más exigente. En el camino de la boca a la sangre acechan varios obstáculos:</w:t>
      </w:r>
    </w:p>
    <w:p>
      <w:pPr>
        <w:numPr>
          <w:ilvl w:val="0"/>
          <w:numId w:val="1011"/>
        </w:numPr>
        <w:pStyle w:val="Compact"/>
      </w:pPr>
      <w:r>
        <w:t xml:space="preserve">El</w:t>
      </w:r>
      <w:r>
        <w:t xml:space="preserve"> </w:t>
      </w:r>
      <w:r>
        <w:rPr>
          <w:bCs/>
          <w:b/>
        </w:rPr>
        <w:t xml:space="preserve">ácido gástrico</w:t>
      </w:r>
      <w:r>
        <w:t xml:space="preserve"> </w:t>
      </w:r>
      <w:r>
        <w:t xml:space="preserve">puede destruir la estructura espacial de los péptidos.</w:t>
      </w:r>
    </w:p>
    <w:p>
      <w:pPr>
        <w:numPr>
          <w:ilvl w:val="0"/>
          <w:numId w:val="1011"/>
        </w:numPr>
        <w:pStyle w:val="Compact"/>
      </w:pPr>
      <w:r>
        <w:t xml:space="preserve">La</w:t>
      </w:r>
      <w:r>
        <w:t xml:space="preserve"> </w:t>
      </w:r>
      <w:r>
        <w:rPr>
          <w:bCs/>
          <w:b/>
        </w:rPr>
        <w:t xml:space="preserve">pepsina</w:t>
      </w:r>
      <w:r>
        <w:t xml:space="preserve"> </w:t>
      </w:r>
      <w:r>
        <w:t xml:space="preserve">en el estómago y las</w:t>
      </w:r>
      <w:r>
        <w:t xml:space="preserve"> </w:t>
      </w:r>
      <w:r>
        <w:rPr>
          <w:bCs/>
          <w:b/>
        </w:rPr>
        <w:t xml:space="preserve">enzimas pancreáticas</w:t>
      </w:r>
      <w:r>
        <w:t xml:space="preserve"> </w:t>
      </w:r>
      <w:r>
        <w:t xml:space="preserve">en el intestino delgado descomponen los péptidos en pequeños fragmentos.</w:t>
      </w:r>
    </w:p>
    <w:p>
      <w:pPr>
        <w:numPr>
          <w:ilvl w:val="0"/>
          <w:numId w:val="1011"/>
        </w:numPr>
        <w:pStyle w:val="Compact"/>
      </w:pPr>
      <w:r>
        <w:t xml:space="preserve">Una</w:t>
      </w:r>
      <w:r>
        <w:t xml:space="preserve"> </w:t>
      </w:r>
      <w:r>
        <w:rPr>
          <w:bCs/>
          <w:b/>
        </w:rPr>
        <w:t xml:space="preserve">capa de moco</w:t>
      </w:r>
      <w:r>
        <w:t xml:space="preserve"> </w:t>
      </w:r>
      <w:r>
        <w:t xml:space="preserve">sobre la mucosa intestinal retiene las moléculas grandes.</w:t>
      </w:r>
    </w:p>
    <w:p>
      <w:pPr>
        <w:numPr>
          <w:ilvl w:val="0"/>
          <w:numId w:val="1011"/>
        </w:numPr>
        <w:pStyle w:val="Compact"/>
      </w:pPr>
      <w:r>
        <w:t xml:space="preserve">Las propias</w:t>
      </w:r>
      <w:r>
        <w:t xml:space="preserve"> </w:t>
      </w:r>
      <w:r>
        <w:rPr>
          <w:bCs/>
          <w:b/>
        </w:rPr>
        <w:t xml:space="preserve">células intestinales</w:t>
      </w:r>
      <w:r>
        <w:t xml:space="preserve"> </w:t>
      </w:r>
      <w:r>
        <w:t xml:space="preserve">están estrechamente unidas entre sí. Las moléculas grandes e hidrosolubles no pasan ni a través de las células ni entre ellas.</w:t>
      </w:r>
    </w:p>
    <w:p>
      <w:pPr>
        <w:numPr>
          <w:ilvl w:val="0"/>
          <w:numId w:val="1011"/>
        </w:numPr>
        <w:pStyle w:val="Compact"/>
      </w:pPr>
      <w:r>
        <w:t xml:space="preserve">Lo que sí llega a la sangre pasa primero por el</w:t>
      </w:r>
      <w:r>
        <w:t xml:space="preserve"> </w:t>
      </w:r>
      <w:r>
        <w:rPr>
          <w:bCs/>
          <w:b/>
        </w:rPr>
        <w:t xml:space="preserve">hígado</w:t>
      </w:r>
      <w:r>
        <w:t xml:space="preserve">, que puede degradar otra parte.</w:t>
      </w:r>
    </w:p>
    <w:p>
      <w:pPr>
        <w:pStyle w:val="FirstParagraph"/>
      </w:pPr>
      <w:r>
        <w:t xml:space="preserve">El artículo de revisión de Drucker menciona como posibles soluciones las sustancias que aumentan la permeabilidad, los inhibidores de las enzimas digestivas y los péptidos transportadores capaces de atravesar el moco y las células. En estudios clínicos se han probado formas orales, entre otras, de insulina, calcitonina, hormona paratiroidea y vasopresina</w:t>
      </w:r>
      <w:r>
        <w:rPr>
          <w:rStyle w:val="FootnoteReference"/>
        </w:rPr>
        <w:footnoteReference w:id="107"/>
      </w:r>
      <w:r>
        <w:t xml:space="preserve">. Sin embargo, el gran avance para un principio activo de uso amplio no llegó hasta el comprimido de semaglutida.</w:t>
      </w:r>
    </w:p>
    <w:bookmarkEnd w:id="108"/>
    <w:bookmarkStart w:id="118" w:name="X23630c7cc2133353abea4c3ccac0dfd0432b0b2"/>
    <w:p>
      <w:pPr>
        <w:pStyle w:val="Heading3"/>
      </w:pPr>
      <w:r>
        <w:t xml:space="preserve">La técnica SNAC: cómo funciona el comprimido de semaglutida</w:t>
      </w:r>
    </w:p>
    <w:p>
      <w:pPr>
        <w:pStyle w:val="FirstParagraph"/>
      </w:pPr>
      <w:r>
        <w:t xml:space="preserve">Además del principio activo, el comprimido de semaglutida contiene un excipiente llamado</w:t>
      </w:r>
      <w:r>
        <w:t xml:space="preserve"> </w:t>
      </w:r>
      <w:r>
        <w:rPr>
          <w:bCs/>
          <w:b/>
        </w:rPr>
        <w:t xml:space="preserve">SNAC</w:t>
      </w:r>
      <w:r>
        <w:t xml:space="preserve"> </w:t>
      </w:r>
      <w:r>
        <w:t xml:space="preserve">(N-[8-(2-hidroxibenzoil)amino]caprilato de sodio). Un estudio que combinó datos de investigaciones en seres humanos y en perros aclaró lo que sucede</w:t>
      </w:r>
      <w:r>
        <w:rPr>
          <w:rStyle w:val="FootnoteReference"/>
        </w:rPr>
        <w:footnoteReference w:id="109"/>
      </w:r>
      <w:r>
        <w:t xml:space="preserve">:</w:t>
      </w:r>
    </w:p>
    <w:p>
      <w:pPr>
        <w:numPr>
          <w:ilvl w:val="0"/>
          <w:numId w:val="1012"/>
        </w:numPr>
        <w:pStyle w:val="Compact"/>
      </w:pPr>
      <w:r>
        <w:t xml:space="preserve">Sorprendentemente, la absorción no tiene lugar en el intestino, sino</w:t>
      </w:r>
      <w:r>
        <w:t xml:space="preserve"> </w:t>
      </w:r>
      <w:r>
        <w:rPr>
          <w:bCs/>
          <w:b/>
        </w:rPr>
        <w:t xml:space="preserve">en el estómago</w:t>
      </w:r>
      <w:r>
        <w:t xml:space="preserve">.</w:t>
      </w:r>
    </w:p>
    <w:p>
      <w:pPr>
        <w:numPr>
          <w:ilvl w:val="0"/>
          <w:numId w:val="1012"/>
        </w:numPr>
        <w:pStyle w:val="Compact"/>
      </w:pPr>
      <w:r>
        <w:t xml:space="preserve">Se limita a una pequeña zona</w:t>
      </w:r>
      <w:r>
        <w:t xml:space="preserve"> </w:t>
      </w:r>
      <w:r>
        <w:rPr>
          <w:bCs/>
          <w:b/>
        </w:rPr>
        <w:t xml:space="preserve">directamente en la superficie del comprimido</w:t>
      </w:r>
      <w:r>
        <w:t xml:space="preserve">.</w:t>
      </w:r>
    </w:p>
    <w:p>
      <w:pPr>
        <w:numPr>
          <w:ilvl w:val="0"/>
          <w:numId w:val="1012"/>
        </w:numPr>
        <w:pStyle w:val="Compact"/>
      </w:pPr>
      <w:r>
        <w:t xml:space="preserve">Allí, el SNAC amortigua localmente el ácido gástrico y</w:t>
      </w:r>
      <w:r>
        <w:t xml:space="preserve"> </w:t>
      </w:r>
      <w:r>
        <w:rPr>
          <w:bCs/>
          <w:b/>
        </w:rPr>
        <w:t xml:space="preserve">protege</w:t>
      </w:r>
      <w:r>
        <w:t xml:space="preserve"> </w:t>
      </w:r>
      <w:r>
        <w:t xml:space="preserve">así la semaglutida de la degradación por las enzimas.</w:t>
      </w:r>
    </w:p>
    <w:p>
      <w:pPr>
        <w:numPr>
          <w:ilvl w:val="0"/>
          <w:numId w:val="1012"/>
        </w:numPr>
        <w:pStyle w:val="Compact"/>
      </w:pPr>
      <w:r>
        <w:t xml:space="preserve">El SNAC aumenta la permeabilidad de la mucosa gástrica solo</w:t>
      </w:r>
      <w:r>
        <w:t xml:space="preserve"> </w:t>
      </w:r>
      <w:r>
        <w:rPr>
          <w:bCs/>
          <w:b/>
        </w:rPr>
        <w:t xml:space="preserve">de forma transitoria</w:t>
      </w:r>
      <w:r>
        <w:t xml:space="preserve">.</w:t>
      </w:r>
    </w:p>
    <w:p>
      <w:pPr>
        <w:numPr>
          <w:ilvl w:val="0"/>
          <w:numId w:val="1012"/>
        </w:numPr>
        <w:pStyle w:val="Compact"/>
      </w:pPr>
      <w:r>
        <w:t xml:space="preserve">La semaglutida pasa a la sangre</w:t>
      </w:r>
      <w:r>
        <w:t xml:space="preserve"> </w:t>
      </w:r>
      <w:r>
        <w:rPr>
          <w:bCs/>
          <w:b/>
        </w:rPr>
        <w:t xml:space="preserve">a través de las células</w:t>
      </w:r>
      <w:r>
        <w:t xml:space="preserve">, sin que se abran las uniones entre ellas.</w:t>
      </w:r>
    </w:p>
    <w:p>
      <w:pPr>
        <w:pStyle w:val="FirstParagraph"/>
      </w:pPr>
      <w:r>
        <w:t xml:space="preserve">Un artículo de revisión más reciente añade que el SNAC eleva el pH en el entorno inmediato, atenúa la activación de la pepsina y contribuye a que la semaglutida se mantenga como molécula individual en lugar de agruparse en asociaciones más grandes y peor absorbibles</w:t>
      </w:r>
      <w:r>
        <w:rPr>
          <w:rStyle w:val="FootnoteReference"/>
        </w:rPr>
        <w:footnoteReference w:id="110"/>
      </w:r>
      <w:r>
        <w:t xml:space="preserve">.</w:t>
      </w:r>
    </w:p>
    <w:p>
      <w:pPr>
        <w:pStyle w:val="BodyText"/>
      </w:pPr>
      <w:r>
        <w:t xml:space="preserve">A pesar de esta técnica, el rendimiento es bajo. La misma revisión cifra la biodisponibilidad absoluta de la semaglutida oral en solo un 0,4 a 1 % aproximadamente, y ello en condiciones optimizadas: en ayunas y con poca agua. Después de una comida, prácticamente no se detecta semaglutida en la sangre</w:t>
      </w:r>
      <w:r>
        <w:rPr>
          <w:rStyle w:val="FootnoteReference"/>
        </w:rPr>
        <w:footnoteReference w:id="111"/>
      </w:r>
      <w:r>
        <w:t xml:space="preserve">. Por eso, para el comprimido rigen normas de toma estrictas, que se describen en la ficha técnica y deben comentarse con el médico o la médica responsable del tratamiento.</w:t>
      </w:r>
    </w:p>
    <w:p>
      <w:pPr>
        <w:pStyle w:val="BodyText"/>
      </w:pPr>
      <w:r>
        <w:t xml:space="preserve">La baja biodisponibilidad tiene una consecuencia práctica: el comprimido requiere una cantidad de principio activo muchas veces mayor. En el estudio SUSTAIN-6, los participantes recibieron 0,5 o 1,0 mg de semaglutida una vez a la semana en inyección</w:t>
      </w:r>
      <w:r>
        <w:rPr>
          <w:rStyle w:val="FootnoteReference"/>
        </w:rPr>
        <w:footnoteReference w:id="112"/>
      </w:r>
      <w:r>
        <w:t xml:space="preserve">. En el estudio del comprimido PIONEER 1, en cambio, se investigaron dosis diarias de 3, 7 o 14 mg</w:t>
      </w:r>
      <w:r>
        <w:rPr>
          <w:rStyle w:val="FootnoteReference"/>
        </w:rPr>
        <w:footnoteReference w:id="113"/>
      </w:r>
      <w:r>
        <w:t xml:space="preserve">. Que el efecto a largo plazo sea, aun así, uniforme se debe a la larga semivida: las fluctuaciones diarias de la absorción se compensan en gran medida a lo largo de la semana</w:t>
      </w:r>
      <w:r>
        <w:rPr>
          <w:rStyle w:val="FootnoteReference"/>
        </w:rPr>
        <w:footnoteReference w:id="114"/>
      </w:r>
      <w:r>
        <w:t xml:space="preserve">.</w:t>
      </w:r>
    </w:p>
    <w:p>
      <w:pPr>
        <w:pStyle w:val="BodyText"/>
      </w:pPr>
      <w:r>
        <w:t xml:space="preserve">El comprimido funciona, como muestran los estudios. En PIONEER 1, con 703 personas con diabetes tipo 2, el valor de HbA1c disminuyó al cabo de 26 semanas, con la dosis más alta, 1,1 puntos porcentuales más que con placebo</w:t>
      </w:r>
      <w:r>
        <w:rPr>
          <w:rStyle w:val="FootnoteReference"/>
        </w:rPr>
        <w:footnoteReference w:id="115"/>
      </w:r>
      <w:r>
        <w:t xml:space="preserve">. En el estudio OASIS 1 se evaluó una dosis más alta, de 50 mg diarios, en 667 adultos con sobrepeso u obesidad sin diabetes. Al cabo de 68 semanas, la pérdida de peso media fue del 15,1 %, frente al 2,4 % con placebo</w:t>
      </w:r>
      <w:r>
        <w:rPr>
          <w:rStyle w:val="FootnoteReference"/>
        </w:rPr>
        <w:footnoteReference w:id="116"/>
      </w:r>
      <w:r>
        <w:t xml:space="preserve">. Se produjeron molestias gastrointestinales en el 80 % de los participantes con semaglutida y en el 46 % con placebo.</w:t>
      </w:r>
    </w:p>
    <w:p>
      <w:pPr>
        <w:pStyle w:val="BodyText"/>
      </w:pPr>
      <w:r>
        <w:t xml:space="preserve">Una indicación importante para la práctica: la técnica SNAC depende de la composición exacta del comprimido. Un análisis de productos de imitación halló en varios preparados de semaglutida oral bastante menos principio activo del declarado y un comportamiento de liberación de la semaglutida y el SNAC diferente, lo que podría reducir la absorción</w:t>
      </w:r>
      <w:r>
        <w:rPr>
          <w:rStyle w:val="FootnoteReference"/>
        </w:rPr>
        <w:footnoteReference w:id="117"/>
      </w:r>
      <w:r>
        <w:t xml:space="preserve">. Por tanto, un comprimido que contiene «semaglutida» no es automáticamente tan eficaz como el preparado autorizado.</w:t>
      </w:r>
    </w:p>
    <w:p>
      <w:pPr>
        <w:pStyle w:val="BodyText"/>
      </w:pPr>
      <w:r>
        <w:t xml:space="preserve">Paralelamente a los comprimidos peptídicos se están desarrollando moléculas pequeñas no peptídicas que activan el mismo receptor y pueden tomarse como un comprimido normal, como el orforglipron. Se presentan a efectos comparativos en la Parte II y se tratan en la Parte V en relación con el futuro de las terapias en comprimidos.</w:t>
      </w:r>
    </w:p>
    <w:bookmarkEnd w:id="118"/>
    <w:bookmarkStart w:id="120" w:name="X79f51b9778ffd8cb0d14c52a3f61dbe98aecd1d"/>
    <w:p>
      <w:pPr>
        <w:pStyle w:val="Heading3"/>
      </w:pPr>
      <w:r>
        <w:t xml:space="preserve">La excepción de los alimentos: péptidos cortos del colágeno y la leche</w:t>
      </w:r>
    </w:p>
    <w:p>
      <w:pPr>
        <w:pStyle w:val="FirstParagraph"/>
      </w:pPr>
      <w:r>
        <w:t xml:space="preserve">Si los péptidos se degradan en el tubo digestivo, ¿cómo pueden actuar los péptidos de colágeno o los péptidos lácteos que se consumen en polvo o en bebida? La respuesta tiene matices.</w:t>
      </w:r>
    </w:p>
    <w:p>
      <w:pPr>
        <w:pStyle w:val="BodyText"/>
      </w:pPr>
      <w:r>
        <w:t xml:space="preserve">En la digestión no solo se producen aminoácidos sueltos, sino también fragmentos muy cortos de dos o tres componentes. Algunos de ellos son relativamente resistentes a las enzimas y se absorben a través de sistemas de transporte propios. Así, tras el consumo de hidrolizado de colágeno se midieron en el plasma sanguíneo de cinco voluntarios sanos los dipéptidos prolil-hidroxiprolina e hidroxiprolil-glicina</w:t>
      </w:r>
      <w:r>
        <w:rPr>
          <w:rStyle w:val="FootnoteReference"/>
        </w:rPr>
        <w:footnoteReference w:id="119"/>
      </w:r>
      <w:r>
        <w:t xml:space="preserve">.</w:t>
      </w:r>
    </w:p>
    <w:p>
      <w:pPr>
        <w:pStyle w:val="BodyText"/>
      </w:pPr>
      <w:r>
        <w:t xml:space="preserve">Sin embargo, de ello no se deduce automáticamente que estos fragmentos ejerzan un efecto determinado en el organismo, por ejemplo en la piel o en las articulaciones. Si es así solo puede aclararse en estudios controlados con variables clínicas. Estos datos se comentan en la Parte II, en el capítulo sobre los péptidos de colágeno. Para péptidos más grandes, como las hormonas, en cambio, rige lo siguiente: si se tragan, se digieren.</w:t>
      </w:r>
    </w:p>
    <w:bookmarkEnd w:id="120"/>
    <w:bookmarkStart w:id="122" w:name="debajo-de-la-lengua-pocas-pruebas"/>
    <w:p>
      <w:pPr>
        <w:pStyle w:val="Heading3"/>
      </w:pPr>
      <w:r>
        <w:t xml:space="preserve">Debajo de la lengua: pocas pruebas</w:t>
      </w:r>
    </w:p>
    <w:p>
      <w:pPr>
        <w:pStyle w:val="FirstParagraph"/>
      </w:pPr>
      <w:r>
        <w:t xml:space="preserve">La mucosa de la boca, sobre todo debajo de la lengua, está bien irrigada. Las sustancias que se absorben aquí evitan el estómago y el hígado. Para algunos fármacos pequeños esto funciona bien, pero para los péptidos la mucosa es una barrera considerable.</w:t>
      </w:r>
    </w:p>
    <w:p>
      <w:pPr>
        <w:pStyle w:val="BodyText"/>
      </w:pPr>
      <w:r>
        <w:t xml:space="preserve">Aun así, sobre todo en Estados Unidos, se ofrecen semaglutida y tirzepatida en gotas o comprimidos bucodispersables para uso sublingual. Un análisis de las ofertas de farmacias estadounidenses que elaboran medicamentos por sí mismas encontró 33 productos que difieren de los preparados autorizados. De los 17 productos con un solo principio activo, el 82 % estaban destinados al uso sublingual y el resto eran comprimidos bucodispersables. Los autores consideran que una forma de administración así es en principio comprensible, pero señalan que no está demostrada ninguna ventaja frente a los preparados autorizados y que faltan datos de seguridad y eficacia</w:t>
      </w:r>
      <w:r>
        <w:rPr>
          <w:rStyle w:val="FootnoteReference"/>
        </w:rPr>
        <w:footnoteReference w:id="121"/>
      </w:r>
      <w:r>
        <w:t xml:space="preserve">.</w:t>
      </w:r>
    </w:p>
    <w:bookmarkEnd w:id="122"/>
    <w:bookmarkStart w:id="124" w:name="el-aerosol-nasal-rápido-pero-limitado"/>
    <w:p>
      <w:pPr>
        <w:pStyle w:val="Heading3"/>
      </w:pPr>
      <w:r>
        <w:t xml:space="preserve">El aerosol nasal: rápido, pero limitado</w:t>
      </w:r>
    </w:p>
    <w:p>
      <w:pPr>
        <w:pStyle w:val="FirstParagraph"/>
      </w:pPr>
      <w:r>
        <w:t xml:space="preserve">La mucosa nasal tiene una superficie grande y bien irrigada, y las sustancias pasan desde allí directamente a la sangre. Algunos medicamentos peptídicos utilizan esta vía desde hace tiempo, como el análogo de la vasopresina desmopresina. También la oxitocina se está investigando en forma de aerosol nasal.</w:t>
      </w:r>
    </w:p>
    <w:p>
      <w:pPr>
        <w:pStyle w:val="BodyText"/>
      </w:pPr>
      <w:r>
        <w:t xml:space="preserve">Sin embargo, los límites son claros:</w:t>
      </w:r>
    </w:p>
    <w:p>
      <w:pPr>
        <w:numPr>
          <w:ilvl w:val="0"/>
          <w:numId w:val="1013"/>
        </w:numPr>
        <w:pStyle w:val="Compact"/>
      </w:pPr>
      <w:r>
        <w:t xml:space="preserve">La absorción de los péptidos más grandes es baja y muy variable, según la técnica de pulverización, un resfriado o la cantidad de moco.</w:t>
      </w:r>
    </w:p>
    <w:p>
      <w:pPr>
        <w:numPr>
          <w:ilvl w:val="0"/>
          <w:numId w:val="1013"/>
        </w:numPr>
        <w:pStyle w:val="Compact"/>
      </w:pPr>
      <w:r>
        <w:t xml:space="preserve">Gran parte de la pulverización se traga o es eliminada por los cilios.</w:t>
      </w:r>
    </w:p>
    <w:p>
      <w:pPr>
        <w:numPr>
          <w:ilvl w:val="0"/>
          <w:numId w:val="1013"/>
        </w:numPr>
        <w:pStyle w:val="Compact"/>
      </w:pPr>
      <w:r>
        <w:t xml:space="preserve">Los irritantes o excipientes utilizados con frecuencia pueden dañar la mucosa.</w:t>
      </w:r>
    </w:p>
    <w:p>
      <w:pPr>
        <w:pStyle w:val="FirstParagraph"/>
      </w:pPr>
      <w:r>
        <w:t xml:space="preserve">Es especialmente popular la idea de que los péptidos podrían llegar por la nariz «directamente al cerebro». Para algunas sustancias hay indicios de vías de este tipo a través de los nervios olfatorio y facial, pero los datos son escasos. Una revisión crítica muy citada concluyó, en el caso de la oxitocina, que solo una cantidad muy pequeña de la oxitocina administrada por vía nasal llega al líquido cefalorraquídeo, mientras que las concentraciones en sangre aumentan hasta valores superiores al nivel natural, con posibles efectos en el tubo digestivo, el corazón y los órganos reproductores</w:t>
      </w:r>
      <w:r>
        <w:rPr>
          <w:rStyle w:val="FootnoteReference"/>
        </w:rPr>
        <w:footnoteReference w:id="123"/>
      </w:r>
      <w:r>
        <w:t xml:space="preserve">. Los autores instan al escepticismo ante los estudios con efectos sobre el comportamiento y reclaman estudios registrados previamente. Esto es relevante para todos los péptidos que se anuncian como «aerosol nasal para el cerebro», como el Semax o el Selank, que se tratan en la Parte II.</w:t>
      </w:r>
    </w:p>
    <w:bookmarkEnd w:id="124"/>
    <w:bookmarkStart w:id="126" w:name="la-inhalación-un-fracaso-instructivo"/>
    <w:p>
      <w:pPr>
        <w:pStyle w:val="Heading3"/>
      </w:pPr>
      <w:r>
        <w:t xml:space="preserve">La inhalación: un fracaso instructivo</w:t>
      </w:r>
    </w:p>
    <w:p>
      <w:pPr>
        <w:pStyle w:val="FirstParagraph"/>
      </w:pPr>
      <w:r>
        <w:t xml:space="preserve">El pulmón ofrece una superficie enorme con una barrera muy fina hacia la sangre. Por eso se trabajó intensamente en una insulina inhalable. Un primer producto llegó al mercado, pero pronto se retiró; otros desarrollos se interrumpieron. Un comentario de aquella época describe las ventajas y los inconvenientes desde el punto de vista de pacientes, médicos, industria y financiadores, entre ellos el tamaño de los inhaladores y los costes</w:t>
      </w:r>
      <w:r>
        <w:rPr>
          <w:rStyle w:val="FootnoteReference"/>
        </w:rPr>
        <w:footnoteReference w:id="125"/>
      </w:r>
      <w:r>
        <w:t xml:space="preserve">. Más tarde se autorizó en Estados Unidos otra insulina inhalable. Para la mayoría de los demás péptidos, la inhalación no desempeña hasta ahora ningún papel.</w:t>
      </w:r>
    </w:p>
    <w:bookmarkEnd w:id="126"/>
    <w:bookmarkStart w:id="128" w:name="la-piel-una-barrera-muy-eficaz"/>
    <w:p>
      <w:pPr>
        <w:pStyle w:val="Heading3"/>
      </w:pPr>
      <w:r>
        <w:t xml:space="preserve">La piel: una barrera muy eficaz</w:t>
      </w:r>
    </w:p>
    <w:p>
      <w:pPr>
        <w:pStyle w:val="FirstParagraph"/>
      </w:pPr>
      <w:r>
        <w:t xml:space="preserve">La piel es uno de los órganos más impermeables del cuerpo. Su capa más externa, el estrato córneo, está formada por células muertas incluidas en lípidos: una especie de muro de ladrillos con argamasa. Una conocida regla empírica de la dermatología establece que una sustancia debe ser menor de unos 500 dalton para atravesar la piel en cantidad apreciable. Los autores lo fundamentan, entre otras cosas, en que prácticamente todos los alérgenos de contacto conocidos y todos los fármacos utilizados en parches de liberación de principios activos están por debajo de ese límite</w:t>
      </w:r>
      <w:r>
        <w:rPr>
          <w:rStyle w:val="FootnoteReference"/>
        </w:rPr>
        <w:footnoteReference w:id="127"/>
      </w:r>
      <w:r>
        <w:t xml:space="preserve">.</w:t>
      </w:r>
    </w:p>
    <w:p>
      <w:pPr>
        <w:pStyle w:val="BodyText"/>
      </w:pPr>
      <w:r>
        <w:t xml:space="preserve">Para los péptidos esto significa que a partir de unos cuatro o cinco aminoácidos ya suelen superar ese límite. Un tripéptido como el GHK puede quedar por debajo; péptidos como el palmitoil pentapéptido-4 o el acetil hexapéptido-8 lo superan claramente. Los fabricantes de cosméticos intentan mejorar la penetración mediante la unión de ácidos grasos (como en el péptido «palmitoil») o sistemas de transporte especiales. Si los péptidos llegan así en cantidad suficiente a sus supuestas células diana en capas más profundas de la piel es una cuestión que habría que investigar específicamente para cada producto. Los datos de los estudios al respecto se comentan en la Parte II.</w:t>
      </w:r>
    </w:p>
    <w:p>
      <w:pPr>
        <w:pStyle w:val="BodyText"/>
      </w:pPr>
      <w:r>
        <w:t xml:space="preserve">Una regla empírica es solo eso: hay excepciones, y recursos como los parches de microagujas pueden superar la barrera. Estos parches llevan diminutas agujas que solo atraviesan la capa más superficial de la piel. Para los péptidos se encuentran todavía en gran medida en fase de desarrollo.</w:t>
      </w:r>
    </w:p>
    <w:p>
      <w:pPr>
        <w:pStyle w:val="BodyText"/>
      </w:pPr>
      <w:r>
        <w:t xml:space="preserve">Para los péptidos farmacológicos, como los análogos de GLP-1, los liberadores de hormona del crecimiento o el melanotán, rige lo siguiente: una simple crema o un gel no los hace llegar a la sangre en cantidad apreciable. Las ofertas de internet que afirman lo contrario deberías considerarlas con gran escepticismo.</w:t>
      </w:r>
    </w:p>
    <w:bookmarkEnd w:id="128"/>
    <w:bookmarkStart w:id="130" w:name="estabilidad-el-problema-subestimado"/>
    <w:p>
      <w:pPr>
        <w:pStyle w:val="Heading3"/>
      </w:pPr>
      <w:r>
        <w:t xml:space="preserve">Estabilidad: el problema subestimado</w:t>
      </w:r>
    </w:p>
    <w:p>
      <w:pPr>
        <w:pStyle w:val="FirstParagraph"/>
      </w:pPr>
      <w:r>
        <w:t xml:space="preserve">También fuera del organismo los péptidos son delicados. Pueden descomponerse, modificarse químicamente (por ejemplo, por oxidación) o aglutinarse en asociaciones más grandes. Estas aglutinaciones —los especialistas hablan de agregación o formación de fibrillas— pueden reducir el efecto e irritar al sistema inmunitario. Un estudio halló en preparados de imitación de liraglutida una mayor tendencia a la formación de fibrillas y una menor estabilidad física que en el original</w:t>
      </w:r>
      <w:r>
        <w:rPr>
          <w:rStyle w:val="FootnoteReference"/>
        </w:rPr>
        <w:footnoteReference w:id="129"/>
      </w:r>
      <w:r>
        <w:t xml:space="preserve">.</w:t>
      </w:r>
    </w:p>
    <w:p>
      <w:pPr>
        <w:pStyle w:val="BodyText"/>
      </w:pPr>
      <w:r>
        <w:t xml:space="preserve">Por eso, los medicamentos peptídicos autorizados se fabrican, envasan y transportan refrigerados en condiciones exactamente definidas y llevan fecha de caducidad. Los péptidos del mercado gris, en cambio, se venden casi siempre como polvo liofilizado que el usuario debe disolver antes de usarlo. Cada uno de estos pasos —transporte sin refrigeración, almacenamiento, disolución, carga de la jeringa— es una posible fuente de error.</w:t>
      </w:r>
    </w:p>
    <w:bookmarkEnd w:id="130"/>
    <w:bookmarkStart w:id="132" w:name="reacciones-inmunitarias"/>
    <w:p>
      <w:pPr>
        <w:pStyle w:val="Heading3"/>
      </w:pPr>
      <w:r>
        <w:t xml:space="preserve">Reacciones inmunitarias</w:t>
      </w:r>
    </w:p>
    <w:p>
      <w:pPr>
        <w:pStyle w:val="FirstParagraph"/>
      </w:pPr>
      <w:r>
        <w:t xml:space="preserve">Los péptidos son sustancias proteicas y el sistema inmunitario puede reconocerlos como extraños, sobre todo si no corresponden exactamente a una molécula endógena o contienen impurezas. Las posibles consecuencias son reacciones en el lugar de inyección, reacciones alérgicas o la formación de anticuerpos que pueden debilitar el efecto. En el análisis de semaglutida de imitación se encontraron nuevos sitios de unión para el sistema inmunitario, predichos mediante ordenador, que apuntan a un posible riesgo de reacciones inmunitarias</w:t>
      </w:r>
      <w:r>
        <w:rPr>
          <w:rStyle w:val="FootnoteReference"/>
        </w:rPr>
        <w:footnoteReference w:id="131"/>
      </w:r>
      <w:r>
        <w:t xml:space="preserve">. La Parte IV trata en detalle las reacciones inmunitarias.</w:t>
      </w:r>
    </w:p>
    <w:bookmarkEnd w:id="132"/>
    <w:bookmarkStart w:id="133" w:name="X9c194ab3edde6349764cf09e6aaad5539d7352d"/>
    <w:p>
      <w:pPr>
        <w:pStyle w:val="Heading3"/>
      </w:pPr>
      <w:r>
        <w:t xml:space="preserve">Visión de conjunto: comparación de las vías de administración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Vía</w:t>
            </w:r>
          </w:p>
        </w:tc>
        <w:tc>
          <w:tcPr/>
          <w:p>
            <w:pPr>
              <w:pStyle w:val="Compact"/>
              <w:jc w:val="left"/>
            </w:pPr>
            <w:r>
              <w:t xml:space="preserve">Problema principal</w:t>
            </w:r>
          </w:p>
        </w:tc>
        <w:tc>
          <w:tcPr/>
          <w:p>
            <w:pPr>
              <w:pStyle w:val="Compact"/>
              <w:jc w:val="left"/>
            </w:pPr>
            <w:r>
              <w:t xml:space="preserve">Ejemplos</w:t>
            </w:r>
          </w:p>
        </w:tc>
      </w:tr>
      <w:tr>
        <w:tc>
          <w:tcPr/>
          <w:p>
            <w:pPr>
              <w:pStyle w:val="Compact"/>
              <w:jc w:val="left"/>
            </w:pPr>
            <w:r>
              <w:t xml:space="preserve">Inyección subcutánea</w:t>
            </w:r>
          </w:p>
        </w:tc>
        <w:tc>
          <w:tcPr/>
          <w:p>
            <w:pPr>
              <w:pStyle w:val="Compact"/>
              <w:jc w:val="left"/>
            </w:pPr>
            <w:r>
              <w:t xml:space="preserve">aguja, esterilidad, refrigeración</w:t>
            </w:r>
          </w:p>
        </w:tc>
        <w:tc>
          <w:tcPr/>
          <w:p>
            <w:pPr>
              <w:pStyle w:val="Compact"/>
              <w:jc w:val="left"/>
            </w:pPr>
            <w:r>
              <w:t xml:space="preserve">insulina, semaglutida, tirzepatida</w:t>
            </w:r>
          </w:p>
        </w:tc>
      </w:tr>
      <w:tr>
        <w:tc>
          <w:tcPr/>
          <w:p>
            <w:pPr>
              <w:pStyle w:val="Compact"/>
              <w:jc w:val="left"/>
            </w:pPr>
            <w:r>
              <w:t xml:space="preserve">Comprimido</w:t>
            </w:r>
          </w:p>
        </w:tc>
        <w:tc>
          <w:tcPr/>
          <w:p>
            <w:pPr>
              <w:pStyle w:val="Compact"/>
              <w:jc w:val="left"/>
            </w:pPr>
            <w:r>
              <w:t xml:space="preserve">degradación en el tubo digestivo</w:t>
            </w:r>
          </w:p>
        </w:tc>
        <w:tc>
          <w:tcPr/>
          <w:p>
            <w:pPr>
              <w:pStyle w:val="Compact"/>
              <w:jc w:val="left"/>
            </w:pPr>
            <w:r>
              <w:t xml:space="preserve">semaglutida con SNAC</w:t>
            </w:r>
          </w:p>
        </w:tc>
      </w:tr>
      <w:tr>
        <w:tc>
          <w:tcPr/>
          <w:p>
            <w:pPr>
              <w:pStyle w:val="Compact"/>
              <w:jc w:val="left"/>
            </w:pPr>
            <w:r>
              <w:t xml:space="preserve">Sublingual</w:t>
            </w:r>
          </w:p>
        </w:tc>
        <w:tc>
          <w:tcPr/>
          <w:p>
            <w:pPr>
              <w:pStyle w:val="Compact"/>
              <w:jc w:val="left"/>
            </w:pPr>
            <w:r>
              <w:t xml:space="preserve">la mucosa como barrera</w:t>
            </w:r>
          </w:p>
        </w:tc>
        <w:tc>
          <w:tcPr/>
          <w:p>
            <w:pPr>
              <w:pStyle w:val="Compact"/>
              <w:jc w:val="left"/>
            </w:pPr>
            <w:r>
              <w:t xml:space="preserve">no hay datos sólidos</w:t>
            </w:r>
          </w:p>
        </w:tc>
      </w:tr>
      <w:tr>
        <w:tc>
          <w:tcPr/>
          <w:p>
            <w:pPr>
              <w:pStyle w:val="Compact"/>
              <w:jc w:val="left"/>
            </w:pPr>
            <w:r>
              <w:t xml:space="preserve">Aerosol nasal</w:t>
            </w:r>
          </w:p>
        </w:tc>
        <w:tc>
          <w:tcPr/>
          <w:p>
            <w:pPr>
              <w:pStyle w:val="Compact"/>
              <w:jc w:val="left"/>
            </w:pPr>
            <w:r>
              <w:t xml:space="preserve">absorción baja y variable</w:t>
            </w:r>
          </w:p>
        </w:tc>
        <w:tc>
          <w:tcPr/>
          <w:p>
            <w:pPr>
              <w:pStyle w:val="Compact"/>
              <w:jc w:val="left"/>
            </w:pPr>
            <w:r>
              <w:t xml:space="preserve">desmopresina, oxitocina</w:t>
            </w:r>
          </w:p>
        </w:tc>
      </w:tr>
      <w:tr>
        <w:tc>
          <w:tcPr/>
          <w:p>
            <w:pPr>
              <w:pStyle w:val="Compact"/>
              <w:jc w:val="left"/>
            </w:pPr>
            <w:r>
              <w:t xml:space="preserve">Inhalación</w:t>
            </w:r>
          </w:p>
        </w:tc>
        <w:tc>
          <w:tcPr/>
          <w:p>
            <w:pPr>
              <w:pStyle w:val="Compact"/>
              <w:jc w:val="left"/>
            </w:pPr>
            <w:r>
              <w:t xml:space="preserve">dispositivos, seguridad pulmonar</w:t>
            </w:r>
          </w:p>
        </w:tc>
        <w:tc>
          <w:tcPr/>
          <w:p>
            <w:pPr>
              <w:pStyle w:val="Compact"/>
              <w:jc w:val="left"/>
            </w:pPr>
            <w:r>
              <w:t xml:space="preserve">insulina inhalable</w:t>
            </w:r>
          </w:p>
        </w:tc>
      </w:tr>
      <w:tr>
        <w:tc>
          <w:tcPr/>
          <w:p>
            <w:pPr>
              <w:pStyle w:val="Compact"/>
              <w:jc w:val="left"/>
            </w:pPr>
            <w:r>
              <w:t xml:space="preserve">Piel</w:t>
            </w:r>
          </w:p>
        </w:tc>
        <w:tc>
          <w:tcPr/>
          <w:p>
            <w:pPr>
              <w:pStyle w:val="Compact"/>
              <w:jc w:val="left"/>
            </w:pPr>
            <w:r>
              <w:t xml:space="preserve">estrato córneo, tamaño molecular</w:t>
            </w:r>
          </w:p>
        </w:tc>
        <w:tc>
          <w:tcPr/>
          <w:p>
            <w:pPr>
              <w:pStyle w:val="Compact"/>
              <w:jc w:val="left"/>
            </w:pPr>
            <w:r>
              <w:t xml:space="preserve">péptidos cosméticos</w:t>
            </w:r>
          </w:p>
        </w:tc>
      </w:tr>
    </w:tbl>
    <w:bookmarkEnd w:id="133"/>
    <w:bookmarkStart w:id="134" w:name="lo-esencial-en-resumen-1"/>
    <w:p>
      <w:pPr>
        <w:pStyle w:val="Heading3"/>
      </w:pPr>
      <w:r>
        <w:t xml:space="preserve">Lo esencial en resumen</w:t>
      </w:r>
    </w:p>
    <w:p>
      <w:pPr>
        <w:numPr>
          <w:ilvl w:val="0"/>
          <w:numId w:val="1014"/>
        </w:numPr>
        <w:pStyle w:val="Compact"/>
      </w:pPr>
      <w:r>
        <w:t xml:space="preserve">Los péptidos se degradan en el tubo digestivo, son grandes y atraviesan mal las membranas. Por eso la mayoría de los medicamentos peptídicos se inyectan.</w:t>
      </w:r>
    </w:p>
    <w:p>
      <w:pPr>
        <w:numPr>
          <w:ilvl w:val="0"/>
          <w:numId w:val="1014"/>
        </w:numPr>
        <w:pStyle w:val="Compact"/>
      </w:pPr>
      <w:r>
        <w:t xml:space="preserve">Una duración de acción prolongada se consigue mediante modificaciones específicas de la molécula, por ejemplo la unión de ácidos grasos para fijarse a la albúmina.</w:t>
      </w:r>
    </w:p>
    <w:p>
      <w:pPr>
        <w:numPr>
          <w:ilvl w:val="0"/>
          <w:numId w:val="1014"/>
        </w:numPr>
        <w:pStyle w:val="Compact"/>
      </w:pPr>
      <w:r>
        <w:t xml:space="preserve">El comprimido de semaglutida utiliza el excipiente SNAC, que permite la absorción en el estómago. La biodisponibilidad sigue siendo muy baja, de un 0,4 a 1 % aproximadamente.</w:t>
      </w:r>
    </w:p>
    <w:p>
      <w:pPr>
        <w:numPr>
          <w:ilvl w:val="0"/>
          <w:numId w:val="1014"/>
        </w:numPr>
        <w:pStyle w:val="Compact"/>
      </w:pPr>
      <w:r>
        <w:t xml:space="preserve">Con los aerosoles nasales y las cremas, la absorción de los péptidos más grandes es limitada. Promesas como «directamente al cerebro» o «a través de la piel hasta la sangre» no suelen estar demostradas.</w:t>
      </w:r>
    </w:p>
    <w:p>
      <w:pPr>
        <w:numPr>
          <w:ilvl w:val="0"/>
          <w:numId w:val="1014"/>
        </w:numPr>
        <w:pStyle w:val="Compact"/>
      </w:pPr>
      <w:r>
        <w:t xml:space="preserve">La estabilidad, la esterilidad y la pureza no son cuestiones secundarias en los péptidos, sino requisitos para su seguridad y su eficacia.</w:t>
      </w:r>
    </w:p>
    <w:bookmarkEnd w:id="134"/>
    <w:bookmarkEnd w:id="135"/>
    <w:bookmarkStart w:id="167" w:name="cómo-leer-correctamente-los-estudios"/>
    <w:p>
      <w:pPr>
        <w:pStyle w:val="Heading2"/>
      </w:pPr>
      <w:r>
        <w:t xml:space="preserve">Cómo leer correctamente los estudios</w:t>
      </w:r>
    </w:p>
    <w:p>
      <w:pPr>
        <w:pStyle w:val="FirstParagraph"/>
      </w:pPr>
      <w:r>
        <w:t xml:space="preserve">«Los estudios demuestran…»: pocas expresiones se utilizan tanto en la publicidad de péptidos. Con ella puede aludirse a cualquier cosa: un ensayo con células en una placa de Petri, un experimento con doce ratas, el testimonio de un único paciente o un estudio con 17.000 participantes a lo largo de más de tres años. Quien quiera evaluar los péptidos debe conocer estas diferencias. Este capítulo es una especie de caja de herramientas. Explica los tipos de estudio más importantes, las trampas al interpretar los resultados y cómo puedes comprobar tú mismo qué hay detrás de una afirmación.</w:t>
      </w:r>
    </w:p>
    <w:bookmarkStart w:id="136" w:name="la-pirámide-de-la-evidencia"/>
    <w:p>
      <w:pPr>
        <w:pStyle w:val="Heading3"/>
      </w:pPr>
      <w:r>
        <w:t xml:space="preserve">La pirámide de la evidencia</w:t>
      </w:r>
    </w:p>
    <w:p>
      <w:pPr>
        <w:pStyle w:val="FirstParagraph"/>
      </w:pPr>
      <w:r>
        <w:t xml:space="preserve">Los especialistas suelen ordenar los tipos de estudio en una pirámide. En la base se sitúan las formas de estudio que aportan muchos indicios pero poca certeza; en la cúspide, las que muestran de forma más fiable si un tratamiento funciona en el ser humano. De abajo arriba:</w:t>
      </w:r>
    </w:p>
    <w:p>
      <w:pPr>
        <w:numPr>
          <w:ilvl w:val="0"/>
          <w:numId w:val="1015"/>
        </w:numPr>
        <w:pStyle w:val="Compact"/>
      </w:pPr>
      <w:r>
        <w:rPr>
          <w:bCs/>
          <w:b/>
        </w:rPr>
        <w:t xml:space="preserve">Estudios de laboratorio y con células</w:t>
      </w:r>
      <w:r>
        <w:t xml:space="preserve"> </w:t>
      </w:r>
      <w:r>
        <w:t xml:space="preserve">(in vitro, «en el vidrio»): se exponen células o tejidos a una sustancia en el laboratorio.</w:t>
      </w:r>
    </w:p>
    <w:p>
      <w:pPr>
        <w:numPr>
          <w:ilvl w:val="0"/>
          <w:numId w:val="1015"/>
        </w:numPr>
        <w:pStyle w:val="Compact"/>
      </w:pPr>
      <w:r>
        <w:rPr>
          <w:bCs/>
          <w:b/>
        </w:rPr>
        <w:t xml:space="preserve">Estudios en animales</w:t>
      </w:r>
      <w:r>
        <w:t xml:space="preserve"> </w:t>
      </w:r>
      <w:r>
        <w:t xml:space="preserve">(generalmente en ratones o ratas).</w:t>
      </w:r>
    </w:p>
    <w:p>
      <w:pPr>
        <w:numPr>
          <w:ilvl w:val="0"/>
          <w:numId w:val="1015"/>
        </w:numPr>
        <w:pStyle w:val="Compact"/>
      </w:pPr>
      <w:r>
        <w:rPr>
          <w:bCs/>
          <w:b/>
        </w:rPr>
        <w:t xml:space="preserve">Casos clínicos y series de casos</w:t>
      </w:r>
      <w:r>
        <w:t xml:space="preserve">: descripciones de uno o de unos pocos pacientes.</w:t>
      </w:r>
    </w:p>
    <w:p>
      <w:pPr>
        <w:numPr>
          <w:ilvl w:val="0"/>
          <w:numId w:val="1015"/>
        </w:numPr>
        <w:pStyle w:val="Compact"/>
      </w:pPr>
      <w:r>
        <w:rPr>
          <w:bCs/>
          <w:b/>
        </w:rPr>
        <w:t xml:space="preserve">Estudios observacionales</w:t>
      </w:r>
      <w:r>
        <w:t xml:space="preserve">: se observa a personas que de todos modos toman o no toman una sustancia y se compara lo que les ocurre.</w:t>
      </w:r>
    </w:p>
    <w:p>
      <w:pPr>
        <w:numPr>
          <w:ilvl w:val="0"/>
          <w:numId w:val="1015"/>
        </w:numPr>
        <w:pStyle w:val="Compact"/>
      </w:pPr>
      <w:r>
        <w:rPr>
          <w:bCs/>
          <w:b/>
        </w:rPr>
        <w:t xml:space="preserve">Estudios controlados sin asignación aleatoria</w:t>
      </w:r>
      <w:r>
        <w:t xml:space="preserve"> </w:t>
      </w:r>
      <w:r>
        <w:t xml:space="preserve">y</w:t>
      </w:r>
      <w:r>
        <w:t xml:space="preserve"> </w:t>
      </w:r>
      <w:r>
        <w:rPr>
          <w:bCs/>
          <w:b/>
        </w:rPr>
        <w:t xml:space="preserve">estudios abiertos</w:t>
      </w:r>
      <w:r>
        <w:t xml:space="preserve">.</w:t>
      </w:r>
    </w:p>
    <w:p>
      <w:pPr>
        <w:numPr>
          <w:ilvl w:val="0"/>
          <w:numId w:val="1015"/>
        </w:numPr>
        <w:pStyle w:val="Compact"/>
      </w:pPr>
      <w:r>
        <w:rPr>
          <w:bCs/>
          <w:b/>
        </w:rPr>
        <w:t xml:space="preserve">Ensayos controlados aleatorizados</w:t>
      </w:r>
      <w:r>
        <w:t xml:space="preserve"> </w:t>
      </w:r>
      <w:r>
        <w:t xml:space="preserve">(RCT).</w:t>
      </w:r>
    </w:p>
    <w:p>
      <w:pPr>
        <w:numPr>
          <w:ilvl w:val="0"/>
          <w:numId w:val="1015"/>
        </w:numPr>
        <w:pStyle w:val="Compact"/>
      </w:pPr>
      <w:r>
        <w:rPr>
          <w:bCs/>
          <w:b/>
        </w:rPr>
        <w:t xml:space="preserve">Revisiones sistemáticas y metaanálisis</w:t>
      </w:r>
      <w:r>
        <w:t xml:space="preserve">, que reúnen todos los buenos estudios disponibles sobre una cuestión.</w:t>
      </w:r>
    </w:p>
    <w:p>
      <w:pPr>
        <w:pStyle w:val="FirstParagraph"/>
      </w:pPr>
      <w:r>
        <w:t xml:space="preserve">La pirámide es una simplificación. Un estudio observacional grande y cuidadoso puede ser más concluyente que un RCT diminuto y mal realizado, y un metaanálisis solo es tan bueno como los estudios que incluye. Pero como orientación general resulta útil, sobre todo para reconocer lo abajo que se sitúan en la pirámide las pruebas de muchos péptidos del mercado gris.</w:t>
      </w:r>
    </w:p>
    <w:bookmarkEnd w:id="136"/>
    <w:bookmarkStart w:id="137" w:name="Xf8752c8f4208efa73d017c69b756cd870bb4c43"/>
    <w:p>
      <w:pPr>
        <w:pStyle w:val="Heading3"/>
      </w:pPr>
      <w:r>
        <w:t xml:space="preserve">Estudios de laboratorio: lo que ocurre en la placa de Petri</w:t>
      </w:r>
    </w:p>
    <w:p>
      <w:pPr>
        <w:pStyle w:val="FirstParagraph"/>
      </w:pPr>
      <w:r>
        <w:t xml:space="preserve">En los cultivos celulares pueden estudiarse bien los mecanismos: ¿qué receptor se activa? ¿Qué genes se expresan? ¿Crecen o migran las células más rápido? Estos estudios son imprescindibles para la investigación básica.</w:t>
      </w:r>
    </w:p>
    <w:p>
      <w:pPr>
        <w:pStyle w:val="BodyText"/>
      </w:pPr>
      <w:r>
        <w:t xml:space="preserve">Sus límites, sin embargo, son grandes. Las células en una placa no tienen circulación sanguínea, ni un hígado que degrade las sustancias, ni sistema inmunitario, ni digestión. Las concentraciones utilizadas en el laboratorio suelen ser mucho más altas que las que podrían alcanzarse en el cuerpo humano. Una sustancia que mata células cancerosas en la placa de Petri puede ser ineficaz o tóxica en el organismo. Cuando un texto publicitario invoca «estudios» y se trata de cultivos celulares, eso es un indicio de un posible mecanismo, no de un beneficio en el ser humano.</w:t>
      </w:r>
    </w:p>
    <w:bookmarkEnd w:id="137"/>
    <w:bookmarkStart w:id="139" w:name="X61c76ad4be1d3f1f7773982e33a75eb98837459"/>
    <w:p>
      <w:pPr>
        <w:pStyle w:val="Heading3"/>
      </w:pPr>
      <w:r>
        <w:t xml:space="preserve">Estudios en animales: importantes, pero no trasladables</w:t>
      </w:r>
    </w:p>
    <w:p>
      <w:pPr>
        <w:pStyle w:val="FirstParagraph"/>
      </w:pPr>
      <w:r>
        <w:t xml:space="preserve">Los experimentos con animales permiten estudiar los efectos en un organismo completo y aclarar cuestiones de seguridad antes de exponer a personas a una sustancia nueva. Al mismo tiempo, los ratones y las ratas difieren considerablemente del ser humano en metabolismo, esperanza de vida, tamaño corporal y origen de las enfermedades. Además, en los animales las enfermedades suelen provocarse artificialmente —por ejemplo, una lesión tendinosa mediante un corte—, lo que solo corresponde de forma limitada a la situación en las personas.</w:t>
      </w:r>
    </w:p>
    <w:p>
      <w:pPr>
        <w:pStyle w:val="BodyText"/>
      </w:pPr>
      <w:r>
        <w:t xml:space="preserve">Lo difícil que es trasladar los resultados lo muestra una revisión sistemática que comparó los efectos de los tratamientos en experimentos con animales con los de los estudios clínicos</w:t>
      </w:r>
      <w:r>
        <w:rPr>
          <w:rStyle w:val="FootnoteReference"/>
        </w:rPr>
        <w:footnoteReference w:id="138"/>
      </w:r>
      <w:r>
        <w:t xml:space="preserve">. Algunos ejemplos:</w:t>
      </w:r>
    </w:p>
    <w:p>
      <w:pPr>
        <w:numPr>
          <w:ilvl w:val="0"/>
          <w:numId w:val="1016"/>
        </w:numPr>
        <w:pStyle w:val="Compact"/>
      </w:pPr>
      <w:r>
        <w:t xml:space="preserve">Los preparados de cortisona mejoraron los resultados en modelos animales de traumatismo craneal, pero en los estudios clínicos en seres humanos no mostraron ningún beneficio.</w:t>
      </w:r>
    </w:p>
    <w:p>
      <w:pPr>
        <w:numPr>
          <w:ilvl w:val="0"/>
          <w:numId w:val="1016"/>
        </w:numPr>
        <w:pStyle w:val="Compact"/>
      </w:pPr>
      <w:r>
        <w:t xml:space="preserve">El principio activo tirilazad redujo en animales con ictus la zona cerebral dañada en un 29 % y mejoró las puntuaciones neurológicas en un 48 %. En personas con ictus se asoció a un peor resultado.</w:t>
      </w:r>
    </w:p>
    <w:p>
      <w:pPr>
        <w:numPr>
          <w:ilvl w:val="0"/>
          <w:numId w:val="1016"/>
        </w:numPr>
        <w:pStyle w:val="Compact"/>
      </w:pPr>
      <w:r>
        <w:t xml:space="preserve">Otros tratamientos, como la disolución de coágulos sanguíneos en el ictus, funcionaron tanto en animales como en seres humanos.</w:t>
      </w:r>
    </w:p>
    <w:p>
      <w:pPr>
        <w:pStyle w:val="FirstParagraph"/>
      </w:pPr>
      <w:r>
        <w:t xml:space="preserve">Los autores atribuyen las discrepancias a sesgos en los estudios en animales y a que los modelos animales no reproducen suficientemente las enfermedades humanas.</w:t>
      </w:r>
    </w:p>
    <w:p>
      <w:pPr>
        <w:pStyle w:val="BodyText"/>
      </w:pPr>
      <w:r>
        <w:t xml:space="preserve">Para este libro, esto tiene una consecuencia clara: si para un péptido solo existen datos en animales, recibe el nivel de evidencia D, con independencia de lo impresionantes que parezcan los resultados en ratas. Y en el texto siempre se indica expresamente cuándo un resultado procede de animales o del laboratorio.</w:t>
      </w:r>
    </w:p>
    <w:bookmarkEnd w:id="139"/>
    <w:bookmarkStart w:id="140" w:name="Xcfa885e638c05ad582bccf486c76c774864227b"/>
    <w:p>
      <w:pPr>
        <w:pStyle w:val="Heading3"/>
      </w:pPr>
      <w:r>
        <w:t xml:space="preserve">Casos clínicos y estudios observacionales</w:t>
      </w:r>
    </w:p>
    <w:p>
      <w:pPr>
        <w:pStyle w:val="FirstParagraph"/>
      </w:pPr>
      <w:r>
        <w:t xml:space="preserve">Los</w:t>
      </w:r>
      <w:r>
        <w:t xml:space="preserve"> </w:t>
      </w:r>
      <w:r>
        <w:rPr>
          <w:bCs/>
          <w:b/>
        </w:rPr>
        <w:t xml:space="preserve">casos clínicos</w:t>
      </w:r>
      <w:r>
        <w:t xml:space="preserve"> </w:t>
      </w:r>
      <w:r>
        <w:t xml:space="preserve">describen a pacientes individuales. Dicen poco sobre la eficacia, pero pueden ser muy valiosos para la seguridad: los efectos adversos raros o inesperados suelen detectarse primero en casos clínicos. En el capítulo sobre el mercado gris conocerás varios de ellos, por ejemplo sobre hipoglucemias graves causadas por preparados falsificados.</w:t>
      </w:r>
    </w:p>
    <w:p>
      <w:pPr>
        <w:pStyle w:val="BodyText"/>
      </w:pPr>
      <w:r>
        <w:t xml:space="preserve">Los</w:t>
      </w:r>
      <w:r>
        <w:t xml:space="preserve"> </w:t>
      </w:r>
      <w:r>
        <w:rPr>
          <w:bCs/>
          <w:b/>
        </w:rPr>
        <w:t xml:space="preserve">estudios observacionales</w:t>
      </w:r>
      <w:r>
        <w:t xml:space="preserve"> </w:t>
      </w:r>
      <w:r>
        <w:t xml:space="preserve">comparan a personas que toman una sustancia con personas que no la toman. Su principal problema es el llamado</w:t>
      </w:r>
      <w:r>
        <w:t xml:space="preserve"> </w:t>
      </w:r>
      <w:r>
        <w:rPr>
          <w:bCs/>
          <w:b/>
        </w:rPr>
        <w:t xml:space="preserve">factor de confusión</w:t>
      </w:r>
      <w:r>
        <w:t xml:space="preserve"> </w:t>
      </w:r>
      <w:r>
        <w:t xml:space="preserve">(confounding): quien toma un determinado preparado suele diferir también en otros aspectos, como los ingresos, la conciencia sobre la salud o las enfermedades previas. Por eso, una asociación encontrada no tiene por qué ser una relación de causa y efecto.</w:t>
      </w:r>
    </w:p>
    <w:p>
      <w:pPr>
        <w:pStyle w:val="BodyText"/>
      </w:pPr>
      <w:r>
        <w:t xml:space="preserve">Una forma especial son los análisis de</w:t>
      </w:r>
      <w:r>
        <w:t xml:space="preserve"> </w:t>
      </w:r>
      <w:r>
        <w:rPr>
          <w:bCs/>
          <w:b/>
        </w:rPr>
        <w:t xml:space="preserve">sistemas de notificación de efectos adversos</w:t>
      </w:r>
      <w:r>
        <w:t xml:space="preserve">, como la base de datos europea EudraVigilance o el FAERS estadounidense. Recogen notificaciones de sospechas de médicos, pacientes y fabricantes. Estos datos muestran señales que conviene seguir investigando, pero no demuestran una relación ni dicen nada sobre la frecuencia real de un efecto adverso.</w:t>
      </w:r>
    </w:p>
    <w:bookmarkEnd w:id="140"/>
    <w:bookmarkStart w:id="141" w:name="el-ensayo-controlado-aleatorizado-rct"/>
    <w:p>
      <w:pPr>
        <w:pStyle w:val="Heading3"/>
      </w:pPr>
      <w:r>
        <w:t xml:space="preserve">El ensayo controlado aleatorizado (RCT)</w:t>
      </w:r>
    </w:p>
    <w:p>
      <w:pPr>
        <w:pStyle w:val="FirstParagraph"/>
      </w:pPr>
      <w:r>
        <w:t xml:space="preserve">El RCT se considera el patrón de referencia para evaluar el efecto de un tratamiento. Lo definen tres elementos:</w:t>
      </w:r>
    </w:p>
    <w:p>
      <w:pPr>
        <w:pStyle w:val="BodyText"/>
      </w:pPr>
      <w:r>
        <w:rPr>
          <w:bCs/>
          <w:b/>
        </w:rPr>
        <w:t xml:space="preserve">Grupo de control.</w:t>
      </w:r>
      <w:r>
        <w:t xml:space="preserve"> </w:t>
      </w:r>
      <w:r>
        <w:t xml:space="preserve">Además del grupo que recibe el principio activo, existe un grupo de comparación: con placebo, con un tratamiento estándar o sin tratamiento. Solo así puede decirse si un cambio se debe al principio activo o se habría producido también sin él.</w:t>
      </w:r>
    </w:p>
    <w:p>
      <w:pPr>
        <w:pStyle w:val="BodyText"/>
      </w:pPr>
      <w:r>
        <w:rPr>
          <w:bCs/>
          <w:b/>
        </w:rPr>
        <w:t xml:space="preserve">Aleatorización.</w:t>
      </w:r>
      <w:r>
        <w:t xml:space="preserve"> </w:t>
      </w:r>
      <w:r>
        <w:t xml:space="preserve">El azar decide quién entra en cada grupo. De este modo, los factores de influencia conocidos y desconocidos se reparten por igual entre ambos grupos. Las diferencias en el resultado pueden atribuirse entonces, con alta probabilidad, al tratamiento.</w:t>
      </w:r>
    </w:p>
    <w:p>
      <w:pPr>
        <w:pStyle w:val="BodyText"/>
      </w:pPr>
      <w:r>
        <w:rPr>
          <w:bCs/>
          <w:b/>
        </w:rPr>
        <w:t xml:space="preserve">Enmascaramiento.</w:t>
      </w:r>
      <w:r>
        <w:t xml:space="preserve"> </w:t>
      </w:r>
      <w:r>
        <w:t xml:space="preserve">En un estudio</w:t>
      </w:r>
      <w:r>
        <w:t xml:space="preserve"> </w:t>
      </w:r>
      <w:r>
        <w:rPr>
          <w:bCs/>
          <w:b/>
        </w:rPr>
        <w:t xml:space="preserve">doble ciego</w:t>
      </w:r>
      <w:r>
        <w:t xml:space="preserve">, ni los participantes ni el personal del estudio saben quién recibe el principio activo y quién el placebo. Esto impide que las expectativas influyan en el resultado. En un estudio</w:t>
      </w:r>
      <w:r>
        <w:t xml:space="preserve"> </w:t>
      </w:r>
      <w:r>
        <w:rPr>
          <w:bCs/>
          <w:b/>
        </w:rPr>
        <w:t xml:space="preserve">abierto</w:t>
      </w:r>
      <w:r>
        <w:t xml:space="preserve">, todos los implicados lo saben; a veces no es posible hacerlo de otro modo, pero los resultados son más vulnerables a los sesgos, sobre todo con variables subjetivas como el dolor, el estado de ánimo o el aspecto de la piel.</w:t>
      </w:r>
    </w:p>
    <w:bookmarkEnd w:id="141"/>
    <w:bookmarkStart w:id="144" w:name="X4940b8074428b622ea5155218cc9ed05963a9ea"/>
    <w:p>
      <w:pPr>
        <w:pStyle w:val="Heading3"/>
      </w:pPr>
      <w:r>
        <w:t xml:space="preserve">El efecto placebo y por qué los grupos de control son imprescindibles</w:t>
      </w:r>
    </w:p>
    <w:p>
      <w:pPr>
        <w:pStyle w:val="FirstParagraph"/>
      </w:pPr>
      <w:r>
        <w:t xml:space="preserve">En los estudios, las personas suelen encontrarse mejor aunque solo reciban un preparado simulado. Esto se debe a las expectativas, a la atención adicional, a los cambios de estilo de vida durante un estudio y a que muchas molestias mejoran de todos modos por sí solas.</w:t>
      </w:r>
    </w:p>
    <w:p>
      <w:pPr>
        <w:pStyle w:val="BodyText"/>
      </w:pPr>
      <w:r>
        <w:t xml:space="preserve">El estudio STEP 1 ofrece un ejemplo ilustrativo: también el grupo de placebo perdió de media el 2,4 % de su peso corporal a lo largo de 68 semanas, porque todos los participantes recibieron además asesoramiento sobre el estilo de vida</w:t>
      </w:r>
      <w:r>
        <w:rPr>
          <w:rStyle w:val="FootnoteReference"/>
        </w:rPr>
        <w:footnoteReference w:id="142"/>
      </w:r>
      <w:r>
        <w:t xml:space="preserve">. El efecto propiamente dicho del principio activo es la diferencia entre los grupos, en este caso 12,4 puntos porcentuales, no el 14,9 %.</w:t>
      </w:r>
    </w:p>
    <w:p>
      <w:pPr>
        <w:pStyle w:val="BodyText"/>
      </w:pPr>
      <w:r>
        <w:t xml:space="preserve">Un artículo de revisión sobre los péptidos en la medicina deportiva señala expresamente que el efecto placebo podría explicar parte de los efectos comunicados de los péptidos no regulados y que las redes sociales amplifican este efecto</w:t>
      </w:r>
      <w:r>
        <w:rPr>
          <w:rStyle w:val="FootnoteReference"/>
        </w:rPr>
        <w:footnoteReference w:id="143"/>
      </w:r>
      <w:r>
        <w:t xml:space="preserve">. Por eso, los testimonios de los foros no sustituyen a los estudios controlados.</w:t>
      </w:r>
    </w:p>
    <w:bookmarkEnd w:id="144"/>
    <w:bookmarkStart w:id="145" w:name="fases-de-los-estudios"/>
    <w:p>
      <w:pPr>
        <w:pStyle w:val="Heading3"/>
      </w:pPr>
      <w:r>
        <w:t xml:space="preserve">Fases de los estudios</w:t>
      </w:r>
    </w:p>
    <w:p>
      <w:pPr>
        <w:pStyle w:val="FirstParagraph"/>
      </w:pPr>
      <w:r>
        <w:t xml:space="preserve">Los nuevos medicamentos pasan normalmente por cuatro fases en el ser humano: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Objetivo</w:t>
            </w:r>
          </w:p>
        </w:tc>
        <w:tc>
          <w:tcPr/>
          <w:p>
            <w:pPr>
              <w:pStyle w:val="Compact"/>
              <w:jc w:val="left"/>
            </w:pPr>
            <w:r>
              <w:t xml:space="preserve">Tamaño típico</w:t>
            </w:r>
          </w:p>
        </w:tc>
      </w:tr>
      <w:tr>
        <w:tc>
          <w:tcPr/>
          <w:p>
            <w:pPr>
              <w:pStyle w:val="Compact"/>
              <w:jc w:val="left"/>
            </w:pPr>
            <w:r>
              <w:t xml:space="preserve">Fase 1</w:t>
            </w:r>
          </w:p>
        </w:tc>
        <w:tc>
          <w:tcPr/>
          <w:p>
            <w:pPr>
              <w:pStyle w:val="Compact"/>
              <w:jc w:val="left"/>
            </w:pPr>
            <w:r>
              <w:t xml:space="preserve">tolerabilidad, comportamiento en el organismo</w:t>
            </w:r>
          </w:p>
        </w:tc>
        <w:tc>
          <w:tcPr/>
          <w:p>
            <w:pPr>
              <w:pStyle w:val="Compact"/>
              <w:jc w:val="left"/>
            </w:pPr>
            <w:r>
              <w:t xml:space="preserve">unas pocas decenas de personas sanas</w:t>
            </w:r>
          </w:p>
        </w:tc>
      </w:tr>
      <w:tr>
        <w:tc>
          <w:tcPr/>
          <w:p>
            <w:pPr>
              <w:pStyle w:val="Compact"/>
              <w:jc w:val="left"/>
            </w:pPr>
            <w:r>
              <w:t xml:space="preserve">Fase 2</w:t>
            </w:r>
          </w:p>
        </w:tc>
        <w:tc>
          <w:tcPr/>
          <w:p>
            <w:pPr>
              <w:pStyle w:val="Compact"/>
              <w:jc w:val="left"/>
            </w:pPr>
            <w:r>
              <w:t xml:space="preserve">primera eficacia, búsqueda de dosis</w:t>
            </w:r>
          </w:p>
        </w:tc>
        <w:tc>
          <w:tcPr/>
          <w:p>
            <w:pPr>
              <w:pStyle w:val="Compact"/>
              <w:jc w:val="left"/>
            </w:pPr>
            <w:r>
              <w:t xml:space="preserve">de unas 100 a varios cientos</w:t>
            </w:r>
          </w:p>
        </w:tc>
      </w:tr>
      <w:tr>
        <w:tc>
          <w:tcPr/>
          <w:p>
            <w:pPr>
              <w:pStyle w:val="Compact"/>
              <w:jc w:val="left"/>
            </w:pPr>
            <w:r>
              <w:t xml:space="preserve">Fase 3</w:t>
            </w:r>
          </w:p>
        </w:tc>
        <w:tc>
          <w:tcPr/>
          <w:p>
            <w:pPr>
              <w:pStyle w:val="Compact"/>
              <w:jc w:val="left"/>
            </w:pPr>
            <w:r>
              <w:t xml:space="preserve">eficacia y seguridad en comparación</w:t>
            </w:r>
          </w:p>
        </w:tc>
        <w:tc>
          <w:tcPr/>
          <w:p>
            <w:pPr>
              <w:pStyle w:val="Compact"/>
              <w:jc w:val="left"/>
            </w:pPr>
            <w:r>
              <w:t xml:space="preserve">de cientos a miles</w:t>
            </w:r>
          </w:p>
        </w:tc>
      </w:tr>
      <w:tr>
        <w:tc>
          <w:tcPr/>
          <w:p>
            <w:pPr>
              <w:pStyle w:val="Compact"/>
              <w:jc w:val="left"/>
            </w:pPr>
            <w:r>
              <w:t xml:space="preserve">Fase 4</w:t>
            </w:r>
          </w:p>
        </w:tc>
        <w:tc>
          <w:tcPr/>
          <w:p>
            <w:pPr>
              <w:pStyle w:val="Compact"/>
              <w:jc w:val="left"/>
            </w:pPr>
            <w:r>
              <w:t xml:space="preserve">seguimiento tras la autorización</w:t>
            </w:r>
          </w:p>
        </w:tc>
        <w:tc>
          <w:tcPr/>
          <w:p>
            <w:pPr>
              <w:pStyle w:val="Compact"/>
              <w:jc w:val="left"/>
            </w:pPr>
            <w:r>
              <w:t xml:space="preserve">a menudo muy grande</w:t>
            </w:r>
          </w:p>
        </w:tc>
      </w:tr>
    </w:tbl>
    <w:p>
      <w:pPr>
        <w:pStyle w:val="BodyText"/>
      </w:pPr>
      <w:r>
        <w:t xml:space="preserve">Muchos principios activos fracasan entre la fase 2 y la fase 3. Por eso, un resultado prometedor de fase 2 no es todavía garantía de una autorización posterior.</w:t>
      </w:r>
    </w:p>
    <w:bookmarkEnd w:id="145"/>
    <w:bookmarkStart w:id="147" w:name="X80e417dbba9ae0123db48cef1d213f50d4ed46c"/>
    <w:p>
      <w:pPr>
        <w:pStyle w:val="Heading3"/>
      </w:pPr>
      <w:r>
        <w:t xml:space="preserve">Variables de valoración: ¿qué se mide realmente?</w:t>
      </w:r>
    </w:p>
    <w:p>
      <w:pPr>
        <w:pStyle w:val="FirstParagraph"/>
      </w:pPr>
      <w:r>
        <w:t xml:space="preserve">Cada estudio fija de antemano una</w:t>
      </w:r>
      <w:r>
        <w:t xml:space="preserve"> </w:t>
      </w:r>
      <w:r>
        <w:rPr>
          <w:bCs/>
          <w:b/>
        </w:rPr>
        <w:t xml:space="preserve">variable principal</w:t>
      </w:r>
      <w:r>
        <w:t xml:space="preserve">, el objetivo principal con el que se mide el éxito. A ella se suman variables secundarias. Si un resultado se destaca como importante solo a posteriori, hay que ser prudente: quien mide muchas variables casi siempre encuentra en algún sitio una diferencia «significativa».</w:t>
      </w:r>
    </w:p>
    <w:p>
      <w:pPr>
        <w:pStyle w:val="BodyText"/>
      </w:pPr>
      <w:r>
        <w:t xml:space="preserve">Es especialmente importante distinguir entre</w:t>
      </w:r>
      <w:r>
        <w:t xml:space="preserve"> </w:t>
      </w:r>
      <w:r>
        <w:rPr>
          <w:bCs/>
          <w:b/>
        </w:rPr>
        <w:t xml:space="preserve">variables duras</w:t>
      </w:r>
      <w:r>
        <w:t xml:space="preserve"> </w:t>
      </w:r>
      <w:r>
        <w:t xml:space="preserve">y</w:t>
      </w:r>
      <w:r>
        <w:t xml:space="preserve"> </w:t>
      </w:r>
      <w:r>
        <w:rPr>
          <w:bCs/>
          <w:b/>
        </w:rPr>
        <w:t xml:space="preserve">variables subrogadas</w:t>
      </w:r>
      <w:r>
        <w:t xml:space="preserve">:</w:t>
      </w:r>
    </w:p>
    <w:p>
      <w:pPr>
        <w:numPr>
          <w:ilvl w:val="0"/>
          <w:numId w:val="1017"/>
        </w:numPr>
        <w:pStyle w:val="Compact"/>
      </w:pPr>
      <w:r>
        <w:rPr>
          <w:bCs/>
          <w:b/>
        </w:rPr>
        <w:t xml:space="preserve">Las variables duras</w:t>
      </w:r>
      <w:r>
        <w:t xml:space="preserve"> </w:t>
      </w:r>
      <w:r>
        <w:t xml:space="preserve">son acontecimientos que importan directamente a los pacientes: muerte, infarto de miocardio, ictus, fractura ósea, ceguera, calidad de vida.</w:t>
      </w:r>
    </w:p>
    <w:p>
      <w:pPr>
        <w:numPr>
          <w:ilvl w:val="0"/>
          <w:numId w:val="1017"/>
        </w:numPr>
        <w:pStyle w:val="Compact"/>
      </w:pPr>
      <w:r>
        <w:rPr>
          <w:bCs/>
          <w:b/>
        </w:rPr>
        <w:t xml:space="preserve">Las variables subrogadas</w:t>
      </w:r>
      <w:r>
        <w:t xml:space="preserve"> </w:t>
      </w:r>
      <w:r>
        <w:t xml:space="preserve">(variables sustitutivas) son valores medidos que se supone que están relacionados con las variables duras: glucemia, HbA1c, colesterol, presión arterial, densidad ósea, peso corporal o valores de laboratorio como el IGF-1.</w:t>
      </w:r>
    </w:p>
    <w:p>
      <w:pPr>
        <w:pStyle w:val="FirstParagraph"/>
      </w:pPr>
      <w:r>
        <w:t xml:space="preserve">Las variables subrogadas son prácticas porque pueden medirse más rápido y con menos participantes. Pero pueden inducir a error. El ejemplo más conocido es el Cardiac Arrhythmia Suppression Trial (CAST), de finales de la década de 1980. Se partía de que los medicamentos que suprimen determinadas arritmias cardíacas después de un infarto también evitan muertes. Los medicamentos suprimieron efectivamente las arritmias: se alcanzó la variable subrogada. Sin embargo, en el estudio aleatorizado murieron más personas con dos de estos medicamentos que con placebo: por arritmias murieron 43 participantes con principio activo frente a 16 con placebo</w:t>
      </w:r>
      <w:r>
        <w:rPr>
          <w:rStyle w:val="FootnoteReference"/>
        </w:rPr>
        <w:footnoteReference w:id="146"/>
      </w:r>
      <w:r>
        <w:t xml:space="preserve">.</w:t>
      </w:r>
    </w:p>
    <w:p>
      <w:pPr>
        <w:pStyle w:val="BodyText"/>
      </w:pPr>
      <w:r>
        <w:t xml:space="preserve">Con los péptidos encontrarás constantemente variables subrogadas. En los liberadores de hormona del crecimiento a menudo solo se mide si aumenta la concentración de hormona del crecimiento o de IGF-1, no si las personas están por ello más sanas, más fuertes o viven más. En los medicamentos GLP-1, en cambio, existen ya grandes estudios con variables duras como el infarto de miocardio y el ictus. Esta es una de las razones por las que reciben en este libro el nivel de evidencia más alto.</w:t>
      </w:r>
    </w:p>
    <w:bookmarkEnd w:id="147"/>
    <w:bookmarkStart w:id="150" w:name="riesgos-relativos-y-absolutos"/>
    <w:p>
      <w:pPr>
        <w:pStyle w:val="Heading3"/>
      </w:pPr>
      <w:r>
        <w:t xml:space="preserve">Riesgos relativos y absolutos</w:t>
      </w:r>
    </w:p>
    <w:p>
      <w:pPr>
        <w:pStyle w:val="FirstParagraph"/>
      </w:pPr>
      <w:r>
        <w:t xml:space="preserve">Pocos detalles estadísticos se malinterpretan tan a menudo como este. Tomemos el estudio SELECT: a lo largo de una media de 39,8 meses, el evento cardiovascular combinado se produjo en el 6,5 % de los participantes con semaglutida y en el 8,0 % con placebo. El hazard ratio —una medida del riesgo relativo a lo largo del tiempo— fue de 0,80</w:t>
      </w:r>
      <w:r>
        <w:rPr>
          <w:rStyle w:val="FootnoteReference"/>
        </w:rPr>
        <w:footnoteReference w:id="148"/>
      </w:r>
      <w:r>
        <w:t xml:space="preserve">.</w:t>
      </w:r>
    </w:p>
    <w:p>
      <w:pPr>
        <w:pStyle w:val="BodyText"/>
      </w:pPr>
      <w:r>
        <w:t xml:space="preserve">De ello se derivan dos afirmaciones, ambas correctas:</w:t>
      </w:r>
    </w:p>
    <w:p>
      <w:pPr>
        <w:numPr>
          <w:ilvl w:val="0"/>
          <w:numId w:val="1018"/>
        </w:numPr>
        <w:pStyle w:val="Compact"/>
      </w:pPr>
      <w:r>
        <w:rPr>
          <w:bCs/>
          <w:b/>
        </w:rPr>
        <w:t xml:space="preserve">Relativa:</w:t>
      </w:r>
      <w:r>
        <w:t xml:space="preserve"> </w:t>
      </w:r>
      <w:r>
        <w:t xml:space="preserve">el riesgo fue alrededor de un 20 % menor.</w:t>
      </w:r>
    </w:p>
    <w:p>
      <w:pPr>
        <w:numPr>
          <w:ilvl w:val="0"/>
          <w:numId w:val="1018"/>
        </w:numPr>
        <w:pStyle w:val="Compact"/>
      </w:pPr>
      <w:r>
        <w:rPr>
          <w:bCs/>
          <w:b/>
        </w:rPr>
        <w:t xml:space="preserve">Absoluta:</w:t>
      </w:r>
      <w:r>
        <w:t xml:space="preserve"> </w:t>
      </w:r>
      <w:r>
        <w:t xml:space="preserve">la proporción de afectados disminuyó 1,5 puntos porcentuales, de 8,0 a 6,5 de cada 100 personas.</w:t>
      </w:r>
    </w:p>
    <w:p>
      <w:pPr>
        <w:pStyle w:val="FirstParagraph"/>
      </w:pPr>
      <w:r>
        <w:t xml:space="preserve">A partir de la diferencia absoluta puede calcularse el</w:t>
      </w:r>
      <w:r>
        <w:t xml:space="preserve"> </w:t>
      </w:r>
      <w:r>
        <w:rPr>
          <w:bCs/>
          <w:b/>
        </w:rPr>
        <w:t xml:space="preserve">número necesario a tratar (NNT)</w:t>
      </w:r>
      <w:r>
        <w:t xml:space="preserve">: cuántas personas deben tratarse para que una evite un evento. Aquí son, según el cálculo, unas 67 personas durante algo más de tres años. Eso no significa que el tratamiento carezca de importancia: con millones de afectados, el efecto es relevante. Pero muestra que la mayoría de las personas tratadas no habría sufrido ningún evento aun sin medicamento y que algunas lo sufren a pesar del medicamento.</w:t>
      </w:r>
    </w:p>
    <w:p>
      <w:pPr>
        <w:pStyle w:val="BodyText"/>
      </w:pPr>
      <w:r>
        <w:t xml:space="preserve">La publicidad y los titulares prefieren las cifras relativas porque suenan más grandes. Los buenos informes de estudios indican ambas. Por eso, presta siempre atención a la frecuencia de partida: «reducir a la mitad» el riesgo de 2 a 1 de cada 10.000 es algo completamente distinto que de 20 a 10 de cada 100.</w:t>
      </w:r>
    </w:p>
    <w:p>
      <w:pPr>
        <w:pStyle w:val="BodyText"/>
      </w:pPr>
      <w:r>
        <w:t xml:space="preserve">Lo mismo se aplica a los efectos adversos. En SELECT, el 16,6 % de los participantes con semaglutida interrumpieron el tratamiento por acontecimientos adversos, frente al 8,2 % con placebo</w:t>
      </w:r>
      <w:r>
        <w:rPr>
          <w:rStyle w:val="FootnoteReference"/>
        </w:rPr>
        <w:footnoteReference w:id="149"/>
      </w:r>
      <w:r>
        <w:t xml:space="preserve">. En términos relativos es el doble; en términos absolutos, una diferencia de 8,4 puntos porcentuales.</w:t>
      </w:r>
    </w:p>
    <w:bookmarkEnd w:id="150"/>
    <w:bookmarkStart w:id="152" w:name="X77dffb4291c6dd0850c3e0687c9e51ffe89404f"/>
    <w:p>
      <w:pPr>
        <w:pStyle w:val="Heading3"/>
      </w:pPr>
      <w:r>
        <w:t xml:space="preserve">Significación estadística e intervalos de confianza</w:t>
      </w:r>
    </w:p>
    <w:p>
      <w:pPr>
        <w:pStyle w:val="FirstParagraph"/>
      </w:pPr>
      <w:r>
        <w:t xml:space="preserve">Un</w:t>
      </w:r>
      <w:r>
        <w:t xml:space="preserve"> </w:t>
      </w:r>
      <w:r>
        <w:rPr>
          <w:bCs/>
          <w:b/>
        </w:rPr>
        <w:t xml:space="preserve">valor p</w:t>
      </w:r>
      <w:r>
        <w:t xml:space="preserve"> </w:t>
      </w:r>
      <w:r>
        <w:t xml:space="preserve">indica la probabilidad de que se produjera una diferencia al menos tan grande si en realidad no existiera ningún efecto. Si es menor de 0,05, un resultado suele considerarse «estadísticamente significativo». Eso no quiere decir que el efecto sea grande o relevante: en estudios muy grandes, incluso diferencias mínimas resultan significativas.</w:t>
      </w:r>
    </w:p>
    <w:p>
      <w:pPr>
        <w:pStyle w:val="BodyText"/>
      </w:pPr>
      <w:r>
        <w:t xml:space="preserve">A menudo es más informativo el</w:t>
      </w:r>
      <w:r>
        <w:t xml:space="preserve"> </w:t>
      </w:r>
      <w:r>
        <w:rPr>
          <w:bCs/>
          <w:b/>
        </w:rPr>
        <w:t xml:space="preserve">intervalo de confianza del 95 %</w:t>
      </w:r>
      <w:r>
        <w:t xml:space="preserve">. Indica un rango en el que se encuentra con alta probabilidad el efecto real. En STEP 1, la diferencia de peso corporal entre semaglutida y placebo fue de 12,4 puntos porcentuales, con un intervalo de confianza de 11,5 a 13,4</w:t>
      </w:r>
      <w:r>
        <w:rPr>
          <w:rStyle w:val="FootnoteReference"/>
        </w:rPr>
        <w:footnoteReference w:id="151"/>
      </w:r>
      <w:r>
        <w:t xml:space="preserve">. Un intervalo tan estrecho indica una estimación precisa. En los estudios pequeños, los intervalos suelen ser muy amplios, señal de que el efecto real podría ser grande, pequeño o incluso nulo.</w:t>
      </w:r>
    </w:p>
    <w:bookmarkEnd w:id="152"/>
    <w:bookmarkStart w:id="154" w:name="cómo-se-cuenta-la-cuestión-del-estimando"/>
    <w:p>
      <w:pPr>
        <w:pStyle w:val="Heading3"/>
      </w:pPr>
      <w:r>
        <w:t xml:space="preserve">Cómo se cuenta: la cuestión del estimando</w:t>
      </w:r>
    </w:p>
    <w:p>
      <w:pPr>
        <w:pStyle w:val="FirstParagraph"/>
      </w:pPr>
      <w:r>
        <w:t xml:space="preserve">Un detalle que ha cobrado importancia en los estudios más recientes: ¿cómo se cuenta a las personas que interrumpen el tratamiento o toman medicamentos adicionales? En el estudio PIONEER 1 se comunicaron dos análisis. Si se analiza a todos los participantes, con independencia de si siguieron tomando los comprimidos, el valor de HbA1c disminuyó con la dosis más alta 1,1 puntos porcentuales más que con placebo. Si solo se considera el tiempo en que realmente se tomaron los comprimidos, fueron 1,4 puntos porcentuales</w:t>
      </w:r>
      <w:r>
        <w:rPr>
          <w:rStyle w:val="FootnoteReference"/>
        </w:rPr>
        <w:footnoteReference w:id="153"/>
      </w:r>
      <w:r>
        <w:t xml:space="preserve">. Ambas cifras son correctas, pero responden a preguntas distintas. La primera suele ser más realista para la vida cotidiana.</w:t>
      </w:r>
    </w:p>
    <w:bookmarkEnd w:id="154"/>
    <w:bookmarkStart w:id="156" w:name="duración-y-tamaño"/>
    <w:p>
      <w:pPr>
        <w:pStyle w:val="Heading3"/>
      </w:pPr>
      <w:r>
        <w:t xml:space="preserve">Duración y tamaño</w:t>
      </w:r>
    </w:p>
    <w:p>
      <w:pPr>
        <w:pStyle w:val="FirstParagraph"/>
      </w:pPr>
      <w:r>
        <w:t xml:space="preserve">Muchos estudios con péptidos son breves. Un cambio en los valores de laboratorio al cabo de dos semanas dice poco sobre lo que ocurre al cabo de dos años, ni sobre el beneficio ni sobre riesgos como el cáncer, que a menudo solo se manifiestan al cabo de años. Igual de importante es el tamaño: los efectos adversos raros, que afectan a una de cada mil personas, pasan inevitablemente desapercibidos en un estudio con 40 participantes. La ausencia de efectos adversos en un estudio pequeño no es una prueba de seguridad.</w:t>
      </w:r>
    </w:p>
    <w:p>
      <w:pPr>
        <w:pStyle w:val="BodyText"/>
      </w:pPr>
      <w:r>
        <w:t xml:space="preserve">A partir de consideraciones teóricas y simulaciones, el epidemiólogo John Ioannidis dedujo que los resultados de investigación son tanto menos fiables cuanto más pequeños son los estudios y los efectos, cuantas más cuestiones se prueban sin selección previa, cuanto más flexibles son el diseño y el análisis y cuanto mayores son los intereses económicos y los prejuicios en un campo</w:t>
      </w:r>
      <w:r>
        <w:rPr>
          <w:rStyle w:val="FootnoteReference"/>
        </w:rPr>
        <w:footnoteReference w:id="155"/>
      </w:r>
      <w:r>
        <w:t xml:space="preserve">. Muchas de estas características se aplican a la investigación sobre péptidos poco estudiados.</w:t>
      </w:r>
    </w:p>
    <w:bookmarkEnd w:id="156"/>
    <w:bookmarkStart w:id="158" w:name="conflictos-de-intereses"/>
    <w:p>
      <w:pPr>
        <w:pStyle w:val="Heading3"/>
      </w:pPr>
      <w:r>
        <w:t xml:space="preserve">Conflictos de intereses</w:t>
      </w:r>
    </w:p>
    <w:p>
      <w:pPr>
        <w:pStyle w:val="FirstParagraph"/>
      </w:pPr>
      <w:r>
        <w:t xml:space="preserve">Los grandes estudios de registro los financian casi siempre los fabricantes. Así lo prevé la ley y no es automáticamente un defecto: estos estudios están sujetos a normas estrictas, se registran previamente y las autoridades los revisan. Aun así, merece la pena fijarse en la financiación. Una revisión Cochrane concluyó que los estudios patrocinados por la industria comunicaban con más frecuencia resultados de eficacia favorables (riesgo relativo 1,27) y conclusiones favorables (riesgo relativo 1,34) que los estudios con otra financiación</w:t>
      </w:r>
      <w:r>
        <w:rPr>
          <w:rStyle w:val="FootnoteReference"/>
        </w:rPr>
        <w:footnoteReference w:id="157"/>
      </w:r>
      <w:r>
        <w:t xml:space="preserve">.</w:t>
      </w:r>
    </w:p>
    <w:p>
      <w:pPr>
        <w:pStyle w:val="BodyText"/>
      </w:pPr>
      <w:r>
        <w:t xml:space="preserve">Los conflictos de intereses no existen solo en las grandes farmacéuticas. También los investigadores que han descubierto una sustancia y tienen patentes, las clínicas que venden terapias con péptidos o los influencers con códigos de descuento tienen interés en resultados positivos. Es una señal de alarma que casi todos los estudios sobre una sustancia procedan de un único grupo de trabajo y no hayan sido confirmados por equipos independientes.</w:t>
      </w:r>
    </w:p>
    <w:bookmarkEnd w:id="158"/>
    <w:bookmarkStart w:id="160" w:name="Xb08a3834a8e79af7b43050f63aada0d850142c6"/>
    <w:p>
      <w:pPr>
        <w:pStyle w:val="Heading3"/>
      </w:pPr>
      <w:r>
        <w:t xml:space="preserve">El problema de los estudios desaparecidos</w:t>
      </w:r>
    </w:p>
    <w:p>
      <w:pPr>
        <w:pStyle w:val="FirstParagraph"/>
      </w:pPr>
      <w:r>
        <w:t xml:space="preserve">No todos los estudios se publican, y son sobre todo los decepcionantes los que desaparecen. Un análisis sobre antidepresivos mostró hasta qué punto esto puede distorsionar los resultados. De 74 estudios registrados en la agencia estadounidense del medicamento FDA, el 31 % no se publicaron. Según la literatura publicada, el 94 % de los estudios eran positivos; según el análisis de la FDA, solo el 51 %</w:t>
      </w:r>
      <w:r>
        <w:rPr>
          <w:rStyle w:val="FootnoteReference"/>
        </w:rPr>
        <w:footnoteReference w:id="159"/>
      </w:r>
      <w:r>
        <w:t xml:space="preserve">. Quien solo lee las revistas especializadas obtiene una imagen demasiado optimista.</w:t>
      </w:r>
    </w:p>
    <w:bookmarkEnd w:id="160"/>
    <w:bookmarkStart w:id="162" w:name="registros-de-estudios"/>
    <w:p>
      <w:pPr>
        <w:pStyle w:val="Heading3"/>
      </w:pPr>
      <w:r>
        <w:t xml:space="preserve">Registros de estudios</w:t>
      </w:r>
    </w:p>
    <w:p>
      <w:pPr>
        <w:pStyle w:val="FirstParagraph"/>
      </w:pPr>
      <w:r>
        <w:t xml:space="preserve">En respuesta a estos hallazgos, el Comité Internacional de Editores de Revistas Médicas declaró en 2004 que los estudios clínicos debían inscribirse en un registro público antes de su inicio para poder publicarse después</w:t>
      </w:r>
      <w:r>
        <w:rPr>
          <w:rStyle w:val="FootnoteReference"/>
        </w:rPr>
        <w:footnoteReference w:id="161"/>
      </w:r>
      <w:r>
        <w:t xml:space="preserve">. Hoy, los registros son una herramienta central:</w:t>
      </w:r>
    </w:p>
    <w:p>
      <w:pPr>
        <w:numPr>
          <w:ilvl w:val="0"/>
          <w:numId w:val="1019"/>
        </w:numPr>
        <w:pStyle w:val="Compact"/>
      </w:pPr>
      <w:r>
        <w:rPr>
          <w:bCs/>
          <w:b/>
        </w:rPr>
        <w:t xml:space="preserve">ClinicalTrials.gov</w:t>
      </w:r>
      <w:r>
        <w:t xml:space="preserve"> </w:t>
      </w:r>
      <w:r>
        <w:t xml:space="preserve">(Estados Unidos) es el registro más grande. Cada estudio recibe un número con el formato «NCT» más ocho cifras. El estudio SELECT, por ejemplo, tiene el número NCT03574597.</w:t>
      </w:r>
    </w:p>
    <w:p>
      <w:pPr>
        <w:numPr>
          <w:ilvl w:val="0"/>
          <w:numId w:val="1019"/>
        </w:numPr>
        <w:pStyle w:val="Compact"/>
      </w:pPr>
      <w:r>
        <w:t xml:space="preserve">En la</w:t>
      </w:r>
      <w:r>
        <w:t xml:space="preserve"> </w:t>
      </w:r>
      <w:r>
        <w:rPr>
          <w:bCs/>
          <w:b/>
        </w:rPr>
        <w:t xml:space="preserve">UE</w:t>
      </w:r>
      <w:r>
        <w:t xml:space="preserve">, los ensayos clínicos se registran en el Clinical Trials Information System (CTIS) de la Agencia Europea de Medicamentos; los estudios más antiguos figuran en el EU Clinical Trials Register.</w:t>
      </w:r>
    </w:p>
    <w:p>
      <w:pPr>
        <w:numPr>
          <w:ilvl w:val="0"/>
          <w:numId w:val="1019"/>
        </w:numPr>
        <w:pStyle w:val="Compact"/>
      </w:pPr>
      <w:r>
        <w:t xml:space="preserve">La</w:t>
      </w:r>
      <w:r>
        <w:t xml:space="preserve"> </w:t>
      </w:r>
      <w:r>
        <w:rPr>
          <w:bCs/>
          <w:b/>
        </w:rPr>
        <w:t xml:space="preserve">Organización Mundial de la Salud</w:t>
      </w:r>
      <w:r>
        <w:t xml:space="preserve"> </w:t>
      </w:r>
      <w:r>
        <w:t xml:space="preserve">agrupa muchos registros nacionales en un portal de búsqueda (ICTRP).</w:t>
      </w:r>
    </w:p>
    <w:p>
      <w:pPr>
        <w:pStyle w:val="FirstParagraph"/>
      </w:pPr>
      <w:r>
        <w:t xml:space="preserve">En el registro figuran, entre otras cosas, el diseño del estudio previsto, el número de participantes, la variable principal y el estado. Así puede comprobarse si un estudio publicado comunica las variables previstas originalmente y si se iniciaron estudios sobre una sustancia que nunca se publicaron. Para este libro, los registros se utilizaron sobre todo para encontrar estudios en curso. Importante: una inscripción en un registro no es un resultado. Que un estudio esté registrado no dice nada sobre si la sustancia es eficaz.</w:t>
      </w:r>
    </w:p>
    <w:bookmarkEnd w:id="162"/>
    <w:bookmarkStart w:id="163" w:name="otras-señales-de-alarma"/>
    <w:p>
      <w:pPr>
        <w:pStyle w:val="Heading3"/>
      </w:pPr>
      <w:r>
        <w:t xml:space="preserve">Otras señales de alarma</w:t>
      </w:r>
    </w:p>
    <w:p>
      <w:pPr>
        <w:numPr>
          <w:ilvl w:val="0"/>
          <w:numId w:val="1020"/>
        </w:numPr>
        <w:pStyle w:val="Compact"/>
      </w:pPr>
      <w:r>
        <w:rPr>
          <w:bCs/>
          <w:b/>
        </w:rPr>
        <w:t xml:space="preserve">Solo un resumen de congreso o un preprint.</w:t>
      </w:r>
      <w:r>
        <w:t xml:space="preserve"> </w:t>
      </w:r>
      <w:r>
        <w:t xml:space="preserve">Las prepublicaciones (por ejemplo, en medRxiv) y las comunicaciones a congresos todavía no han pasado una revisión por pares completa.</w:t>
      </w:r>
    </w:p>
    <w:p>
      <w:pPr>
        <w:numPr>
          <w:ilvl w:val="0"/>
          <w:numId w:val="1020"/>
        </w:numPr>
        <w:pStyle w:val="Compact"/>
      </w:pPr>
      <w:r>
        <w:rPr>
          <w:bCs/>
          <w:b/>
        </w:rPr>
        <w:t xml:space="preserve">Revistas con criterios dudosos.</w:t>
      </w:r>
      <w:r>
        <w:t xml:space="preserve"> </w:t>
      </w:r>
      <w:r>
        <w:t xml:space="preserve">Algunas revistas publican casi cualquier cosa a cambio de una tarifa.</w:t>
      </w:r>
    </w:p>
    <w:p>
      <w:pPr>
        <w:numPr>
          <w:ilvl w:val="0"/>
          <w:numId w:val="1020"/>
        </w:numPr>
        <w:pStyle w:val="Compact"/>
      </w:pPr>
      <w:r>
        <w:rPr>
          <w:bCs/>
          <w:b/>
        </w:rPr>
        <w:t xml:space="preserve">Estudios que no pueden encontrarse.</w:t>
      </w:r>
      <w:r>
        <w:t xml:space="preserve"> </w:t>
      </w:r>
      <w:r>
        <w:t xml:space="preserve">Si un estudio citado no se encuentra en PubMed ni en un registro, hay que ser prudente.</w:t>
      </w:r>
    </w:p>
    <w:p>
      <w:pPr>
        <w:numPr>
          <w:ilvl w:val="0"/>
          <w:numId w:val="1020"/>
        </w:numPr>
        <w:pStyle w:val="Compact"/>
      </w:pPr>
      <w:r>
        <w:rPr>
          <w:bCs/>
          <w:b/>
        </w:rPr>
        <w:t xml:space="preserve">Extrapolación de enfermos a sanos.</w:t>
      </w:r>
      <w:r>
        <w:t xml:space="preserve"> </w:t>
      </w:r>
      <w:r>
        <w:t xml:space="preserve">Una sustancia que ayuda en una enfermedad determinada no tiene por qué aportar beneficio a personas sanas: allí la relación beneficio-riesgo es completamente distinta.</w:t>
      </w:r>
    </w:p>
    <w:p>
      <w:pPr>
        <w:numPr>
          <w:ilvl w:val="0"/>
          <w:numId w:val="1020"/>
        </w:numPr>
        <w:pStyle w:val="Compact"/>
      </w:pPr>
      <w:r>
        <w:rPr>
          <w:bCs/>
          <w:b/>
        </w:rPr>
        <w:t xml:space="preserve">Extrapolación de una sustancia a otra.</w:t>
      </w:r>
      <w:r>
        <w:t xml:space="preserve"> </w:t>
      </w:r>
      <w:r>
        <w:t xml:space="preserve">Los resultados sobre la semaglutida no se aplican automáticamente a un producto del mercado gris que lleve la etiqueta «semaglutida», y los estudios sobre la timosina beta-4 no se aplican automáticamente al fragmento «TB-500».</w:t>
      </w:r>
    </w:p>
    <w:bookmarkEnd w:id="163"/>
    <w:bookmarkStart w:id="164" w:name="diez-preguntas-para-cualquier-estudio"/>
    <w:p>
      <w:pPr>
        <w:pStyle w:val="Heading3"/>
      </w:pPr>
      <w:r>
        <w:t xml:space="preserve">Diez preguntas para cualquier estudio</w:t>
      </w:r>
    </w:p>
    <w:p>
      <w:pPr>
        <w:numPr>
          <w:ilvl w:val="0"/>
          <w:numId w:val="1021"/>
        </w:numPr>
        <w:pStyle w:val="Compact"/>
      </w:pPr>
      <w:r>
        <w:t xml:space="preserve">¿Se estudió a personas, o a animales o células?</w:t>
      </w:r>
    </w:p>
    <w:p>
      <w:pPr>
        <w:numPr>
          <w:ilvl w:val="0"/>
          <w:numId w:val="1021"/>
        </w:numPr>
        <w:pStyle w:val="Compact"/>
      </w:pPr>
      <w:r>
        <w:t xml:space="preserve">¿Hubo grupo de control y se asignó a los participantes al azar?</w:t>
      </w:r>
    </w:p>
    <w:p>
      <w:pPr>
        <w:numPr>
          <w:ilvl w:val="0"/>
          <w:numId w:val="1021"/>
        </w:numPr>
        <w:pStyle w:val="Compact"/>
      </w:pPr>
      <w:r>
        <w:t xml:space="preserve">¿Fue un estudio enmascarado (ciego)?</w:t>
      </w:r>
    </w:p>
    <w:p>
      <w:pPr>
        <w:numPr>
          <w:ilvl w:val="0"/>
          <w:numId w:val="1021"/>
        </w:numPr>
        <w:pStyle w:val="Compact"/>
      </w:pPr>
      <w:r>
        <w:t xml:space="preserve">¿Cuántos participantes hubo y durante cuánto tiempo se les siguió?</w:t>
      </w:r>
    </w:p>
    <w:p>
      <w:pPr>
        <w:numPr>
          <w:ilvl w:val="0"/>
          <w:numId w:val="1021"/>
        </w:numPr>
        <w:pStyle w:val="Compact"/>
      </w:pPr>
      <w:r>
        <w:t xml:space="preserve">¿A quién se estudió: enfermos o sanos, jóvenes o mayores?</w:t>
      </w:r>
    </w:p>
    <w:p>
      <w:pPr>
        <w:numPr>
          <w:ilvl w:val="0"/>
          <w:numId w:val="1021"/>
        </w:numPr>
        <w:pStyle w:val="Compact"/>
      </w:pPr>
      <w:r>
        <w:t xml:space="preserve">¿Cuál fue la variable principal: una variable dura o una subrogada?</w:t>
      </w:r>
    </w:p>
    <w:p>
      <w:pPr>
        <w:numPr>
          <w:ilvl w:val="0"/>
          <w:numId w:val="1021"/>
        </w:numPr>
        <w:pStyle w:val="Compact"/>
      </w:pPr>
      <w:r>
        <w:t xml:space="preserve">¿Qué magnitud tuvo la diferencia en términos absolutos, no solo relativos?</w:t>
      </w:r>
    </w:p>
    <w:p>
      <w:pPr>
        <w:numPr>
          <w:ilvl w:val="0"/>
          <w:numId w:val="1021"/>
        </w:numPr>
        <w:pStyle w:val="Compact"/>
      </w:pPr>
      <w:r>
        <w:t xml:space="preserve">¿Cuántos abandonaron y qué efectos adversos se produjeron?</w:t>
      </w:r>
    </w:p>
    <w:p>
      <w:pPr>
        <w:numPr>
          <w:ilvl w:val="0"/>
          <w:numId w:val="1021"/>
        </w:numPr>
        <w:pStyle w:val="Compact"/>
      </w:pPr>
      <w:r>
        <w:t xml:space="preserve">¿Quién pagó el estudio y se confirmaron los resultados de forma independiente?</w:t>
      </w:r>
    </w:p>
    <w:p>
      <w:pPr>
        <w:numPr>
          <w:ilvl w:val="0"/>
          <w:numId w:val="1021"/>
        </w:numPr>
        <w:pStyle w:val="Compact"/>
      </w:pPr>
      <w:r>
        <w:t xml:space="preserve">¿Se registró previamente el estudio y coinciden las variables comunicadas con las del registro?</w:t>
      </w:r>
    </w:p>
    <w:bookmarkEnd w:id="164"/>
    <w:bookmarkStart w:id="165" w:name="cómo-clasifica-este-libro-la-evidencia"/>
    <w:p>
      <w:pPr>
        <w:pStyle w:val="Heading3"/>
      </w:pPr>
      <w:r>
        <w:t xml:space="preserve">Cómo clasifica este libro la evidencia</w:t>
      </w:r>
    </w:p>
    <w:p>
      <w:pPr>
        <w:pStyle w:val="FirstParagraph"/>
      </w:pPr>
      <w:r>
        <w:t xml:space="preserve">Cada péptido de la Parte II recibe un nivel de evidencia:</w:t>
      </w:r>
    </w:p>
    <w:p>
      <w:pPr>
        <w:numPr>
          <w:ilvl w:val="0"/>
          <w:numId w:val="1022"/>
        </w:numPr>
        <w:pStyle w:val="Compact"/>
      </w:pPr>
      <w:r>
        <w:rPr>
          <w:bCs/>
          <w:b/>
        </w:rPr>
        <w:t xml:space="preserve">A</w:t>
      </w:r>
      <w:r>
        <w:t xml:space="preserve">: varios estudios aleatorizados grandes en seres humanos, autorización como medicamento.</w:t>
      </w:r>
    </w:p>
    <w:p>
      <w:pPr>
        <w:numPr>
          <w:ilvl w:val="0"/>
          <w:numId w:val="1022"/>
        </w:numPr>
        <w:pStyle w:val="Compact"/>
      </w:pPr>
      <w:r>
        <w:rPr>
          <w:bCs/>
          <w:b/>
        </w:rPr>
        <w:t xml:space="preserve">B</w:t>
      </w:r>
      <w:r>
        <w:t xml:space="preserve">: estudios aleatorizados aislados en seres humanos.</w:t>
      </w:r>
    </w:p>
    <w:p>
      <w:pPr>
        <w:numPr>
          <w:ilvl w:val="0"/>
          <w:numId w:val="1022"/>
        </w:numPr>
        <w:pStyle w:val="Compact"/>
      </w:pPr>
      <w:r>
        <w:rPr>
          <w:bCs/>
          <w:b/>
        </w:rPr>
        <w:t xml:space="preserve">C</w:t>
      </w:r>
      <w:r>
        <w:t xml:space="preserve">: solo estudios pequeños o no controlados en seres humanos.</w:t>
      </w:r>
    </w:p>
    <w:p>
      <w:pPr>
        <w:numPr>
          <w:ilvl w:val="0"/>
          <w:numId w:val="1022"/>
        </w:numPr>
        <w:pStyle w:val="Compact"/>
      </w:pPr>
      <w:r>
        <w:rPr>
          <w:bCs/>
          <w:b/>
        </w:rPr>
        <w:t xml:space="preserve">D</w:t>
      </w:r>
      <w:r>
        <w:t xml:space="preserve">: solo estudios en animales y de laboratorio.</w:t>
      </w:r>
    </w:p>
    <w:p>
      <w:pPr>
        <w:pStyle w:val="FirstParagraph"/>
      </w:pPr>
      <w:r>
        <w:t xml:space="preserve">El nivel valora</w:t>
      </w:r>
      <w:r>
        <w:t xml:space="preserve"> </w:t>
      </w:r>
      <w:r>
        <w:rPr>
          <w:bCs/>
          <w:b/>
        </w:rPr>
        <w:t xml:space="preserve">la cantidad y la calidad de los datos en el ser humano</w:t>
      </w:r>
      <w:r>
        <w:t xml:space="preserve">, no si una sustancia es «buena» o «mala». Un péptido de nivel A puede tener efectos adversos considerables, y un péptido de nivel D puede llegar a ser útil en el futuro: simplemente aún no se ha estudiado lo suficiente. Además, la clasificación se refiere a un uso concreto: una sustancia puede estar bien respaldada para una enfermedad y carecer por completo de respaldo para otra.</w:t>
      </w:r>
    </w:p>
    <w:bookmarkEnd w:id="165"/>
    <w:bookmarkStart w:id="166" w:name="lo-esencial-en-resumen-2"/>
    <w:p>
      <w:pPr>
        <w:pStyle w:val="Heading3"/>
      </w:pPr>
      <w:r>
        <w:t xml:space="preserve">Lo esencial en resumen</w:t>
      </w:r>
    </w:p>
    <w:p>
      <w:pPr>
        <w:numPr>
          <w:ilvl w:val="0"/>
          <w:numId w:val="1023"/>
        </w:numPr>
        <w:pStyle w:val="Compact"/>
      </w:pPr>
      <w:r>
        <w:t xml:space="preserve">Los estudios de laboratorio y en animales aportan indicios sobre los mecanismos, pero no prueban un beneficio en el ser humano.</w:t>
      </w:r>
    </w:p>
    <w:p>
      <w:pPr>
        <w:numPr>
          <w:ilvl w:val="0"/>
          <w:numId w:val="1023"/>
        </w:numPr>
        <w:pStyle w:val="Compact"/>
      </w:pPr>
      <w:r>
        <w:t xml:space="preserve">La comparación aleatorizada, controlada y enmascarada es la vía más fiable para demostrar un efecto.</w:t>
      </w:r>
    </w:p>
    <w:p>
      <w:pPr>
        <w:numPr>
          <w:ilvl w:val="0"/>
          <w:numId w:val="1023"/>
        </w:numPr>
        <w:pStyle w:val="Compact"/>
      </w:pPr>
      <w:r>
        <w:t xml:space="preserve">Las variables subrogadas, como los valores de laboratorio, pueden inducir a error; lo que cuenta son las variables duras.</w:t>
      </w:r>
    </w:p>
    <w:p>
      <w:pPr>
        <w:numPr>
          <w:ilvl w:val="0"/>
          <w:numId w:val="1023"/>
        </w:numPr>
        <w:pStyle w:val="Compact"/>
      </w:pPr>
      <w:r>
        <w:t xml:space="preserve">Las cifras relativas suenan más grandes que las absolutas. Pregunta siempre por la frecuencia de partida.</w:t>
      </w:r>
    </w:p>
    <w:p>
      <w:pPr>
        <w:numPr>
          <w:ilvl w:val="0"/>
          <w:numId w:val="1023"/>
        </w:numPr>
        <w:pStyle w:val="Compact"/>
      </w:pPr>
      <w:r>
        <w:t xml:space="preserve">La financiación, el sesgo de publicación y la falta de confirmación por grupos independientes pueden distorsionar la imagen. Los registros de estudios ayudan a comprobarlo.</w:t>
      </w:r>
    </w:p>
    <w:bookmarkEnd w:id="166"/>
    <w:bookmarkEnd w:id="167"/>
    <w:bookmarkStart w:id="212" w:name="el-mercado-gris"/>
    <w:p>
      <w:pPr>
        <w:pStyle w:val="Heading2"/>
      </w:pPr>
      <w:r>
        <w:t xml:space="preserve">El mercado gris</w:t>
      </w:r>
    </w:p>
    <w:p>
      <w:pPr>
        <w:pStyle w:val="FirstParagraph"/>
      </w:pPr>
      <w:r>
        <w:t xml:space="preserve">Quien busca péptidos en internet llega enseguida a tiendas en línea con páginas de aspecto profesional, fotos de laboratorio y certificados de pureza. Se ofrecen viales con un polvo blanco: BPC-157, TB-500, ipamorelina, melanotán II y, cada vez más, también semaglutida, tirzepatida o principios activos todavía no autorizados como la retatrutida. Casi siempre figura en algún lugar la advertencia «Research Use Only» o «not for human consumption»: solo para fines de investigación, no apto para uso en seres humanos.</w:t>
      </w:r>
    </w:p>
    <w:p>
      <w:pPr>
        <w:pStyle w:val="BodyText"/>
      </w:pPr>
      <w:r>
        <w:t xml:space="preserve">Este capítulo describe lo que se sabe sobre este mercado: a partir de análisis de laboratorio de productos comprados e incautados, de casos clínicos de intoxicaciones y de análisis de notificaciones de efectos adversos. Pretende ayudarte a valorar los riesgos de forma realista. En este libro no se mencionan, por principio, fuentes de suministro.</w:t>
      </w:r>
    </w:p>
    <w:bookmarkStart w:id="170" w:name="qué-son-los-research-peptides"/>
    <w:p>
      <w:pPr>
        <w:pStyle w:val="Heading3"/>
      </w:pPr>
      <w:r>
        <w:t xml:space="preserve">Qué son los «Research Peptides»</w:t>
      </w:r>
    </w:p>
    <w:p>
      <w:pPr>
        <w:pStyle w:val="FirstParagraph"/>
      </w:pPr>
      <w:r>
        <w:t xml:space="preserve">Se denominan «Research Peptides» o «Research Chemicals» las sustancias que oficialmente solo se venden a laboratorios con fines de investigación. La leyenda «no apto para uso en seres humanos» pretende dar cobertura jurídica a la venta: un producto que no se ofrece como medicamento no necesita, según la lógica de los vendedores, una autorización de comercialización como medicamento. En la práctica, sin embargo, muchas de estas tiendas se dirigen claramente a particulares que quieren inyectarse las sustancias ellos mismos. Si esta construcción se sostiene jurídicamente se analiza en el capítulo siguiente; en muchos casos no es así.</w:t>
      </w:r>
    </w:p>
    <w:p>
      <w:pPr>
        <w:pStyle w:val="BodyText"/>
      </w:pPr>
      <w:r>
        <w:t xml:space="preserve">Un artículo de revisión describe el patrón con el ejemplo de la semaglutida y la tirzepatida: los fabricantes venden viales «solo para fines de investigación» o «no aptos para el consumo humano» directamente a los consumidores, a menudo sin los materiales ni los conocimientos necesarios para disolver el principio activo, cargarlo en la jeringa e inyectarlo. Con ello se elude a médicos y farmacias, y con ellos la comprobación de interacciones y la supervisión médica</w:t>
      </w:r>
      <w:r>
        <w:rPr>
          <w:rStyle w:val="FootnoteReference"/>
        </w:rPr>
        <w:footnoteReference w:id="168"/>
      </w:r>
      <w:r>
        <w:t xml:space="preserve">.</w:t>
      </w:r>
    </w:p>
    <w:p>
      <w:pPr>
        <w:pStyle w:val="BodyText"/>
      </w:pPr>
      <w:r>
        <w:t xml:space="preserve">Lo difícil que es el uso para personas no especialistas lo investigó un pequeño estudio en una universidad estadounidense. Se pidió a 20 adultos que, con información de internet, realizaran los pasos necesarios para disolver un polvo de semaglutida de este tipo y preparar una jeringa. De 34 pasos, realizaron correctamente de media 15. Los investigadores observaron errores que podrían provocar una dosificación incorrecta, pinchazos accidentales o infecciones</w:t>
      </w:r>
      <w:r>
        <w:rPr>
          <w:rStyle w:val="FootnoteReference"/>
        </w:rPr>
        <w:footnoteReference w:id="169"/>
      </w:r>
      <w:r>
        <w:t xml:space="preserve">.</w:t>
      </w:r>
    </w:p>
    <w:bookmarkEnd w:id="170"/>
    <w:bookmarkStart w:id="185" w:name="X7af01cc5bb4edf32b7c7c1703963d59bfd6a1e7"/>
    <w:p>
      <w:pPr>
        <w:pStyle w:val="Heading3"/>
      </w:pPr>
      <w:r>
        <w:t xml:space="preserve">Qué contienen los viales: análisis de laboratorio</w:t>
      </w:r>
    </w:p>
    <w:p>
      <w:pPr>
        <w:pStyle w:val="FirstParagraph"/>
      </w:pPr>
      <w:r>
        <w:t xml:space="preserve">La información más fiable sobre los productos del mercado gris procede de los análisis de laboratorio. Los realizan sobre todo laboratorios antidopaje, autoridades sanitarias y algunos grupos de investigación que compran productos de forma específica o los reciben de aduanas y policía.</w:t>
      </w:r>
    </w:p>
    <w:bookmarkStart w:id="172" w:name="X4f4ddb0419661d8506540a0fc6d4411291b173d"/>
    <w:p>
      <w:pPr>
        <w:pStyle w:val="Heading4"/>
      </w:pPr>
      <w:r>
        <w:t xml:space="preserve">Semaglutida de farmacias en línea ilegales</w:t>
      </w:r>
    </w:p>
    <w:p>
      <w:pPr>
        <w:pStyle w:val="FirstParagraph"/>
      </w:pPr>
      <w:r>
        <w:t xml:space="preserve">Un estudio especialmente exhaustivo combinó un análisis de mercado con compras de prueba</w:t>
      </w:r>
      <w:r>
        <w:rPr>
          <w:rStyle w:val="FootnoteReference"/>
        </w:rPr>
        <w:footnoteReference w:id="171"/>
      </w:r>
      <w:r>
        <w:t xml:space="preserve">. Los investigadores analizaron 1080 enlaces de buscadores. 317 conducían a farmacias en línea, de ellos 134 a 59 sitios web ilegales distintos. Los 30 dominios principales vinculados a farmacias ilegales registraron más de 4,7 millones de visitas en tres meses de 2023.</w:t>
      </w:r>
    </w:p>
    <w:p>
      <w:pPr>
        <w:pStyle w:val="BodyText"/>
      </w:pPr>
      <w:r>
        <w:t xml:space="preserve">Se realizaron compras de prueba a seis vendedores ilegales. Los resultados:</w:t>
      </w:r>
    </w:p>
    <w:p>
      <w:pPr>
        <w:numPr>
          <w:ilvl w:val="0"/>
          <w:numId w:val="1024"/>
        </w:numPr>
        <w:pStyle w:val="Compact"/>
      </w:pPr>
      <w:r>
        <w:t xml:space="preserve">Tres plumas precargadas de Ozempic encargadas nunca llegaron: se trataba de estafas sin entrega.</w:t>
      </w:r>
    </w:p>
    <w:p>
      <w:pPr>
        <w:numPr>
          <w:ilvl w:val="0"/>
          <w:numId w:val="1024"/>
        </w:numPr>
        <w:pStyle w:val="Compact"/>
      </w:pPr>
      <w:r>
        <w:t xml:space="preserve">Se entregaron tres viales con polvo. Todos se consideraron probablemente de calidad deficiente o falsificados; en la inspección visual incumplían entre el 59 y el 63 % de los criterios.</w:t>
      </w:r>
    </w:p>
    <w:p>
      <w:pPr>
        <w:numPr>
          <w:ilvl w:val="0"/>
          <w:numId w:val="1024"/>
        </w:numPr>
        <w:pStyle w:val="Compact"/>
      </w:pPr>
      <w:r>
        <w:t xml:space="preserve">El contenido de semaglutida estaba entre un 28,6 y un 38,7 %</w:t>
      </w:r>
      <w:r>
        <w:t xml:space="preserve"> </w:t>
      </w:r>
      <w:r>
        <w:rPr>
          <w:bCs/>
          <w:b/>
        </w:rPr>
        <w:t xml:space="preserve">por encima</w:t>
      </w:r>
      <w:r>
        <w:t xml:space="preserve"> </w:t>
      </w:r>
      <w:r>
        <w:t xml:space="preserve">de la cantidad declarada.</w:t>
      </w:r>
    </w:p>
    <w:p>
      <w:pPr>
        <w:numPr>
          <w:ilvl w:val="0"/>
          <w:numId w:val="1024"/>
        </w:numPr>
        <w:pStyle w:val="Compact"/>
      </w:pPr>
      <w:r>
        <w:t xml:space="preserve">La pureza medida era solo del 7,7 al 14,4 %, en lugar del 99 % prometido en la etiqueta.</w:t>
      </w:r>
    </w:p>
    <w:p>
      <w:pPr>
        <w:numPr>
          <w:ilvl w:val="0"/>
          <w:numId w:val="1024"/>
        </w:numPr>
        <w:pStyle w:val="Compact"/>
      </w:pPr>
      <w:r>
        <w:t xml:space="preserve">No se encontraron gérmenes vivos, pero en</w:t>
      </w:r>
      <w:r>
        <w:t xml:space="preserve"> </w:t>
      </w:r>
      <w:r>
        <w:rPr>
          <w:bCs/>
          <w:b/>
        </w:rPr>
        <w:t xml:space="preserve">todas</w:t>
      </w:r>
      <w:r>
        <w:t xml:space="preserve"> </w:t>
      </w:r>
      <w:r>
        <w:t xml:space="preserve">las muestras se detectaron endotoxinas.</w:t>
      </w:r>
    </w:p>
    <w:p>
      <w:pPr>
        <w:pStyle w:val="FirstParagraph"/>
      </w:pPr>
      <w:r>
        <w:t xml:space="preserve">Este estudio muestra a la vez varios problemas típicos: cantidades declaradas falsas, baja pureza, contaminación y simple estafa.</w:t>
      </w:r>
    </w:p>
    <w:bookmarkEnd w:id="172"/>
    <w:bookmarkStart w:id="174" w:name="X043a1933fd818d22820578c544434dd63f59553"/>
    <w:p>
      <w:pPr>
        <w:pStyle w:val="Heading4"/>
      </w:pPr>
      <w:r>
        <w:t xml:space="preserve">Productos de imitación frente al original</w:t>
      </w:r>
    </w:p>
    <w:p>
      <w:pPr>
        <w:pStyle w:val="FirstParagraph"/>
      </w:pPr>
      <w:r>
        <w:t xml:space="preserve">Otro estudio analizó 16 productos de imitación de semaglutida inyectables y 8 orales, así como 2 imitaciones de liraglutida, y los comparó con los preparados originales</w:t>
      </w:r>
      <w:r>
        <w:rPr>
          <w:rStyle w:val="FootnoteReference"/>
        </w:rPr>
        <w:footnoteReference w:id="173"/>
      </w:r>
      <w:r>
        <w:t xml:space="preserve">. Se encontraron nuevas impurezas, entre ellas moléculas proteicas más grandes, trazas de metales y restos de disolventes. Varios preparados orales contenían bastante menos semaglutida de la declarada. Además, se hallaron estructuras que, según predicciones por ordenador, podrían ser reconocidas por el sistema inmunitario. Como el estudio procede del fabricante de los preparados originales, debe leerse con la debida cautela; no obstante, los problemas descritos coinciden con hallazgos independientes.</w:t>
      </w:r>
    </w:p>
    <w:bookmarkEnd w:id="174"/>
    <w:bookmarkStart w:id="176" w:name="melanotán-ii-de-tiendas-en-línea"/>
    <w:p>
      <w:pPr>
        <w:pStyle w:val="Heading4"/>
      </w:pPr>
      <w:r>
        <w:t xml:space="preserve">Melanotán II de tiendas en línea</w:t>
      </w:r>
    </w:p>
    <w:p>
      <w:pPr>
        <w:pStyle w:val="FirstParagraph"/>
      </w:pPr>
      <w:r>
        <w:t xml:space="preserve">En el caso del péptido bronceador melanotán II, un grupo de investigación analizó viales de tres tiendas en línea. Todas las tiendas declaraban 10 mg por vial; en realidad, los viales contenían entre 4,32 y 8,84 mg. En los productos de dos tiendas se encontraron impurezas desconocidas del 4,1 al 5,9 %</w:t>
      </w:r>
      <w:r>
        <w:rPr>
          <w:rStyle w:val="FootnoteReference"/>
        </w:rPr>
        <w:footnoteReference w:id="175"/>
      </w:r>
      <w:r>
        <w:t xml:space="preserve">.</w:t>
      </w:r>
    </w:p>
    <w:bookmarkEnd w:id="176"/>
    <w:bookmarkStart w:id="184" w:name="X06e846707235280431e11def2d525394e639179"/>
    <w:p>
      <w:pPr>
        <w:pStyle w:val="Heading4"/>
      </w:pPr>
      <w:r>
        <w:t xml:space="preserve">Productos incautados del entorno del dopaje</w:t>
      </w:r>
    </w:p>
    <w:p>
      <w:pPr>
        <w:pStyle w:val="FirstParagraph"/>
      </w:pPr>
      <w:r>
        <w:t xml:space="preserve">El laboratorio antidopaje de Colonia analiza desde hace años productos incautados. En un informe sobre el año 2009 describió, entre otras cosas, viales etiquetados como hormona del crecimiento sin ningún contenido farmacológicamente activo, Long-R3-IGF-1 sin purificar y complementos alimenticios que contenían el péptido liberador de hormona del crecimiento GHRP-2</w:t>
      </w:r>
      <w:r>
        <w:rPr>
          <w:rStyle w:val="FootnoteReference"/>
        </w:rPr>
        <w:footnoteReference w:id="177"/>
      </w:r>
      <w:r>
        <w:t xml:space="preserve">. En comprimidos ofrecidos como complemento alimenticio de venta libre se midieron unos 50 microgramos de GHRP-2 por comprimido</w:t>
      </w:r>
      <w:r>
        <w:rPr>
          <w:rStyle w:val="FootnoteReference"/>
        </w:rPr>
        <w:footnoteReference w:id="178"/>
      </w:r>
      <w:r>
        <w:t xml:space="preserve">, una sustancia prohibida en el deporte y que carece de autorización.</w:t>
      </w:r>
    </w:p>
    <w:p>
      <w:pPr>
        <w:pStyle w:val="BodyText"/>
      </w:pPr>
      <w:r>
        <w:t xml:space="preserve">Entre 2010 y 2013, el mismo laboratorio analizó otros 337 productos. Las hormonas peptídicas y los factores de crecimiento representaron el 12,8 %, sobre todo hormona del crecimiento y péptidos liberadores de hormona del crecimiento. Entre los hallazgos llamativos figuraban la timosina beta-4 y una proteína de fusión con efecto biológico desconocido</w:t>
      </w:r>
      <w:r>
        <w:rPr>
          <w:rStyle w:val="FootnoteReference"/>
        </w:rPr>
        <w:footnoteReference w:id="179"/>
      </w:r>
      <w:r>
        <w:t xml:space="preserve">. En Noruega, el 28 % de los productos incautados y analizados entre 2011 y 2014 contenían sustancias dopantes de base peptídica o proteica</w:t>
      </w:r>
      <w:r>
        <w:rPr>
          <w:rStyle w:val="FootnoteReference"/>
        </w:rPr>
        <w:footnoteReference w:id="180"/>
      </w:r>
      <w:r>
        <w:t xml:space="preserve">.</w:t>
      </w:r>
    </w:p>
    <w:p>
      <w:pPr>
        <w:pStyle w:val="BodyText"/>
      </w:pPr>
      <w:r>
        <w:t xml:space="preserve">Un informe posterior de Colonia describe variantes modificadas de péptidos conocidos que no existen como medicamentos: Gly-GHRP-6, Gly-GHRP-2 y Gly-ipamorelina —es decir, los respectivos péptidos con un aminoácido glicina adicional al principio— así como una forma ligeramente modificada de la hormona del crecimiento</w:t>
      </w:r>
      <w:r>
        <w:rPr>
          <w:rStyle w:val="FootnoteReference"/>
        </w:rPr>
        <w:footnoteReference w:id="181"/>
      </w:r>
      <w:r>
        <w:t xml:space="preserve">. Estas modificaciones son posiblemente intentos de eludir las pruebas antidopaje; su efecto y su seguridad en el ser humano son desconocidos.</w:t>
      </w:r>
    </w:p>
    <w:p>
      <w:pPr>
        <w:pStyle w:val="BodyText"/>
      </w:pPr>
      <w:r>
        <w:t xml:space="preserve">También se identificó BPC-157 en viales incautados. Un grupo de investigación desarrolló a raíz de ello un método de detección para muestras de orina</w:t>
      </w:r>
      <w:r>
        <w:rPr>
          <w:rStyle w:val="FootnoteReference"/>
        </w:rPr>
        <w:footnoteReference w:id="182"/>
      </w:r>
      <w:r>
        <w:t xml:space="preserve">.</w:t>
      </w:r>
    </w:p>
    <w:p>
      <w:pPr>
        <w:pStyle w:val="BodyText"/>
      </w:pPr>
      <w:r>
        <w:t xml:space="preserve">Un artículo de revisión resume que en los medicamentos peptídicos y proteicos falsificados se ha encontrado una y otra vez el principio activo equivocado, la cantidad equivocada o ningún principio activo; que impurezas tóxicas y subproductos de la fabricación han causado daños para la salud; y que en las incautaciones han aparecido también sustancias que habían fracasado en estudios clínicos o que aún se encontraban en fase de experimentación animal</w:t>
      </w:r>
      <w:r>
        <w:rPr>
          <w:rStyle w:val="FootnoteReference"/>
        </w:rPr>
        <w:footnoteReference w:id="183"/>
      </w:r>
      <w:r>
        <w:t xml:space="preserve">.</w:t>
      </w:r>
    </w:p>
    <w:bookmarkEnd w:id="184"/>
    <w:bookmarkEnd w:id="185"/>
    <w:bookmarkStart w:id="186" w:name="Xb88937abf0224d1216479e93f7bba39ba8c5577"/>
    <w:p>
      <w:pPr>
        <w:pStyle w:val="Heading3"/>
      </w:pPr>
      <w:r>
        <w:t xml:space="preserve">Los problemas de calidad típicos de un vistazo</w:t>
      </w:r>
    </w:p>
    <w:p>
      <w:pPr>
        <w:pStyle w:val="FirstParagraph"/>
      </w:pPr>
      <w:r>
        <w:t xml:space="preserve">De estos análisis se desprende un patrón recurrente: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Problema</w:t>
            </w:r>
          </w:p>
        </w:tc>
        <w:tc>
          <w:tcPr/>
          <w:p>
            <w:pPr>
              <w:pStyle w:val="Compact"/>
              <w:jc w:val="left"/>
            </w:pPr>
            <w:r>
              <w:t xml:space="preserve">Consecuencia</w:t>
            </w:r>
          </w:p>
        </w:tc>
        <w:tc>
          <w:tcPr/>
          <w:p>
            <w:pPr>
              <w:pStyle w:val="Compact"/>
              <w:jc w:val="left"/>
            </w:pPr>
            <w:r>
              <w:t xml:space="preserve">Ejemplo</w:t>
            </w:r>
          </w:p>
        </w:tc>
      </w:tr>
      <w:tr>
        <w:tc>
          <w:tcPr/>
          <w:p>
            <w:pPr>
              <w:pStyle w:val="Compact"/>
              <w:jc w:val="left"/>
            </w:pPr>
            <w:r>
              <w:t xml:space="preserve">Demasiado principio activo</w:t>
            </w:r>
          </w:p>
        </w:tc>
        <w:tc>
          <w:tcPr/>
          <w:p>
            <w:pPr>
              <w:pStyle w:val="Compact"/>
              <w:jc w:val="left"/>
            </w:pPr>
            <w:r>
              <w:t xml:space="preserve">sobredosis, más efectos adversos</w:t>
            </w:r>
          </w:p>
        </w:tc>
        <w:tc>
          <w:tcPr/>
          <w:p>
            <w:pPr>
              <w:pStyle w:val="Compact"/>
              <w:jc w:val="left"/>
            </w:pPr>
            <w:r>
              <w:t xml:space="preserve">semaglutida hasta un 38,7 % por encima de lo declarado</w:t>
            </w:r>
          </w:p>
        </w:tc>
      </w:tr>
      <w:tr>
        <w:tc>
          <w:tcPr/>
          <w:p>
            <w:pPr>
              <w:pStyle w:val="Compact"/>
              <w:jc w:val="left"/>
            </w:pPr>
            <w:r>
              <w:t xml:space="preserve">Demasiado poco principio activo</w:t>
            </w:r>
          </w:p>
        </w:tc>
        <w:tc>
          <w:tcPr/>
          <w:p>
            <w:pPr>
              <w:pStyle w:val="Compact"/>
              <w:jc w:val="left"/>
            </w:pPr>
            <w:r>
              <w:t xml:space="preserve">ineficacia</w:t>
            </w:r>
          </w:p>
        </w:tc>
        <w:tc>
          <w:tcPr/>
          <w:p>
            <w:pPr>
              <w:pStyle w:val="Compact"/>
              <w:jc w:val="left"/>
            </w:pPr>
            <w:r>
              <w:t xml:space="preserve">melanotán II 4,32 en lugar de 10 mg</w:t>
            </w:r>
          </w:p>
        </w:tc>
      </w:tr>
      <w:tr>
        <w:tc>
          <w:tcPr/>
          <w:p>
            <w:pPr>
              <w:pStyle w:val="Compact"/>
              <w:jc w:val="left"/>
            </w:pPr>
            <w:r>
              <w:t xml:space="preserve">Principio activo equivocado</w:t>
            </w:r>
          </w:p>
        </w:tc>
        <w:tc>
          <w:tcPr/>
          <w:p>
            <w:pPr>
              <w:pStyle w:val="Compact"/>
              <w:jc w:val="left"/>
            </w:pPr>
            <w:r>
              <w:t xml:space="preserve">efecto imprevisible, a veces potencialmente mortal</w:t>
            </w:r>
          </w:p>
        </w:tc>
        <w:tc>
          <w:tcPr/>
          <w:p>
            <w:pPr>
              <w:pStyle w:val="Compact"/>
              <w:jc w:val="left"/>
            </w:pPr>
            <w:r>
              <w:t xml:space="preserve">insulina en lugar de semaglutida</w:t>
            </w:r>
          </w:p>
        </w:tc>
      </w:tr>
      <w:tr>
        <w:tc>
          <w:tcPr/>
          <w:p>
            <w:pPr>
              <w:pStyle w:val="Compact"/>
              <w:jc w:val="left"/>
            </w:pPr>
            <w:r>
              <w:t xml:space="preserve">Ningún principio activo</w:t>
            </w:r>
          </w:p>
        </w:tc>
        <w:tc>
          <w:tcPr/>
          <w:p>
            <w:pPr>
              <w:pStyle w:val="Compact"/>
              <w:jc w:val="left"/>
            </w:pPr>
            <w:r>
              <w:t xml:space="preserve">estafa, ineficacia</w:t>
            </w:r>
          </w:p>
        </w:tc>
        <w:tc>
          <w:tcPr/>
          <w:p>
            <w:pPr>
              <w:pStyle w:val="Compact"/>
              <w:jc w:val="left"/>
            </w:pPr>
            <w:r>
              <w:t xml:space="preserve">viales de «hormona del crecimiento» vacíos</w:t>
            </w:r>
          </w:p>
        </w:tc>
      </w:tr>
      <w:tr>
        <w:tc>
          <w:tcPr/>
          <w:p>
            <w:pPr>
              <w:pStyle w:val="Compact"/>
              <w:jc w:val="left"/>
            </w:pPr>
            <w:r>
              <w:t xml:space="preserve">Impurezas</w:t>
            </w:r>
          </w:p>
        </w:tc>
        <w:tc>
          <w:tcPr/>
          <w:p>
            <w:pPr>
              <w:pStyle w:val="Compact"/>
              <w:jc w:val="left"/>
            </w:pPr>
            <w:r>
              <w:t xml:space="preserve">reacciones inmunitarias, efecto tóxico</w:t>
            </w:r>
          </w:p>
        </w:tc>
        <w:tc>
          <w:tcPr/>
          <w:p>
            <w:pPr>
              <w:pStyle w:val="Compact"/>
              <w:jc w:val="left"/>
            </w:pPr>
            <w:r>
              <w:t xml:space="preserve">subproductos de la síntesis</w:t>
            </w:r>
          </w:p>
        </w:tc>
      </w:tr>
      <w:tr>
        <w:tc>
          <w:tcPr/>
          <w:p>
            <w:pPr>
              <w:pStyle w:val="Compact"/>
              <w:jc w:val="left"/>
            </w:pPr>
            <w:r>
              <w:t xml:space="preserve">Endotoxinas</w:t>
            </w:r>
          </w:p>
        </w:tc>
        <w:tc>
          <w:tcPr/>
          <w:p>
            <w:pPr>
              <w:pStyle w:val="Compact"/>
              <w:jc w:val="left"/>
            </w:pPr>
            <w:r>
              <w:t xml:space="preserve">fiebre, inflamación, reacciones circulatorias</w:t>
            </w:r>
          </w:p>
        </w:tc>
        <w:tc>
          <w:tcPr/>
          <w:p>
            <w:pPr>
              <w:pStyle w:val="Compact"/>
              <w:jc w:val="left"/>
            </w:pPr>
            <w:r>
              <w:t xml:space="preserve">en todas las compras de prueba de semaglutida</w:t>
            </w:r>
          </w:p>
        </w:tc>
      </w:tr>
    </w:tbl>
    <w:bookmarkEnd w:id="186"/>
    <w:bookmarkStart w:id="188" w:name="X79d76d712c115d5bdc9fb86c3f93940c3f53bf0"/>
    <w:p>
      <w:pPr>
        <w:pStyle w:val="Heading3"/>
      </w:pPr>
      <w:r>
        <w:t xml:space="preserve">Pureza: qué significa el porcentaje y qué no</w:t>
      </w:r>
    </w:p>
    <w:p>
      <w:pPr>
        <w:pStyle w:val="FirstParagraph"/>
      </w:pPr>
      <w:r>
        <w:t xml:space="preserve">Muchos vendedores se anuncian con un «99 % de pureza» y adjuntan certificados de análisis. Algunas observaciones al respecto:</w:t>
      </w:r>
    </w:p>
    <w:p>
      <w:pPr>
        <w:numPr>
          <w:ilvl w:val="0"/>
          <w:numId w:val="1025"/>
        </w:numPr>
        <w:pStyle w:val="Compact"/>
      </w:pPr>
      <w:r>
        <w:rPr>
          <w:bCs/>
          <w:b/>
        </w:rPr>
        <w:t xml:space="preserve">La pureza solo mide determinadas impurezas.</w:t>
      </w:r>
      <w:r>
        <w:t xml:space="preserve"> </w:t>
      </w:r>
      <w:r>
        <w:t xml:space="preserve">Una medición típica (cromatografía líquida de alta resolución, HPLC) muestra qué porcentaje de las señales peptídicas medibles corresponde a la sustancia deseada. A menudo no se detectan sales, agua, restos de disolventes, metales ni endotoxinas.</w:t>
      </w:r>
    </w:p>
    <w:p>
      <w:pPr>
        <w:numPr>
          <w:ilvl w:val="0"/>
          <w:numId w:val="1025"/>
        </w:numPr>
        <w:pStyle w:val="Compact"/>
      </w:pPr>
      <w:r>
        <w:rPr>
          <w:bCs/>
          <w:b/>
        </w:rPr>
        <w:t xml:space="preserve">La pureza no dice nada sobre la cantidad.</w:t>
      </w:r>
      <w:r>
        <w:t xml:space="preserve"> </w:t>
      </w:r>
      <w:r>
        <w:t xml:space="preserve">Un vial puede contener una sustancia muy pura, pero en una cantidad equivocada.</w:t>
      </w:r>
    </w:p>
    <w:p>
      <w:pPr>
        <w:numPr>
          <w:ilvl w:val="0"/>
          <w:numId w:val="1025"/>
        </w:numPr>
        <w:pStyle w:val="Compact"/>
      </w:pPr>
      <w:r>
        <w:rPr>
          <w:bCs/>
          <w:b/>
        </w:rPr>
        <w:t xml:space="preserve">La pureza no dice nada sobre la esterilidad.</w:t>
      </w:r>
      <w:r>
        <w:t xml:space="preserve"> </w:t>
      </w:r>
      <w:r>
        <w:t xml:space="preserve">Un polvo puede ser químicamente puro y, aun así, estar contaminado con bacterias o componentes bacterianos.</w:t>
      </w:r>
    </w:p>
    <w:p>
      <w:pPr>
        <w:numPr>
          <w:ilvl w:val="0"/>
          <w:numId w:val="1025"/>
        </w:numPr>
        <w:pStyle w:val="Compact"/>
      </w:pPr>
      <w:r>
        <w:rPr>
          <w:bCs/>
          <w:b/>
        </w:rPr>
        <w:t xml:space="preserve">Los certificados no son verificables.</w:t>
      </w:r>
      <w:r>
        <w:t xml:space="preserve"> </w:t>
      </w:r>
      <w:r>
        <w:t xml:space="preserve">Como comprador, no es posible determinar si un certificado adjunto corresponde realmente al vial entregado. Las compras de prueba de semaglutida mostraron una pureza del 7,7 al 14,4 % pese a una etiqueta que indicaba el 99 %</w:t>
      </w:r>
      <w:r>
        <w:rPr>
          <w:rStyle w:val="FootnoteReference"/>
        </w:rPr>
        <w:footnoteReference w:id="187"/>
      </w:r>
      <w:r>
        <w:t xml:space="preserve">.</w:t>
      </w:r>
    </w:p>
    <w:p>
      <w:pPr>
        <w:pStyle w:val="FirstParagraph"/>
      </w:pPr>
      <w:r>
        <w:t xml:space="preserve">A ello se suman las impurezas que se forman típicamente en la síntesis química: péptidos con componentes ausentes o duplicados, variantes mal plegadas o modificadas químicamente, restos de grupos protectores y reactivos. Para los medicamentos autorizados se han fijado límites para estas impurezas, que se controlan periódicamente.</w:t>
      </w:r>
    </w:p>
    <w:bookmarkEnd w:id="188"/>
    <w:bookmarkStart w:id="190" w:name="endotoxinas-invisibles-y-peligrosas"/>
    <w:p>
      <w:pPr>
        <w:pStyle w:val="Heading3"/>
      </w:pPr>
      <w:r>
        <w:t xml:space="preserve">Endotoxinas: invisibles y peligrosas</w:t>
      </w:r>
    </w:p>
    <w:p>
      <w:pPr>
        <w:pStyle w:val="FirstParagraph"/>
      </w:pPr>
      <w:r>
        <w:t xml:space="preserve">Las endotoxinas son componentes de la pared celular de determinadas bacterias. Persisten aunque las bacterias hayan muerto y son muy resistentes al calor. Si llegan a la sangre, pueden provocar fiebre, escalofríos, caída de la presión arterial y, en cantidades mayores, un shock potencialmente mortal. Por eso rigen límites estrictos para inyecciones e infusiones, y los fabricantes de medicamentos analizan cada lote.</w:t>
      </w:r>
    </w:p>
    <w:p>
      <w:pPr>
        <w:pStyle w:val="BodyText"/>
      </w:pPr>
      <w:r>
        <w:t xml:space="preserve">Un polvo «estéril» o «libre de gérmenes» puede contener endotoxinas; eso es exactamente lo que mostraron las compras de prueba de semaglutida: ningún germen vivo, pero endotoxinas en todas las muestras</w:t>
      </w:r>
      <w:r>
        <w:rPr>
          <w:rStyle w:val="FootnoteReference"/>
        </w:rPr>
        <w:footnoteReference w:id="189"/>
      </w:r>
      <w:r>
        <w:t xml:space="preserve">. También disolver el producto con agua no estéril, extraer varias veces del mismo vial o reutilizar agujas puede introducir gérmenes.</w:t>
      </w:r>
    </w:p>
    <w:bookmarkEnd w:id="190"/>
    <w:bookmarkStart w:id="192" w:name="errores-de-dosificación"/>
    <w:p>
      <w:pPr>
        <w:pStyle w:val="Heading3"/>
      </w:pPr>
      <w:r>
        <w:t xml:space="preserve">Errores de dosificación</w:t>
      </w:r>
    </w:p>
    <w:p>
      <w:pPr>
        <w:pStyle w:val="FirstParagraph"/>
      </w:pPr>
      <w:r>
        <w:t xml:space="preserve">Aunque un producto contenga exactamente lo que indica la etiqueta, en el mercado gris es difícil dosificar correctamente. El polvo debe disolverse con una cantidad determinada de líquido; la dosis resulta luego de un cálculo de conversión. Quien se equivoca en el cálculo o confunde unidades puede inyectarse fácilmente varias veces la cantidad prevista.</w:t>
      </w:r>
    </w:p>
    <w:p>
      <w:pPr>
        <w:pStyle w:val="BodyText"/>
      </w:pPr>
      <w:r>
        <w:t xml:space="preserve">Una serie de casos de un centro de información toxicológica de Estados Unidos describe tres casos con semaglutida procedente de farmacias y de un centro de estética. Dos personas se habían inyectado por error diez veces la cantidad. Todas sufrieron durante días náuseas, vómitos y dolor abdominal. Una persona había recibido un vial con jeringas sin ningún asesoramiento; otra confundió mililitros, «unidades» y miligramos</w:t>
      </w:r>
      <w:r>
        <w:rPr>
          <w:rStyle w:val="FootnoteReference"/>
        </w:rPr>
        <w:footnoteReference w:id="191"/>
      </w:r>
      <w:r>
        <w:t xml:space="preserve">. Los autores subrayan que los viales, a diferencia de las plumas precargadas, no ofrecen mecanismos de seguridad frente a estos errores.</w:t>
      </w:r>
    </w:p>
    <w:bookmarkEnd w:id="192"/>
    <w:bookmarkStart w:id="197" w:name="Xa3579ffbd94bdce4b5267a7f8e3671f565ba059"/>
    <w:p>
      <w:pPr>
        <w:pStyle w:val="Heading3"/>
      </w:pPr>
      <w:r>
        <w:t xml:space="preserve">Falsificaciones de Ozempic y otros medicamentos GLP-1</w:t>
      </w:r>
    </w:p>
    <w:p>
      <w:pPr>
        <w:pStyle w:val="FirstParagraph"/>
      </w:pPr>
      <w:r>
        <w:t xml:space="preserve">Con la enorme demanda de semaglutida aparecieron falsificaciones en todo el mundo. La Organización Mundial de la Salud advirtió en 2024 sobre Ozempic falsificado en la cadena de suministro mundial</w:t>
      </w:r>
      <w:r>
        <w:rPr>
          <w:rStyle w:val="FootnoteReference"/>
        </w:rPr>
        <w:footnoteReference w:id="193"/>
      </w:r>
      <w:r>
        <w:t xml:space="preserve">.</w:t>
      </w:r>
    </w:p>
    <w:p>
      <w:pPr>
        <w:pStyle w:val="BodyText"/>
      </w:pPr>
      <w:r>
        <w:t xml:space="preserve">Son especialmente peligrosas las falsificaciones que contienen otro principio activo. En Italia, una mujer de 31 años fue llevada a urgencias en coma hipoglucémico después de inyectarse un supuesto Ozempic comprado en internet. El análisis toxicológico reveló que el vial contenía insulina en lugar de semaglutida</w:t>
      </w:r>
      <w:r>
        <w:rPr>
          <w:rStyle w:val="FootnoteReference"/>
        </w:rPr>
        <w:footnoteReference w:id="194"/>
      </w:r>
      <w:r>
        <w:t xml:space="preserve">. En los Países Bajos se comunicaron dos casos similares: dos personas sin diabetes y sin obesidad se habían inyectado semaglutida obtenida sin receta y se encontraban en coma con hipoglucemia grave, déficit de potasio e hipotermia. La causa era una intoxicación por insulina sintética. Para mantener estable la glucemia fueron necesarios hasta dos días de infusión continua de glucosa</w:t>
      </w:r>
      <w:r>
        <w:rPr>
          <w:rStyle w:val="FootnoteReference"/>
        </w:rPr>
        <w:footnoteReference w:id="195"/>
      </w:r>
      <w:r>
        <w:t xml:space="preserve">.</w:t>
      </w:r>
    </w:p>
    <w:p>
      <w:pPr>
        <w:pStyle w:val="BodyText"/>
      </w:pPr>
      <w:r>
        <w:t xml:space="preserve">Estos casos son tan relevantes porque la semaglutida auténtica, por sí sola, apenas causa hipoglucemias apreciables en personas sanas. Por eso, una hipoglucemia tras una «inyección para adelgazar» es una señal de alarma de un producto falsificado.</w:t>
      </w:r>
    </w:p>
    <w:p>
      <w:pPr>
        <w:pStyle w:val="BodyText"/>
      </w:pPr>
      <w:r>
        <w:t xml:space="preserve">Un análisis de la base de datos europea de efectos adversos EudraVigilance encontró entre 2018 y 2025 un total de 234 notificaciones relativas a semaglutida posiblemente falsificada. El 73,5 % afectaban a mujeres, y el 89,3 % de los efectos adversos notificados eran graves. Los más notificados fueron vómitos, náuseas e hipoglucemia. En comparación con la semaglutida auténtica, la hipoglucemia, el uso fuera de la indicación autorizada, el malestar y la falta de eficacia se notificaron con una frecuencia desproporcionadamente alta</w:t>
      </w:r>
      <w:r>
        <w:rPr>
          <w:rStyle w:val="FootnoteReference"/>
        </w:rPr>
        <w:footnoteReference w:id="196"/>
      </w:r>
      <w:r>
        <w:t xml:space="preserve">. Como con todos los datos de notificación, muestran señales, no frecuencias.</w:t>
      </w:r>
    </w:p>
    <w:bookmarkEnd w:id="197"/>
    <w:bookmarkStart w:id="200" w:name="principios-activos-glp-1-no-autorizados"/>
    <w:p>
      <w:pPr>
        <w:pStyle w:val="Heading3"/>
      </w:pPr>
      <w:r>
        <w:t xml:space="preserve">Principios activos GLP-1 no autorizados</w:t>
      </w:r>
    </w:p>
    <w:p>
      <w:pPr>
        <w:pStyle w:val="FirstParagraph"/>
      </w:pPr>
      <w:r>
        <w:t xml:space="preserve">Entre tanto, en el mercado gris se ofrecen también principios activos que aún no están autorizados, como el agonista triple retatrutida. Para estas sustancias existen estudios de los fabricantes, pero no productos verificados: se desconoce qué contiene realmente un vial con la etiqueta «retatrutida». Una revista especializada dedicó en 2026 un informe propio a este mercado negro</w:t>
      </w:r>
      <w:r>
        <w:rPr>
          <w:rStyle w:val="FootnoteReference"/>
        </w:rPr>
        <w:footnoteReference w:id="198"/>
      </w:r>
      <w:r>
        <w:t xml:space="preserve">.</w:t>
      </w:r>
    </w:p>
    <w:p>
      <w:pPr>
        <w:pStyle w:val="BodyText"/>
      </w:pPr>
      <w:r>
        <w:t xml:space="preserve">Un caso clínico describe a una mujer de unos veinticinco años que acudió al hospital con cinco días de náuseas persistentes, vómitos repetidos y diarrea. Las molestias no mejoraron al principio a pesar de varios antieméticos. Solo tras preguntas reiteradas se supo que un autodenominado coach de vida sin cualificación médica le había administrado cuatro inyecciones semanales de un producto que supuestamente contenía retatrutida. Ella misma no había considerado las inyecciones como un medicamento</w:t>
      </w:r>
      <w:r>
        <w:rPr>
          <w:rStyle w:val="FootnoteReference"/>
        </w:rPr>
        <w:footnoteReference w:id="199"/>
      </w:r>
      <w:r>
        <w:t xml:space="preserve">. El caso muestra otro problema: quien no percibe los péptidos como medicamentos tampoco los menciona a sus médicos.</w:t>
      </w:r>
    </w:p>
    <w:bookmarkEnd w:id="200"/>
    <w:bookmarkStart w:id="204" w:name="peligros-más-allá-de-la-contaminación"/>
    <w:p>
      <w:pPr>
        <w:pStyle w:val="Heading3"/>
      </w:pPr>
      <w:r>
        <w:t xml:space="preserve">Peligros más allá de la contaminación</w:t>
      </w:r>
    </w:p>
    <w:p>
      <w:pPr>
        <w:pStyle w:val="FirstParagraph"/>
      </w:pPr>
      <w:r>
        <w:t xml:space="preserve">Incluso un péptido del mercado gris perfectamente puro puede ser peligroso si la propia sustancia nunca se ha estudiado lo suficiente en el ser humano. Un caso clínico describe a un hombre de 39 años que se inyectó melanotán II comprado en internet; según sus propias declaraciones, seis veces la cantidad inicial que se le había recomendado. Desarrolló taquicardia, agitación, sudoración profusa y una destrucción muscular masiva (rabdomiólisis) con alteración de la función renal, y tuvo que ser tratado en la unidad de cuidados intensivos. El análisis confirmó que el producto contenía efectivamente melanotán II</w:t>
      </w:r>
      <w:r>
        <w:rPr>
          <w:rStyle w:val="FootnoteReference"/>
        </w:rPr>
        <w:footnoteReference w:id="201"/>
      </w:r>
      <w:r>
        <w:t xml:space="preserve">.</w:t>
      </w:r>
    </w:p>
    <w:p>
      <w:pPr>
        <w:pStyle w:val="BodyText"/>
      </w:pPr>
      <w:r>
        <w:t xml:space="preserve">Los artículos de revisión mencionan como posibles riesgos de los péptidos no regulados, entre otros, las impurezas, la dosificación imprecisa, la formación patológica de nuevos vasos sanguíneos, la aparición de cáncer, la sobrecarga del sistema cardiovascular y las señales hormonales excesivas</w:t>
      </w:r>
      <w:r>
        <w:rPr>
          <w:rStyle w:val="FootnoteReference"/>
        </w:rPr>
        <w:footnoteReference w:id="202"/>
      </w:r>
      <w:r>
        <w:t xml:space="preserve">. Muchos de estos riesgos se han deducido teóricamente, precisamente porque apenas hay estudios en seres humanos. Una revisión de medicina deportiva concluye que muchos péptidos no autorizados muestran efectos favorables en modelos animales, pero que los datos de seguridad sólidos en el ser humano son escasos y que son posibles daños graves</w:t>
      </w:r>
      <w:r>
        <w:rPr>
          <w:rStyle w:val="FootnoteReference"/>
        </w:rPr>
        <w:footnoteReference w:id="203"/>
      </w:r>
      <w:r>
        <w:t xml:space="preserve">.</w:t>
      </w:r>
    </w:p>
    <w:bookmarkEnd w:id="204"/>
    <w:bookmarkStart w:id="207" w:name="el-compounding-en-estados-unidos"/>
    <w:p>
      <w:pPr>
        <w:pStyle w:val="Heading3"/>
      </w:pPr>
      <w:r>
        <w:t xml:space="preserve">El compounding en Estados Unidos</w:t>
      </w:r>
    </w:p>
    <w:p>
      <w:pPr>
        <w:pStyle w:val="FirstParagraph"/>
      </w:pPr>
      <w:r>
        <w:t xml:space="preserve">Una particularidad del mercado estadounidense es el</w:t>
      </w:r>
      <w:r>
        <w:t xml:space="preserve"> </w:t>
      </w:r>
      <w:r>
        <w:rPr>
          <w:bCs/>
          <w:b/>
        </w:rPr>
        <w:t xml:space="preserve">compounding</w:t>
      </w:r>
      <w:r>
        <w:t xml:space="preserve"> </w:t>
      </w:r>
      <w:r>
        <w:t xml:space="preserve">(elaboración magistral): en determinadas condiciones, las farmacias pueden elaborar medicamentos por sí mismas, por ejemplo cuando un preparado autorizado no está disponible. Durante los problemas de suministro de semaglutida y tirzepatida surgió así un gran mercado de preparados de imitación, distribuidos a menudo a través de proveedores de telemedicina. Estos preparados no son medicamentos autorizados; su eficacia y seguridad no se han evaluado en estudios.</w:t>
      </w:r>
    </w:p>
    <w:p>
      <w:pPr>
        <w:pStyle w:val="BodyText"/>
      </w:pPr>
      <w:r>
        <w:t xml:space="preserve">Un análisis de la base de datos estadounidense de efectos adversos FAERS comparó las notificaciones relativas a preparados de GLP-1 elaborados en farmacia y autorizados. De 81.078 notificaciones, 707 afectaban a productos elaborados en farmacia. En ellos se notificaron con una frecuencia desproporcionadamente alta, entre otras cosas, dolor abdominal, inflamaciones de la vesícula biliar, errores de elaboración e impurezas, así como hospitalizaciones; en cambio, los errores de uso y de dosificación se notificaron con menos frecuencia</w:t>
      </w:r>
      <w:r>
        <w:rPr>
          <w:rStyle w:val="FootnoteReference"/>
        </w:rPr>
        <w:footnoteReference w:id="205"/>
      </w:r>
      <w:r>
        <w:t xml:space="preserve">. Los autores subrayan que estos datos no prueban una relación de causa y efecto.</w:t>
      </w:r>
    </w:p>
    <w:p>
      <w:pPr>
        <w:pStyle w:val="BodyText"/>
      </w:pPr>
      <w:r>
        <w:t xml:space="preserve">Tras el fin de los problemas de suministro, según la legislación estadounidense las farmacias solo pueden elaborar preparados que difieran de los autorizados, por ejemplo por una forma de administración distinta o por aditivos. Un estudio encontró 33 productos de este tipo, entre ellos combinaciones con vitamina B12, glicina, niacinamida, un laxante o un antiemético, así como gotas y comprimidos bucodispersables para uso sublingual. Para las vitaminas y el laxante, los autores apenas encontraron justificación. Para la adición del antiemético y para las nuevas formas de administración ven una idea comprensible, pero ninguna prueba de eficacia y seguridad</w:t>
      </w:r>
      <w:r>
        <w:rPr>
          <w:rStyle w:val="FootnoteReference"/>
        </w:rPr>
        <w:footnoteReference w:id="206"/>
      </w:r>
      <w:r>
        <w:t xml:space="preserve">.</w:t>
      </w:r>
    </w:p>
    <w:p>
      <w:pPr>
        <w:pStyle w:val="BodyText"/>
      </w:pPr>
      <w:r>
        <w:t xml:space="preserve">El compounding no es un mercado gris en sentido estricto: las farmacias están autorizadas y sometidas a supervisión. Para los pacientes, sin embargo, la frontera se difumina cuando los productos se distribuyen a través de plataformas en línea con escaso seguimiento médico. En Europa no existe un sistema comparable; aquí la elaboración en la farmacia está sujeta a requisitos bastante más estrictos (más información en el capítulo siguiente).</w:t>
      </w:r>
    </w:p>
    <w:bookmarkEnd w:id="207"/>
    <w:bookmarkStart w:id="209" w:name="quién-recurre-al-mercado-gris-y-por-qué"/>
    <w:p>
      <w:pPr>
        <w:pStyle w:val="Heading3"/>
      </w:pPr>
      <w:r>
        <w:t xml:space="preserve">Quién recurre al mercado gris y por qué</w:t>
      </w:r>
    </w:p>
    <w:p>
      <w:pPr>
        <w:pStyle w:val="FirstParagraph"/>
      </w:pPr>
      <w:r>
        <w:t xml:space="preserve">Los motivos para recurrir al mercado gris son diversos: precios elevados y falta de financiación de los medicamentos autorizados, problemas de suministro, el deseo de perder peso sin indicación médica, la mejora del rendimiento en el deporte, la esperanza de una curación más rápida de las lesiones o de una vida más larga. Un artículo de revisión describe cómo la publicidad en línea, los testimonios en redes sociales, la autoinyección, las combinaciones de varias sustancias y una vigilancia débil de los efectos adversos interactúan y normalizan productos poco claros</w:t>
      </w:r>
      <w:r>
        <w:rPr>
          <w:rStyle w:val="FootnoteReference"/>
        </w:rPr>
        <w:footnoteReference w:id="208"/>
      </w:r>
      <w:r>
        <w:t xml:space="preserve">.</w:t>
      </w:r>
    </w:p>
    <w:p>
      <w:pPr>
        <w:pStyle w:val="BodyText"/>
      </w:pPr>
      <w:r>
        <w:t xml:space="preserve">Estos motivos son comprensibles. Pero los análisis de este capítulo muestran que los compradores del mercado gris no pueden saber qué reciben realmente.</w:t>
      </w:r>
    </w:p>
    <w:bookmarkEnd w:id="209"/>
    <w:bookmarkStart w:id="210" w:name="X9cbea92118946f27a6a327b1576cdf4de51f138"/>
    <w:p>
      <w:pPr>
        <w:pStyle w:val="Heading3"/>
      </w:pPr>
      <w:r>
        <w:t xml:space="preserve">Si ya has utilizado péptidos del mercado gris</w:t>
      </w:r>
    </w:p>
    <w:p>
      <w:pPr>
        <w:pStyle w:val="FirstParagraph"/>
      </w:pPr>
      <w:r>
        <w:t xml:space="preserve">Este libro no da indicaciones de uso. No obstante, algunos puntos generales son importantes por razones de seguridad:</w:t>
      </w:r>
    </w:p>
    <w:p>
      <w:pPr>
        <w:numPr>
          <w:ilvl w:val="0"/>
          <w:numId w:val="1026"/>
        </w:numPr>
        <w:pStyle w:val="Compact"/>
      </w:pPr>
      <w:r>
        <w:t xml:space="preserve">Informa a tu médico o médica de todas las inyecciones, péptidos y «productos químicos de investigación» que utilices, aunque no los consideres medicamentos.</w:t>
      </w:r>
    </w:p>
    <w:p>
      <w:pPr>
        <w:numPr>
          <w:ilvl w:val="0"/>
          <w:numId w:val="1026"/>
        </w:numPr>
        <w:pStyle w:val="Compact"/>
      </w:pPr>
      <w:r>
        <w:t xml:space="preserve">Las molestias inesperadas como temblor, sudoración, confusión o alteraciones de la consciencia tras una inyección pueden indicar una hipoglucemia y constituyen una urgencia.</w:t>
      </w:r>
    </w:p>
    <w:p>
      <w:pPr>
        <w:numPr>
          <w:ilvl w:val="0"/>
          <w:numId w:val="1026"/>
        </w:numPr>
        <w:pStyle w:val="Compact"/>
      </w:pPr>
      <w:r>
        <w:t xml:space="preserve">Los productos sospechosos y los efectos adversos pueden notificarse a las autoridades: en Alemania, al Instituto Federal de Medicamentos y Productos Sanitarios (BfArM); en Austria, a la Oficina Federal de Seguridad en la Asistencia Sanitaria (BASG).</w:t>
      </w:r>
    </w:p>
    <w:bookmarkEnd w:id="210"/>
    <w:bookmarkStart w:id="211" w:name="lo-esencial-en-resumen-3"/>
    <w:p>
      <w:pPr>
        <w:pStyle w:val="Heading3"/>
      </w:pPr>
      <w:r>
        <w:t xml:space="preserve">Lo esencial en resumen</w:t>
      </w:r>
    </w:p>
    <w:p>
      <w:pPr>
        <w:numPr>
          <w:ilvl w:val="0"/>
          <w:numId w:val="1027"/>
        </w:numPr>
        <w:pStyle w:val="Compact"/>
      </w:pPr>
      <w:r>
        <w:t xml:space="preserve">La advertencia «solo para fines de investigación» no protege de los riesgos; traslada la responsabilidad a los compradores.</w:t>
      </w:r>
    </w:p>
    <w:p>
      <w:pPr>
        <w:numPr>
          <w:ilvl w:val="0"/>
          <w:numId w:val="1027"/>
        </w:numPr>
        <w:pStyle w:val="Compact"/>
      </w:pPr>
      <w:r>
        <w:t xml:space="preserve">Los análisis de laboratorio de péptidos del mercado gris encontraron demasiado, demasiado poco, el equivocado o ningún principio activo, así como impurezas y endotoxinas.</w:t>
      </w:r>
    </w:p>
    <w:p>
      <w:pPr>
        <w:numPr>
          <w:ilvl w:val="0"/>
          <w:numId w:val="1027"/>
        </w:numPr>
        <w:pStyle w:val="Compact"/>
      </w:pPr>
      <w:r>
        <w:t xml:space="preserve">Los productos de semaglutida falsificados que contenían insulina provocaron hipoglucemias potencialmente mortales.</w:t>
      </w:r>
    </w:p>
    <w:p>
      <w:pPr>
        <w:numPr>
          <w:ilvl w:val="0"/>
          <w:numId w:val="1027"/>
        </w:numPr>
        <w:pStyle w:val="Compact"/>
      </w:pPr>
      <w:r>
        <w:t xml:space="preserve">Tampoco los preparados elaborados en farmacias estadounidenses están evaluados como los medicamentos autorizados.</w:t>
      </w:r>
    </w:p>
    <w:p>
      <w:pPr>
        <w:numPr>
          <w:ilvl w:val="0"/>
          <w:numId w:val="1027"/>
        </w:numPr>
        <w:pStyle w:val="Compact"/>
      </w:pPr>
      <w:r>
        <w:t xml:space="preserve">Incluso un producto puro sigue siendo arriesgado si el principio activo nunca se ha estudiado lo suficiente en el ser humano.</w:t>
      </w:r>
    </w:p>
    <w:bookmarkEnd w:id="211"/>
    <w:bookmarkEnd w:id="212"/>
    <w:bookmarkStart w:id="230" w:name="marco-jurídico"/>
    <w:p>
      <w:pPr>
        <w:pStyle w:val="Heading2"/>
      </w:pPr>
      <w:r>
        <w:t xml:space="preserve">Marco jurídico</w:t>
      </w:r>
    </w:p>
    <w:p>
      <w:pPr>
        <w:pStyle w:val="FirstParagraph"/>
      </w:pPr>
      <w:r>
        <w:t xml:space="preserve">Que un péptido sea un medicamento sujeto a prescripción médica, un complemento alimenticio, un cosmético o una sustancia dopante prohibida no depende solo de la molécula. También es decisivo para qué está destinado, cómo se ofrece y cómo actúa en el organismo. El mismo péptido de colágeno puede estar en la estantería del supermercado como alimento; un péptido con un efecto de tipo hormonal demostrable, en cambio, es casi siempre un medicamento, diga lo que diga la etiqueta. Este capítulo ofrece una visión de conjunto de las normas de la Unión Europea, Austria, Alemania y Estados Unidos, así como de las disposiciones antidopaje.</w:t>
      </w:r>
    </w:p>
    <w:p>
      <w:pPr>
        <w:pStyle w:val="BlockText"/>
      </w:pPr>
      <w:r>
        <w:rPr>
          <w:bCs/>
          <w:b/>
        </w:rPr>
        <w:t xml:space="preserve">Aviso importante:</w:t>
      </w:r>
      <w:r>
        <w:t xml:space="preserve"> </w:t>
      </w:r>
      <w:r>
        <w:t xml:space="preserve">este capítulo refleja el estado de 2026 según el leal saber y entender del autor y no constituye asesoramiento jurídico. Las leyes, los reglamentos, la práctica administrativa y la Lista de Prohibiciones de la Agencia Mundial Antidopaje cambian con regularidad. Comprueba en cada caso la situación jurídica actual y, ante cuestiones concretas, dirígete a un abogado o una abogada o a la autoridad competente.</w:t>
      </w:r>
    </w:p>
    <w:bookmarkStart w:id="213" w:name="X4be8f8480aec84cfbb8494d31e601c7d7718c46"/>
    <w:p>
      <w:pPr>
        <w:pStyle w:val="Heading3"/>
      </w:pPr>
      <w:r>
        <w:t xml:space="preserve">Tres categorías: medicamentos, alimentos, cosméticos</w:t>
      </w:r>
    </w:p>
    <w:p>
      <w:pPr>
        <w:pStyle w:val="FirstParagraph"/>
      </w:pPr>
      <w:r>
        <w:t xml:space="preserve">El derecho europeo distingue esencialmente tres categorías de productos en las que pueden encuadrarse los péptidos. Cada una tiene sus propias normas: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Categoría</w:t>
            </w:r>
          </w:p>
        </w:tc>
        <w:tc>
          <w:tcPr/>
          <w:p>
            <w:pPr>
              <w:pStyle w:val="Compact"/>
              <w:jc w:val="left"/>
            </w:pPr>
            <w:r>
              <w:t xml:space="preserve">Control administrativo antes de la venta</w:t>
            </w:r>
          </w:p>
        </w:tc>
        <w:tc>
          <w:tcPr/>
          <w:p>
            <w:pPr>
              <w:pStyle w:val="Compact"/>
              <w:jc w:val="left"/>
            </w:pPr>
            <w:r>
              <w:t xml:space="preserve">Péptidos típicos</w:t>
            </w:r>
          </w:p>
        </w:tc>
      </w:tr>
      <w:tr>
        <w:tc>
          <w:tcPr/>
          <w:p>
            <w:pPr>
              <w:pStyle w:val="Compact"/>
              <w:jc w:val="left"/>
            </w:pPr>
            <w:r>
              <w:t xml:space="preserve">Medicamentos</w:t>
            </w:r>
          </w:p>
        </w:tc>
        <w:tc>
          <w:tcPr/>
          <w:p>
            <w:pPr>
              <w:pStyle w:val="Compact"/>
              <w:jc w:val="left"/>
            </w:pPr>
            <w:r>
              <w:t xml:space="preserve">autorización con demostración de eficacia y seguridad</w:t>
            </w:r>
          </w:p>
        </w:tc>
        <w:tc>
          <w:tcPr/>
          <w:p>
            <w:pPr>
              <w:pStyle w:val="Compact"/>
              <w:jc w:val="left"/>
            </w:pPr>
            <w:r>
              <w:t xml:space="preserve">insulina, semaglutida, oxitocina</w:t>
            </w:r>
          </w:p>
        </w:tc>
      </w:tr>
      <w:tr>
        <w:tc>
          <w:tcPr/>
          <w:p>
            <w:pPr>
              <w:pStyle w:val="Compact"/>
              <w:jc w:val="left"/>
            </w:pPr>
            <w:r>
              <w:t xml:space="preserve">Alimentos y complementos alimenticios</w:t>
            </w:r>
          </w:p>
        </w:tc>
        <w:tc>
          <w:tcPr/>
          <w:p>
            <w:pPr>
              <w:pStyle w:val="Compact"/>
              <w:jc w:val="left"/>
            </w:pPr>
            <w:r>
              <w:t xml:space="preserve">sin autorización, responsabilidad del fabricante</w:t>
            </w:r>
          </w:p>
        </w:tc>
        <w:tc>
          <w:tcPr/>
          <w:p>
            <w:pPr>
              <w:pStyle w:val="Compact"/>
              <w:jc w:val="left"/>
            </w:pPr>
            <w:r>
              <w:t xml:space="preserve">péptidos de colágeno, péptidos lácteos</w:t>
            </w:r>
          </w:p>
        </w:tc>
      </w:tr>
      <w:tr>
        <w:tc>
          <w:tcPr/>
          <w:p>
            <w:pPr>
              <w:pStyle w:val="Compact"/>
              <w:jc w:val="left"/>
            </w:pPr>
            <w:r>
              <w:t xml:space="preserve">Cosméticos</w:t>
            </w:r>
          </w:p>
        </w:tc>
        <w:tc>
          <w:tcPr/>
          <w:p>
            <w:pPr>
              <w:pStyle w:val="Compact"/>
              <w:jc w:val="left"/>
            </w:pPr>
            <w:r>
              <w:t xml:space="preserve">sin autorización, evaluación de la seguridad por el fabricante</w:t>
            </w:r>
          </w:p>
        </w:tc>
        <w:tc>
          <w:tcPr/>
          <w:p>
            <w:pPr>
              <w:pStyle w:val="Compact"/>
              <w:jc w:val="left"/>
            </w:pPr>
            <w:r>
              <w:t xml:space="preserve">palmitoil pentapéptido-4, Argireline</w:t>
            </w:r>
          </w:p>
        </w:tc>
      </w:tr>
    </w:tbl>
    <w:p>
      <w:pPr>
        <w:pStyle w:val="BodyText"/>
      </w:pPr>
      <w:r>
        <w:t xml:space="preserve">A ellas se suman sustancias que no encajan legalmente en ninguna de estas categorías, como los principios activos no autorizados con efecto farmacológico que se venden como «productos químicos de investigación». Para ellos no existe ninguna vía legal de comercialización como producto para uso en seres humanos.</w:t>
      </w:r>
    </w:p>
    <w:bookmarkEnd w:id="213"/>
    <w:bookmarkStart w:id="214" w:name="qué-es-un-medicamento"/>
    <w:p>
      <w:pPr>
        <w:pStyle w:val="Heading3"/>
      </w:pPr>
      <w:r>
        <w:t xml:space="preserve">Qué es un medicamento</w:t>
      </w:r>
    </w:p>
    <w:p>
      <w:pPr>
        <w:pStyle w:val="FirstParagraph"/>
      </w:pPr>
      <w:r>
        <w:t xml:space="preserve">La definición de medicamento está establecida en la UE por una directiva (Directiva 2001/83/CE) y transpuesta en las leyes nacionales del medicamento. Tiene dos vertientes:</w:t>
      </w:r>
    </w:p>
    <w:p>
      <w:pPr>
        <w:numPr>
          <w:ilvl w:val="0"/>
          <w:numId w:val="1028"/>
        </w:numPr>
        <w:pStyle w:val="Compact"/>
      </w:pPr>
      <w:r>
        <w:rPr>
          <w:bCs/>
          <w:b/>
        </w:rPr>
        <w:t xml:space="preserve">Medicamento por presentación</w:t>
      </w:r>
      <w:r>
        <w:t xml:space="preserve">: un producto es un medicamento si se</w:t>
      </w:r>
      <w:r>
        <w:t xml:space="preserve"> </w:t>
      </w:r>
      <w:r>
        <w:rPr>
          <w:bCs/>
          <w:b/>
        </w:rPr>
        <w:t xml:space="preserve">presenta</w:t>
      </w:r>
      <w:r>
        <w:t xml:space="preserve"> </w:t>
      </w:r>
      <w:r>
        <w:t xml:space="preserve">como un medio para curar o prevenir enfermedades. La simple publicidad con afirmaciones como «acelera la curación de las lesiones tendinosas» puede convertir un producto en medicamento.</w:t>
      </w:r>
    </w:p>
    <w:p>
      <w:pPr>
        <w:numPr>
          <w:ilvl w:val="0"/>
          <w:numId w:val="1028"/>
        </w:numPr>
        <w:pStyle w:val="Compact"/>
      </w:pPr>
      <w:r>
        <w:rPr>
          <w:bCs/>
          <w:b/>
        </w:rPr>
        <w:t xml:space="preserve">Medicamento por función</w:t>
      </w:r>
      <w:r>
        <w:t xml:space="preserve">: un producto es un medicamento si puede restablecer, corregir o modificar las funciones fisiológicas humanas mediante una</w:t>
      </w:r>
      <w:r>
        <w:t xml:space="preserve"> </w:t>
      </w:r>
      <w:r>
        <w:rPr>
          <w:bCs/>
          <w:b/>
        </w:rPr>
        <w:t xml:space="preserve">acción farmacológica, inmunológica o metabólica</w:t>
      </w:r>
      <w:r>
        <w:t xml:space="preserve">, con independencia de cómo se anuncie.</w:t>
      </w:r>
    </w:p>
    <w:p>
      <w:pPr>
        <w:pStyle w:val="FirstParagraph"/>
      </w:pPr>
      <w:r>
        <w:t xml:space="preserve">Si un producto se ajusta tanto a la definición de medicamento como a la de otro producto, según esta directiva prevalece en caso de duda la legislación sobre medicamentos. Para los péptidos con efecto de tipo hormonal —como los liberadores de hormona del crecimiento, los análogos de GLP-1 o el melanotán— esto significa que, por regla general, son medicamentos, aunque se declaren como complemento alimenticio, cosmético o «producto químico de investigación».</w:t>
      </w:r>
    </w:p>
    <w:bookmarkEnd w:id="214"/>
    <w:bookmarkStart w:id="215" w:name="autorización-en-la-ue"/>
    <w:p>
      <w:pPr>
        <w:pStyle w:val="Heading3"/>
      </w:pPr>
      <w:r>
        <w:t xml:space="preserve">Autorización en la UE</w:t>
      </w:r>
    </w:p>
    <w:p>
      <w:pPr>
        <w:pStyle w:val="FirstParagraph"/>
      </w:pPr>
      <w:r>
        <w:t xml:space="preserve">En la UE, un medicamento solo puede comercializarse si está autorizado. Para la autorización, el fabricante debe presentar datos sobre calidad, eficacia y seguridad, normalmente procedentes de los estudios de fase 3 descritos en el capítulo «Cómo leer correctamente los estudios».</w:t>
      </w:r>
    </w:p>
    <w:p>
      <w:pPr>
        <w:pStyle w:val="BodyText"/>
      </w:pPr>
      <w:r>
        <w:t xml:space="preserve">Existen dos vías principales:</w:t>
      </w:r>
    </w:p>
    <w:p>
      <w:pPr>
        <w:numPr>
          <w:ilvl w:val="0"/>
          <w:numId w:val="1029"/>
        </w:numPr>
        <w:pStyle w:val="Compact"/>
      </w:pPr>
      <w:r>
        <w:rPr>
          <w:bCs/>
          <w:b/>
        </w:rPr>
        <w:t xml:space="preserve">Procedimiento centralizado</w:t>
      </w:r>
      <w:r>
        <w:t xml:space="preserve"> </w:t>
      </w:r>
      <w:r>
        <w:t xml:space="preserve">a través de la Agencia Europea de Medicamentos (EMA). La autorización es entonces válida en todos los Estados miembros. Para los medicamentos obtenidos por biotecnología y los nuevos principios activos contra determinadas enfermedades —entre ellas la diabetes— esta vía es obligatoria. La mayoría de los medicamentos peptídicos modernos están autorizados por el procedimiento centralizado.</w:t>
      </w:r>
    </w:p>
    <w:p>
      <w:pPr>
        <w:numPr>
          <w:ilvl w:val="0"/>
          <w:numId w:val="1029"/>
        </w:numPr>
        <w:pStyle w:val="Compact"/>
      </w:pPr>
      <w:r>
        <w:rPr>
          <w:bCs/>
          <w:b/>
        </w:rPr>
        <w:t xml:space="preserve">Procedimientos nacionales y descentralizados</w:t>
      </w:r>
      <w:r>
        <w:t xml:space="preserve"> </w:t>
      </w:r>
      <w:r>
        <w:t xml:space="preserve">a través de las autoridades de los Estados miembros: en Austria, la Oficina Federal de Seguridad en la Asistencia Sanitaria (BASG); en Alemania, el Instituto Federal de Medicamentos y Productos Sanitarios (BfArM) o, para determinados medicamentos biológicos, el Instituto Paul Ehrlich.</w:t>
      </w:r>
    </w:p>
    <w:p>
      <w:pPr>
        <w:pStyle w:val="FirstParagraph"/>
      </w:pPr>
      <w:r>
        <w:t xml:space="preserve">Junto con la autorización se determina si un medicamento está</w:t>
      </w:r>
      <w:r>
        <w:t xml:space="preserve"> </w:t>
      </w:r>
      <w:r>
        <w:rPr>
          <w:bCs/>
          <w:b/>
        </w:rPr>
        <w:t xml:space="preserve">sujeto a prescripción médica</w:t>
      </w:r>
      <w:r>
        <w:t xml:space="preserve">. Casi todos los medicamentos peptídicos lo están. Las indicaciones exactas, las dosis, las contraindicaciones y los efectos adversos figuran en la</w:t>
      </w:r>
      <w:r>
        <w:t xml:space="preserve"> </w:t>
      </w:r>
      <w:r>
        <w:rPr>
          <w:bCs/>
          <w:b/>
        </w:rPr>
        <w:t xml:space="preserve">ficha técnica</w:t>
      </w:r>
      <w:r>
        <w:t xml:space="preserve"> </w:t>
      </w:r>
      <w:r>
        <w:t xml:space="preserve">(para profesionales) y en el</w:t>
      </w:r>
      <w:r>
        <w:t xml:space="preserve"> </w:t>
      </w:r>
      <w:r>
        <w:rPr>
          <w:bCs/>
          <w:b/>
        </w:rPr>
        <w:t xml:space="preserve">prospecto</w:t>
      </w:r>
      <w:r>
        <w:t xml:space="preserve">. La autorización es válida para indicaciones concretas. Los médicos pueden, en determinadas condiciones, prescribir un medicamento autorizado también fuera de esas indicaciones (uso fuera de indicación, «off-label»), pero asumen entonces una mayor responsabilidad en cuanto a la información al paciente y la ponderación de riesgos; por regla general, el seguro de enfermedad no asume los costes.</w:t>
      </w:r>
    </w:p>
    <w:p>
      <w:pPr>
        <w:pStyle w:val="BodyText"/>
      </w:pPr>
      <w:r>
        <w:t xml:space="preserve">Algunos péptidos que aparecen en este libro están autorizados en otros países, pero no en la UE, como algunos preparados utilizados en Rusia. Una autorización extranjera no hace que un producto pueda comercializarse en la UE.</w:t>
      </w:r>
    </w:p>
    <w:bookmarkEnd w:id="215"/>
    <w:bookmarkStart w:id="217" w:name="complementos-alimenticios"/>
    <w:p>
      <w:pPr>
        <w:pStyle w:val="Heading3"/>
      </w:pPr>
      <w:r>
        <w:t xml:space="preserve">Complementos alimenticios</w:t>
      </w:r>
    </w:p>
    <w:p>
      <w:pPr>
        <w:pStyle w:val="FirstParagraph"/>
      </w:pPr>
      <w:r>
        <w:t xml:space="preserve">Desde el punto de vista jurídico, los complementos alimenticios son alimentos. Su finalidad es complementar la dieta normal y contienen nutrientes u otras sustancias con efecto nutricional o fisiológico (Directiva 2002/46/CE).</w:t>
      </w:r>
      <w:r>
        <w:t xml:space="preserve"> </w:t>
      </w:r>
      <w:r>
        <w:rPr>
          <w:bCs/>
          <w:b/>
        </w:rPr>
        <w:t xml:space="preserve">No necesitan autorización.</w:t>
      </w:r>
      <w:r>
        <w:t xml:space="preserve"> </w:t>
      </w:r>
      <w:r>
        <w:t xml:space="preserve">Según el país, deben notificarse a una autoridad antes de su primera venta; en Alemania, por ejemplo, a la Oficina Federal de Protección del Consumidor y Seguridad Alimentaria. El fabricante es responsable de la seguridad, y la inspección alimentaria realiza controles por muestreo.</w:t>
      </w:r>
    </w:p>
    <w:p>
      <w:pPr>
        <w:pStyle w:val="BodyText"/>
      </w:pPr>
      <w:r>
        <w:t xml:space="preserve">Límites importantes:</w:t>
      </w:r>
    </w:p>
    <w:p>
      <w:pPr>
        <w:numPr>
          <w:ilvl w:val="0"/>
          <w:numId w:val="1030"/>
        </w:numPr>
        <w:pStyle w:val="Compact"/>
      </w:pPr>
      <w:r>
        <w:t xml:space="preserve">Una sustancia con efecto farmacológico no puede ser un complemento alimenticio. Si aun así se vende como tal, se trata de un medicamento no autorizado.</w:t>
      </w:r>
    </w:p>
    <w:p>
      <w:pPr>
        <w:numPr>
          <w:ilvl w:val="0"/>
          <w:numId w:val="1030"/>
        </w:numPr>
        <w:pStyle w:val="Compact"/>
      </w:pPr>
      <w:r>
        <w:rPr>
          <w:bCs/>
          <w:b/>
        </w:rPr>
        <w:t xml:space="preserve">Las declaraciones de propiedades saludables</w:t>
      </w:r>
      <w:r>
        <w:t xml:space="preserve"> </w:t>
      </w:r>
      <w:r>
        <w:t xml:space="preserve">como «favorece las articulaciones» o «reduce la presión arterial» solo están permitidas si la UE las ha autorizado tras su evaluación por la Autoridad Europea de Seguridad Alimentaria (EFSA) y figuran en una lista (Reglamento (CE) n.º 1924/2006). Para muchos de los efectos que se anuncian de los alimentos con péptidos no existe, según nuestro conocimiento, ninguna declaración autorizada. La publicidad que, pese a ello, promete tal efecto es ilícita.</w:t>
      </w:r>
    </w:p>
    <w:p>
      <w:pPr>
        <w:numPr>
          <w:ilvl w:val="0"/>
          <w:numId w:val="1030"/>
        </w:numPr>
        <w:pStyle w:val="Compact"/>
      </w:pPr>
      <w:r>
        <w:rPr>
          <w:bCs/>
          <w:b/>
        </w:rPr>
        <w:t xml:space="preserve">Las declaraciones relativas a enfermedades</w:t>
      </w:r>
      <w:r>
        <w:t xml:space="preserve"> </w:t>
      </w:r>
      <w:r>
        <w:t xml:space="preserve">(como «actúa contra la artrosis») están prohibidas con carácter general para los alimentos.</w:t>
      </w:r>
    </w:p>
    <w:p>
      <w:pPr>
        <w:pStyle w:val="FirstParagraph"/>
      </w:pPr>
      <w:r>
        <w:t xml:space="preserve">Que tampoco los complementos alimenticios están libres de principios activos prohibidos lo muestra un caso de un laboratorio antidopaje: en comprimidos ofrecidos como complemento alimenticio de venta libre se detectó el péptido liberador de hormona del crecimiento GHRP-2</w:t>
      </w:r>
      <w:r>
        <w:rPr>
          <w:rStyle w:val="FootnoteReference"/>
        </w:rPr>
        <w:footnoteReference w:id="216"/>
      </w:r>
      <w:r>
        <w:t xml:space="preserve">.</w:t>
      </w:r>
    </w:p>
    <w:bookmarkEnd w:id="217"/>
    <w:bookmarkStart w:id="218" w:name="nuevos-alimentos-novel-food"/>
    <w:p>
      <w:pPr>
        <w:pStyle w:val="Heading3"/>
      </w:pPr>
      <w:r>
        <w:t xml:space="preserve">Nuevos alimentos (Novel Food)</w:t>
      </w:r>
    </w:p>
    <w:p>
      <w:pPr>
        <w:pStyle w:val="FirstParagraph"/>
      </w:pPr>
      <w:r>
        <w:t xml:space="preserve">Un obstáculo propio para los alimentos es el</w:t>
      </w:r>
      <w:r>
        <w:t xml:space="preserve"> </w:t>
      </w:r>
      <w:r>
        <w:rPr>
          <w:bCs/>
          <w:b/>
        </w:rPr>
        <w:t xml:space="preserve">Reglamento sobre nuevos alimentos</w:t>
      </w:r>
      <w:r>
        <w:t xml:space="preserve"> </w:t>
      </w:r>
      <w:r>
        <w:t xml:space="preserve">(Reglamento (UE) 2015/2283). Se consideran «nuevos» los alimentos e ingredientes que no se utilizaron en una medida significativa para el consumo humano en la UE antes del 15 de mayo de 1997. Solo pueden venderse tras una evaluación de la seguridad y una autorización de la UE.</w:t>
      </w:r>
    </w:p>
    <w:p>
      <w:pPr>
        <w:pStyle w:val="BodyText"/>
      </w:pPr>
      <w:r>
        <w:t xml:space="preserve">Para los péptidos esto significa que los hidrolizados de colágeno obtenidos de la gelatina tienen un largo historial de consumo y no son nuevos alimentos. En cambio, un péptido de nueva síntesis sin historial de consumo que se pretenda vender como alimento sería en principio un nuevo alimento y necesitaría una autorización, salvo que, de todos modos, deba clasificarse como medicamento por su efecto farmacológico. Si una sustancia se considera un nuevo alimento debe examinarse caso por caso; la Comisión Europea mantiene un catálogo al respecto.</w:t>
      </w:r>
    </w:p>
    <w:bookmarkEnd w:id="218"/>
    <w:bookmarkStart w:id="219" w:name="cosméticos"/>
    <w:p>
      <w:pPr>
        <w:pStyle w:val="Heading3"/>
      </w:pPr>
      <w:r>
        <w:t xml:space="preserve">Cosméticos</w:t>
      </w:r>
    </w:p>
    <w:p>
      <w:pPr>
        <w:pStyle w:val="FirstParagraph"/>
      </w:pPr>
      <w:r>
        <w:t xml:space="preserve">Los productos cosméticos están regulados en la UE por el Reglamento sobre los productos cosméticos (Reglamento (CE) n.º 1223/2009). Están destinados a la aplicación externa en la piel, el cabello, las uñas, los labios, los dientes o las mucosas de la cavidad bucal, con el fin de limpiar, cuidar, proteger o modificar el aspecto.</w:t>
      </w:r>
    </w:p>
    <w:p>
      <w:pPr>
        <w:numPr>
          <w:ilvl w:val="0"/>
          <w:numId w:val="1031"/>
        </w:numPr>
        <w:pStyle w:val="Compact"/>
      </w:pPr>
      <w:r>
        <w:t xml:space="preserve">Los cosméticos</w:t>
      </w:r>
      <w:r>
        <w:t xml:space="preserve"> </w:t>
      </w:r>
      <w:r>
        <w:rPr>
          <w:bCs/>
          <w:b/>
        </w:rPr>
        <w:t xml:space="preserve">no necesitan autorización</w:t>
      </w:r>
      <w:r>
        <w:t xml:space="preserve">. No obstante, una persona responsable en la UE debe presentar una evaluación de la seguridad y notificar el producto en un portal de la UE antes de su venta.</w:t>
      </w:r>
    </w:p>
    <w:p>
      <w:pPr>
        <w:numPr>
          <w:ilvl w:val="0"/>
          <w:numId w:val="1031"/>
        </w:numPr>
        <w:pStyle w:val="Compact"/>
      </w:pPr>
      <w:r>
        <w:t xml:space="preserve">Determinadas sustancias están prohibidas o solo se permiten con restricciones.</w:t>
      </w:r>
    </w:p>
    <w:p>
      <w:pPr>
        <w:numPr>
          <w:ilvl w:val="0"/>
          <w:numId w:val="1031"/>
        </w:numPr>
        <w:pStyle w:val="Compact"/>
      </w:pPr>
      <w:r>
        <w:t xml:space="preserve">Las afirmaciones publicitarias deben poder justificarse y no deben inducir a error. Las afirmaciones sobre el tratamiento de enfermedades no están permitidas.</w:t>
      </w:r>
    </w:p>
    <w:p>
      <w:pPr>
        <w:numPr>
          <w:ilvl w:val="0"/>
          <w:numId w:val="1031"/>
        </w:numPr>
        <w:pStyle w:val="Compact"/>
      </w:pPr>
      <w:r>
        <w:rPr>
          <w:bCs/>
          <w:b/>
        </w:rPr>
        <w:t xml:space="preserve">Lo que se inyecta nunca es un cosmético.</w:t>
      </w:r>
      <w:r>
        <w:t xml:space="preserve"> </w:t>
      </w:r>
      <w:r>
        <w:t xml:space="preserve">Las inyecciones no entran en la definición de productos cosméticos.</w:t>
      </w:r>
    </w:p>
    <w:p>
      <w:pPr>
        <w:pStyle w:val="FirstParagraph"/>
      </w:pPr>
      <w:r>
        <w:t xml:space="preserve">Por eso, los péptidos cosméticos como el palmitoil pentapéptido-4 o el acetil hexapéptido-8 son legales en cremas y sérums. En cambio, un péptido como el melanotán II, que se inyecta bajo la piel y actúa en todo el cuerpo, no es un cosmético, aunque se anuncie como «bronceador».</w:t>
      </w:r>
    </w:p>
    <w:bookmarkEnd w:id="219"/>
    <w:bookmarkStart w:id="220" w:name="austria"/>
    <w:p>
      <w:pPr>
        <w:pStyle w:val="Heading3"/>
      </w:pPr>
      <w:r>
        <w:t xml:space="preserve">Austria</w:t>
      </w:r>
    </w:p>
    <w:p>
      <w:pPr>
        <w:pStyle w:val="FirstParagraph"/>
      </w:pPr>
      <w:r>
        <w:t xml:space="preserve">En Austria, la</w:t>
      </w:r>
      <w:r>
        <w:t xml:space="preserve"> </w:t>
      </w:r>
      <w:r>
        <w:rPr>
          <w:bCs/>
          <w:b/>
        </w:rPr>
        <w:t xml:space="preserve">Ley del Medicamento (Arzneimittelgesetz, AMG)</w:t>
      </w:r>
      <w:r>
        <w:t xml:space="preserve"> </w:t>
      </w:r>
      <w:r>
        <w:t xml:space="preserve">regula la autorización, la fabricación y la dispensación de medicamentos. La autoridad competente para la autorización y la supervisión es la Oficina Federal de Seguridad en la Asistencia Sanitaria (BASG), con la AGES Medizinmarktaufsicht. Los medicamentos sujetos a prescripción médica solo se dispensan en farmacias con receta; la venta a distancia por parte de las farmacias se limita a los medicamentos no sujetos a prescripción médica.</w:t>
      </w:r>
    </w:p>
    <w:p>
      <w:pPr>
        <w:pStyle w:val="BodyText"/>
      </w:pPr>
      <w:r>
        <w:t xml:space="preserve">La importación de medicamentos está regulada por la</w:t>
      </w:r>
      <w:r>
        <w:t xml:space="preserve"> </w:t>
      </w:r>
      <w:r>
        <w:rPr>
          <w:bCs/>
          <w:b/>
        </w:rPr>
        <w:t xml:space="preserve">Ley de Importación de Medicamentos (Arzneiwareneinfuhrgesetz)</w:t>
      </w:r>
      <w:r>
        <w:t xml:space="preserve">. Los particulares solo pueden importar medicamentos en determinadas condiciones y en cantidades para su necesidad personal; para los pedidos procedentes de países fuera del Espacio Económico Europeo rigen normas más estrictas. Los principios activos no autorizados de las tiendas de «productos químicos de investigación» no cumplen, por regla general, estas condiciones. La aduana puede incautar estos envíos.</w:t>
      </w:r>
    </w:p>
    <w:p>
      <w:pPr>
        <w:pStyle w:val="BodyText"/>
      </w:pPr>
      <w:r>
        <w:t xml:space="preserve">Para el deporte rige la</w:t>
      </w:r>
      <w:r>
        <w:t xml:space="preserve"> </w:t>
      </w:r>
      <w:r>
        <w:rPr>
          <w:bCs/>
          <w:b/>
        </w:rPr>
        <w:t xml:space="preserve">Ley Federal Antidopaje de 2021 (Anti-Doping-Bundesgesetz 2021)</w:t>
      </w:r>
      <w:r>
        <w:t xml:space="preserve">. Remite a la Lista de Prohibiciones de la Agencia Mundial Antidopaje y contiene prohibiciones y disposiciones penales, en particular para la comercialización y la cesión de principios activos prohibidos. La autoridad competente para los controles es la Agencia Nacional Antidopaje de Austria (NADA Austria).</w:t>
      </w:r>
    </w:p>
    <w:p>
      <w:pPr>
        <w:pStyle w:val="BodyText"/>
      </w:pPr>
      <w:r>
        <w:t xml:space="preserve">Estado en 2026; comprueba la información actualizada.</w:t>
      </w:r>
    </w:p>
    <w:bookmarkEnd w:id="220"/>
    <w:bookmarkStart w:id="221" w:name="alemania"/>
    <w:p>
      <w:pPr>
        <w:pStyle w:val="Heading3"/>
      </w:pPr>
      <w:r>
        <w:t xml:space="preserve">Alemania</w:t>
      </w:r>
    </w:p>
    <w:p>
      <w:pPr>
        <w:pStyle w:val="FirstParagraph"/>
      </w:pPr>
      <w:r>
        <w:t xml:space="preserve">En Alemania rige la</w:t>
      </w:r>
      <w:r>
        <w:t xml:space="preserve"> </w:t>
      </w:r>
      <w:r>
        <w:rPr>
          <w:bCs/>
          <w:b/>
        </w:rPr>
        <w:t xml:space="preserve">Ley del Medicamento (Arzneimittelgesetz, AMG)</w:t>
      </w:r>
      <w:r>
        <w:t xml:space="preserve">. Las autoridades de autorización son el BfArM y el Instituto Paul Ehrlich. Los medicamentos sujetos a prescripción médica solo pueden dispensarse con receta, también en la venta a distancia a través de farmacias autorizadas para ello.</w:t>
      </w:r>
    </w:p>
    <w:p>
      <w:pPr>
        <w:pStyle w:val="BodyText"/>
      </w:pPr>
      <w:r>
        <w:t xml:space="preserve">Para la importación rige en principio la prohibición de introducir en Alemania medicamentos no autorizados. Existe una excepción para la necesidad personal cuando el medicamento se comercializa legalmente en el país de origen y se adquiere en un Estado miembro de la UE o del Espacio Económico Europeo sin intermediación comercial; además, existen normas especiales de alcance muy limitado. Para los péptidos del mercado gris, que no están autorizados como medicamento en ningún lugar, esta excepción no se aplica según nuestra interpretación.</w:t>
      </w:r>
    </w:p>
    <w:p>
      <w:pPr>
        <w:pStyle w:val="BodyText"/>
      </w:pPr>
      <w:r>
        <w:t xml:space="preserve">Quien fabrica, comercializa o cede a terceros medicamentos sin autorización puede incurrir en responsabilidad penal según la AMG. Esto se aplica especialmente a los llamados medicamentos cuestionables, respecto de los cuales existe una sospecha fundada de efectos nocivos.</w:t>
      </w:r>
    </w:p>
    <w:p>
      <w:pPr>
        <w:pStyle w:val="BodyText"/>
      </w:pPr>
      <w:r>
        <w:t xml:space="preserve">Para el deporte rige además la</w:t>
      </w:r>
      <w:r>
        <w:t xml:space="preserve"> </w:t>
      </w:r>
      <w:r>
        <w:rPr>
          <w:bCs/>
          <w:b/>
        </w:rPr>
        <w:t xml:space="preserve">Ley Antidopaje (Anti-Doping-Gesetz, AntiDopG)</w:t>
      </w:r>
      <w:r>
        <w:t xml:space="preserve">. Prohíbe, entre otras cosas, la fabricación, el comercio y la comercialización de sustancias dopantes, así como su aplicación a otras personas. La adquisición y la posesión de determinadas sustancias enumeradas en un anexo de la ley —entre ellas las hormonas peptídicas— son punibles en cantidades no insignificantes con fines de dopaje. Para los deportistas de alto nivel, también el autodopaje es punible. La autoridad competente para los controles es la Agencia Nacional Antidopaje de Alemania (NADA).</w:t>
      </w:r>
    </w:p>
    <w:p>
      <w:pPr>
        <w:pStyle w:val="BodyText"/>
      </w:pPr>
      <w:r>
        <w:t xml:space="preserve">Estado en 2026; comprueba la información actualizada.</w:t>
      </w:r>
    </w:p>
    <w:bookmarkEnd w:id="221"/>
    <w:bookmarkStart w:id="224" w:name="estados-unidos"/>
    <w:p>
      <w:pPr>
        <w:pStyle w:val="Heading3"/>
      </w:pPr>
      <w:r>
        <w:t xml:space="preserve">Estados Unidos</w:t>
      </w:r>
    </w:p>
    <w:p>
      <w:pPr>
        <w:pStyle w:val="FirstParagraph"/>
      </w:pPr>
      <w:r>
        <w:t xml:space="preserve">En Estados Unidos, la autoridad competente es la</w:t>
      </w:r>
      <w:r>
        <w:t xml:space="preserve"> </w:t>
      </w:r>
      <w:r>
        <w:rPr>
          <w:bCs/>
          <w:b/>
        </w:rPr>
        <w:t xml:space="preserve">Food and Drug Administration (FDA)</w:t>
      </w:r>
      <w:r>
        <w:t xml:space="preserve">. Los nuevos medicamentos necesitan una autorización (para los principios activos de síntesis química, mediante una «New Drug Application»; para los principios activos biológicos, mediante una «Biologics License Application»).</w:t>
      </w:r>
    </w:p>
    <w:p>
      <w:pPr>
        <w:pStyle w:val="BodyText"/>
      </w:pPr>
      <w:r>
        <w:rPr>
          <w:bCs/>
          <w:b/>
        </w:rPr>
        <w:t xml:space="preserve">Los complementos alimenticios</w:t>
      </w:r>
      <w:r>
        <w:t xml:space="preserve"> </w:t>
      </w:r>
      <w:r>
        <w:t xml:space="preserve">(Dietary Supplements) pueden comercializarse en gran medida sin evaluación previa desde una ley de 1994. Sin embargo, una sustancia que se haya autorizado primero como medicamento o que se haya investigado clínicamente a gran escala como medicamento no puede, en principio, venderse después como complemento alimenticio. Por este motivo, muchos péptidos no pueden comercializarse legalmente como suplemento en Estados Unidos.</w:t>
      </w:r>
    </w:p>
    <w:p>
      <w:pPr>
        <w:pStyle w:val="BodyText"/>
      </w:pPr>
      <w:r>
        <w:rPr>
          <w:bCs/>
          <w:b/>
        </w:rPr>
        <w:t xml:space="preserve">Compounding</w:t>
      </w:r>
      <w:r>
        <w:t xml:space="preserve">: las farmacias estadounidenses pueden, en determinadas condiciones, elaborar medicamentos por sí mismas, de forma individual para pacientes concretos o a mayor escala en establecimientos sometidos a una supervisión especial. En caso de problemas de suministro de medicamentos autorizados, también pueden fabricar copias. Tras el fin de los problemas de suministro de semaglutida y tirzepatida, según la legislación estadounidense solo pueden fabricar preparados que difieran de los autorizados</w:t>
      </w:r>
      <w:r>
        <w:rPr>
          <w:rStyle w:val="FootnoteReference"/>
        </w:rPr>
        <w:footnoteReference w:id="222"/>
      </w:r>
      <w:r>
        <w:t xml:space="preserve">. Qué principios activos pueden utilizarse como materias primas para el compounding lo establece la FDA en listas. Según nuestro conocimiento, la FDA ha clasificado varios péptidos populares del mercado gris, entre ellos el BPC-157, como no aptos para el compounding por motivos de seguridad. Estas listas y el debate político sobre ellas cambian; comprueba la situación actual.</w:t>
      </w:r>
    </w:p>
    <w:p>
      <w:pPr>
        <w:pStyle w:val="BodyText"/>
      </w:pPr>
      <w:r>
        <w:rPr>
          <w:bCs/>
          <w:b/>
        </w:rPr>
        <w:t xml:space="preserve">«Research Use Only»</w:t>
      </w:r>
      <w:r>
        <w:t xml:space="preserve">: la venta de péptidos con la advertencia «solo para fines de investigación» a consumidores se mueve también en Estados Unidos en una zona gris jurídica, que los expertos describen como una forma de eludir la obligación de prescripción médica</w:t>
      </w:r>
      <w:r>
        <w:rPr>
          <w:rStyle w:val="FootnoteReference"/>
        </w:rPr>
        <w:footnoteReference w:id="223"/>
      </w:r>
      <w:r>
        <w:t xml:space="preserve">. La FDA ha enviado cartas de advertencia a algunos vendedores.</w:t>
      </w:r>
    </w:p>
    <w:p>
      <w:pPr>
        <w:pStyle w:val="BodyText"/>
      </w:pPr>
      <w:r>
        <w:rPr>
          <w:bCs/>
          <w:b/>
        </w:rPr>
        <w:t xml:space="preserve">Importación</w:t>
      </w:r>
      <w:r>
        <w:t xml:space="preserve">: la FDA tolera, en condiciones estrictas, la importación de pequeñas cantidades de medicamentos para uso personal. No existe un derecho legal a ello, y los principios activos no autorizados sin seguimiento médico no suelen quedar incluidos.</w:t>
      </w:r>
    </w:p>
    <w:p>
      <w:pPr>
        <w:pStyle w:val="BodyText"/>
      </w:pPr>
      <w:r>
        <w:t xml:space="preserve">Estado en 2026; comprueba la información actualizada.</w:t>
      </w:r>
    </w:p>
    <w:bookmarkEnd w:id="224"/>
    <w:bookmarkStart w:id="226" w:name="X907d45305735f4c62ba9b966d6fa64d11238696"/>
    <w:p>
      <w:pPr>
        <w:pStyle w:val="Heading3"/>
      </w:pPr>
      <w:r>
        <w:t xml:space="preserve">Dopaje: la Lista de Prohibiciones de la WADA</w:t>
      </w:r>
    </w:p>
    <w:p>
      <w:pPr>
        <w:pStyle w:val="FirstParagraph"/>
      </w:pPr>
      <w:r>
        <w:t xml:space="preserve">Para los deportistas sometidos a controles antidopaje, lo determinante es la</w:t>
      </w:r>
      <w:r>
        <w:t xml:space="preserve"> </w:t>
      </w:r>
      <w:r>
        <w:rPr>
          <w:bCs/>
          <w:b/>
        </w:rPr>
        <w:t xml:space="preserve">Lista de Prohibiciones de la Agencia Mundial Antidopaje (WADA)</w:t>
      </w:r>
      <w:r>
        <w:t xml:space="preserve">. Se revisa cada año y entra en vigor el 1 de enero. Para los péptidos son importantes sobre todo dos secciones, que rigen en competición y fuera de competición:</w:t>
      </w:r>
    </w:p>
    <w:p>
      <w:pPr>
        <w:pStyle w:val="BodyText"/>
      </w:pPr>
      <w:r>
        <w:rPr>
          <w:bCs/>
          <w:b/>
        </w:rPr>
        <w:t xml:space="preserve">S0 – Sustancias no aprobadas.</w:t>
      </w:r>
      <w:r>
        <w:t xml:space="preserve"> </w:t>
      </w:r>
      <w:r>
        <w:t xml:space="preserve">Están prohibidas las sustancias farmacológicamente activas que no figuran en ninguna otra sección de la lista y que ninguna autoridad sanitaria ha aprobado para uso humano, como los principios activos en desarrollo preclínico o clínico, los desarrollos interrumpidos, las drogas de diseño y las sustancias aprobadas solo para uso veterinario. Muchos péptidos del mercado gris entran en este grupo. Según nuestro conocimiento, el BPC-157 se menciona expresamente en la lista como ejemplo.</w:t>
      </w:r>
    </w:p>
    <w:p>
      <w:pPr>
        <w:pStyle w:val="BodyText"/>
      </w:pPr>
      <w:r>
        <w:rPr>
          <w:bCs/>
          <w:b/>
        </w:rPr>
        <w:t xml:space="preserve">S2 – Hormonas peptídicas, factores de crecimiento, sustancias relacionadas y miméticos.</w:t>
      </w:r>
      <w:r>
        <w:t xml:space="preserve"> </w:t>
      </w:r>
      <w:r>
        <w:t xml:space="preserve">Aquí se incluyen, entre otros:</w:t>
      </w:r>
    </w:p>
    <w:p>
      <w:pPr>
        <w:numPr>
          <w:ilvl w:val="0"/>
          <w:numId w:val="1032"/>
        </w:numPr>
        <w:pStyle w:val="Compact"/>
      </w:pPr>
      <w:r>
        <w:t xml:space="preserve">la hormona del crecimiento y sus fragmentos (por ejemplo, AOD-9604),</w:t>
      </w:r>
    </w:p>
    <w:p>
      <w:pPr>
        <w:numPr>
          <w:ilvl w:val="0"/>
          <w:numId w:val="1032"/>
        </w:numPr>
        <w:pStyle w:val="Compact"/>
      </w:pPr>
      <w:r>
        <w:t xml:space="preserve">la hormona liberadora de hormona del crecimiento y sus análogos (por ejemplo, CJC-1295, sermorelina, tesamorelina),</w:t>
      </w:r>
    </w:p>
    <w:p>
      <w:pPr>
        <w:numPr>
          <w:ilvl w:val="0"/>
          <w:numId w:val="1032"/>
        </w:numPr>
        <w:pStyle w:val="Compact"/>
      </w:pPr>
      <w:r>
        <w:t xml:space="preserve">los secretagogos de la hormona del crecimiento y los péptidos liberadores de hormona del crecimiento (por ejemplo, ipamorelina, GHRP-2, GHRP-6, hexarelina, macimorelina y, según nuestro conocimiento, también el ibutamoren, que no es un péptido),</w:t>
      </w:r>
    </w:p>
    <w:p>
      <w:pPr>
        <w:numPr>
          <w:ilvl w:val="0"/>
          <w:numId w:val="1032"/>
        </w:numPr>
        <w:pStyle w:val="Compact"/>
      </w:pPr>
      <w:r>
        <w:t xml:space="preserve">los factores de crecimiento como el IGF-1 y sus análogos, así como la timosina beta-4 y sus derivados (por ejemplo, TB-500),</w:t>
      </w:r>
    </w:p>
    <w:p>
      <w:pPr>
        <w:numPr>
          <w:ilvl w:val="0"/>
          <w:numId w:val="1032"/>
        </w:numPr>
        <w:pStyle w:val="Compact"/>
      </w:pPr>
      <w:r>
        <w:t xml:space="preserve">en los hombres, las hormonas y los factores liberadores del eje de las hormonas sexuales (por ejemplo, gonadorelina y kisspeptina).</w:t>
      </w:r>
    </w:p>
    <w:p>
      <w:pPr>
        <w:pStyle w:val="FirstParagraph"/>
      </w:pPr>
      <w:r>
        <w:t xml:space="preserve">Además, en la sección S4 están prohibidas, entre otras, las insulinas como moduladores metabólicos. Según nuestro conocimiento, los medicamentos GLP-1 como la semaglutida o la tirzepatida no figuran actualmente en la Lista de Prohibiciones. La lista menciona ejemplos, pero no es exhaustiva: también pueden estar prohibidas sustancias no mencionadas con una estructura química o un efecto biológico similares.</w:t>
      </w:r>
    </w:p>
    <w:p>
      <w:pPr>
        <w:pStyle w:val="BodyText"/>
      </w:pPr>
      <w:r>
        <w:t xml:space="preserve">En el derecho antidopaje rige la</w:t>
      </w:r>
      <w:r>
        <w:t xml:space="preserve"> </w:t>
      </w:r>
      <w:r>
        <w:rPr>
          <w:bCs/>
          <w:b/>
        </w:rPr>
        <w:t xml:space="preserve">responsabilidad objetiva</w:t>
      </w:r>
      <w:r>
        <w:t xml:space="preserve">: si se encuentra una sustancia prohibida en una muestra, constituye una infracción, con independencia de si se tomó intencionadamente o procede, por ejemplo, de un complemento alimenticio contaminado. Quien necesite por motivos médicos un medicamento autorizado que esté prohibido puede solicitar una</w:t>
      </w:r>
      <w:r>
        <w:t xml:space="preserve"> </w:t>
      </w:r>
      <w:r>
        <w:rPr>
          <w:bCs/>
          <w:b/>
        </w:rPr>
        <w:t xml:space="preserve">autorización de uso terapéutico</w:t>
      </w:r>
      <w:r>
        <w:t xml:space="preserve"> </w:t>
      </w:r>
      <w:r>
        <w:t xml:space="preserve">(Therapeutic Use Exemption, TUE). Para las sustancias no aprobadas de la sección S0, esto está prácticamente excluido.</w:t>
      </w:r>
    </w:p>
    <w:p>
      <w:pPr>
        <w:pStyle w:val="BodyText"/>
      </w:pPr>
      <w:r>
        <w:t xml:space="preserve">Los laboratorios de control antidopaje desarrollan continuamente métodos de detección para nuevos péptidos, a menudo a partir de productos incautados</w:t>
      </w:r>
      <w:r>
        <w:rPr>
          <w:rStyle w:val="FootnoteReference"/>
        </w:rPr>
        <w:footnoteReference w:id="225"/>
      </w:r>
      <w:r>
        <w:t xml:space="preserve">. Que una sustancia no fuera detectable ayer no significa que no lo sea mañana, y las muestras congeladas pueden volver a analizarse años después.</w:t>
      </w:r>
    </w:p>
    <w:p>
      <w:pPr>
        <w:pStyle w:val="BodyText"/>
      </w:pPr>
      <w:r>
        <w:t xml:space="preserve">Estado en 2026; comprueba la Lista de Prohibiciones actual de la WADA.</w:t>
      </w:r>
    </w:p>
    <w:bookmarkEnd w:id="226"/>
    <w:bookmarkStart w:id="227" w:name="responsabilidad-quién-asume-el-riesgo"/>
    <w:p>
      <w:pPr>
        <w:pStyle w:val="Heading3"/>
      </w:pPr>
      <w:r>
        <w:t xml:space="preserve">Responsabilidad: ¿quién asume el riesgo?</w:t>
      </w:r>
    </w:p>
    <w:p>
      <w:pPr>
        <w:pStyle w:val="FirstParagraph"/>
      </w:pPr>
      <w:r>
        <w:t xml:space="preserve">En el caso de los</w:t>
      </w:r>
      <w:r>
        <w:t xml:space="preserve"> </w:t>
      </w:r>
      <w:r>
        <w:rPr>
          <w:bCs/>
          <w:b/>
        </w:rPr>
        <w:t xml:space="preserve">medicamentos autorizados</w:t>
      </w:r>
      <w:r>
        <w:t xml:space="preserve">, los fabricantes, las farmacias y los médicos prescriptores están integrados en un sistema de responsabilidades. En Alemania, la Ley del Medicamento prevé una responsabilidad especial del fabricante por los daños causados por medicamentos autorizados, que no depende de la culpa; en Austria se aplican el derecho general de daños y la Ley de Responsabilidad por Productos. Los efectos adversos se notifican, se analizan y pueden dar lugar a advertencias o retiradas del mercado.</w:t>
      </w:r>
    </w:p>
    <w:p>
      <w:pPr>
        <w:pStyle w:val="BodyText"/>
      </w:pPr>
      <w:r>
        <w:t xml:space="preserve">En el caso de los</w:t>
      </w:r>
      <w:r>
        <w:t xml:space="preserve"> </w:t>
      </w:r>
      <w:r>
        <w:rPr>
          <w:bCs/>
          <w:b/>
        </w:rPr>
        <w:t xml:space="preserve">productos del mercado gris</w:t>
      </w:r>
      <w:r>
        <w:t xml:space="preserve">, este sistema falta en gran medida:</w:t>
      </w:r>
    </w:p>
    <w:p>
      <w:pPr>
        <w:numPr>
          <w:ilvl w:val="0"/>
          <w:numId w:val="1033"/>
        </w:numPr>
        <w:pStyle w:val="Compact"/>
      </w:pPr>
      <w:r>
        <w:t xml:space="preserve">Los vendedores suelen estar en el extranjero, cambian a menudo de nombre y de sitio web y son prácticamente inalcanzables.</w:t>
      </w:r>
    </w:p>
    <w:p>
      <w:pPr>
        <w:numPr>
          <w:ilvl w:val="0"/>
          <w:numId w:val="1033"/>
        </w:numPr>
        <w:pStyle w:val="Compact"/>
      </w:pPr>
      <w:r>
        <w:t xml:space="preserve">Con la advertencia «no apto para uso en seres humanos» intentan eludir toda responsabilidad.</w:t>
      </w:r>
    </w:p>
    <w:p>
      <w:pPr>
        <w:numPr>
          <w:ilvl w:val="0"/>
          <w:numId w:val="1033"/>
        </w:numPr>
        <w:pStyle w:val="Compact"/>
      </w:pPr>
      <w:r>
        <w:t xml:space="preserve">Quien utiliza un producto de este tipo en sí mismo asume en gran medida en solitario el riesgo sanitario y económico.</w:t>
      </w:r>
    </w:p>
    <w:p>
      <w:pPr>
        <w:numPr>
          <w:ilvl w:val="0"/>
          <w:numId w:val="1033"/>
        </w:numPr>
        <w:pStyle w:val="Compact"/>
      </w:pPr>
      <w:r>
        <w:t xml:space="preserve">Quien cede un producto de este tipo a otras personas o lo aplica a otras personas —por ejemplo, en un gimnasio, un centro de estética o de bienestar— puede incurrir en responsabilidad penal y, en determinadas circunstancias, responder de los daños.</w:t>
      </w:r>
    </w:p>
    <w:p>
      <w:pPr>
        <w:pStyle w:val="FirstParagraph"/>
      </w:pPr>
      <w:r>
        <w:t xml:space="preserve">También en la</w:t>
      </w:r>
      <w:r>
        <w:t xml:space="preserve"> </w:t>
      </w:r>
      <w:r>
        <w:rPr>
          <w:bCs/>
          <w:b/>
        </w:rPr>
        <w:t xml:space="preserve">aplicación por parte de médicos</w:t>
      </w:r>
      <w:r>
        <w:t xml:space="preserve"> </w:t>
      </w:r>
      <w:r>
        <w:t xml:space="preserve">rigen criterios estrictos. Quien administra principios activos no autorizados debe informar exhaustivamente sobre la incertidumbre de los datos y responde en caso de errores de tratamiento. Son posibles consecuencias disciplinarias.</w:t>
      </w:r>
    </w:p>
    <w:bookmarkEnd w:id="227"/>
    <w:bookmarkStart w:id="228" w:name="la-situación-jurídica-de-un-vistazo"/>
    <w:p>
      <w:pPr>
        <w:pStyle w:val="Heading3"/>
      </w:pPr>
      <w:r>
        <w:t xml:space="preserve">La situación jurídica de un vistazo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Situación</w:t>
            </w:r>
          </w:p>
        </w:tc>
        <w:tc>
          <w:tcPr/>
          <w:p>
            <w:pPr>
              <w:pStyle w:val="Compact"/>
              <w:jc w:val="left"/>
            </w:pPr>
            <w:r>
              <w:t xml:space="preserve">Clasificación (simplificada)</w:t>
            </w:r>
          </w:p>
        </w:tc>
      </w:tr>
      <w:tr>
        <w:tc>
          <w:tcPr/>
          <w:p>
            <w:pPr>
              <w:pStyle w:val="Compact"/>
              <w:jc w:val="left"/>
            </w:pPr>
            <w:r>
              <w:t xml:space="preserve">Péptido autorizado con receta en la farmacia</w:t>
            </w:r>
          </w:p>
        </w:tc>
        <w:tc>
          <w:tcPr/>
          <w:p>
            <w:pPr>
              <w:pStyle w:val="Compact"/>
              <w:jc w:val="left"/>
            </w:pPr>
            <w:r>
              <w:t xml:space="preserve">legal, con seguimiento médico</w:t>
            </w:r>
          </w:p>
        </w:tc>
      </w:tr>
      <w:tr>
        <w:tc>
          <w:tcPr/>
          <w:p>
            <w:pPr>
              <w:pStyle w:val="Compact"/>
              <w:jc w:val="left"/>
            </w:pPr>
            <w:r>
              <w:t xml:space="preserve">Péptido autorizado sin receta comprado en internet</w:t>
            </w:r>
          </w:p>
        </w:tc>
        <w:tc>
          <w:tcPr/>
          <w:p>
            <w:pPr>
              <w:pStyle w:val="Compact"/>
              <w:jc w:val="left"/>
            </w:pPr>
            <w:r>
              <w:t xml:space="preserve">por lo general ilegal, riesgo de falsificación</w:t>
            </w:r>
          </w:p>
        </w:tc>
      </w:tr>
      <w:tr>
        <w:tc>
          <w:tcPr/>
          <w:p>
            <w:pPr>
              <w:pStyle w:val="Compact"/>
              <w:jc w:val="left"/>
            </w:pPr>
            <w:r>
              <w:t xml:space="preserve">Péptido no autorizado como «producto químico de investigación»</w:t>
            </w:r>
          </w:p>
        </w:tc>
        <w:tc>
          <w:tcPr/>
          <w:p>
            <w:pPr>
              <w:pStyle w:val="Compact"/>
              <w:jc w:val="left"/>
            </w:pPr>
            <w:r>
              <w:t xml:space="preserve">por lo general, medicamento no comercializable</w:t>
            </w:r>
          </w:p>
        </w:tc>
      </w:tr>
      <w:tr>
        <w:tc>
          <w:tcPr/>
          <w:p>
            <w:pPr>
              <w:pStyle w:val="Compact"/>
              <w:jc w:val="left"/>
            </w:pPr>
            <w:r>
              <w:t xml:space="preserve">Péptidos de colágeno como alimento</w:t>
            </w:r>
          </w:p>
        </w:tc>
        <w:tc>
          <w:tcPr/>
          <w:p>
            <w:pPr>
              <w:pStyle w:val="Compact"/>
              <w:jc w:val="left"/>
            </w:pPr>
            <w:r>
              <w:t xml:space="preserve">legal, afirmaciones publicitarias restringidas</w:t>
            </w:r>
          </w:p>
        </w:tc>
      </w:tr>
      <w:tr>
        <w:tc>
          <w:tcPr/>
          <w:p>
            <w:pPr>
              <w:pStyle w:val="Compact"/>
              <w:jc w:val="left"/>
            </w:pPr>
            <w:r>
              <w:t xml:space="preserve">Crema con péptidos como cosmético</w:t>
            </w:r>
          </w:p>
        </w:tc>
        <w:tc>
          <w:tcPr/>
          <w:p>
            <w:pPr>
              <w:pStyle w:val="Compact"/>
              <w:jc w:val="left"/>
            </w:pPr>
            <w:r>
              <w:t xml:space="preserve">legal, siempre que sea segura y no se anuncie como remedio</w:t>
            </w:r>
          </w:p>
        </w:tc>
      </w:tr>
      <w:tr>
        <w:tc>
          <w:tcPr/>
          <w:p>
            <w:pPr>
              <w:pStyle w:val="Compact"/>
              <w:jc w:val="left"/>
            </w:pPr>
            <w:r>
              <w:t xml:space="preserve">Péptido prohibido en el deporte sometido a control</w:t>
            </w:r>
          </w:p>
        </w:tc>
        <w:tc>
          <w:tcPr/>
          <w:p>
            <w:pPr>
              <w:pStyle w:val="Compact"/>
              <w:jc w:val="left"/>
            </w:pPr>
            <w:r>
              <w:t xml:space="preserve">infracción de dopaje, en parte punible</w:t>
            </w:r>
          </w:p>
        </w:tc>
      </w:tr>
    </w:tbl>
    <w:bookmarkEnd w:id="228"/>
    <w:bookmarkStart w:id="229" w:name="lo-esencial-en-resumen-4"/>
    <w:p>
      <w:pPr>
        <w:pStyle w:val="Heading3"/>
      </w:pPr>
      <w:r>
        <w:t xml:space="preserve">Lo esencial en resumen</w:t>
      </w:r>
    </w:p>
    <w:p>
      <w:pPr>
        <w:numPr>
          <w:ilvl w:val="0"/>
          <w:numId w:val="1034"/>
        </w:numPr>
        <w:pStyle w:val="Compact"/>
      </w:pPr>
      <w:r>
        <w:t xml:space="preserve">Que un péptido sea un medicamento, un alimento o un cosmético depende de su efecto, su finalidad y su presentación. Si tiene efecto farmacológico, prevalece la legislación sobre medicamentos.</w:t>
      </w:r>
    </w:p>
    <w:p>
      <w:pPr>
        <w:numPr>
          <w:ilvl w:val="0"/>
          <w:numId w:val="1034"/>
        </w:numPr>
        <w:pStyle w:val="Compact"/>
      </w:pPr>
      <w:r>
        <w:t xml:space="preserve">Los medicamentos necesitan una autorización. La mayoría de los medicamentos peptídicos están sujetos a prescripción médica.</w:t>
      </w:r>
    </w:p>
    <w:p>
      <w:pPr>
        <w:numPr>
          <w:ilvl w:val="0"/>
          <w:numId w:val="1034"/>
        </w:numPr>
        <w:pStyle w:val="Compact"/>
      </w:pPr>
      <w:r>
        <w:t xml:space="preserve">La leyenda «solo para fines de investigación» no hace legal la venta a particulares ni los protege.</w:t>
      </w:r>
    </w:p>
    <w:p>
      <w:pPr>
        <w:numPr>
          <w:ilvl w:val="0"/>
          <w:numId w:val="1034"/>
        </w:numPr>
        <w:pStyle w:val="Compact"/>
      </w:pPr>
      <w:r>
        <w:t xml:space="preserve">Muchos péptidos del mercado gris están prohibidos en el deporte, a menudo a través de las secciones S0 y S2 de la lista de la WADA.</w:t>
      </w:r>
    </w:p>
    <w:p>
      <w:pPr>
        <w:numPr>
          <w:ilvl w:val="0"/>
          <w:numId w:val="1034"/>
        </w:numPr>
        <w:pStyle w:val="Compact"/>
      </w:pPr>
      <w:r>
        <w:t xml:space="preserve">Con los productos del mercado gris, los usuarios asumen el riesgo en gran medida en solitario.</w:t>
      </w:r>
    </w:p>
    <w:p>
      <w:pPr>
        <w:pStyle w:val="FirstParagraph"/>
      </w:pPr>
      <w:r>
        <w:t xml:space="preserve">Todos los datos de este capítulo: estado en 2026, no constituyen asesoramiento jurídico; comprueba la información actualizada.</w:t>
      </w:r>
    </w:p>
    <w:bookmarkEnd w:id="229"/>
    <w:bookmarkEnd w:id="230"/>
    <w:bookmarkEnd w:id="231"/>
    <w:bookmarkStart w:id="893" w:name="parte-ii-a-metabolismo-y-peso"/>
    <w:p>
      <w:pPr>
        <w:pStyle w:val="Heading1"/>
      </w:pPr>
      <w:r>
        <w:t xml:space="preserve">Parte II · A – Metabolismo y peso</w:t>
      </w:r>
    </w:p>
    <w:p>
      <w:pPr>
        <w:pStyle w:val="FirstParagraph"/>
      </w:pPr>
      <w:r>
        <w:t xml:space="preserve">Ningún grupo de péptidos ha transformado tanto la medicina de los últimos años como los principios activos de esta sección. Se desarrollaron originalmente para la diabetes tipo 2, se convirtieron después en los medicamentos para adelgazar más eficaces que hayan existido nunca y en la actualidad se investigan en la insuficiencia cardíaca, la apnea del sueño, el hígado graso y las enfermedades renales. Al mismo tiempo, pocos ámbitos están tan afectados por el mercado gris: principios activos que aún están en fase de estudio se venden en internet como «Research Peptides».</w:t>
      </w:r>
    </w:p>
    <w:bookmarkStart w:id="232" w:name="X551b07a061f46f2563c19c340f0c56a008e93a4"/>
    <w:p>
      <w:pPr>
        <w:pStyle w:val="Heading3"/>
      </w:pPr>
      <w:r>
        <w:t xml:space="preserve">Lo que une a estos principios activos: hormonas del intestino y del páncreas</w:t>
      </w:r>
    </w:p>
    <w:p>
      <w:pPr>
        <w:pStyle w:val="FirstParagraph"/>
      </w:pPr>
      <w:r>
        <w:t xml:space="preserve">Casi todos los principios activos de este grupo imitan hormonas que el organismo libera en torno a una comida. Conviene que conozcas cuatro de ellas:</w:t>
      </w:r>
    </w:p>
    <w:p>
      <w:pPr>
        <w:numPr>
          <w:ilvl w:val="0"/>
          <w:numId w:val="1035"/>
        </w:numPr>
        <w:pStyle w:val="Compact"/>
      </w:pPr>
      <w:r>
        <w:rPr>
          <w:bCs/>
          <w:b/>
        </w:rPr>
        <w:t xml:space="preserve">El GLP-1 (péptido similar al glucagón tipo 1)</w:t>
      </w:r>
      <w:r>
        <w:t xml:space="preserve"> </w:t>
      </w:r>
      <w:r>
        <w:t xml:space="preserve">es liberado por células del intestino delgado y del intestino grueso en cuanto llegan los alimentos. Aumenta la secreción de insulina —pero solo si la glucemia está elevada—, frena el vaciamiento gástrico y comunica saciedad al cerebro. El GLP-1 endógeno se degrada en pocos minutos; los medicamentos están modificados de manera que actúan entre un día y una semana.</w:t>
      </w:r>
    </w:p>
    <w:p>
      <w:pPr>
        <w:numPr>
          <w:ilvl w:val="0"/>
          <w:numId w:val="1035"/>
        </w:numPr>
        <w:pStyle w:val="Compact"/>
      </w:pPr>
      <w:r>
        <w:rPr>
          <w:bCs/>
          <w:b/>
        </w:rPr>
        <w:t xml:space="preserve">El GIP (polipéptido insulinotrópico dependiente de glucosa)</w:t>
      </w:r>
      <w:r>
        <w:t xml:space="preserve"> </w:t>
      </w:r>
      <w:r>
        <w:t xml:space="preserve">procede de la parte superior del intestino delgado y también aumenta la secreción de insulina. Su papel en el apetito y el peso corporal es contradictorio: la tirzepatida activa el receptor de GIP, el maridebart cafraglutida lo bloquea, y ambos provocan pérdida de peso.</w:t>
      </w:r>
    </w:p>
    <w:p>
      <w:pPr>
        <w:numPr>
          <w:ilvl w:val="0"/>
          <w:numId w:val="1035"/>
        </w:numPr>
        <w:pStyle w:val="Compact"/>
      </w:pPr>
      <w:r>
        <w:rPr>
          <w:bCs/>
          <w:b/>
        </w:rPr>
        <w:t xml:space="preserve">El glucagón</w:t>
      </w:r>
      <w:r>
        <w:t xml:space="preserve"> </w:t>
      </w:r>
      <w:r>
        <w:t xml:space="preserve">es la hormona antagonista de la insulina y procede del páncreas. Eleva la glucemia, pero también aumenta el gasto energético y la degradación de grasa en el hígado. Los principios activos más recientes aprovechan de forma específica esta segunda faceta.</w:t>
      </w:r>
    </w:p>
    <w:p>
      <w:pPr>
        <w:numPr>
          <w:ilvl w:val="0"/>
          <w:numId w:val="1035"/>
        </w:numPr>
        <w:pStyle w:val="Compact"/>
      </w:pPr>
      <w:r>
        <w:rPr>
          <w:bCs/>
          <w:b/>
        </w:rPr>
        <w:t xml:space="preserve">La amilina</w:t>
      </w:r>
      <w:r>
        <w:t xml:space="preserve"> </w:t>
      </w:r>
      <w:r>
        <w:t xml:space="preserve">se libera junto con la insulina desde las células beta del páncreas. Actúa en el tronco encefálico produciendo saciedad y ralentiza el vaciamiento gástrico.</w:t>
      </w:r>
    </w:p>
    <w:p>
      <w:pPr>
        <w:pStyle w:val="FirstParagraph"/>
      </w:pPr>
      <w:r>
        <w:t xml:space="preserve">El GLP-1 y el GIP se denominan</w:t>
      </w:r>
      <w:r>
        <w:t xml:space="preserve"> </w:t>
      </w:r>
      <w:r>
        <w:rPr>
          <w:bCs/>
          <w:b/>
        </w:rPr>
        <w:t xml:space="preserve">incretinas</w:t>
      </w:r>
      <w:r>
        <w:t xml:space="preserve"> </w:t>
      </w:r>
      <w:r>
        <w:t xml:space="preserve">(del inglés «INtestinal seCRETion of INsulin», es decir, secreción de insulina desencadenada por el intestino): explican por qué el azúcar ingerido libera más insulina que la misma cantidad de azúcar administrada directamente en la vena. La evolución puede leerse como una secuencia de etapas: primero agonistas puros del GLP-1, luego combinaciones con GIP, glucagón o amilina en una sola molécula y, por último, comprimidos que ya ni siquiera son péptidos.</w:t>
      </w:r>
    </w:p>
    <w:p>
      <w:pPr>
        <w:pStyle w:val="BodyText"/>
      </w:pPr>
      <w:r>
        <w:t xml:space="preserve">Dos principios activos de este grupo no encajan en este esquema: la</w:t>
      </w:r>
      <w:r>
        <w:t xml:space="preserve"> </w:t>
      </w:r>
      <w:r>
        <w:rPr>
          <w:bCs/>
          <w:b/>
        </w:rPr>
        <w:t xml:space="preserve">setmelanotida</w:t>
      </w:r>
      <w:r>
        <w:t xml:space="preserve"> </w:t>
      </w:r>
      <w:r>
        <w:t xml:space="preserve">actúa a un nivel más profundo del cerebro, en el receptor de melanocortina 4, y solo está pensada para formas genéticas raras de obesidad. El</w:t>
      </w:r>
      <w:r>
        <w:t xml:space="preserve"> </w:t>
      </w:r>
      <w:r>
        <w:rPr>
          <w:bCs/>
          <w:b/>
        </w:rPr>
        <w:t xml:space="preserve">AOD-9604</w:t>
      </w:r>
      <w:r>
        <w:t xml:space="preserve"> </w:t>
      </w:r>
      <w:r>
        <w:t xml:space="preserve">es un fragmento de la hormona del crecimiento que se comercializa como «quemagrasas» sin que existan estudios publicados en seres humanos.</w:t>
      </w:r>
    </w:p>
    <w:bookmarkEnd w:id="232"/>
    <w:bookmarkStart w:id="233" w:name="visión-de-conjunto"/>
    <w:p>
      <w:pPr>
        <w:pStyle w:val="Heading3"/>
      </w:pPr>
      <w:r>
        <w:t xml:space="preserve">Visión de conjunto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pocas palabras</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primer agonista del GLP-1, procedente del veneno de un lagarto</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inyección diaria, genéricos</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semanal, fusión con anticuerpo</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inyección y comprimido, protección cardíaca demostrada</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GIP más GLP-1, referencia en 2026</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GLP-1 y glucagón</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glucagón más GLP-1, foco en el hígado</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solo China</w:t>
            </w:r>
          </w:p>
        </w:tc>
        <w:tc>
          <w:tcPr/>
          <w:p>
            <w:pPr>
              <w:pStyle w:val="Compact"/>
              <w:jc w:val="left"/>
            </w:pPr>
            <w:r>
              <w:t xml:space="preserve">glucagón más GLP-1</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combinada con semaglutida</w:t>
            </w:r>
          </w:p>
        </w:tc>
      </w:tr>
      <w:tr>
        <w:tc>
          <w:tcPr/>
          <w:p>
            <w:pPr>
              <w:pStyle w:val="Compact"/>
              <w:jc w:val="left"/>
            </w:pPr>
            <w:r>
              <w:t xml:space="preserve">Amicretina (zenagamtida)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y GLP-1 en una sola molécula</w:t>
            </w:r>
          </w:p>
        </w:tc>
      </w:tr>
      <w:tr>
        <w:tc>
          <w:tcPr/>
          <w:p>
            <w:pPr>
              <w:pStyle w:val="Compact"/>
              <w:jc w:val="left"/>
            </w:pPr>
            <w:r>
              <w:t xml:space="preserve">Maridebart cafraglutida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bloqueante del GIP, administración mensual</w:t>
            </w:r>
          </w:p>
        </w:tc>
      </w:tr>
      <w:tr>
        <w:tc>
          <w:tcPr/>
          <w:p>
            <w:pPr>
              <w:pStyle w:val="Compact"/>
              <w:jc w:val="left"/>
            </w:pPr>
            <w:r>
              <w:t xml:space="preserve">Pramlintida</w:t>
            </w:r>
          </w:p>
        </w:tc>
        <w:tc>
          <w:tcPr/>
          <w:p>
            <w:pPr>
              <w:pStyle w:val="Compact"/>
              <w:jc w:val="left"/>
            </w:pPr>
            <w:r>
              <w:t xml:space="preserve">A</w:t>
            </w:r>
          </w:p>
        </w:tc>
        <w:tc>
          <w:tcPr/>
          <w:p>
            <w:pPr>
              <w:pStyle w:val="Compact"/>
              <w:jc w:val="left"/>
            </w:pPr>
            <w:r>
              <w:t xml:space="preserve">solo EE. UU.</w:t>
            </w:r>
          </w:p>
        </w:tc>
        <w:tc>
          <w:tcPr/>
          <w:p>
            <w:pPr>
              <w:pStyle w:val="Compact"/>
              <w:jc w:val="left"/>
            </w:pPr>
            <w:r>
              <w:t xml:space="preserve">primer medicamento con amilina</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obesidad genética rara</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w:t>
            </w:r>
          </w:p>
        </w:tc>
        <w:tc>
          <w:tcPr/>
          <w:p>
            <w:pPr>
              <w:pStyle w:val="Compact"/>
              <w:jc w:val="left"/>
            </w:pPr>
            <w:r>
              <w:t xml:space="preserve">fragmento de hormona del crecimiento, mercado gris</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pendiente</w:t>
            </w:r>
          </w:p>
        </w:tc>
        <w:tc>
          <w:tcPr/>
          <w:p>
            <w:pPr>
              <w:pStyle w:val="Compact"/>
              <w:jc w:val="left"/>
            </w:pPr>
            <w:r>
              <w:t xml:space="preserve">no es un péptido, comprimido (comparación)</w:t>
            </w:r>
          </w:p>
        </w:tc>
      </w:tr>
    </w:tbl>
    <w:p>
      <w:pPr>
        <w:pStyle w:val="BodyText"/>
      </w:pPr>
      <w:r>
        <w:t xml:space="preserve">Los niveles de evidencia se explican en la Parte I. Los datos de autorización se refieren al estado de octubre de 2026 y a al menos una indicación; los detalles figuran en el capítulo correspondiente. Comprueba la situación actual, porque precisamente en este grupo las autorizaciones cambian con rapidez.</w:t>
      </w:r>
    </w:p>
    <w:bookmarkEnd w:id="233"/>
    <w:bookmarkStart w:id="234" w:name="indicaciones-de-lectura"/>
    <w:p>
      <w:pPr>
        <w:pStyle w:val="Heading3"/>
      </w:pPr>
      <w:r>
        <w:t xml:space="preserve">Indicaciones de lectura</w:t>
      </w:r>
    </w:p>
    <w:p>
      <w:pPr>
        <w:pStyle w:val="FirstParagraph"/>
      </w:pPr>
      <w:r>
        <w:t xml:space="preserve">Los capítulos siguen a grandes rasgos la evolución histórica: de los agonistas del GLP-1 consolidados (de la exenatida a la semaglutida) a los principios activos combinados (de la tirzepatida al maridebart cafraglutida), pasando por los casos especiales (pramlintida, setmelanotida, AOD-9604) y, por último, al orforglipron, que se incluye a efectos comparativos como sustancia no peptídica.</w:t>
      </w:r>
    </w:p>
    <w:p>
      <w:pPr>
        <w:pStyle w:val="BodyText"/>
      </w:pPr>
      <w:r>
        <w:t xml:space="preserve">Si deseas hacerte una idea rápida, empieza por la semaglutida y la tirzepatida: todos los demás se miden con ellas. Las comparaciones directas de la pérdida de peso, la reducción de la glucemia, los resultados cardiovasculares y los efectos adversos de todos los principios activos se encuentran en la Parte III. Los riesgos de la clase, como los problemas de la vesícula biliar y del páncreas, la pérdida de masa muscular y las cuestiones relativas a la tiroides, se tratan en detalle en la Parte IV.</w:t>
      </w:r>
    </w:p>
    <w:p>
      <w:pPr>
        <w:pStyle w:val="BodyText"/>
      </w:pPr>
      <w:r>
        <w:t xml:space="preserve">Dos principios rigen para todo el grupo: en primer lugar, los capítulos describen resultados de estudios, no instrucciones de tratamiento; para los medicamentos autorizados, lo determinante son la ficha técnica y el seguimiento médico. En segundo lugar, con casi todos los principios activos se recupera gran parte del peso perdido cuando termina el tratamiento. Estos medicamentos actúan mientras se toman; no son una cura.</w:t>
      </w:r>
    </w:p>
    <w:bookmarkEnd w:id="234"/>
    <w:bookmarkStart w:id="289" w:name="exenatida"/>
    <w:p>
      <w:pPr>
        <w:pStyle w:val="Heading2"/>
      </w:pPr>
      <w:r>
        <w:t xml:space="preserve">Exenatida</w:t>
      </w:r>
    </w:p>
    <w:bookmarkStart w:id="236" w:name="ficha"/>
    <w:p>
      <w:pPr>
        <w:pStyle w:val="Heading3"/>
      </w:pPr>
      <w:r>
        <w:t xml:space="preserve">Ficha</w:t>
      </w:r>
    </w:p>
    <w:p>
      <w:pPr>
        <w:numPr>
          <w:ilvl w:val="0"/>
          <w:numId w:val="1036"/>
        </w:numPr>
        <w:pStyle w:val="Compact"/>
      </w:pPr>
      <w:r>
        <w:rPr>
          <w:bCs/>
          <w:b/>
        </w:rPr>
        <w:t xml:space="preserve">Tipo/estructura:</w:t>
      </w:r>
      <w:r>
        <w:t xml:space="preserve"> </w:t>
      </w:r>
      <w:r>
        <w:t xml:space="preserve">péptido de 39 aminoácidos, forma sintética de la exendina-4. Aproximadamente la mitad de la secuencia coincide con la hormona intestinal humana GLP-1.</w:t>
      </w:r>
    </w:p>
    <w:p>
      <w:pPr>
        <w:numPr>
          <w:ilvl w:val="0"/>
          <w:numId w:val="1036"/>
        </w:numPr>
        <w:pStyle w:val="Compact"/>
      </w:pPr>
      <w:r>
        <w:rPr>
          <w:bCs/>
          <w:b/>
        </w:rPr>
        <w:t xml:space="preserve">Origen:</w:t>
      </w:r>
      <w:r>
        <w:t xml:space="preserve"> </w:t>
      </w:r>
      <w:r>
        <w:t xml:space="preserve">la exendina-4 se aisló en 1992 del veneno del monstruo de Gila (</w:t>
      </w:r>
      <w:r>
        <w:rPr>
          <w:iCs/>
          <w:i/>
        </w:rPr>
        <w:t xml:space="preserve">Heloderma suspectum</w:t>
      </w:r>
      <w:r>
        <w:t xml:space="preserve">)</w:t>
      </w:r>
      <w:r>
        <w:rPr>
          <w:rStyle w:val="FootnoteReference"/>
        </w:rPr>
        <w:footnoteReference w:id="235"/>
      </w:r>
      <w:r>
        <w:t xml:space="preserve">.</w:t>
      </w:r>
    </w:p>
    <w:p>
      <w:pPr>
        <w:numPr>
          <w:ilvl w:val="0"/>
          <w:numId w:val="1036"/>
        </w:numPr>
        <w:pStyle w:val="Compact"/>
      </w:pPr>
      <w:r>
        <w:rPr>
          <w:bCs/>
          <w:b/>
        </w:rPr>
        <w:t xml:space="preserve">Principio de acción:</w:t>
      </w:r>
      <w:r>
        <w:t xml:space="preserve"> </w:t>
      </w:r>
      <w:r>
        <w:t xml:space="preserve">agonista del receptor de GLP-1. La exenatida imita la hormona de la saciedad e incretina GLP-1, pero se degrada mucho más lentamente.</w:t>
      </w:r>
    </w:p>
    <w:p>
      <w:pPr>
        <w:numPr>
          <w:ilvl w:val="0"/>
          <w:numId w:val="1036"/>
        </w:numPr>
        <w:pStyle w:val="Compact"/>
      </w:pPr>
      <w:r>
        <w:rPr>
          <w:bCs/>
          <w:b/>
        </w:rPr>
        <w:t xml:space="preserve">Formas de administración:</w:t>
      </w:r>
      <w:r>
        <w:t xml:space="preserve"> </w:t>
      </w:r>
      <w:r>
        <w:t xml:space="preserve">dos veces al día (Byetta) y una vez a la semana como depósito con microesferas (Bydureon, más tarde en pluma precargada o autoinyector). En estudios, además: implante con bomba (ITCA 650) y variantes pegiladas (PB-119, NLY01).</w:t>
      </w:r>
    </w:p>
    <w:p>
      <w:pPr>
        <w:numPr>
          <w:ilvl w:val="0"/>
          <w:numId w:val="1036"/>
        </w:numPr>
        <w:pStyle w:val="Compact"/>
      </w:pPr>
      <w:r>
        <w:rPr>
          <w:bCs/>
          <w:b/>
        </w:rPr>
        <w:t xml:space="preserve">Autorización UE:</w:t>
      </w:r>
      <w:r>
        <w:t xml:space="preserve"> </w:t>
      </w:r>
      <w:r>
        <w:t xml:space="preserve">sí, para el tratamiento de la diabetes tipo 2 (Byetta, Bydureon). Sin autorización para la reducción de peso.</w:t>
      </w:r>
    </w:p>
    <w:p>
      <w:pPr>
        <w:numPr>
          <w:ilvl w:val="0"/>
          <w:numId w:val="1036"/>
        </w:numPr>
        <w:pStyle w:val="Compact"/>
      </w:pPr>
      <w:r>
        <w:rPr>
          <w:bCs/>
          <w:b/>
        </w:rPr>
        <w:t xml:space="preserve">Autorización EE. UU.:</w:t>
      </w:r>
      <w:r>
        <w:t xml:space="preserve"> </w:t>
      </w:r>
      <w:r>
        <w:t xml:space="preserve">sí, diabetes tipo 2 (Byetta en 2005 como primer agonista del receptor de GLP-1, Bydureon/Bydureon BCise); la forma semanal también para adolescentes a partir de 10 años. Entre tanto existen allí también preparados de imitación de la forma de dos veces al día. La disponibilidad de algunos preparados varía; comprueba la información actualizada.</w:t>
      </w:r>
    </w:p>
    <w:p>
      <w:pPr>
        <w:numPr>
          <w:ilvl w:val="0"/>
          <w:numId w:val="1036"/>
        </w:numPr>
        <w:pStyle w:val="Compact"/>
      </w:pPr>
      <w:r>
        <w:rPr>
          <w:bCs/>
          <w:b/>
        </w:rPr>
        <w:t xml:space="preserve">WADA:</w:t>
      </w:r>
      <w:r>
        <w:t xml:space="preserve"> </w:t>
      </w:r>
      <w:r>
        <w:t xml:space="preserve">no figura en la lista.</w:t>
      </w:r>
    </w:p>
    <w:p>
      <w:pPr>
        <w:numPr>
          <w:ilvl w:val="0"/>
          <w:numId w:val="1036"/>
        </w:numPr>
        <w:pStyle w:val="Compact"/>
      </w:pPr>
      <w:r>
        <w:rPr>
          <w:bCs/>
          <w:b/>
        </w:rPr>
        <w:t xml:space="preserve">Nivel de evidencia:</w:t>
      </w:r>
      <w:r>
        <w:t xml:space="preserve"> </w:t>
      </w:r>
      <w:r>
        <w:rPr>
          <w:bCs/>
          <w:b/>
        </w:rPr>
        <w:t xml:space="preserve">A</w:t>
      </w:r>
      <w:r>
        <w:t xml:space="preserve"> </w:t>
      </w:r>
      <w:r>
        <w:t xml:space="preserve">– numerosos estudios aleatorizados grandes, un gran estudio de resultados cardiovasculares, autorización desde 2005.</w:t>
      </w:r>
    </w:p>
    <w:bookmarkEnd w:id="236"/>
    <w:bookmarkStart w:id="237" w:name="cómo-se-supone-que-actúa"/>
    <w:p>
      <w:pPr>
        <w:pStyle w:val="Heading3"/>
      </w:pPr>
      <w:r>
        <w:t xml:space="preserve">Cómo se supone que actúa</w:t>
      </w:r>
    </w:p>
    <w:p>
      <w:pPr>
        <w:pStyle w:val="FirstParagraph"/>
      </w:pPr>
      <w:r>
        <w:t xml:space="preserve">Después de una comida, el intestino libera la hormona GLP-1 (péptido similar al glucagón tipo 1). Esta indica al páncreas que libere más insulina, pero solo mientras la glucemia esté elevada. Al mismo tiempo, frena la hormona glucagón, que eleva la glucemia, ralentiza el vaciamiento gástrico y actúa en el cerebro sobre los centros que regulan el hambre y la saciedad. Como la liberación de insulina depende de la glucosa, los agonistas del receptor de GLP-1 por sí solos rara vez causan hipoglucemias.</w:t>
      </w:r>
    </w:p>
    <w:p>
      <w:pPr>
        <w:pStyle w:val="BodyText"/>
      </w:pPr>
      <w:r>
        <w:t xml:space="preserve">El GLP-1 endógeno, sin embargo, tiene un inconveniente decisivo: la enzima DPP-4 lo descompone en unos dos minutos. Por eso, como medicamento es inservible. La exendina-4 del veneno del lagarto también se une al receptor de GLP-1, pero es en gran medida insensible a la DPP-4. Este descubrimiento casual convirtió a la exenatida en el primer representante de una clase de principios activos que, dos décadas después, transformaría la medicina con la semaglutida y la tirzepatida.</w:t>
      </w:r>
    </w:p>
    <w:p>
      <w:pPr>
        <w:pStyle w:val="BodyText"/>
      </w:pPr>
      <w:r>
        <w:t xml:space="preserve">La forma original actúa solo unas horas y por eso debe inyectarse dos veces al día antes de las comidas principales. Reduce sobre todo la subida de la glucemia después de comer, entre otras cosas porque ralentiza claramente el vaciamiento gástrico. La forma semanal encierra el mismo principio activo en microesferas de plástico biodegradable (PLGA), desde las que se libera lentamente. Así, la concentración se mantiene más constante; el efecto sobre la glucemia en ayunas es mayor, y el efecto sobre el vaciamiento gástrico se atenúa algo con el tiempo.</w:t>
      </w:r>
    </w:p>
    <w:p>
      <w:pPr>
        <w:pStyle w:val="BodyText"/>
      </w:pPr>
      <w:r>
        <w:t xml:space="preserve">Una diferencia importante con los principios activos posteriores: la exenatida solo se parece al GLP-1 humano en aproximadamente la mitad. Por eso, el sistema inmunitario la reconoce con más frecuencia como extraña y forma anticuerpos. En la mayoría de las personas tratadas esto no tiene consecuencias; en una pequeña parte con concentraciones altas de anticuerpos, el efecto puede disminuir.</w:t>
      </w:r>
    </w:p>
    <w:bookmarkEnd w:id="237"/>
    <w:bookmarkStart w:id="265" w:name="estudios-en-humanos"/>
    <w:p>
      <w:pPr>
        <w:pStyle w:val="Heading3"/>
      </w:pPr>
      <w:r>
        <w:t xml:space="preserve">Estudios en humanos</w:t>
      </w:r>
    </w:p>
    <w:p>
      <w:pPr>
        <w:pStyle w:val="FirstParagraph"/>
      </w:pPr>
      <w:r>
        <w:t xml:space="preserve">Los datos de estudios sobre la exenatida son abundantes. La consulta de PubMed analizada para este libro (término de búsqueda «exenatide» en el título o el resumen, fecha de consulta octubre de 2026) arrojó 437 estudios en seres humanos; en ClinicalTrials.gov figuran 379 registros con exenatida. Muchos de ellos son pequeños estudios de mecanismo o de combinación. Para la valoración son relevantes sobre todo tres grupos: los programas de registro AMIGO (forma de dos veces al día) y DURATION (forma semanal), el estudio de resultados cardiovasculares EXSCEL y una serie de estudios más allá de la diabetes, en particular sobre la enfermedad de Parkinson.</w:t>
      </w:r>
    </w:p>
    <w:bookmarkStart w:id="239" w:name="Xc9510acfa07e2e823a5933fddc1685ce1b89594"/>
    <w:p>
      <w:pPr>
        <w:pStyle w:val="Heading4"/>
      </w:pPr>
      <w:r>
        <w:t xml:space="preserve">Los estudios AMIGO: el comienzo de la clase</w:t>
      </w:r>
    </w:p>
    <w:p>
      <w:pPr>
        <w:pStyle w:val="FirstParagraph"/>
      </w:pPr>
      <w:r>
        <w:t xml:space="preserve">Tres estudios controlados con placebo de 30 semanas cada uno constituyeron la base de la primera autorización. Evaluaron la exenatida dos veces al día (5 o 10 microgramos por administración) como complemento de los comprimidos que ya se tomaban.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 (grupo de 10 µg frente a placebo)</w:t>
            </w:r>
          </w:p>
        </w:tc>
      </w:tr>
      <w:tr>
        <w:tc>
          <w:tcPr/>
          <w:p>
            <w:pPr>
              <w:pStyle w:val="Compact"/>
              <w:jc w:val="left"/>
            </w:pPr>
            <w:r>
              <w:t xml:space="preserve">Buse 2004, PMID 15504997</w:t>
            </w:r>
          </w:p>
        </w:tc>
        <w:tc>
          <w:tcPr/>
          <w:p>
            <w:pPr>
              <w:pStyle w:val="Compact"/>
              <w:jc w:val="left"/>
            </w:pPr>
            <w:r>
              <w:t xml:space="preserve">diabetes tipo 2 con sulfonilurea, RCT frente a placebo</w:t>
            </w:r>
          </w:p>
        </w:tc>
        <w:tc>
          <w:tcPr/>
          <w:p>
            <w:pPr>
              <w:pStyle w:val="Compact"/>
              <w:jc w:val="left"/>
            </w:pPr>
            <w:r>
              <w:t xml:space="preserve">30 semanas</w:t>
            </w:r>
          </w:p>
        </w:tc>
        <w:tc>
          <w:tcPr/>
          <w:p>
            <w:pPr>
              <w:pStyle w:val="Compact"/>
              <w:jc w:val="left"/>
            </w:pPr>
            <w:r>
              <w:t xml:space="preserve">HbA1c −0,86 frente a +0,12 puntos porcentuales; peso −1,6 kg</w:t>
            </w:r>
          </w:p>
        </w:tc>
      </w:tr>
      <w:tr>
        <w:tc>
          <w:tcPr/>
          <w:p>
            <w:pPr>
              <w:pStyle w:val="Compact"/>
              <w:jc w:val="left"/>
            </w:pPr>
            <w:r>
              <w:t xml:space="preserve">DeFronzo 2005, PMID 15855572</w:t>
            </w:r>
          </w:p>
        </w:tc>
        <w:tc>
          <w:tcPr/>
          <w:p>
            <w:pPr>
              <w:pStyle w:val="Compact"/>
              <w:jc w:val="left"/>
            </w:pPr>
            <w:r>
              <w:t xml:space="preserve">diabetes tipo 2 con metformina, RCT frente a placebo</w:t>
            </w:r>
          </w:p>
        </w:tc>
        <w:tc>
          <w:tcPr/>
          <w:p>
            <w:pPr>
              <w:pStyle w:val="Compact"/>
              <w:jc w:val="left"/>
            </w:pPr>
            <w:r>
              <w:t xml:space="preserve">30 semanas</w:t>
            </w:r>
          </w:p>
        </w:tc>
        <w:tc>
          <w:tcPr/>
          <w:p>
            <w:pPr>
              <w:pStyle w:val="Compact"/>
              <w:jc w:val="left"/>
            </w:pPr>
            <w:r>
              <w:t xml:space="preserve">HbA1c −0,78 frente a +0,08; peso −2,8 kg; el 46 % frente al 13 % alcanzó una HbA1c ≤ 7 %</w:t>
            </w:r>
          </w:p>
        </w:tc>
      </w:tr>
      <w:tr>
        <w:tc>
          <w:tcPr/>
          <w:p>
            <w:pPr>
              <w:pStyle w:val="Compact"/>
              <w:jc w:val="left"/>
            </w:pPr>
            <w:r>
              <w:t xml:space="preserve">Kendall 2005, PMID 15855571</w:t>
            </w:r>
          </w:p>
        </w:tc>
        <w:tc>
          <w:tcPr/>
          <w:p>
            <w:pPr>
              <w:pStyle w:val="Compact"/>
              <w:jc w:val="left"/>
            </w:pPr>
            <w:r>
              <w:t xml:space="preserve">diabetes tipo 2 con metformina más sulfonilurea, RCT</w:t>
            </w:r>
          </w:p>
        </w:tc>
        <w:tc>
          <w:tcPr/>
          <w:p>
            <w:pPr>
              <w:pStyle w:val="Compact"/>
              <w:jc w:val="left"/>
            </w:pPr>
            <w:r>
              <w:t xml:space="preserve">30 semanas</w:t>
            </w:r>
          </w:p>
        </w:tc>
        <w:tc>
          <w:tcPr/>
          <w:p>
            <w:pPr>
              <w:pStyle w:val="Compact"/>
              <w:jc w:val="left"/>
            </w:pPr>
            <w:r>
              <w:t xml:space="preserve">HbA1c −0,8 frente a +0,2; hipoglucemias leves 28 % frente a 13 %</w:t>
            </w:r>
          </w:p>
        </w:tc>
      </w:tr>
      <w:tr>
        <w:tc>
          <w:tcPr/>
          <w:p>
            <w:pPr>
              <w:pStyle w:val="Compact"/>
              <w:jc w:val="left"/>
            </w:pPr>
            <w:r>
              <w:t xml:space="preserve">Heine 2005, PMID 16230722</w:t>
            </w:r>
          </w:p>
        </w:tc>
        <w:tc>
          <w:tcPr/>
          <w:p>
            <w:pPr>
              <w:pStyle w:val="Compact"/>
              <w:jc w:val="left"/>
            </w:pPr>
            <w:r>
              <w:t xml:space="preserve">551 personas, comparación abierta con insulina glargina</w:t>
            </w:r>
          </w:p>
        </w:tc>
        <w:tc>
          <w:tcPr/>
          <w:p>
            <w:pPr>
              <w:pStyle w:val="Compact"/>
              <w:jc w:val="left"/>
            </w:pPr>
            <w:r>
              <w:t xml:space="preserve">26 semanas</w:t>
            </w:r>
          </w:p>
        </w:tc>
        <w:tc>
          <w:tcPr/>
          <w:p>
            <w:pPr>
              <w:pStyle w:val="Compact"/>
              <w:jc w:val="left"/>
            </w:pPr>
            <w:r>
              <w:t xml:space="preserve">HbA1c −1,11 en ambos grupos; peso −2,3 kg frente a +1,8 kg</w:t>
            </w:r>
          </w:p>
        </w:tc>
      </w:tr>
    </w:tbl>
    <w:p>
      <w:pPr>
        <w:pStyle w:val="BodyText"/>
      </w:pPr>
      <w:r>
        <w:t xml:space="preserve">El valor de HbA1c (glucemia a largo plazo) describe la proporción de hemoglobina «glucosilada» de los glóbulos rojos y refleja la glucemia de los últimos dos o tres meses. Una reducción de 0,8 a 1 punto porcentual se consideraba entonces clínicamente relevante. La novedad era que el peso no aumentaba, como era habitual con la insulina o las sulfonilureas, sino que disminuía. Sin embargo, el estudio de Kendall también muestra que, en combinación con una sulfonilurea, que libera insulina con independencia de la glucemia, aumentaron las hipoglucemias leves.</w:t>
      </w:r>
    </w:p>
    <w:p>
      <w:pPr>
        <w:pStyle w:val="BodyText"/>
      </w:pPr>
      <w:r>
        <w:t xml:space="preserve">En la comparación directa con la insulina glargina</w:t>
      </w:r>
      <w:r>
        <w:rPr>
          <w:rStyle w:val="FootnoteReference"/>
        </w:rPr>
        <w:footnoteReference w:id="238"/>
      </w:r>
      <w:r>
        <w:t xml:space="preserve">, ambos tratamientos redujeron la HbA1c en la misma medida. La diferencia de peso fue de 4,1 kg a favor de la exenatida, y las hipoglucemias nocturnas fueron menos frecuentes (0,9 frente a 2,4 episodios por paciente-año). El precio: las náuseas aparecieron en el 57,1 % frente al 8,6 %, y los vómitos en el 17,4 % frente al 3,7 %. El 19,4 % del grupo de exenatida abandonó el estudio, frente al 9,7 % con insulina.</w:t>
      </w:r>
    </w:p>
    <w:bookmarkEnd w:id="239"/>
    <w:bookmarkStart w:id="243" w:name="el-programa-duration-una-vez-a-la-semana"/>
    <w:p>
      <w:pPr>
        <w:pStyle w:val="Heading4"/>
      </w:pPr>
      <w:r>
        <w:t xml:space="preserve">El programa DURATION: una vez a la semana</w:t>
      </w:r>
    </w:p>
    <w:p>
      <w:pPr>
        <w:pStyle w:val="FirstParagraph"/>
      </w:pPr>
      <w:r>
        <w:t xml:space="preserve">La forma semanal se evaluó en una serie de estudios denominada DURATION: frente a la forma de dos veces al día, frente a comprimidos, frente a insulina y frente a liraglutida.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DURATION-1 (Drucker 2008), PMID 18782641</w:t>
            </w:r>
          </w:p>
        </w:tc>
        <w:tc>
          <w:tcPr/>
          <w:p>
            <w:pPr>
              <w:pStyle w:val="Compact"/>
              <w:jc w:val="left"/>
            </w:pPr>
            <w:r>
              <w:t xml:space="preserve">295 personas, abierto: exenatida semanal frente a dos veces al día</w:t>
            </w:r>
          </w:p>
        </w:tc>
        <w:tc>
          <w:tcPr/>
          <w:p>
            <w:pPr>
              <w:pStyle w:val="Compact"/>
              <w:jc w:val="left"/>
            </w:pPr>
            <w:r>
              <w:t xml:space="preserve">30 semanas</w:t>
            </w:r>
          </w:p>
        </w:tc>
        <w:tc>
          <w:tcPr/>
          <w:p>
            <w:pPr>
              <w:pStyle w:val="Compact"/>
              <w:jc w:val="left"/>
            </w:pPr>
            <w:r>
              <w:t xml:space="preserve">HbA1c −1,9 frente a −1,5; objetivo ≤ 7 % en el 77 % frente al 61 %</w:t>
            </w:r>
          </w:p>
        </w:tc>
      </w:tr>
      <w:tr>
        <w:tc>
          <w:tcPr/>
          <w:p>
            <w:pPr>
              <w:pStyle w:val="Compact"/>
              <w:jc w:val="left"/>
            </w:pPr>
            <w:r>
              <w:t xml:space="preserve">DURATION-1, datos a 5 años (Wysham 2015), PMID 25744115</w:t>
            </w:r>
          </w:p>
        </w:tc>
        <w:tc>
          <w:tcPr/>
          <w:p>
            <w:pPr>
              <w:pStyle w:val="Compact"/>
              <w:jc w:val="left"/>
            </w:pPr>
            <w:r>
              <w:t xml:space="preserve">258 personas en la extensión, 153 permanecieron 5 años</w:t>
            </w:r>
          </w:p>
        </w:tc>
        <w:tc>
          <w:tcPr/>
          <w:p>
            <w:pPr>
              <w:pStyle w:val="Compact"/>
              <w:jc w:val="left"/>
            </w:pPr>
            <w:r>
              <w:t xml:space="preserve">5 años</w:t>
            </w:r>
          </w:p>
        </w:tc>
        <w:tc>
          <w:tcPr/>
          <w:p>
            <w:pPr>
              <w:pStyle w:val="Compact"/>
              <w:jc w:val="left"/>
            </w:pPr>
            <w:r>
              <w:t xml:space="preserve">HbA1c todavía −1,6; peso −3,0 kg</w:t>
            </w:r>
          </w:p>
        </w:tc>
      </w:tr>
      <w:tr>
        <w:tc>
          <w:tcPr/>
          <w:p>
            <w:pPr>
              <w:pStyle w:val="Compact"/>
              <w:jc w:val="left"/>
            </w:pPr>
            <w:r>
              <w:t xml:space="preserve">DURATION-2 (Bergenstal 2010), PMID 20580422</w:t>
            </w:r>
          </w:p>
        </w:tc>
        <w:tc>
          <w:tcPr/>
          <w:p>
            <w:pPr>
              <w:pStyle w:val="Compact"/>
              <w:jc w:val="left"/>
            </w:pPr>
            <w:r>
              <w:t xml:space="preserve">514 personas con metformina, frente a sitagliptina o pioglitazona</w:t>
            </w:r>
          </w:p>
        </w:tc>
        <w:tc>
          <w:tcPr/>
          <w:p>
            <w:pPr>
              <w:pStyle w:val="Compact"/>
              <w:jc w:val="left"/>
            </w:pPr>
            <w:r>
              <w:t xml:space="preserve">26 semanas</w:t>
            </w:r>
          </w:p>
        </w:tc>
        <w:tc>
          <w:tcPr/>
          <w:p>
            <w:pPr>
              <w:pStyle w:val="Compact"/>
              <w:jc w:val="left"/>
            </w:pPr>
            <w:r>
              <w:t xml:space="preserve">HbA1c −1,5 frente a −0,9 y −1,2, respectivamente; peso −2,3 kg</w:t>
            </w:r>
          </w:p>
        </w:tc>
      </w:tr>
      <w:tr>
        <w:tc>
          <w:tcPr/>
          <w:p>
            <w:pPr>
              <w:pStyle w:val="Compact"/>
              <w:jc w:val="left"/>
            </w:pPr>
            <w:r>
              <w:t xml:space="preserve">DURATION-3 (Diamant 2010), PMID 20609969</w:t>
            </w:r>
          </w:p>
        </w:tc>
        <w:tc>
          <w:tcPr/>
          <w:p>
            <w:pPr>
              <w:pStyle w:val="Compact"/>
              <w:jc w:val="left"/>
            </w:pPr>
            <w:r>
              <w:t xml:space="preserve">456 personas, abierto frente a insulina glargina</w:t>
            </w:r>
          </w:p>
        </w:tc>
        <w:tc>
          <w:tcPr/>
          <w:p>
            <w:pPr>
              <w:pStyle w:val="Compact"/>
              <w:jc w:val="left"/>
            </w:pPr>
            <w:r>
              <w:t xml:space="preserve">26 semanas</w:t>
            </w:r>
          </w:p>
        </w:tc>
        <w:tc>
          <w:tcPr/>
          <w:p>
            <w:pPr>
              <w:pStyle w:val="Compact"/>
              <w:jc w:val="left"/>
            </w:pPr>
            <w:r>
              <w:t xml:space="preserve">HbA1c −1,5 frente a −1,3; abandono por efectos adversos 5 % frente a 1 %</w:t>
            </w:r>
          </w:p>
        </w:tc>
      </w:tr>
      <w:tr>
        <w:tc>
          <w:tcPr/>
          <w:p>
            <w:pPr>
              <w:pStyle w:val="Compact"/>
              <w:jc w:val="left"/>
            </w:pPr>
            <w:r>
              <w:t xml:space="preserve">DURATION-6 (Buse 2013), PMID 23141817</w:t>
            </w:r>
          </w:p>
        </w:tc>
        <w:tc>
          <w:tcPr/>
          <w:p>
            <w:pPr>
              <w:pStyle w:val="Compact"/>
              <w:jc w:val="left"/>
            </w:pPr>
            <w:r>
              <w:t xml:space="preserve">911 personas, abierto frente a liraglutida diaria</w:t>
            </w:r>
          </w:p>
        </w:tc>
        <w:tc>
          <w:tcPr/>
          <w:p>
            <w:pPr>
              <w:pStyle w:val="Compact"/>
              <w:jc w:val="left"/>
            </w:pPr>
            <w:r>
              <w:t xml:space="preserve">26 semanas</w:t>
            </w:r>
          </w:p>
        </w:tc>
        <w:tc>
          <w:tcPr/>
          <w:p>
            <w:pPr>
              <w:pStyle w:val="Compact"/>
              <w:jc w:val="left"/>
            </w:pPr>
            <w:r>
              <w:t xml:space="preserve">HbA1c −1,28 frente a −1,48; no se alcanzó la no inferioridad</w:t>
            </w:r>
          </w:p>
        </w:tc>
      </w:tr>
    </w:tbl>
    <w:p>
      <w:pPr>
        <w:pStyle w:val="BodyText"/>
      </w:pPr>
      <w:r>
        <w:t xml:space="preserve">En DURATION-1, la forma semanal redujo la glucemia a largo plazo más que la forma diaria, con una pérdida de peso comparable y sin más hipoglucemias. Es destacable el análisis a cinco años</w:t>
      </w:r>
      <w:r>
        <w:rPr>
          <w:rStyle w:val="FootnoteReference"/>
        </w:rPr>
        <w:footnoteReference w:id="240"/>
      </w:r>
      <w:r>
        <w:t xml:space="preserve">: de las 258 personas de la fase de extensión, 153 (59,3 %) permanecieron cinco años en tratamiento. En ellas, la HbA1c seguía 1,6 puntos porcentuales por debajo del valor inicial, y el 43,9 % alcanzó un valor inferior al 7 %. No obstante, estas extensiones llevan incorporado un sesgo: quien respondió mal o tuvo efectos adversos a menudo ya no participa.</w:t>
      </w:r>
    </w:p>
    <w:p>
      <w:pPr>
        <w:pStyle w:val="BodyText"/>
      </w:pPr>
      <w:r>
        <w:t xml:space="preserve">En DURATION-2</w:t>
      </w:r>
      <w:r>
        <w:rPr>
          <w:rStyle w:val="FootnoteReference"/>
        </w:rPr>
        <w:footnoteReference w:id="241"/>
      </w:r>
      <w:r>
        <w:t xml:space="preserve">, la forma semanal fue superior a dos comprimidos habituales en aquel momento: la diferencia con la sitagliptina fue de 0,6 puntos porcentuales, y con la pioglitazona, de 0,3 puntos porcentuales. En cuanto al peso, la diferencia con la pioglitazona, que tiende a provocar aumento de peso, fue de 5,1 kg. En DURATION-3</w:t>
      </w:r>
      <w:r>
        <w:rPr>
          <w:rStyle w:val="FootnoteReference"/>
        </w:rPr>
        <w:footnoteReference w:id="242"/>
      </w:r>
      <w:r>
        <w:t xml:space="preserve">, la exenatida semanal fue ligeramente superior a la insulina basal glargina (diferencia −0,16 puntos porcentuales), aunque más personas abandonaron el tratamiento por efectos adversos.</w:t>
      </w:r>
    </w:p>
    <w:bookmarkEnd w:id="243"/>
    <w:bookmarkStart w:id="246" w:name="X025d423c7c8a073b23f253f20d0f55c0ebac40b"/>
    <w:p>
      <w:pPr>
        <w:pStyle w:val="Heading4"/>
      </w:pPr>
      <w:r>
        <w:t xml:space="preserve">Comparaciones directas dentro de la clase GLP-1</w:t>
      </w:r>
    </w:p>
    <w:p>
      <w:pPr>
        <w:pStyle w:val="FirstParagraph"/>
      </w:pPr>
      <w:r>
        <w:t xml:space="preserve">Para situar la exenatida, los estudios comparativos directos con principios activos posteriores son especialmente reveladores. Muestran que la exenatida es eficaz, pero que sus sucesores la superan.</w:t>
      </w:r>
    </w:p>
    <w:p>
      <w:pPr>
        <w:pStyle w:val="BodyText"/>
      </w:pPr>
      <w:r>
        <w:t xml:space="preserve">En</w:t>
      </w:r>
      <w:r>
        <w:t xml:space="preserve"> </w:t>
      </w:r>
      <w:r>
        <w:rPr>
          <w:bCs/>
          <w:b/>
        </w:rPr>
        <w:t xml:space="preserve">DURATION-6</w:t>
      </w:r>
      <w:r>
        <w:rPr>
          <w:rStyle w:val="FootnoteReference"/>
        </w:rPr>
        <w:footnoteReference w:id="244"/>
      </w:r>
      <w:r>
        <w:t xml:space="preserve">, la forma semanal se enfrentó a la liraglutida una vez al día. La liraglutida redujo la HbA1c en 1,48 puntos porcentuales, y la exenatida en 1,28. La diferencia de 0,21 puntos porcentuales no alcanzó el límite fijado de antemano para «no inferior». A cambio, la exenatida se toleró mejor: las náuseas aparecieron en el 9 % frente al 21 %, la diarrea en el 6 % frente al 13 % y los vómitos en el 4 % frente al 11 %.</w:t>
      </w:r>
    </w:p>
    <w:p>
      <w:pPr>
        <w:pStyle w:val="BodyText"/>
      </w:pPr>
      <w:r>
        <w:t xml:space="preserve">En</w:t>
      </w:r>
      <w:r>
        <w:t xml:space="preserve"> </w:t>
      </w:r>
      <w:r>
        <w:rPr>
          <w:bCs/>
          <w:b/>
        </w:rPr>
        <w:t xml:space="preserve">SUSTAIN 3</w:t>
      </w:r>
      <w:r>
        <w:rPr>
          <w:rStyle w:val="FootnoteReference"/>
        </w:rPr>
        <w:footnoteReference w:id="245"/>
      </w:r>
      <w:r>
        <w:t xml:space="preserve">, la exenatida semanal perdió claramente frente a la semaglutida semanal a lo largo de 56 semanas. La HbA1c disminuyó 0,9 frente a 1,5 puntos porcentuales, y el peso 1,9 frente a 5,6 kg. Una HbA1c inferior al 7 % la alcanzó el 40 % frente al 67 %. Las molestias gastrointestinales fueron algo menos frecuentes con exenatida (33,3 % frente a 41,8 %), pero las reacciones en el lugar de inyección fueron mucho más frecuentes (22,0 % frente a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Comparación</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(exenatida semanal frente a comparador)</w:t>
            </w:r>
          </w:p>
        </w:tc>
      </w:tr>
      <w:tr>
        <w:tc>
          <w:tcPr/>
          <w:p>
            <w:pPr>
              <w:pStyle w:val="Compact"/>
              <w:jc w:val="left"/>
            </w:pPr>
            <w:r>
              <w:t xml:space="preserve">DURATION-6 (Buse 2013), PMID 23141817</w:t>
            </w:r>
          </w:p>
        </w:tc>
        <w:tc>
          <w:tcPr/>
          <w:p>
            <w:pPr>
              <w:pStyle w:val="Compact"/>
              <w:jc w:val="left"/>
            </w:pPr>
            <w:r>
              <w:t xml:space="preserve">911 personas, abierto frente a liraglutida</w:t>
            </w:r>
          </w:p>
        </w:tc>
        <w:tc>
          <w:tcPr/>
          <w:p>
            <w:pPr>
              <w:pStyle w:val="Compact"/>
              <w:jc w:val="left"/>
            </w:pPr>
            <w:r>
              <w:t xml:space="preserve">26 semanas</w:t>
            </w:r>
          </w:p>
        </w:tc>
        <w:tc>
          <w:tcPr/>
          <w:p>
            <w:pPr>
              <w:pStyle w:val="Compact"/>
              <w:jc w:val="left"/>
            </w:pPr>
            <w:r>
              <w:t xml:space="preserve">HbA1c −1,28 frente a −1,48; náuseas 9 % frente a 21 %</w:t>
            </w:r>
          </w:p>
        </w:tc>
      </w:tr>
      <w:tr>
        <w:tc>
          <w:tcPr/>
          <w:p>
            <w:pPr>
              <w:pStyle w:val="Compact"/>
              <w:jc w:val="left"/>
            </w:pPr>
            <w:r>
              <w:t xml:space="preserve">SUSTAIN 3 (Ahmann 2018), PMID 29246950</w:t>
            </w:r>
          </w:p>
        </w:tc>
        <w:tc>
          <w:tcPr/>
          <w:p>
            <w:pPr>
              <w:pStyle w:val="Compact"/>
              <w:jc w:val="left"/>
            </w:pPr>
            <w:r>
              <w:t xml:space="preserve">abierto frente a semaglutida semanal</w:t>
            </w:r>
          </w:p>
        </w:tc>
        <w:tc>
          <w:tcPr/>
          <w:p>
            <w:pPr>
              <w:pStyle w:val="Compact"/>
              <w:jc w:val="left"/>
            </w:pPr>
            <w:r>
              <w:t xml:space="preserve">56 semanas</w:t>
            </w:r>
          </w:p>
        </w:tc>
        <w:tc>
          <w:tcPr/>
          <w:p>
            <w:pPr>
              <w:pStyle w:val="Compact"/>
              <w:jc w:val="left"/>
            </w:pPr>
            <w:r>
              <w:t xml:space="preserve">HbA1c −0,9 frente a −1,5; peso −1,9 frente a −5,6 kg</w:t>
            </w:r>
          </w:p>
        </w:tc>
      </w:tr>
    </w:tbl>
    <w:p>
      <w:pPr>
        <w:pStyle w:val="BodyText"/>
      </w:pPr>
      <w:r>
        <w:t xml:space="preserve">La comparación con la dulaglutida y con la liraglutida frente a la exenatida dos veces al día (los estudios AWARD-1 y LEAD-6) se comenta en los capítulos correspondientes.</w:t>
      </w:r>
    </w:p>
    <w:p>
      <w:pPr>
        <w:pStyle w:val="BodyText"/>
      </w:pPr>
      <w:r>
        <w:t xml:space="preserve">En resumen, la exenatida se sitúa dentro de la clase en la franja media-baja: más potente que los inhibidores de la DPP-4 (gliptinas), más débil que la liraglutida, la dulaglutida y, sobre todo, la semaglutida.</w:t>
      </w:r>
    </w:p>
    <w:bookmarkEnd w:id="246"/>
    <w:bookmarkStart w:id="250" w:name="exscel-el-estudio-cardiovascular"/>
    <w:p>
      <w:pPr>
        <w:pStyle w:val="Heading4"/>
      </w:pPr>
      <w:r>
        <w:t xml:space="preserve">EXSCEL: el estudio cardiovascular</w:t>
      </w:r>
    </w:p>
    <w:p>
      <w:pPr>
        <w:pStyle w:val="FirstParagraph"/>
      </w:pPr>
      <w:r>
        <w:t xml:space="preserve">Desde 2008, la agencia estadounidense del medicamento FDA exige a los nuevos antidiabéticos demostrar que no aumentan el riesgo cardiovascular. Para la exenatida semanal se realizó con este fin EXSCEL, uno de los mayores estudios de este tipo.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EXSCEL (Holman 2017), PMID 28910237</w:t>
            </w:r>
          </w:p>
        </w:tc>
        <w:tc>
          <w:tcPr/>
          <w:p>
            <w:pPr>
              <w:pStyle w:val="Compact"/>
              <w:jc w:val="left"/>
            </w:pPr>
            <w:r>
              <w:t xml:space="preserve">14.752 personas con diabetes tipo 2, el 73,1 % con enfermedad cardiovascular previa, RCT frente a placebo</w:t>
            </w:r>
          </w:p>
        </w:tc>
        <w:tc>
          <w:tcPr/>
          <w:p>
            <w:pPr>
              <w:pStyle w:val="Compact"/>
              <w:jc w:val="left"/>
            </w:pPr>
            <w:r>
              <w:t xml:space="preserve">mediana de 3,2 años</w:t>
            </w:r>
          </w:p>
        </w:tc>
        <w:tc>
          <w:tcPr/>
          <w:p>
            <w:pPr>
              <w:pStyle w:val="Compact"/>
              <w:jc w:val="left"/>
            </w:pPr>
            <w:r>
              <w:t xml:space="preserve">Eventos cardiovasculares graves 11,4 % frente a 12,2 %; HR 0,91 (0,83–1,00), superioridad no alcanzada por poco (p = 0,06)</w:t>
            </w:r>
          </w:p>
        </w:tc>
      </w:tr>
      <w:tr>
        <w:tc>
          <w:tcPr/>
          <w:p>
            <w:pPr>
              <w:pStyle w:val="Compact"/>
              <w:jc w:val="left"/>
            </w:pPr>
            <w:r>
              <w:t xml:space="preserve">FREEDOM-CVO (Ruff 2022), PMID 34873344</w:t>
            </w:r>
          </w:p>
        </w:tc>
        <w:tc>
          <w:tcPr/>
          <w:p>
            <w:pPr>
              <w:pStyle w:val="Compact"/>
              <w:jc w:val="left"/>
            </w:pPr>
            <w:r>
              <w:t xml:space="preserve">4156 personas, implante con bomba de exenatida ITCA 650 frente a placebo</w:t>
            </w:r>
          </w:p>
        </w:tc>
        <w:tc>
          <w:tcPr/>
          <w:p>
            <w:pPr>
              <w:pStyle w:val="Compact"/>
              <w:jc w:val="left"/>
            </w:pPr>
            <w:r>
              <w:t xml:space="preserve">mediana de 16 meses</w:t>
            </w:r>
          </w:p>
        </w:tc>
        <w:tc>
          <w:tcPr/>
          <w:p>
            <w:pPr>
              <w:pStyle w:val="Compact"/>
              <w:jc w:val="left"/>
            </w:pPr>
            <w:r>
              <w:t xml:space="preserve">Eventos 4,6 % frente a 3,8 %; HR 1,21 (0,90–1,63), criterio de seguridad cumplido</w:t>
            </w:r>
          </w:p>
        </w:tc>
      </w:tr>
    </w:tbl>
    <w:p>
      <w:pPr>
        <w:pStyle w:val="BodyText"/>
      </w:pPr>
      <w:r>
        <w:t xml:space="preserve">La variable principal combinada de EXSCEL</w:t>
      </w:r>
      <w:r>
        <w:rPr>
          <w:rStyle w:val="FootnoteReference"/>
        </w:rPr>
        <w:footnoteReference w:id="247"/>
      </w:r>
      <w:r>
        <w:t xml:space="preserve"> </w:t>
      </w:r>
      <w:r>
        <w:t xml:space="preserve">—muerte de causa cardiovascular, infarto de miocardio no mortal o ictus— se produjo con exenatida en 839 de 7356 personas (11,4 %) y con placebo en 905 de 7396 (12,2 %). Esto corresponde a un hazard ratio (riesgo relativo a lo largo del tiempo) de 0,91. Así pues, la exenatida fue segura, pero no se demostró que fuera protectora. La pancreatitis aguda, el cáncer de páncreas y el carcinoma medular de tiroides no fueron más frecuentes que con placebo.</w:t>
      </w:r>
    </w:p>
    <w:p>
      <w:pPr>
        <w:pStyle w:val="BodyText"/>
      </w:pPr>
      <w:r>
        <w:t xml:space="preserve">Por qué la exenatida obtuvo en EXSCEL un resultado más débil que la liraglutida en LEADER o la dulaglutida en REWIND no está aclarado definitivamente. Se discuten un efecto más débil de la propia molécula, la elevada tasa de abandono en el estudio y un diseño pragmático con poco control. En un metaanálisis conjunto de los siete grandes estudios de resultados con GLP-1, con un total de 56.004 participantes</w:t>
      </w:r>
      <w:r>
        <w:rPr>
          <w:rStyle w:val="FootnoteReference"/>
        </w:rPr>
        <w:footnoteReference w:id="248"/>
      </w:r>
      <w:r>
        <w:t xml:space="preserve">, la clase redujo los eventos cardiovasculares graves en un 12 % (HR 0,88), sin diferencias relevantes entre los subgrupos. Por tanto, EXSCEL encaja en el panorama general, pero se sitúa en el extremo más débil.</w:t>
      </w:r>
    </w:p>
    <w:p>
      <w:pPr>
        <w:pStyle w:val="BodyText"/>
      </w:pPr>
      <w:r>
        <w:t xml:space="preserve">El implante con bomba ITCA 650, un dispositivo del tamaño de una cerilla que debía liberar exenatida de forma uniforme durante meses, solo cumplió en FREEDOM-CVO</w:t>
      </w:r>
      <w:r>
        <w:rPr>
          <w:rStyle w:val="FootnoteReference"/>
        </w:rPr>
        <w:footnoteReference w:id="249"/>
      </w:r>
      <w:r>
        <w:t xml:space="preserve"> </w:t>
      </w:r>
      <w:r>
        <w:t xml:space="preserve">el generoso límite de seguridad de 2008. La estimación puntual se situó desfavorablemente por encima de 1, y los efectos adversos fueron más frecuentes que con placebo (72 % frente a 63,9 %). El sistema no obtuvo la autorización.</w:t>
      </w:r>
    </w:p>
    <w:bookmarkEnd w:id="250"/>
    <w:bookmarkStart w:id="254" w:name="peso-sin-diabetes-y-en-adolescentes"/>
    <w:p>
      <w:pPr>
        <w:pStyle w:val="Heading4"/>
      </w:pPr>
      <w:r>
        <w:t xml:space="preserve">Peso sin diabetes y en adolescentes</w:t>
      </w:r>
    </w:p>
    <w:p>
      <w:pPr>
        <w:pStyle w:val="FirstParagraph"/>
      </w:pPr>
      <w:r>
        <w:t xml:space="preserve">La exenatida no está autorizada para la reducción de peso, pero se ha estudiado con este fin en estudios más pequeños. En 152 adultos con obesidad sin diabetes, los participantes perdieron en 24 semanas 5,1 kg con exenatida dos veces al día más un programa de estilo de vida, frente a 1,6 kg con placebo</w:t>
      </w:r>
      <w:r>
        <w:rPr>
          <w:rStyle w:val="FootnoteReference"/>
        </w:rPr>
        <w:footnoteReference w:id="251"/>
      </w:r>
      <w:r>
        <w:t xml:space="preserve">. Un metaanálisis de seis estudios pequeños con 362 participantes halló una pérdida adicional media de 4,47 kg frente a los controles</w:t>
      </w:r>
      <w:r>
        <w:rPr>
          <w:rStyle w:val="FootnoteReference"/>
        </w:rPr>
        <w:footnoteReference w:id="252"/>
      </w:r>
      <w:r>
        <w:t xml:space="preserve">. Es una fracción de lo que se lograría más tarde con la semaglutida o la tirzepatida.</w:t>
      </w:r>
    </w:p>
    <w:p>
      <w:pPr>
        <w:pStyle w:val="BodyText"/>
      </w:pPr>
      <w:r>
        <w:t xml:space="preserve">En adolescentes con diabetes tipo 2, la forma semanal redujo en un estudio con 83 participantes la HbA1c al cabo de 24 semanas 0,85 puntos porcentuales más que el placebo</w:t>
      </w:r>
      <w:r>
        <w:rPr>
          <w:rStyle w:val="FootnoteReference"/>
        </w:rPr>
        <w:footnoteReference w:id="253"/>
      </w:r>
      <w:r>
        <w:t xml:space="preserve">. Una diferencia de peso de −1,22 kg no fue estadísticamente significativa. Este estudio sirvió de base para ampliar la autorización a los adolescentes.</w:t>
      </w:r>
    </w:p>
    <w:bookmarkEnd w:id="254"/>
    <w:bookmarkStart w:id="259" w:name="X30bb8017c96f2064840f51927843996e182c494"/>
    <w:p>
      <w:pPr>
        <w:pStyle w:val="Heading4"/>
      </w:pPr>
      <w:r>
        <w:t xml:space="preserve">Parkinson: esperanza, desencanto y una Expression of Concern</w:t>
      </w:r>
    </w:p>
    <w:p>
      <w:pPr>
        <w:pStyle w:val="FirstParagraph"/>
      </w:pPr>
      <w:r>
        <w:t xml:space="preserve">Ningún otro campo de aplicación ha dado a la exenatida tanta atención más allá de la diabetes como la enfermedad de Parkinson. El punto de partida fueron experimentos en animales y en células en los que los agonistas del receptor de GLP-1 protegían a las neuronas.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Exenatide-PD (Athauda 2017), PMID 28781108</w:t>
            </w:r>
          </w:p>
        </w:tc>
        <w:tc>
          <w:tcPr/>
          <w:p>
            <w:pPr>
              <w:pStyle w:val="Compact"/>
              <w:jc w:val="left"/>
            </w:pPr>
            <w:r>
              <w:t xml:space="preserve">62 personas con Parkinson moderado, RCT frente a placebo</w:t>
            </w:r>
          </w:p>
        </w:tc>
        <w:tc>
          <w:tcPr/>
          <w:p>
            <w:pPr>
              <w:pStyle w:val="Compact"/>
              <w:jc w:val="left"/>
            </w:pPr>
            <w:r>
              <w:t xml:space="preserve">48 semanas + 12 semanas de lavado</w:t>
            </w:r>
          </w:p>
        </w:tc>
        <w:tc>
          <w:tcPr/>
          <w:p>
            <w:pPr>
              <w:pStyle w:val="Compact"/>
              <w:jc w:val="left"/>
            </w:pPr>
            <w:r>
              <w:t xml:space="preserve">Puntuación motora 3,5 puntos mejor que con placebo (p = 0,0318)</w:t>
            </w:r>
          </w:p>
        </w:tc>
      </w:tr>
      <w:tr>
        <w:tc>
          <w:tcPr/>
          <w:p>
            <w:pPr>
              <w:pStyle w:val="Compact"/>
              <w:jc w:val="left"/>
            </w:pPr>
            <w:r>
              <w:t xml:space="preserve">Exenatide-PD3 (Vijiaratnam 2025), PMID 39919773</w:t>
            </w:r>
          </w:p>
        </w:tc>
        <w:tc>
          <w:tcPr/>
          <w:p>
            <w:pPr>
              <w:pStyle w:val="Compact"/>
              <w:jc w:val="left"/>
            </w:pPr>
            <w:r>
              <w:t xml:space="preserve">194 personas, RCT frente a placebo, seis centros</w:t>
            </w:r>
          </w:p>
        </w:tc>
        <w:tc>
          <w:tcPr/>
          <w:p>
            <w:pPr>
              <w:pStyle w:val="Compact"/>
              <w:jc w:val="left"/>
            </w:pPr>
            <w:r>
              <w:t xml:space="preserve">96 semanas</w:t>
            </w:r>
          </w:p>
        </w:tc>
        <w:tc>
          <w:tcPr/>
          <w:p>
            <w:pPr>
              <w:pStyle w:val="Compact"/>
              <w:jc w:val="left"/>
            </w:pPr>
            <w:r>
              <w:t xml:space="preserve">Sin diferencias: empeoramiento de +5,7 frente a +4,5 puntos (p = 0,47)</w:t>
            </w:r>
          </w:p>
        </w:tc>
      </w:tr>
      <w:tr>
        <w:tc>
          <w:tcPr/>
          <w:p>
            <w:pPr>
              <w:pStyle w:val="Compact"/>
              <w:jc w:val="left"/>
            </w:pPr>
            <w:r>
              <w:t xml:space="preserve">NLY01 (McGarry 2024), PMID 38101901</w:t>
            </w:r>
          </w:p>
        </w:tc>
        <w:tc>
          <w:tcPr/>
          <w:p>
            <w:pPr>
              <w:pStyle w:val="Compact"/>
              <w:jc w:val="left"/>
            </w:pPr>
            <w:r>
              <w:t xml:space="preserve">255 personas con Parkinson temprano no tratado, exenatida pegilada frente a placebo</w:t>
            </w:r>
          </w:p>
        </w:tc>
        <w:tc>
          <w:tcPr/>
          <w:p>
            <w:pPr>
              <w:pStyle w:val="Compact"/>
              <w:jc w:val="left"/>
            </w:pPr>
            <w:r>
              <w:t xml:space="preserve">36 semanas</w:t>
            </w:r>
          </w:p>
        </w:tc>
        <w:tc>
          <w:tcPr/>
          <w:p>
            <w:pPr>
              <w:pStyle w:val="Compact"/>
              <w:jc w:val="left"/>
            </w:pPr>
            <w:r>
              <w:t xml:space="preserve">Sin diferencias en ninguno de los dos grupos de dosis</w:t>
            </w:r>
          </w:p>
        </w:tc>
      </w:tr>
    </w:tbl>
    <w:p>
      <w:pPr>
        <w:pStyle w:val="BodyText"/>
      </w:pPr>
      <w:r>
        <w:t xml:space="preserve">El pequeño estudio de Athauda 2017</w:t>
      </w:r>
      <w:r>
        <w:rPr>
          <w:rStyle w:val="FootnoteReference"/>
        </w:rPr>
        <w:footnoteReference w:id="255"/>
      </w:r>
      <w:r>
        <w:t xml:space="preserve"> </w:t>
      </w:r>
      <w:r>
        <w:t xml:space="preserve">encontró al cabo de 60 semanas una diferencia de 3,5 puntos en la escala de evaluación motora MDS-UPDRS parte III, que se mantuvo también tras la suspensión. Esto se interpretó en muchos casos como un posible primer indicio de un efecto ralentizador de la enfermedad. Los autores se mostraron prudentes: no estaba claro si la exenatida influye en la evolución de la enfermedad o solo tiene efectos sintomáticos duraderos.</w:t>
      </w:r>
    </w:p>
    <w:p>
      <w:pPr>
        <w:pStyle w:val="BodyText"/>
      </w:pPr>
      <w:r>
        <w:t xml:space="preserve">El estudio de fase 3 más grande Exenatide-PD3</w:t>
      </w:r>
      <w:r>
        <w:rPr>
          <w:rStyle w:val="FootnoteReference"/>
        </w:rPr>
        <w:footnoteReference w:id="256"/>
      </w:r>
      <w:r>
        <w:t xml:space="preserve"> </w:t>
      </w:r>
      <w:r>
        <w:t xml:space="preserve">no pudo confirmarlo. Al cabo de 96 semanas, la puntuación motora había empeorado de forma similar en ambos grupos. Los investigadores concluyeron que no había pruebas de que la exenatida fuera un tratamiento modificador de la enfermedad. Sobre esta publicación, la revista publicó en 2026 una llamada Expression of Concern (Expression of Concern, The Lancet 2026, PMID 42330995), una nota editorial que indica que se están examinando dudas sobre una publicación. La entrada de PubMed no contiene un resumen de los motivos; por tanto, el estudio debe valorarse con reservas hasta que se aclare. Tampoco una variante pegilada de exenatida de acción más prolongada (NLY01) mostró beneficio en el Parkinson temprano</w:t>
      </w:r>
      <w:r>
        <w:rPr>
          <w:rStyle w:val="FootnoteReference"/>
        </w:rPr>
        <w:footnoteReference w:id="257"/>
      </w:r>
      <w:r>
        <w:t xml:space="preserve">.</w:t>
      </w:r>
    </w:p>
    <w:p>
      <w:pPr>
        <w:pStyle w:val="BodyText"/>
      </w:pPr>
      <w:r>
        <w:t xml:space="preserve">En la atrofia multisistémica, una enfermedad rara emparentada, un estudio abierto con 50 participantes encontró una ventaja en la variable principal, pero ninguna diferencia en medidas objetivas como biomarcadores o pruebas de imagen</w:t>
      </w:r>
      <w:r>
        <w:rPr>
          <w:rStyle w:val="FootnoteReference"/>
        </w:rPr>
        <w:footnoteReference w:id="258"/>
      </w:r>
      <w:r>
        <w:t xml:space="preserve">. Los propios autores consideran posible un efecto placebo o del observador.</w:t>
      </w:r>
    </w:p>
    <w:bookmarkEnd w:id="259"/>
    <w:bookmarkStart w:id="264" w:name="otros-campos-de-aplicación-en-estudios"/>
    <w:p>
      <w:pPr>
        <w:pStyle w:val="Heading4"/>
      </w:pPr>
      <w:r>
        <w:t xml:space="preserve">Otros campos de aplicación en estudios</w:t>
      </w:r>
    </w:p>
    <w:p>
      <w:pPr>
        <w:numPr>
          <w:ilvl w:val="0"/>
          <w:numId w:val="1037"/>
        </w:numPr>
        <w:pStyle w:val="Compact"/>
      </w:pPr>
      <w:r>
        <w:rPr>
          <w:bCs/>
          <w:b/>
        </w:rPr>
        <w:t xml:space="preserve">Alzheimer y deterioro cognitivo leve:</w:t>
      </w:r>
      <w:r>
        <w:t xml:space="preserve"> </w:t>
      </w:r>
      <w:r>
        <w:t xml:space="preserve">un estudio piloto interrumpido prematuramente no encontró diferencias en las medidas de memoria ni de imagen</w:t>
      </w:r>
      <w:r>
        <w:rPr>
          <w:rStyle w:val="FootnoteReference"/>
        </w:rPr>
        <w:footnoteReference w:id="260"/>
      </w:r>
      <w:r>
        <w:t xml:space="preserve">. Un estudio de 32 semanas en el deterioro cognitivo leve tampoco mostró beneficio</w:t>
      </w:r>
      <w:r>
        <w:rPr>
          <w:rStyle w:val="FootnoteReference"/>
        </w:rPr>
        <w:footnoteReference w:id="261"/>
      </w:r>
      <w:r>
        <w:t xml:space="preserve">.</w:t>
      </w:r>
    </w:p>
    <w:p>
      <w:pPr>
        <w:numPr>
          <w:ilvl w:val="0"/>
          <w:numId w:val="1037"/>
        </w:numPr>
        <w:pStyle w:val="Compact"/>
      </w:pPr>
      <w:r>
        <w:rPr>
          <w:bCs/>
          <w:b/>
        </w:rPr>
        <w:t xml:space="preserve">Dependencia del alcohol:</w:t>
      </w:r>
      <w:r>
        <w:t xml:space="preserve"> </w:t>
      </w:r>
      <w:r>
        <w:t xml:space="preserve">en un estudio con 127 participantes, la exenatida semanal no redujo significativamente el número de días de consumo excesivo. En un análisis de subgrupos a posteriori en personas con obesidad se observó un efecto; en la resonancia magnética cerebral, la respuesta a los estímulos relacionados con el alcohol estaba atenuada</w:t>
      </w:r>
      <w:r>
        <w:rPr>
          <w:rStyle w:val="FootnoteReference"/>
        </w:rPr>
        <w:footnoteReference w:id="262"/>
      </w:r>
      <w:r>
        <w:t xml:space="preserve">. Estos hallazgos de subgrupos son hipótesis, no pruebas.</w:t>
      </w:r>
    </w:p>
    <w:p>
      <w:pPr>
        <w:numPr>
          <w:ilvl w:val="0"/>
          <w:numId w:val="1037"/>
        </w:numPr>
        <w:pStyle w:val="Compact"/>
      </w:pPr>
      <w:r>
        <w:rPr>
          <w:bCs/>
          <w:b/>
        </w:rPr>
        <w:t xml:space="preserve">Hipertensión intracraneal idiopática</w:t>
      </w:r>
      <w:r>
        <w:t xml:space="preserve"> </w:t>
      </w:r>
      <w:r>
        <w:t xml:space="preserve">(presión intracraneal elevada sin causa identificable, sobre todo en mujeres jóvenes con sobrepeso): en 16 mujeres, la exenatida redujo la presión intracraneal medida al cabo de 24 horas en una media de 6,4 cm de columna de agua frente a placebo</w:t>
      </w:r>
      <w:r>
        <w:rPr>
          <w:rStyle w:val="FootnoteReference"/>
        </w:rPr>
        <w:footnoteReference w:id="263"/>
      </w:r>
      <w:r>
        <w:t xml:space="preserve">. El estudio es muy pequeño; está pendiente un estudio más grande.</w:t>
      </w:r>
    </w:p>
    <w:bookmarkEnd w:id="264"/>
    <w:bookmarkEnd w:id="265"/>
    <w:bookmarkStart w:id="269" w:name="estudios-en-animales-y-de-laboratorio"/>
    <w:p>
      <w:pPr>
        <w:pStyle w:val="Heading3"/>
      </w:pPr>
      <w:r>
        <w:t xml:space="preserve">Estudios en animales y de laboratorio</w:t>
      </w:r>
    </w:p>
    <w:p>
      <w:pPr>
        <w:pStyle w:val="FirstParagraph"/>
      </w:pPr>
      <w:r>
        <w:t xml:space="preserve">La exendina-4 no se buscó originalmente como antidiabético. En la primera descripción de 1992, los investigadores estudiaron su efecto sobre células pancreáticas de cobaya</w:t>
      </w:r>
      <w:r>
        <w:rPr>
          <w:rStyle w:val="FootnoteReference"/>
        </w:rPr>
        <w:footnoteReference w:id="266"/>
      </w:r>
      <w:r>
        <w:t xml:space="preserve">. Solo más tarde se vio que actúa sobre el receptor de GLP-1.</w:t>
      </w:r>
    </w:p>
    <w:p>
      <w:pPr>
        <w:pStyle w:val="BodyText"/>
      </w:pPr>
      <w:r>
        <w:t xml:space="preserve">A continuación surgió un gran número de estudios en animales. En ratas a las que se había extirpado parte del páncreas, la exendina-4 favoreció la formación y la división de células beta productoras de insulina y atenuó el desarrollo de una diabetes</w:t>
      </w:r>
      <w:r>
        <w:rPr>
          <w:rStyle w:val="FootnoteReference"/>
        </w:rPr>
        <w:footnoteReference w:id="267"/>
      </w:r>
      <w:r>
        <w:t xml:space="preserve">. Si una regeneración de las células beta de este tipo puede lograrse también en el ser humano en una medida apreciable sigue sin estar demostrado.</w:t>
      </w:r>
    </w:p>
    <w:p>
      <w:pPr>
        <w:pStyle w:val="BodyText"/>
      </w:pPr>
      <w:r>
        <w:t xml:space="preserve">A ello se sumaron experimentos en roedores sobre neuroprotección (Parkinson, Alzheimer, ictus), consumo de alcohol y conductas adictivas, así como presión intracraneal. Estos datos en animales motivaron los estudios en seres humanos descritos más arriba, cuyos resultados han sido hasta ahora bastante más modestos. Es un ejemplo instructivo de lo difícil que es trasladar al ser humano los resultados obtenidos en ratas y ratones.</w:t>
      </w:r>
    </w:p>
    <w:p>
      <w:pPr>
        <w:pStyle w:val="BodyText"/>
      </w:pPr>
      <w:r>
        <w:t xml:space="preserve">Sobre la tiroides: en ratas y ratones, los agonistas del receptor de GLP-1 provocan una proliferación de las células C de la tiroides; en primates y seres humanos, en cambio, estas células apenas poseen el receptor</w:t>
      </w:r>
      <w:r>
        <w:rPr>
          <w:rStyle w:val="FootnoteReference"/>
        </w:rPr>
        <w:footnoteReference w:id="268"/>
      </w:r>
      <w:r>
        <w:t xml:space="preserve">. Más información en el capítulo Liraglutida y en la Parte IV.</w:t>
      </w:r>
    </w:p>
    <w:bookmarkEnd w:id="269"/>
    <w:bookmarkStart w:id="279" w:name="riesgos-y-efectos-adversos"/>
    <w:p>
      <w:pPr>
        <w:pStyle w:val="Heading3"/>
      </w:pPr>
      <w:r>
        <w:t xml:space="preserve">Riesgos y efectos adversos</w:t>
      </w:r>
    </w:p>
    <w:p>
      <w:pPr>
        <w:pStyle w:val="FirstParagraph"/>
      </w:pPr>
      <w:r>
        <w:rPr>
          <w:bCs/>
          <w:b/>
        </w:rPr>
        <w:t xml:space="preserve">Demostrados en estudios aleatorizados:</w:t>
      </w:r>
    </w:p>
    <w:p>
      <w:pPr>
        <w:numPr>
          <w:ilvl w:val="0"/>
          <w:numId w:val="1038"/>
        </w:numPr>
        <w:pStyle w:val="Compact"/>
      </w:pPr>
      <w:r>
        <w:rPr>
          <w:bCs/>
          <w:b/>
        </w:rPr>
        <w:t xml:space="preserve">Las molestias gastrointestinales</w:t>
      </w:r>
      <w:r>
        <w:t xml:space="preserve"> </w:t>
      </w:r>
      <w:r>
        <w:t xml:space="preserve">son el efecto adverso más frecuente. Con la forma de dos veces al día, en la comparación con la insulina glargina se produjeron náuseas en el 57,1 % de las personas tratadas y vómitos en el 17,4 %</w:t>
      </w:r>
      <w:r>
        <w:rPr>
          <w:rStyle w:val="FootnoteReference"/>
        </w:rPr>
        <w:footnoteReference w:id="270"/>
      </w:r>
      <w:r>
        <w:t xml:space="preserve">. La forma semanal causa menos náuseas; en DURATION-6 fueron el 9 %</w:t>
      </w:r>
      <w:r>
        <w:rPr>
          <w:rStyle w:val="FootnoteReference"/>
        </w:rPr>
        <w:footnoteReference w:id="271"/>
      </w:r>
      <w:r>
        <w:t xml:space="preserve">. Las molestias suelen disminuir con el tiempo.</w:t>
      </w:r>
    </w:p>
    <w:p>
      <w:pPr>
        <w:numPr>
          <w:ilvl w:val="0"/>
          <w:numId w:val="1038"/>
        </w:numPr>
        <w:pStyle w:val="Compact"/>
      </w:pPr>
      <w:r>
        <w:rPr>
          <w:bCs/>
          <w:b/>
        </w:rPr>
        <w:t xml:space="preserve">La hipoglucemia</w:t>
      </w:r>
      <w:r>
        <w:t xml:space="preserve"> </w:t>
      </w:r>
      <w:r>
        <w:t xml:space="preserve">es rara en monoterapia, pero se vuelve más frecuente en combinación con sulfonilureas o insulina</w:t>
      </w:r>
      <w:r>
        <w:rPr>
          <w:rStyle w:val="FootnoteReference"/>
        </w:rPr>
        <w:footnoteReference w:id="272"/>
      </w:r>
      <w:r>
        <w:t xml:space="preserve">.</w:t>
      </w:r>
    </w:p>
    <w:p>
      <w:pPr>
        <w:numPr>
          <w:ilvl w:val="0"/>
          <w:numId w:val="1038"/>
        </w:numPr>
        <w:pStyle w:val="Compact"/>
      </w:pPr>
      <w:r>
        <w:rPr>
          <w:bCs/>
          <w:b/>
        </w:rPr>
        <w:t xml:space="preserve">Reacciones en el lugar de inyección:</w:t>
      </w:r>
      <w:r>
        <w:t xml:space="preserve"> </w:t>
      </w:r>
      <w:r>
        <w:t xml:space="preserve">con la forma semanal se forman con frecuencia nódulos palpables bajo la piel, porque las microesferas se degradan allí lentamente. En el análisis a cinco años de DURATION-1, estas reacciones se hicieron menos frecuentes con el tiempo</w:t>
      </w:r>
      <w:r>
        <w:rPr>
          <w:rStyle w:val="FootnoteReference"/>
        </w:rPr>
        <w:footnoteReference w:id="273"/>
      </w:r>
      <w:r>
        <w:t xml:space="preserve">.</w:t>
      </w:r>
    </w:p>
    <w:p>
      <w:pPr>
        <w:numPr>
          <w:ilvl w:val="0"/>
          <w:numId w:val="1038"/>
        </w:numPr>
        <w:pStyle w:val="Compact"/>
      </w:pPr>
      <w:r>
        <w:rPr>
          <w:bCs/>
          <w:b/>
        </w:rPr>
        <w:t xml:space="preserve">Formación de anticuerpos:</w:t>
      </w:r>
      <w:r>
        <w:t xml:space="preserve"> </w:t>
      </w:r>
      <w:r>
        <w:t xml:space="preserve">debido a su origen en el veneno de un lagarto, una parte de las personas tratadas forma anticuerpos. Esto se describe con más detalle en la Parte IV.</w:t>
      </w:r>
    </w:p>
    <w:p>
      <w:pPr>
        <w:pStyle w:val="FirstParagraph"/>
      </w:pPr>
      <w:r>
        <w:rPr>
          <w:bCs/>
          <w:b/>
        </w:rPr>
        <w:t xml:space="preserve">Investigados, pero no confirmados o inciertos:</w:t>
      </w:r>
    </w:p>
    <w:p>
      <w:pPr>
        <w:numPr>
          <w:ilvl w:val="0"/>
          <w:numId w:val="1039"/>
        </w:numPr>
        <w:pStyle w:val="Compact"/>
      </w:pPr>
      <w:r>
        <w:rPr>
          <w:bCs/>
          <w:b/>
        </w:rPr>
        <w:t xml:space="preserve">Inflamación aguda del páncreas (pancreatitis):</w:t>
      </w:r>
      <w:r>
        <w:t xml:space="preserve"> </w:t>
      </w:r>
      <w:r>
        <w:t xml:space="preserve">poco después de la comercialización hubo notificaciones espontáneas que dieron lugar a advertencias. En un análisis agrupado de dos bases de datos de aseguradoras con 49.956 personas tratadas con exenatida dos veces al día, el riesgo no estaba aumentado sin corrección (riesgo relativo 1,0) y estaba ligeramente aumentado tras corregir la clasificación errónea (1,3; intervalo de confianza 1,0–1,7)</w:t>
      </w:r>
      <w:r>
        <w:rPr>
          <w:rStyle w:val="FootnoteReference"/>
        </w:rPr>
        <w:footnoteReference w:id="274"/>
      </w:r>
      <w:r>
        <w:t xml:space="preserve">. En EXSCEL, la pancreatitis no fue más frecuente que con placebo</w:t>
      </w:r>
      <w:r>
        <w:rPr>
          <w:rStyle w:val="FootnoteReference"/>
        </w:rPr>
        <w:footnoteReference w:id="275"/>
      </w:r>
      <w:r>
        <w:t xml:space="preserve">. La pancreatitis sigue figurando en la ficha técnica como efecto adverso raro.</w:t>
      </w:r>
    </w:p>
    <w:p>
      <w:pPr>
        <w:numPr>
          <w:ilvl w:val="0"/>
          <w:numId w:val="1039"/>
        </w:numPr>
        <w:pStyle w:val="Compact"/>
      </w:pPr>
      <w:r>
        <w:rPr>
          <w:bCs/>
          <w:b/>
        </w:rPr>
        <w:t xml:space="preserve">Cáncer de páncreas y de tiroides:</w:t>
      </w:r>
      <w:r>
        <w:t xml:space="preserve"> </w:t>
      </w:r>
      <w:r>
        <w:t xml:space="preserve">en un estudio de cohortes estadounidense con 33.629 personas tratadas con exenatida, el riesgo de cáncer de páncreas no estaba aumentado (HR 0,76); para el cáncer de tiroides, el valor estimado fue de 1,46, con un intervalo de confianza de 0,98 a 2,19, es decir, sin significación estadística</w:t>
      </w:r>
      <w:r>
        <w:rPr>
          <w:rStyle w:val="FootnoteReference"/>
        </w:rPr>
        <w:footnoteReference w:id="276"/>
      </w:r>
      <w:r>
        <w:t xml:space="preserve">. Un metaanálisis de 50 estudios aleatorizados sobre toda la clase GLP-1 no encontró en conjunto un aumento del riesgo de cáncer, pero sí una señal de cáncer de tiroides (odds ratio 1,55) que debe seguir investigándose</w:t>
      </w:r>
      <w:r>
        <w:rPr>
          <w:rStyle w:val="FootnoteReference"/>
        </w:rPr>
        <w:footnoteReference w:id="277"/>
      </w:r>
      <w:r>
        <w:t xml:space="preserve">. Está en curso un estudio europeo de seguridad sobre el cáncer de páncreas con exenatida</w:t>
      </w:r>
      <w:r>
        <w:rPr>
          <w:rStyle w:val="FootnoteReference"/>
        </w:rPr>
        <w:footnoteReference w:id="278"/>
      </w:r>
      <w:r>
        <w:t xml:space="preserve">.</w:t>
      </w:r>
    </w:p>
    <w:p>
      <w:pPr>
        <w:numPr>
          <w:ilvl w:val="0"/>
          <w:numId w:val="1039"/>
        </w:numPr>
        <w:pStyle w:val="Compact"/>
      </w:pPr>
      <w:r>
        <w:rPr>
          <w:bCs/>
          <w:b/>
        </w:rPr>
        <w:t xml:space="preserve">Riesgo cardiovascular:</w:t>
      </w:r>
      <w:r>
        <w:t xml:space="preserve"> </w:t>
      </w:r>
      <w:r>
        <w:t xml:space="preserve">no aumentado en EXSCEL.</w:t>
      </w:r>
    </w:p>
    <w:p>
      <w:pPr>
        <w:pStyle w:val="FirstParagraph"/>
      </w:pPr>
      <w:r>
        <w:rPr>
          <w:bCs/>
          <w:b/>
        </w:rPr>
        <w:t xml:space="preserve">Indicaciones para la práctica:</w:t>
      </w:r>
      <w:r>
        <w:t xml:space="preserve"> </w:t>
      </w:r>
      <w:r>
        <w:t xml:space="preserve">la exenatida se elimina por los riñones; no se recomienda en caso de función renal muy reducida. Como todos los agonistas del receptor de GLP-1, ralentiza el vaciamiento gástrico y puede influir así en la absorción de otros medicamentos. Para el uso, las contraindicaciones y las interacciones, lo determinante es la ficha técnica vigente; el tratamiento debe estar en manos médicas.</w:t>
      </w:r>
    </w:p>
    <w:bookmarkEnd w:id="279"/>
    <w:bookmarkStart w:id="280" w:name="situación-legal"/>
    <w:p>
      <w:pPr>
        <w:pStyle w:val="Heading3"/>
      </w:pPr>
      <w:r>
        <w:t xml:space="preserve">Situación legal</w:t>
      </w:r>
    </w:p>
    <w:p>
      <w:pPr>
        <w:numPr>
          <w:ilvl w:val="0"/>
          <w:numId w:val="1040"/>
        </w:numPr>
        <w:pStyle w:val="Compact"/>
      </w:pPr>
      <w:r>
        <w:rPr>
          <w:bCs/>
          <w:b/>
        </w:rPr>
        <w:t xml:space="preserve">UE:</w:t>
      </w:r>
      <w:r>
        <w:t xml:space="preserve"> </w:t>
      </w:r>
      <w:r>
        <w:t xml:space="preserve">la exenatida está autorizada por el procedimiento centralizado como medicamento sujeto a prescripción médica para el tratamiento de la diabetes tipo 2 (Byetta desde 2006, Bydureon desde 2011). No está autorizada para la reducción de peso.</w:t>
      </w:r>
    </w:p>
    <w:p>
      <w:pPr>
        <w:numPr>
          <w:ilvl w:val="0"/>
          <w:numId w:val="1040"/>
        </w:numPr>
        <w:pStyle w:val="Compact"/>
      </w:pPr>
      <w:r>
        <w:rPr>
          <w:bCs/>
          <w:b/>
        </w:rPr>
        <w:t xml:space="preserve">Alemania y Austria:</w:t>
      </w:r>
      <w:r>
        <w:t xml:space="preserve"> </w:t>
      </w:r>
      <w:r>
        <w:t xml:space="preserve">sujeta a prescripción médica. La prescripción solo para perder peso sería un uso fuera de indicación y, por regla general, las cajas del seguro de enfermedad no la financian. Algunas formas de administración no están comercializadas de forma permanente en todos los países; comprueba la información actualizada.</w:t>
      </w:r>
    </w:p>
    <w:p>
      <w:pPr>
        <w:numPr>
          <w:ilvl w:val="0"/>
          <w:numId w:val="1040"/>
        </w:numPr>
        <w:pStyle w:val="Compact"/>
      </w:pPr>
      <w:r>
        <w:rPr>
          <w:bCs/>
          <w:b/>
        </w:rPr>
        <w:t xml:space="preserve">EE. UU.:</w:t>
      </w:r>
      <w:r>
        <w:t xml:space="preserve"> </w:t>
      </w:r>
      <w:r>
        <w:t xml:space="preserve">autorizada para la diabetes tipo 2; la forma semanal también para adolescentes a partir de 10 años. Para la forma de dos veces al día hay genéricos autorizados.</w:t>
      </w:r>
    </w:p>
    <w:p>
      <w:pPr>
        <w:numPr>
          <w:ilvl w:val="0"/>
          <w:numId w:val="1040"/>
        </w:numPr>
        <w:pStyle w:val="Compact"/>
      </w:pPr>
      <w:r>
        <w:rPr>
          <w:bCs/>
          <w:b/>
        </w:rPr>
        <w:t xml:space="preserve">Deporte (WADA):</w:t>
      </w:r>
      <w:r>
        <w:t xml:space="preserve"> </w:t>
      </w:r>
      <w:r>
        <w:t xml:space="preserve">los agonistas del receptor de GLP-1 no figuran en la Lista de Prohibiciones (estado en 2026; comprueba la información actualizada).</w:t>
      </w:r>
    </w:p>
    <w:p>
      <w:pPr>
        <w:numPr>
          <w:ilvl w:val="0"/>
          <w:numId w:val="1040"/>
        </w:numPr>
        <w:pStyle w:val="Compact"/>
      </w:pPr>
      <w:r>
        <w:rPr>
          <w:bCs/>
          <w:b/>
        </w:rPr>
        <w:t xml:space="preserve">Mercado gris:</w:t>
      </w:r>
      <w:r>
        <w:t xml:space="preserve"> </w:t>
      </w:r>
      <w:r>
        <w:t xml:space="preserve">la exenatida apenas desempeña un papel en el mercado gris en comparación con la semaglutida y la tirzepatida. Los riesgos generales de las vías de adquisición no autorizadas se describen en la Parte I.</w:t>
      </w:r>
    </w:p>
    <w:bookmarkEnd w:id="280"/>
    <w:bookmarkStart w:id="287" w:name="estudios-en-curso-y-perspectivas"/>
    <w:p>
      <w:pPr>
        <w:pStyle w:val="Heading3"/>
      </w:pPr>
      <w:r>
        <w:t xml:space="preserve">Estudios en curso y perspectivas</w:t>
      </w:r>
    </w:p>
    <w:p>
      <w:pPr>
        <w:pStyle w:val="FirstParagraph"/>
      </w:pPr>
      <w:r>
        <w:rPr>
          <w:bCs/>
          <w:b/>
        </w:rPr>
        <w:t xml:space="preserve">Confirmado (estudios registrados):</w:t>
      </w:r>
      <w:r>
        <w:t xml:space="preserve"> </w:t>
      </w:r>
      <w:r>
        <w:t xml:space="preserve">como antidiabético, la exenatida está en gran medida «agotada» desde el punto de vista de la investigación; apenas hay ya nuevos estudios de registro en esta indicación. Los registros actuales se refieren sobre todo a:</w:t>
      </w:r>
    </w:p>
    <w:p>
      <w:pPr>
        <w:numPr>
          <w:ilvl w:val="0"/>
          <w:numId w:val="1041"/>
        </w:numPr>
        <w:pStyle w:val="Compact"/>
      </w:pPr>
      <w:r>
        <w:t xml:space="preserve">Modificaciones de la molécula: en China se están desarrollando variantes pegiladas. Para PB-119, un estudio de fase 2 con 251 participantes redujo la HbA1c al cabo de 12 semanas hasta 1,18 puntos porcentuales más que el placebo</w:t>
      </w:r>
      <w:r>
        <w:rPr>
          <w:rStyle w:val="FootnoteReference"/>
        </w:rPr>
        <w:footnoteReference w:id="281"/>
      </w:r>
      <w:r>
        <w:t xml:space="preserve">. Otro candidato, JY09 —exendina-4 acoplada a un componente de anticuerpo (proteína de fusión Fc), que en los estudios se inyecta cada dos semanas—, se está evaluando en estudios de fase 3 frente a placebo y frente a dulaglutida</w:t>
      </w:r>
      <w:r>
        <w:rPr>
          <w:rStyle w:val="FootnoteReference"/>
        </w:rPr>
        <w:footnoteReference w:id="282"/>
      </w:r>
      <w:r>
        <w:t xml:space="preserve">.</w:t>
      </w:r>
    </w:p>
    <w:p>
      <w:pPr>
        <w:numPr>
          <w:ilvl w:val="0"/>
          <w:numId w:val="1041"/>
        </w:numPr>
        <w:pStyle w:val="Compact"/>
      </w:pPr>
      <w:r>
        <w:t xml:space="preserve">Neurología: la variante pegilada NLY01 se investiga en la esclerosis múltiple en un estudio de fase 2 con 120 participantes</w:t>
      </w:r>
      <w:r>
        <w:rPr>
          <w:rStyle w:val="FootnoteReference"/>
        </w:rPr>
        <w:footnoteReference w:id="283"/>
      </w:r>
      <w:r>
        <w:t xml:space="preserve">.</w:t>
      </w:r>
    </w:p>
    <w:p>
      <w:pPr>
        <w:numPr>
          <w:ilvl w:val="0"/>
          <w:numId w:val="1041"/>
        </w:numPr>
        <w:pStyle w:val="Compact"/>
      </w:pPr>
      <w:r>
        <w:t xml:space="preserve">Seguridad: además del estudio europeo sobre el cáncer de páncreas</w:t>
      </w:r>
      <w:r>
        <w:rPr>
          <w:rStyle w:val="FootnoteReference"/>
        </w:rPr>
        <w:footnoteReference w:id="284"/>
      </w:r>
      <w:r>
        <w:t xml:space="preserve">, está en marcha un programa de vigilancia a largo plazo de los carcinomas medulares de tiroides con agonistas del receptor de GLP-1</w:t>
      </w:r>
      <w:r>
        <w:rPr>
          <w:rStyle w:val="FootnoteReference"/>
        </w:rPr>
        <w:footnoteReference w:id="285"/>
      </w:r>
      <w:r>
        <w:t xml:space="preserve">.</w:t>
      </w:r>
    </w:p>
    <w:p>
      <w:pPr>
        <w:numPr>
          <w:ilvl w:val="0"/>
          <w:numId w:val="1041"/>
        </w:numPr>
        <w:pStyle w:val="Compact"/>
      </w:pPr>
      <w:r>
        <w:t xml:space="preserve">Diagnóstico: la exendina-4 marcada radiactivamente se utiliza como trazador en la tomografía por emisión de positrones (PET) de insulinomas (tumores raros productores de insulina)</w:t>
      </w:r>
      <w:r>
        <w:rPr>
          <w:rStyle w:val="FootnoteReference"/>
        </w:rPr>
        <w:footnoteReference w:id="286"/>
      </w:r>
      <w:r>
        <w:t xml:space="preserve">.</w:t>
      </w:r>
    </w:p>
    <w:p>
      <w:pPr>
        <w:pStyle w:val="FirstParagraph"/>
      </w:pPr>
      <w:r>
        <w:rPr>
          <w:bCs/>
          <w:b/>
        </w:rPr>
        <w:t xml:space="preserve">Valoración:</w:t>
      </w:r>
      <w:r>
        <w:t xml:space="preserve"> </w:t>
      </w:r>
      <w:r>
        <w:t xml:space="preserve">la exenatida seguirá perdiendo importancia en el tratamiento de la diabetes, porque existen sucesores más potentes y más cómodos de usar. Su papel duradero es el de pionera y herramienta de investigación. Que la hipótesis del Parkinson vuelva a cobrar vida depende de principios activos que lleguen mejor al cerebro y del esclarecimiento en torno a Exenatide-PD3.</w:t>
      </w:r>
    </w:p>
    <w:bookmarkEnd w:id="287"/>
    <w:bookmarkStart w:id="288" w:name="conclusión"/>
    <w:p>
      <w:pPr>
        <w:pStyle w:val="Heading3"/>
      </w:pPr>
      <w:r>
        <w:t xml:space="preserve">Conclusión</w:t>
      </w:r>
    </w:p>
    <w:p>
      <w:pPr>
        <w:pStyle w:val="FirstParagraph"/>
      </w:pPr>
      <w:r>
        <w:t xml:space="preserve">La exenatida fue en 2005 el primer agonista del receptor de GLP-1 del mercado y figura entre los medicamentos peptídicos mejor estudiados. En grandes estudios redujo la glucemia a largo plazo en aproximadamente 1 a 1,5 puntos porcentuales y el peso en unos pocos kilogramos; en EXSCEL, con 14.752 participantes, sin aumento del riesgo cardiovascular, pero también sin protección demostrada. En la comparación directa queda por detrás de la liraglutida y la semaglutida. Los datos inicialmente prometedores sobre la enfermedad de Parkinson no se confirmaron en el estudio de fase 3 más grande. Para las personas con diabetes tipo 2, la exenatida sigue siendo una opción contrastada, pero ya no de primera elección; la decisión debe estar en manos médicas.</w:t>
      </w:r>
    </w:p>
    <w:bookmarkEnd w:id="288"/>
    <w:bookmarkEnd w:id="289"/>
    <w:bookmarkStart w:id="342" w:name="liraglutida"/>
    <w:p>
      <w:pPr>
        <w:pStyle w:val="Heading2"/>
      </w:pPr>
      <w:r>
        <w:t xml:space="preserve">Liraglutida</w:t>
      </w:r>
    </w:p>
    <w:bookmarkStart w:id="291" w:name="ficha-1"/>
    <w:p>
      <w:pPr>
        <w:pStyle w:val="Heading3"/>
      </w:pPr>
      <w:r>
        <w:t xml:space="preserve">Ficha</w:t>
      </w:r>
    </w:p>
    <w:p>
      <w:pPr>
        <w:numPr>
          <w:ilvl w:val="0"/>
          <w:numId w:val="1042"/>
        </w:numPr>
        <w:pStyle w:val="Compact"/>
      </w:pPr>
      <w:r>
        <w:rPr>
          <w:bCs/>
          <w:b/>
        </w:rPr>
        <w:t xml:space="preserve">Tipo/estructura:</w:t>
      </w:r>
      <w:r>
        <w:t xml:space="preserve"> </w:t>
      </w:r>
      <w:r>
        <w:t xml:space="preserve">GLP-1 humano modificado de 31 aminoácidos. Coincide en un 97 % con la hormona endógena; en una posición se ha sustituido un aminoácido y en otra se ha unido, mediante un breve espaciador, un ácido graso de 16 átomos de carbono.</w:t>
      </w:r>
    </w:p>
    <w:p>
      <w:pPr>
        <w:numPr>
          <w:ilvl w:val="0"/>
          <w:numId w:val="1042"/>
        </w:numPr>
        <w:pStyle w:val="Compact"/>
      </w:pPr>
      <w:r>
        <w:rPr>
          <w:bCs/>
          <w:b/>
        </w:rPr>
        <w:t xml:space="preserve">Origen:</w:t>
      </w:r>
      <w:r>
        <w:t xml:space="preserve"> </w:t>
      </w:r>
      <w:r>
        <w:t xml:space="preserve">desarrollada por Novo Nordisk</w:t>
      </w:r>
      <w:r>
        <w:rPr>
          <w:rStyle w:val="FootnoteReference"/>
        </w:rPr>
        <w:footnoteReference w:id="290"/>
      </w:r>
      <w:r>
        <w:t xml:space="preserve">, producida por ingeniería genética en levadura.</w:t>
      </w:r>
    </w:p>
    <w:p>
      <w:pPr>
        <w:numPr>
          <w:ilvl w:val="0"/>
          <w:numId w:val="1042"/>
        </w:numPr>
        <w:pStyle w:val="Compact"/>
      </w:pPr>
      <w:r>
        <w:rPr>
          <w:bCs/>
          <w:b/>
        </w:rPr>
        <w:t xml:space="preserve">Principio de acción:</w:t>
      </w:r>
      <w:r>
        <w:t xml:space="preserve"> </w:t>
      </w:r>
      <w:r>
        <w:t xml:space="preserve">agonista del receptor de GLP-1. El ácido graso hace que la molécula se una a la proteína plasmática albúmina; así basta con una inyección al día.</w:t>
      </w:r>
    </w:p>
    <w:p>
      <w:pPr>
        <w:numPr>
          <w:ilvl w:val="0"/>
          <w:numId w:val="1042"/>
        </w:numPr>
        <w:pStyle w:val="Compact"/>
      </w:pPr>
      <w:r>
        <w:rPr>
          <w:bCs/>
          <w:b/>
        </w:rPr>
        <w:t xml:space="preserve">Preparados:</w:t>
      </w:r>
      <w:r>
        <w:t xml:space="preserve"> </w:t>
      </w:r>
      <w:r>
        <w:t xml:space="preserve">Victoza (diabetes tipo 2, hasta 1,8 mg diarios), Saxenda (control del peso, hasta 3,0 mg diarios), Xultophy (combinación fija con insulina degludec). Desde 2024 existen preparados de imitación.</w:t>
      </w:r>
    </w:p>
    <w:p>
      <w:pPr>
        <w:numPr>
          <w:ilvl w:val="0"/>
          <w:numId w:val="1042"/>
        </w:numPr>
        <w:pStyle w:val="Compact"/>
      </w:pPr>
      <w:r>
        <w:rPr>
          <w:bCs/>
          <w:b/>
        </w:rPr>
        <w:t xml:space="preserve">Autorización UE:</w:t>
      </w:r>
      <w:r>
        <w:t xml:space="preserve"> </w:t>
      </w:r>
      <w:r>
        <w:t xml:space="preserve">sí, diabetes tipo 2 (desde 2009) y control del peso (desde 2015), en ambos casos también para adolescentes.</w:t>
      </w:r>
    </w:p>
    <w:p>
      <w:pPr>
        <w:numPr>
          <w:ilvl w:val="0"/>
          <w:numId w:val="1042"/>
        </w:numPr>
        <w:pStyle w:val="Compact"/>
      </w:pPr>
      <w:r>
        <w:rPr>
          <w:bCs/>
          <w:b/>
        </w:rPr>
        <w:t xml:space="preserve">Autorización EE. UU.:</w:t>
      </w:r>
      <w:r>
        <w:t xml:space="preserve"> </w:t>
      </w:r>
      <w:r>
        <w:t xml:space="preserve">sí, diabetes tipo 2 (desde 2010, a partir de 10 años), reducción del riesgo cardiovascular en la diabetes tipo 2 y control del peso (desde 2014, a partir de 12 años). Hay genéricos autorizados para ambas indicaciones.</w:t>
      </w:r>
    </w:p>
    <w:p>
      <w:pPr>
        <w:numPr>
          <w:ilvl w:val="0"/>
          <w:numId w:val="1042"/>
        </w:numPr>
        <w:pStyle w:val="Compact"/>
      </w:pPr>
      <w:r>
        <w:rPr>
          <w:bCs/>
          <w:b/>
        </w:rPr>
        <w:t xml:space="preserve">WADA:</w:t>
      </w:r>
      <w:r>
        <w:t xml:space="preserve"> </w:t>
      </w:r>
      <w:r>
        <w:t xml:space="preserve">no figura en la lista.</w:t>
      </w:r>
    </w:p>
    <w:p>
      <w:pPr>
        <w:numPr>
          <w:ilvl w:val="0"/>
          <w:numId w:val="1042"/>
        </w:numPr>
        <w:pStyle w:val="Compact"/>
      </w:pPr>
      <w:r>
        <w:rPr>
          <w:bCs/>
          <w:b/>
        </w:rPr>
        <w:t xml:space="preserve">Nivel de evidencia:</w:t>
      </w:r>
      <w:r>
        <w:t xml:space="preserve"> </w:t>
      </w:r>
      <w:r>
        <w:rPr>
          <w:bCs/>
          <w:b/>
        </w:rPr>
        <w:t xml:space="preserve">A</w:t>
      </w:r>
      <w:r>
        <w:t xml:space="preserve"> </w:t>
      </w:r>
      <w:r>
        <w:t xml:space="preserve">– dos grandes programas de registro (LEAD, SCALE), un gran estudio de resultados (LEADER), estudios en niños y adolescentes.</w:t>
      </w:r>
    </w:p>
    <w:bookmarkEnd w:id="291"/>
    <w:bookmarkStart w:id="294" w:name="cómo-se-supone-que-actúa-1"/>
    <w:p>
      <w:pPr>
        <w:pStyle w:val="Heading3"/>
      </w:pPr>
      <w:r>
        <w:t xml:space="preserve">Cómo se supone que actúa</w:t>
      </w:r>
    </w:p>
    <w:p>
      <w:pPr>
        <w:pStyle w:val="FirstParagraph"/>
      </w:pPr>
      <w:r>
        <w:t xml:space="preserve">La liraglutida actúa como la hormona intestinal endógena GLP-1: aumenta la secreción de insulina dependiente de la glucosa, inhibe el glucagón, que eleva la glucemia, ralentiza el vaciamiento gástrico y atenúa el apetito en el cerebro. El mecanismo básico de la clase se describe en el capítulo Exenatida.</w:t>
      </w:r>
    </w:p>
    <w:p>
      <w:pPr>
        <w:pStyle w:val="BodyText"/>
      </w:pPr>
      <w:r>
        <w:t xml:space="preserve">La diferencia está en la construcción. Mientras que la exenatida procede del veneno de un lagarto y solo se parece a la hormona humana en la mitad, la liraglutida es casi idéntica al GLP-1 endógeno. El truco que la hace duradera es el ácido graso unido. Este hace que la molécula se adhiera a la albúmina en la sangre, se agrupe en pequeñas asociaciones y quede así protegida de la degradación por la enzima DPP-4 y de la eliminación renal. De este modo, la semivida aumenta de unos pocos minutos a aproximadamente medio día.</w:t>
      </w:r>
    </w:p>
    <w:p>
      <w:pPr>
        <w:pStyle w:val="BodyText"/>
      </w:pPr>
      <w:r>
        <w:t xml:space="preserve">De la pérdida de peso son responsables sobre todo los efectos en el cerebro. En ratones y ratas, la liraglutida marcada llega a determinadas regiones del hipotálamo, el centro de control del hambre y la saciedad, y activa allí neuronas que favorecen la sensación de saciedad</w:t>
      </w:r>
      <w:r>
        <w:rPr>
          <w:rStyle w:val="FootnoteReference"/>
        </w:rPr>
        <w:footnoteReference w:id="292"/>
      </w:r>
      <w:r>
        <w:t xml:space="preserve">. En el ser humano, esto se traduce en una menor ingesta de alimentos; no está demostrado un aumento apreciable del gasto energético.</w:t>
      </w:r>
    </w:p>
    <w:p>
      <w:pPr>
        <w:pStyle w:val="BodyText"/>
      </w:pPr>
      <w:r>
        <w:t xml:space="preserve">De la liraglutida surgió más tarde la semaglutida: la misma idea básica, pero con una unión más intensa a la albúmina que permite una inyección semanal</w:t>
      </w:r>
      <w:r>
        <w:rPr>
          <w:rStyle w:val="FootnoteReference"/>
        </w:rPr>
        <w:footnoteReference w:id="293"/>
      </w:r>
      <w:r>
        <w:t xml:space="preserve">.</w:t>
      </w:r>
    </w:p>
    <w:bookmarkEnd w:id="294"/>
    <w:bookmarkStart w:id="320" w:name="estudios-en-humanos-1"/>
    <w:p>
      <w:pPr>
        <w:pStyle w:val="Heading3"/>
      </w:pPr>
      <w:r>
        <w:t xml:space="preserve">Estudios en humanos</w:t>
      </w:r>
    </w:p>
    <w:p>
      <w:pPr>
        <w:pStyle w:val="FirstParagraph"/>
      </w:pPr>
      <w:r>
        <w:t xml:space="preserve">La liraglutida figura entre los medicamentos peptídicos mejor estudiados. La consulta de PubMed analizada para este libro (término de búsqueda «liraglutide» en el título o el resumen, fecha de consulta octubre de 2026) arrojó 613 estudios en seres humanos, más que para cualquier otro péptido de este libro. ClinicalTrials.gov recoge 517 registros. A continuación se tratan sobre todo los estudios de registro y de resultados; además existen cientos de estudios más pequeños sobre el hígado, el corazón, el cerebro, la fertilidad y los trastornos de la conducta alimentaria.</w:t>
      </w:r>
    </w:p>
    <w:bookmarkStart w:id="297" w:name="diabetes-tipo-2-el-programa-lead"/>
    <w:p>
      <w:pPr>
        <w:pStyle w:val="Heading4"/>
      </w:pPr>
      <w:r>
        <w:t xml:space="preserve">Diabetes tipo 2: el programa LEAD</w:t>
      </w:r>
    </w:p>
    <w:p>
      <w:pPr>
        <w:pStyle w:val="FirstParagraph"/>
      </w:pPr>
      <w:r>
        <w:t xml:space="preserve">Para la autorización en la diabetes, la liraglutida se evaluó en seis estudios bajo el nombre LEAD (Liraglutide Effect and Action in Diabetes), con 1,2 o 1,8 mg al día. Dos son especialmente reveladores, porque se enfrentaron a tratamientos establecidos en aquel momento. A ellos se suma la comparación con el inhibidor de la DPP-4 sitagliptina.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LEAD-3 Mono (Garber 2009), PMID 18819705</w:t>
            </w:r>
          </w:p>
        </w:tc>
        <w:tc>
          <w:tcPr/>
          <w:p>
            <w:pPr>
              <w:pStyle w:val="Compact"/>
              <w:jc w:val="left"/>
            </w:pPr>
            <w:r>
              <w:t xml:space="preserve">746 personas con diabetes tipo 2 temprana, doble ciego frente a glimepirida</w:t>
            </w:r>
          </w:p>
        </w:tc>
        <w:tc>
          <w:tcPr/>
          <w:p>
            <w:pPr>
              <w:pStyle w:val="Compact"/>
              <w:jc w:val="left"/>
            </w:pPr>
            <w:r>
              <w:t xml:space="preserve">52 semanas</w:t>
            </w:r>
          </w:p>
        </w:tc>
        <w:tc>
          <w:tcPr/>
          <w:p>
            <w:pPr>
              <w:pStyle w:val="Compact"/>
              <w:jc w:val="left"/>
            </w:pPr>
            <w:r>
              <w:t xml:space="preserve">HbA1c −1,14 (1,8 mg) frente a −0,51 puntos porcentuales</w:t>
            </w:r>
          </w:p>
        </w:tc>
      </w:tr>
      <w:tr>
        <w:tc>
          <w:tcPr/>
          <w:p>
            <w:pPr>
              <w:pStyle w:val="Compact"/>
              <w:jc w:val="left"/>
            </w:pPr>
            <w:r>
              <w:t xml:space="preserve">LEAD-6 (Buse 2009), PMID 19515413</w:t>
            </w:r>
          </w:p>
        </w:tc>
        <w:tc>
          <w:tcPr/>
          <w:p>
            <w:pPr>
              <w:pStyle w:val="Compact"/>
              <w:jc w:val="left"/>
            </w:pPr>
            <w:r>
              <w:t xml:space="preserve">abierto frente a exenatida dos veces al día</w:t>
            </w:r>
          </w:p>
        </w:tc>
        <w:tc>
          <w:tcPr/>
          <w:p>
            <w:pPr>
              <w:pStyle w:val="Compact"/>
              <w:jc w:val="left"/>
            </w:pPr>
            <w:r>
              <w:t xml:space="preserve">26 semanas</w:t>
            </w:r>
          </w:p>
        </w:tc>
        <w:tc>
          <w:tcPr/>
          <w:p>
            <w:pPr>
              <w:pStyle w:val="Compact"/>
              <w:jc w:val="left"/>
            </w:pPr>
            <w:r>
              <w:t xml:space="preserve">HbA1c −1,12 frente a −0,79; peso −3,24 frente a −2,87 kg</w:t>
            </w:r>
          </w:p>
        </w:tc>
      </w:tr>
      <w:tr>
        <w:tc>
          <w:tcPr/>
          <w:p>
            <w:pPr>
              <w:pStyle w:val="Compact"/>
              <w:jc w:val="left"/>
            </w:pPr>
            <w:r>
              <w:t xml:space="preserve">Pratley 2010, PMID 20417856</w:t>
            </w:r>
          </w:p>
        </w:tc>
        <w:tc>
          <w:tcPr/>
          <w:p>
            <w:pPr>
              <w:pStyle w:val="Compact"/>
              <w:jc w:val="left"/>
            </w:pPr>
            <w:r>
              <w:t xml:space="preserve">658 personas con metformina, abierto frente a sitagliptina</w:t>
            </w:r>
          </w:p>
        </w:tc>
        <w:tc>
          <w:tcPr/>
          <w:p>
            <w:pPr>
              <w:pStyle w:val="Compact"/>
              <w:jc w:val="left"/>
            </w:pPr>
            <w:r>
              <w:t xml:space="preserve">26 semanas</w:t>
            </w:r>
          </w:p>
        </w:tc>
        <w:tc>
          <w:tcPr/>
          <w:p>
            <w:pPr>
              <w:pStyle w:val="Compact"/>
              <w:jc w:val="left"/>
            </w:pPr>
            <w:r>
              <w:t xml:space="preserve">HbA1c −1,50 (1,8 mg) frente a −0,90; náuseas 27 % frente a 5 %</w:t>
            </w:r>
          </w:p>
        </w:tc>
      </w:tr>
    </w:tbl>
    <w:p>
      <w:pPr>
        <w:pStyle w:val="BodyText"/>
      </w:pPr>
      <w:r>
        <w:t xml:space="preserve">El valor de glucemia a largo plazo HbA1c disminuyó con liraglutida en estos estudios entre 1,1 y 1,5 puntos porcentuales. En LEAD-3</w:t>
      </w:r>
      <w:r>
        <w:rPr>
          <w:rStyle w:val="FootnoteReference"/>
        </w:rPr>
        <w:footnoteReference w:id="295"/>
      </w:r>
      <w:r>
        <w:t xml:space="preserve">, la liraglutida fue el primer antidiabético superior a la sulfonilurea glimepirida, que reduce la glucemia con independencia de las comidas y provoca hipoglucemias con más frecuencia. Frente a la sitagliptina</w:t>
      </w:r>
      <w:r>
        <w:rPr>
          <w:rStyle w:val="FootnoteReference"/>
        </w:rPr>
        <w:footnoteReference w:id="296"/>
      </w:r>
      <w:r>
        <w:t xml:space="preserve">, la ventaja fue de 0,6 puntos porcentuales, aunque con bastantes más náuseas.</w:t>
      </w:r>
    </w:p>
    <w:bookmarkEnd w:id="297"/>
    <w:bookmarkStart w:id="302" w:name="Xbb090ca0bcb57815d29d7111ea4608b4d2c9425"/>
    <w:p>
      <w:pPr>
        <w:pStyle w:val="Heading4"/>
      </w:pPr>
      <w:r>
        <w:t xml:space="preserve">Comparaciones directas dentro de la clase GLP-1</w:t>
      </w:r>
    </w:p>
    <w:p>
      <w:pPr>
        <w:pStyle w:val="FirstParagraph"/>
      </w:pPr>
      <w:r>
        <w:t xml:space="preserve">La liraglutida es el comparador más utilizado de la clase. Los resultados arrojan una clasificación clara: la liraglutida es más potente que la exenatida, aproximadamente tan potente como la dulaglutida y más débil que la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(liraglutida frente a comparador)</w:t>
            </w:r>
          </w:p>
        </w:tc>
      </w:tr>
      <w:tr>
        <w:tc>
          <w:tcPr/>
          <w:p>
            <w:pPr>
              <w:pStyle w:val="Compact"/>
              <w:jc w:val="left"/>
            </w:pPr>
            <w:r>
              <w:t xml:space="preserve">LEAD-6 (Buse 2009), PMID 19515413</w:t>
            </w:r>
          </w:p>
        </w:tc>
        <w:tc>
          <w:tcPr/>
          <w:p>
            <w:pPr>
              <w:pStyle w:val="Compact"/>
              <w:jc w:val="left"/>
            </w:pPr>
            <w:r>
              <w:t xml:space="preserve">frente a exenatida dos veces al día</w:t>
            </w:r>
          </w:p>
        </w:tc>
        <w:tc>
          <w:tcPr/>
          <w:p>
            <w:pPr>
              <w:pStyle w:val="Compact"/>
              <w:jc w:val="left"/>
            </w:pPr>
            <w:r>
              <w:t xml:space="preserve">26 semanas</w:t>
            </w:r>
          </w:p>
        </w:tc>
        <w:tc>
          <w:tcPr/>
          <w:p>
            <w:pPr>
              <w:pStyle w:val="Compact"/>
              <w:jc w:val="left"/>
            </w:pPr>
            <w:r>
              <w:t xml:space="preserve">HbA1c −1,12 frente a −0,79; objetivo &lt; 7 % en el 54 % frente al 43 %</w:t>
            </w:r>
          </w:p>
        </w:tc>
      </w:tr>
      <w:tr>
        <w:tc>
          <w:tcPr/>
          <w:p>
            <w:pPr>
              <w:pStyle w:val="Compact"/>
              <w:jc w:val="left"/>
            </w:pPr>
            <w:r>
              <w:t xml:space="preserve">DURATION-6 (Buse 2013), PMID 23141817</w:t>
            </w:r>
          </w:p>
        </w:tc>
        <w:tc>
          <w:tcPr/>
          <w:p>
            <w:pPr>
              <w:pStyle w:val="Compact"/>
              <w:jc w:val="left"/>
            </w:pPr>
            <w:r>
              <w:t xml:space="preserve">911 personas, frente a exenatida semanal</w:t>
            </w:r>
          </w:p>
        </w:tc>
        <w:tc>
          <w:tcPr/>
          <w:p>
            <w:pPr>
              <w:pStyle w:val="Compact"/>
              <w:jc w:val="left"/>
            </w:pPr>
            <w:r>
              <w:t xml:space="preserve">26 semanas</w:t>
            </w:r>
          </w:p>
        </w:tc>
        <w:tc>
          <w:tcPr/>
          <w:p>
            <w:pPr>
              <w:pStyle w:val="Compact"/>
              <w:jc w:val="left"/>
            </w:pPr>
            <w:r>
              <w:t xml:space="preserve">HbA1c −1,48 frente a −1,28; náuseas 21 % frente a 9 %</w:t>
            </w:r>
          </w:p>
        </w:tc>
      </w:tr>
      <w:tr>
        <w:tc>
          <w:tcPr/>
          <w:p>
            <w:pPr>
              <w:pStyle w:val="Compact"/>
              <w:jc w:val="left"/>
            </w:pPr>
            <w:r>
              <w:t xml:space="preserve">AWARD-6 (Dungan 2014), PMID 25018121</w:t>
            </w:r>
          </w:p>
        </w:tc>
        <w:tc>
          <w:tcPr/>
          <w:p>
            <w:pPr>
              <w:pStyle w:val="Compact"/>
              <w:jc w:val="left"/>
            </w:pPr>
            <w:r>
              <w:t xml:space="preserve">599 personas, frente a dulaglutida semanal</w:t>
            </w:r>
          </w:p>
        </w:tc>
        <w:tc>
          <w:tcPr/>
          <w:p>
            <w:pPr>
              <w:pStyle w:val="Compact"/>
              <w:jc w:val="left"/>
            </w:pPr>
            <w:r>
              <w:t xml:space="preserve">26 semanas</w:t>
            </w:r>
          </w:p>
        </w:tc>
        <w:tc>
          <w:tcPr/>
          <w:p>
            <w:pPr>
              <w:pStyle w:val="Compact"/>
              <w:jc w:val="left"/>
            </w:pPr>
            <w:r>
              <w:t xml:space="preserve">HbA1c −1,36 frente a −1,42; equivalentes</w:t>
            </w:r>
          </w:p>
        </w:tc>
      </w:tr>
      <w:tr>
        <w:tc>
          <w:tcPr/>
          <w:p>
            <w:pPr>
              <w:pStyle w:val="Compact"/>
              <w:jc w:val="left"/>
            </w:pPr>
            <w:r>
              <w:t xml:space="preserve">PIONEER 4 (Pratley 2019), PMID 31186120</w:t>
            </w:r>
          </w:p>
        </w:tc>
        <w:tc>
          <w:tcPr/>
          <w:p>
            <w:pPr>
              <w:pStyle w:val="Compact"/>
              <w:jc w:val="left"/>
            </w:pPr>
            <w:r>
              <w:t xml:space="preserve">711 personas, frente a semaglutida en comprimido y placebo</w:t>
            </w:r>
          </w:p>
        </w:tc>
        <w:tc>
          <w:tcPr/>
          <w:p>
            <w:pPr>
              <w:pStyle w:val="Compact"/>
              <w:jc w:val="left"/>
            </w:pPr>
            <w:r>
              <w:t xml:space="preserve">52 semanas</w:t>
            </w:r>
          </w:p>
        </w:tc>
        <w:tc>
          <w:tcPr/>
          <w:p>
            <w:pPr>
              <w:pStyle w:val="Compact"/>
              <w:jc w:val="left"/>
            </w:pPr>
            <w:r>
              <w:t xml:space="preserve">HbA1c −1,1 frente a −1,2 a las 26 semanas; peso −3,1 frente a −4,4 kg</w:t>
            </w:r>
          </w:p>
        </w:tc>
      </w:tr>
      <w:tr>
        <w:tc>
          <w:tcPr/>
          <w:p>
            <w:pPr>
              <w:pStyle w:val="Compact"/>
              <w:jc w:val="left"/>
            </w:pPr>
            <w:r>
              <w:t xml:space="preserve">SUSTAIN 10 (Capehorn 2020), PMID 31539622</w:t>
            </w:r>
          </w:p>
        </w:tc>
        <w:tc>
          <w:tcPr/>
          <w:p>
            <w:pPr>
              <w:pStyle w:val="Compact"/>
              <w:jc w:val="left"/>
            </w:pPr>
            <w:r>
              <w:t xml:space="preserve">liraglutida 1,2 mg frente a semaglutida 1,0 mg semanal</w:t>
            </w:r>
          </w:p>
        </w:tc>
        <w:tc>
          <w:tcPr/>
          <w:p>
            <w:pPr>
              <w:pStyle w:val="Compact"/>
              <w:jc w:val="left"/>
            </w:pPr>
            <w:r>
              <w:t xml:space="preserve">30 semanas</w:t>
            </w:r>
          </w:p>
        </w:tc>
        <w:tc>
          <w:tcPr/>
          <w:p>
            <w:pPr>
              <w:pStyle w:val="Compact"/>
              <w:jc w:val="left"/>
            </w:pPr>
            <w:r>
              <w:t xml:space="preserve">HbA1c −1,0 frente a −1,7; peso −1,9 frente a −5,8 kg</w:t>
            </w:r>
          </w:p>
        </w:tc>
      </w:tr>
      <w:tr>
        <w:tc>
          <w:tcPr/>
          <w:p>
            <w:pPr>
              <w:pStyle w:val="Compact"/>
              <w:jc w:val="left"/>
            </w:pPr>
            <w:r>
              <w:t xml:space="preserve">STEP 8 (Rubino 2022), PMID 35015037</w:t>
            </w:r>
          </w:p>
        </w:tc>
        <w:tc>
          <w:tcPr/>
          <w:p>
            <w:pPr>
              <w:pStyle w:val="Compact"/>
              <w:jc w:val="left"/>
            </w:pPr>
            <w:r>
              <w:t xml:space="preserve">338 personas con obesidad sin diabetes, liraglutida 3,0 mg frente a semaglutida 2,4 mg</w:t>
            </w:r>
          </w:p>
        </w:tc>
        <w:tc>
          <w:tcPr/>
          <w:p>
            <w:pPr>
              <w:pStyle w:val="Compact"/>
              <w:jc w:val="left"/>
            </w:pPr>
            <w:r>
              <w:t xml:space="preserve">68 semanas</w:t>
            </w:r>
          </w:p>
        </w:tc>
        <w:tc>
          <w:tcPr/>
          <w:p>
            <w:pPr>
              <w:pStyle w:val="Compact"/>
              <w:jc w:val="left"/>
            </w:pPr>
            <w:r>
              <w:t xml:space="preserve">peso −6,4 % frente a −15,8 %</w:t>
            </w:r>
          </w:p>
        </w:tc>
      </w:tr>
    </w:tbl>
    <w:p>
      <w:pPr>
        <w:pStyle w:val="BodyText"/>
      </w:pPr>
      <w:r>
        <w:t xml:space="preserve">En LEAD-6</w:t>
      </w:r>
      <w:r>
        <w:rPr>
          <w:rStyle w:val="FootnoteReference"/>
        </w:rPr>
        <w:footnoteReference w:id="298"/>
      </w:r>
      <w:r>
        <w:t xml:space="preserve">, la liraglutida redujo la glucemia en ayunas claramente más que la exenatida dos veces al día, pero la subida de la glucosa tras el desayuno y la cena en menor medida, un indicio de que las formas de acción corta actúan más a través del vaciamiento gástrico. Las náuseas duraron menos con liraglutida, y las hipoglucemias leves fueron menos frecuentes (25,5 % frente a 33,6 % de los participantes).</w:t>
      </w:r>
    </w:p>
    <w:p>
      <w:pPr>
        <w:pStyle w:val="BodyText"/>
      </w:pPr>
      <w:r>
        <w:t xml:space="preserve">Frente a la dulaglutida, la liraglutida fue equivalente en AWARD-6</w:t>
      </w:r>
      <w:r>
        <w:rPr>
          <w:rStyle w:val="FootnoteReference"/>
        </w:rPr>
        <w:footnoteReference w:id="299"/>
      </w:r>
      <w:r>
        <w:t xml:space="preserve">, con una tolerabilidad similar; las náuseas aparecieron en el 18 % frente al 20 %.</w:t>
      </w:r>
    </w:p>
    <w:p>
      <w:pPr>
        <w:pStyle w:val="BodyText"/>
      </w:pPr>
      <w:r>
        <w:t xml:space="preserve">Frente a la semaglutida, la liraglutida perdió en todas las comparaciones. Donde más claro fue en STEP 8</w:t>
      </w:r>
      <w:r>
        <w:rPr>
          <w:rStyle w:val="FootnoteReference"/>
        </w:rPr>
        <w:footnoteReference w:id="300"/>
      </w:r>
      <w:r>
        <w:t xml:space="preserve">, en cuanto al peso: con la dosis autorizada en cada caso para la obesidad, los participantes perdieron de media un 15,8 % con semaglutida y un 6,4 % con liraglutida (placebo: 1,9 %). Una pérdida de al menos el 15 % la alcanzó el 55,6 % frente al 12,0 %. Habían interrumpido el tratamiento prematuramente el 27,6 % con liraglutida y el 13,5 % con semaglutida. Con el comprimido de semaglutida, la diferencia en PIONEER 4</w:t>
      </w:r>
      <w:r>
        <w:rPr>
          <w:rStyle w:val="FootnoteReference"/>
        </w:rPr>
        <w:footnoteReference w:id="301"/>
      </w:r>
      <w:r>
        <w:t xml:space="preserve"> </w:t>
      </w:r>
      <w:r>
        <w:t xml:space="preserve">fue menor: en la HbA1c, el comprimido no fue inferior según el método de análisis principal, y en el peso fue superior en 1,2 kg. Los detalles de estos estudios figuran en el capítulo Semaglutida.</w:t>
      </w:r>
    </w:p>
    <w:bookmarkEnd w:id="302"/>
    <w:bookmarkStart w:id="306" w:name="leader-corazón-circulación-y-riñones"/>
    <w:p>
      <w:pPr>
        <w:pStyle w:val="Heading4"/>
      </w:pPr>
      <w:r>
        <w:t xml:space="preserve">LEADER: corazón, circulación y riñones</w:t>
      </w:r>
    </w:p>
    <w:p>
      <w:pPr>
        <w:pStyle w:val="FirstParagraph"/>
      </w:pPr>
      <w:r>
        <w:t xml:space="preserve">LEADER fue el primer gran estudio que demostró para un agonista del receptor de GLP-1 una protección frente a eventos cardiovasculares. Cambió el papel de toda la clase en las guías de práctica clínica de la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LEADER (Marso 2016), PMID 27295427</w:t>
            </w:r>
          </w:p>
        </w:tc>
        <w:tc>
          <w:tcPr/>
          <w:p>
            <w:pPr>
              <w:pStyle w:val="Compact"/>
              <w:jc w:val="left"/>
            </w:pPr>
            <w:r>
              <w:t xml:space="preserve">9340 personas con diabetes tipo 2 y alto riesgo cardiovascular, RCT frente a placebo</w:t>
            </w:r>
          </w:p>
        </w:tc>
        <w:tc>
          <w:tcPr/>
          <w:p>
            <w:pPr>
              <w:pStyle w:val="Compact"/>
              <w:jc w:val="left"/>
            </w:pPr>
            <w:r>
              <w:t xml:space="preserve">mediana de 3,8 años</w:t>
            </w:r>
          </w:p>
        </w:tc>
        <w:tc>
          <w:tcPr/>
          <w:p>
            <w:pPr>
              <w:pStyle w:val="Compact"/>
              <w:jc w:val="left"/>
            </w:pPr>
            <w:r>
              <w:t xml:space="preserve">Eventos cardiovasculares graves 13,0 % frente a 14,9 %; HR 0,87 (0,78–0,97)</w:t>
            </w:r>
          </w:p>
        </w:tc>
      </w:tr>
      <w:tr>
        <w:tc>
          <w:tcPr/>
          <w:p>
            <w:pPr>
              <w:pStyle w:val="Compact"/>
              <w:jc w:val="left"/>
            </w:pPr>
            <w:r>
              <w:t xml:space="preserve">LEADER, análisis renal (Mann 2017), PMID 28854085</w:t>
            </w:r>
          </w:p>
        </w:tc>
        <w:tc>
          <w:tcPr/>
          <w:p>
            <w:pPr>
              <w:pStyle w:val="Compact"/>
              <w:jc w:val="left"/>
            </w:pPr>
            <w:r>
              <w:t xml:space="preserve">las mismas 9340 personas, análisis planificado de antemano</w:t>
            </w:r>
          </w:p>
        </w:tc>
        <w:tc>
          <w:tcPr/>
          <w:p>
            <w:pPr>
              <w:pStyle w:val="Compact"/>
              <w:jc w:val="left"/>
            </w:pPr>
            <w:r>
              <w:t xml:space="preserve">mediana de 3,84 años</w:t>
            </w:r>
          </w:p>
        </w:tc>
        <w:tc>
          <w:tcPr/>
          <w:p>
            <w:pPr>
              <w:pStyle w:val="Compact"/>
              <w:jc w:val="left"/>
            </w:pPr>
            <w:r>
              <w:t xml:space="preserve">variable renal 268 frente a 337 casos; HR 0,78, sobre todo menos macroalbuminuria nueva</w:t>
            </w:r>
          </w:p>
        </w:tc>
      </w:tr>
    </w:tbl>
    <w:p>
      <w:pPr>
        <w:pStyle w:val="BodyText"/>
      </w:pPr>
      <w:r>
        <w:t xml:space="preserve">La variable principal —muerte de causa cardiovascular, infarto de miocardio no mortal o ictus— se produjo con liraglutida en 608 de 4668 personas (13,0 %) y con placebo en 694 de 4672 (14,9 %)</w:t>
      </w:r>
      <w:r>
        <w:rPr>
          <w:rStyle w:val="FootnoteReference"/>
        </w:rPr>
        <w:footnoteReference w:id="303"/>
      </w:r>
      <w:r>
        <w:t xml:space="preserve">. Esto corresponde a una reducción relativa del riesgo del 13 %. El efecto se debió sobre todo a un menor número de muertes cardiovasculares (4,7 % frente a 6,0 %; HR 0,78). También la mortalidad total fue menor (8,2 % frente a 9,6 %; HR 0,85). Los componentes individuales infarto de miocardio, ictus y hospitalización por insuficiencia cardíaca no se redujeron significativamente por sí solos.</w:t>
      </w:r>
    </w:p>
    <w:p>
      <w:pPr>
        <w:pStyle w:val="BodyText"/>
      </w:pPr>
      <w:r>
        <w:t xml:space="preserve">En cifras absolutas, esto significa que, a lo largo de casi cuatro años, unas dos de cada cien personas tratadas tuvieron un evento cardiovascular grave menos. Para un grupo de alto riesgo, es un efecto relevante.</w:t>
      </w:r>
    </w:p>
    <w:p>
      <w:pPr>
        <w:pStyle w:val="BodyText"/>
      </w:pPr>
      <w:r>
        <w:t xml:space="preserve">El análisis renal</w:t>
      </w:r>
      <w:r>
        <w:rPr>
          <w:rStyle w:val="FootnoteReference"/>
        </w:rPr>
        <w:footnoteReference w:id="304"/>
      </w:r>
      <w:r>
        <w:t xml:space="preserve"> </w:t>
      </w:r>
      <w:r>
        <w:t xml:space="preserve">mostró menos casos de excreción intensa de proteínas en la orina de nueva aparición (macroalbuminuria). Las variables renales duras, como la necesidad de diálisis, fueron raras y no difirieron claramente. La insuficiencia renal aguda se produjo con una frecuencia similar a la del placebo.</w:t>
      </w:r>
    </w:p>
    <w:p>
      <w:pPr>
        <w:pStyle w:val="BodyText"/>
      </w:pPr>
      <w:r>
        <w:t xml:space="preserve">No todos los grupos de pacientes cardíacos se benefician. En el estudio FIGHT, con 300 personas que poco antes habían estado hospitalizadas por una insuficiencia cardíaca grave con función de bomba muy reducida, la liraglutida no mejoró la evolución</w:t>
      </w:r>
      <w:r>
        <w:rPr>
          <w:rStyle w:val="FootnoteReference"/>
        </w:rPr>
        <w:footnoteReference w:id="305"/>
      </w:r>
      <w:r>
        <w:t xml:space="preserve">. Incluso hubo algo más de nuevas hospitalizaciones por insuficiencia cardíaca (41 % frente a 34 %), sin que la diferencia fuera estadísticamente significativa. Los autores no vieron fundamento para su uso en esta situación.</w:t>
      </w:r>
    </w:p>
    <w:bookmarkEnd w:id="306"/>
    <w:bookmarkStart w:id="311" w:name="obesidad-el-programa-scale"/>
    <w:p>
      <w:pPr>
        <w:pStyle w:val="Heading4"/>
      </w:pPr>
      <w:r>
        <w:t xml:space="preserve">Obesidad: el programa SCALE</w:t>
      </w:r>
    </w:p>
    <w:p>
      <w:pPr>
        <w:pStyle w:val="FirstParagraph"/>
      </w:pPr>
      <w:r>
        <w:t xml:space="preserve">Con 3,0 mg al día —casi el doble de la dosis más alta para la diabetes—, la liraglutida se autorizó en 2014/2015 como primer medicamento GLP-1 para la reducción de peso. La base fue el programa de estudios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SCALE Obesity and Prediabetes (Pi-Sunyer 2015), PMID 26132939</w:t>
            </w:r>
          </w:p>
        </w:tc>
        <w:tc>
          <w:tcPr/>
          <w:p>
            <w:pPr>
              <w:pStyle w:val="Compact"/>
              <w:jc w:val="left"/>
            </w:pPr>
            <w:r>
              <w:t xml:space="preserve">3731 adultos con obesidad sin diabetes, RCT frente a placebo</w:t>
            </w:r>
          </w:p>
        </w:tc>
        <w:tc>
          <w:tcPr/>
          <w:p>
            <w:pPr>
              <w:pStyle w:val="Compact"/>
              <w:jc w:val="left"/>
            </w:pPr>
            <w:r>
              <w:t xml:space="preserve">56 semanas</w:t>
            </w:r>
          </w:p>
        </w:tc>
        <w:tc>
          <w:tcPr/>
          <w:p>
            <w:pPr>
              <w:pStyle w:val="Compact"/>
              <w:jc w:val="left"/>
            </w:pPr>
            <w:r>
              <w:t xml:space="preserve">−8,4 kg frente a −2,8 kg; pérdida ≥ 5 % en el 63,2 % frente al 27,1 %</w:t>
            </w:r>
          </w:p>
        </w:tc>
      </w:tr>
      <w:tr>
        <w:tc>
          <w:tcPr/>
          <w:p>
            <w:pPr>
              <w:pStyle w:val="Compact"/>
              <w:jc w:val="left"/>
            </w:pPr>
            <w:r>
              <w:t xml:space="preserve">SCALE, parte de 3 años (le Roux 2017), PMID 28237263</w:t>
            </w:r>
          </w:p>
        </w:tc>
        <w:tc>
          <w:tcPr/>
          <w:p>
            <w:pPr>
              <w:pStyle w:val="Compact"/>
              <w:jc w:val="left"/>
            </w:pPr>
            <w:r>
              <w:t xml:space="preserve">2254 personas con prediabetes</w:t>
            </w:r>
          </w:p>
        </w:tc>
        <w:tc>
          <w:tcPr/>
          <w:p>
            <w:pPr>
              <w:pStyle w:val="Compact"/>
              <w:jc w:val="left"/>
            </w:pPr>
            <w:r>
              <w:t xml:space="preserve">160 semanas</w:t>
            </w:r>
          </w:p>
        </w:tc>
        <w:tc>
          <w:tcPr/>
          <w:p>
            <w:pPr>
              <w:pStyle w:val="Compact"/>
              <w:jc w:val="left"/>
            </w:pPr>
            <w:r>
              <w:t xml:space="preserve">diabetes nueva en el 2 % frente al 6 %; peso −6,1 % frente a −1,9 %</w:t>
            </w:r>
          </w:p>
        </w:tc>
      </w:tr>
      <w:tr>
        <w:tc>
          <w:tcPr/>
          <w:p>
            <w:pPr>
              <w:pStyle w:val="Compact"/>
              <w:jc w:val="left"/>
            </w:pPr>
            <w:r>
              <w:t xml:space="preserve">SCALE Diabetes (Davies 2015), PMID 26284720</w:t>
            </w:r>
          </w:p>
        </w:tc>
        <w:tc>
          <w:tcPr/>
          <w:p>
            <w:pPr>
              <w:pStyle w:val="Compact"/>
              <w:jc w:val="left"/>
            </w:pPr>
            <w:r>
              <w:t xml:space="preserve">846 personas con diabetes tipo 2 y sobrepeso</w:t>
            </w:r>
          </w:p>
        </w:tc>
        <w:tc>
          <w:tcPr/>
          <w:p>
            <w:pPr>
              <w:pStyle w:val="Compact"/>
              <w:jc w:val="left"/>
            </w:pPr>
            <w:r>
              <w:t xml:space="preserve">56 semanas</w:t>
            </w:r>
          </w:p>
        </w:tc>
        <w:tc>
          <w:tcPr/>
          <w:p>
            <w:pPr>
              <w:pStyle w:val="Compact"/>
              <w:jc w:val="left"/>
            </w:pPr>
            <w:r>
              <w:t xml:space="preserve">−6,0 % (3,0 mg) frente a −2,0 %</w:t>
            </w:r>
          </w:p>
        </w:tc>
      </w:tr>
      <w:tr>
        <w:tc>
          <w:tcPr/>
          <w:p>
            <w:pPr>
              <w:pStyle w:val="Compact"/>
              <w:jc w:val="left"/>
            </w:pPr>
            <w:r>
              <w:t xml:space="preserve">SCALE Maintenance (Wadden 2013), PMID 23812094</w:t>
            </w:r>
          </w:p>
        </w:tc>
        <w:tc>
          <w:tcPr/>
          <w:p>
            <w:pPr>
              <w:pStyle w:val="Compact"/>
              <w:jc w:val="left"/>
            </w:pPr>
            <w:r>
              <w:t xml:space="preserve">422 personas tras una dieta con pérdida ≥ 5 %</w:t>
            </w:r>
          </w:p>
        </w:tc>
        <w:tc>
          <w:tcPr/>
          <w:p>
            <w:pPr>
              <w:pStyle w:val="Compact"/>
              <w:jc w:val="left"/>
            </w:pPr>
            <w:r>
              <w:t xml:space="preserve">56 semanas</w:t>
            </w:r>
          </w:p>
        </w:tc>
        <w:tc>
          <w:tcPr/>
          <w:p>
            <w:pPr>
              <w:pStyle w:val="Compact"/>
              <w:jc w:val="left"/>
            </w:pPr>
            <w:r>
              <w:t xml:space="preserve">−6,2 % adicional frente a −0,2 %</w:t>
            </w:r>
          </w:p>
        </w:tc>
      </w:tr>
      <w:tr>
        <w:tc>
          <w:tcPr/>
          <w:p>
            <w:pPr>
              <w:pStyle w:val="Compact"/>
              <w:jc w:val="left"/>
            </w:pPr>
            <w:r>
              <w:t xml:space="preserve">SCALE Sleep Apnea (Blackman 2016), PMID 27005405</w:t>
            </w:r>
          </w:p>
        </w:tc>
        <w:tc>
          <w:tcPr/>
          <w:p>
            <w:pPr>
              <w:pStyle w:val="Compact"/>
              <w:jc w:val="left"/>
            </w:pPr>
            <w:r>
              <w:t xml:space="preserve">adultos con obesidad y apnea del sueño moderada a grave</w:t>
            </w:r>
          </w:p>
        </w:tc>
        <w:tc>
          <w:tcPr/>
          <w:p>
            <w:pPr>
              <w:pStyle w:val="Compact"/>
              <w:jc w:val="left"/>
            </w:pPr>
            <w:r>
              <w:t xml:space="preserve">32 semanas</w:t>
            </w:r>
          </w:p>
        </w:tc>
        <w:tc>
          <w:tcPr/>
          <w:p>
            <w:pPr>
              <w:pStyle w:val="Compact"/>
              <w:jc w:val="left"/>
            </w:pPr>
            <w:r>
              <w:t xml:space="preserve">apneas −12,2 frente a −6,1 por hora; peso −5,7 % frente a −1,6 %</w:t>
            </w:r>
          </w:p>
        </w:tc>
      </w:tr>
    </w:tbl>
    <w:p>
      <w:pPr>
        <w:pStyle w:val="BodyText"/>
      </w:pPr>
      <w:r>
        <w:t xml:space="preserve">En el estudio más grande</w:t>
      </w:r>
      <w:r>
        <w:rPr>
          <w:rStyle w:val="FootnoteReference"/>
        </w:rPr>
        <w:footnoteReference w:id="307"/>
      </w:r>
      <w:r>
        <w:t xml:space="preserve">, los participantes perdieron de media 8,4 kg con liraglutida y 2,8 kg con placebo, en ambos casos con asesoramiento sobre alimentación y actividad física. Un tercio (33,1 %) perdió más del 10 % de su peso corporal, frente al 10,6 % con placebo. Se produjeron acontecimientos adversos graves en el 6,2 % frente al 5,0 %.</w:t>
      </w:r>
    </w:p>
    <w:p>
      <w:pPr>
        <w:pStyle w:val="BodyText"/>
      </w:pPr>
      <w:r>
        <w:t xml:space="preserve">Los participantes con prediabetes (estadio previo de la diabetes) siguieron recibiendo tratamiento durante tres años</w:t>
      </w:r>
      <w:r>
        <w:rPr>
          <w:rStyle w:val="FootnoteReference"/>
        </w:rPr>
        <w:footnoteReference w:id="308"/>
      </w:r>
      <w:r>
        <w:t xml:space="preserve">. Con liraglutida, el 2 % desarrolló una diabetes tipo 2; con placebo, el 6 %. Sin embargo, el estudio tiene una debilidad importante: solo la mitad de los participantes (50 %) permaneció hasta el final, y quienes abandonaron no siguieron siendo observados. Por eso, los resultados deben leerse con cautela.</w:t>
      </w:r>
    </w:p>
    <w:p>
      <w:pPr>
        <w:pStyle w:val="BodyText"/>
      </w:pPr>
      <w:r>
        <w:t xml:space="preserve">En las personas con diabetes tipo 2, la pérdida de peso fue menor</w:t>
      </w:r>
      <w:r>
        <w:rPr>
          <w:rStyle w:val="FootnoteReference"/>
        </w:rPr>
        <w:footnoteReference w:id="309"/>
      </w:r>
      <w:r>
        <w:t xml:space="preserve">, un patrón que se repite con todos los medicamentos GLP-1. En SCALE Maintenance</w:t>
      </w:r>
      <w:r>
        <w:rPr>
          <w:rStyle w:val="FootnoteReference"/>
        </w:rPr>
        <w:footnoteReference w:id="310"/>
      </w:r>
      <w:r>
        <w:t xml:space="preserve">, la liraglutida ayudó a mantener el peso tras una fase de dieta: el 81,4 % mantuvo la pérdida de peso alcanzada previamente, frente al 48,9 % con placebo.</w:t>
      </w:r>
    </w:p>
    <w:p>
      <w:pPr>
        <w:pStyle w:val="BodyText"/>
      </w:pPr>
      <w:r>
        <w:t xml:space="preserve">En retrospectiva, el efecto de la liraglutida sobre el peso parece modesto desde que la semaglutida y la tirzepatida alcanzan de media entre el 15 y más del 20 %. Para su época fue un gran avance: ningún fármaco autorizado anteriormente había mostrado valores similares en estudios de este tamaño.</w:t>
      </w:r>
    </w:p>
    <w:bookmarkEnd w:id="311"/>
    <w:bookmarkStart w:id="315" w:name="niños-y-adolescentes"/>
    <w:p>
      <w:pPr>
        <w:pStyle w:val="Heading4"/>
      </w:pPr>
      <w:r>
        <w:t xml:space="preserve">Niños y adolescentes</w:t>
      </w:r>
    </w:p>
    <w:p>
      <w:pPr>
        <w:pStyle w:val="FirstParagraph"/>
      </w:pPr>
      <w:r>
        <w:t xml:space="preserve">La liraglutida es uno de los pocos principios activos de esta clase que se han estudiado específicamente en niños y adolescentes.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ELLIPSE (Tamborlane 2019), PMID 31034184</w:t>
            </w:r>
          </w:p>
        </w:tc>
        <w:tc>
          <w:tcPr/>
          <w:p>
            <w:pPr>
              <w:pStyle w:val="Compact"/>
              <w:jc w:val="left"/>
            </w:pPr>
            <w:r>
              <w:t xml:space="preserve">134 niños y adolescentes (de 10 a menos de 17 años) con diabetes tipo 2, RCT frente a placebo</w:t>
            </w:r>
          </w:p>
        </w:tc>
        <w:tc>
          <w:tcPr/>
          <w:p>
            <w:pPr>
              <w:pStyle w:val="Compact"/>
              <w:jc w:val="left"/>
            </w:pPr>
            <w:r>
              <w:t xml:space="preserve">52 semanas</w:t>
            </w:r>
          </w:p>
        </w:tc>
        <w:tc>
          <w:tcPr/>
          <w:p>
            <w:pPr>
              <w:pStyle w:val="Compact"/>
              <w:jc w:val="left"/>
            </w:pPr>
            <w:r>
              <w:t xml:space="preserve">HbA1c −1,06 puntos porcentuales frente a placebo a las 26 semanas, −1,30 a las 52 semanas</w:t>
            </w:r>
          </w:p>
        </w:tc>
      </w:tr>
      <w:tr>
        <w:tc>
          <w:tcPr/>
          <w:p>
            <w:pPr>
              <w:pStyle w:val="Compact"/>
              <w:jc w:val="left"/>
            </w:pPr>
            <w:r>
              <w:t xml:space="preserve">SCALE Teens (Kelly 2020), PMID 32233338</w:t>
            </w:r>
          </w:p>
        </w:tc>
        <w:tc>
          <w:tcPr/>
          <w:p>
            <w:pPr>
              <w:pStyle w:val="Compact"/>
              <w:jc w:val="left"/>
            </w:pPr>
            <w:r>
              <w:t xml:space="preserve">251 adolescentes (de 12 a menos de 18 años) con obesidad, RCT frente a placebo</w:t>
            </w:r>
          </w:p>
        </w:tc>
        <w:tc>
          <w:tcPr/>
          <w:p>
            <w:pPr>
              <w:pStyle w:val="Compact"/>
              <w:jc w:val="left"/>
            </w:pPr>
            <w:r>
              <w:t xml:space="preserve">56 semanas</w:t>
            </w:r>
          </w:p>
        </w:tc>
        <w:tc>
          <w:tcPr/>
          <w:p>
            <w:pPr>
              <w:pStyle w:val="Compact"/>
              <w:jc w:val="left"/>
            </w:pPr>
            <w:r>
              <w:t xml:space="preserve">reducción del IMC ≥ 5 % en el 43,3 % frente al 18,7 %; peso −4,50 kg frente a placebo</w:t>
            </w:r>
          </w:p>
        </w:tc>
      </w:tr>
      <w:tr>
        <w:tc>
          <w:tcPr/>
          <w:p>
            <w:pPr>
              <w:pStyle w:val="Compact"/>
              <w:jc w:val="left"/>
            </w:pPr>
            <w:r>
              <w:t xml:space="preserve">SCALE Kids (Fox 2025), PMID 39258838</w:t>
            </w:r>
          </w:p>
        </w:tc>
        <w:tc>
          <w:tcPr/>
          <w:p>
            <w:pPr>
              <w:pStyle w:val="Compact"/>
              <w:jc w:val="left"/>
            </w:pPr>
            <w:r>
              <w:t xml:space="preserve">82 niños (de 6 a menos de 12 años) con obesidad, RCT frente a placebo</w:t>
            </w:r>
          </w:p>
        </w:tc>
        <w:tc>
          <w:tcPr/>
          <w:p>
            <w:pPr>
              <w:pStyle w:val="Compact"/>
              <w:jc w:val="left"/>
            </w:pPr>
            <w:r>
              <w:t xml:space="preserve">56 semanas</w:t>
            </w:r>
          </w:p>
        </w:tc>
        <w:tc>
          <w:tcPr/>
          <w:p>
            <w:pPr>
              <w:pStyle w:val="Compact"/>
              <w:jc w:val="left"/>
            </w:pPr>
            <w:r>
              <w:t xml:space="preserve">IMC −5,8 % frente a +1,6 %</w:t>
            </w:r>
          </w:p>
        </w:tc>
      </w:tr>
    </w:tbl>
    <w:p>
      <w:pPr>
        <w:pStyle w:val="BodyText"/>
      </w:pPr>
      <w:r>
        <w:t xml:space="preserve">En SCALE Teens</w:t>
      </w:r>
      <w:r>
        <w:rPr>
          <w:rStyle w:val="FootnoteReference"/>
        </w:rPr>
        <w:footnoteReference w:id="312"/>
      </w:r>
      <w:r>
        <w:t xml:space="preserve">, tras la suspensión se observó una nueva subida del IMC, mayor que con placebo. Las molestias gastrointestinales afectaron al 64,8 % frente al 36,5 %; el 10,4 % interrumpió el tratamiento por efectos adversos. En el grupo de liraglutida hubo un suicidio, que los investigadores clasificaron como probablemente no relacionado con el tratamiento.</w:t>
      </w:r>
    </w:p>
    <w:p>
      <w:pPr>
        <w:pStyle w:val="BodyText"/>
      </w:pPr>
      <w:r>
        <w:t xml:space="preserve">En SCALE Kids</w:t>
      </w:r>
      <w:r>
        <w:rPr>
          <w:rStyle w:val="FootnoteReference"/>
        </w:rPr>
        <w:footnoteReference w:id="313"/>
      </w:r>
      <w:r>
        <w:t xml:space="preserve">, el peso corporal de los niños, que estaban en crecimiento, aumentó de media un 1,6 % con liraglutida y un 10,0 % con placebo. Las molestias gastrointestinales aparecieron en el 80 % frente al 54 %, y los acontecimientos adversos graves en el 12 % frente al 8 %. En los niños se plantea especialmente la cuestión de cuánto tiempo debe durar un tratamiento de este tipo y qué efectos a largo plazo tiene sobre el crecimiento y los huesos. Al respecto está en marcha, entre otros, un estudio sobre el metabolismo óseo en jóvenes de 12 a 21 años en tratamiento con GLP-1</w:t>
      </w:r>
      <w:r>
        <w:rPr>
          <w:rStyle w:val="FootnoteReference"/>
        </w:rPr>
        <w:footnoteReference w:id="314"/>
      </w:r>
      <w:r>
        <w:t xml:space="preserve">.</w:t>
      </w:r>
    </w:p>
    <w:bookmarkEnd w:id="315"/>
    <w:bookmarkStart w:id="319" w:name="otros-campos-de-aplicación-en-estudios-1"/>
    <w:p>
      <w:pPr>
        <w:pStyle w:val="Heading4"/>
      </w:pPr>
      <w:r>
        <w:t xml:space="preserve">Otros campos de aplicación en estudios</w:t>
      </w:r>
    </w:p>
    <w:p>
      <w:pPr>
        <w:numPr>
          <w:ilvl w:val="0"/>
          <w:numId w:val="1043"/>
        </w:numPr>
        <w:pStyle w:val="Compact"/>
      </w:pPr>
      <w:r>
        <w:rPr>
          <w:bCs/>
          <w:b/>
        </w:rPr>
        <w:t xml:space="preserve">Esteatohepatitis (NASH/MASH):</w:t>
      </w:r>
      <w:r>
        <w:t xml:space="preserve"> </w:t>
      </w:r>
      <w:r>
        <w:t xml:space="preserve">en el pequeño estudio de fase 2 LEAN, con 52 participantes, la inflamación en la biopsia hepática remitió en el 39 % con liraglutida y en el 9 % con placebo; el aumento de la cicatrización (fibrosis) fue menos frecuente (9 % frente a 36 %)</w:t>
      </w:r>
      <w:r>
        <w:rPr>
          <w:rStyle w:val="FootnoteReference"/>
        </w:rPr>
        <w:footnoteReference w:id="316"/>
      </w:r>
      <w:r>
        <w:t xml:space="preserve">. Más tarde se realizaron estudios más grandes con semaglutida.</w:t>
      </w:r>
    </w:p>
    <w:p>
      <w:pPr>
        <w:numPr>
          <w:ilvl w:val="0"/>
          <w:numId w:val="1043"/>
        </w:numPr>
        <w:pStyle w:val="Compact"/>
      </w:pPr>
      <w:r>
        <w:rPr>
          <w:bCs/>
          <w:b/>
        </w:rPr>
        <w:t xml:space="preserve">Enfermedad de Alzheimer:</w:t>
      </w:r>
      <w:r>
        <w:t xml:space="preserve"> </w:t>
      </w:r>
      <w:r>
        <w:t xml:space="preserve">en el estudio de fase 2b ELAD, con 204 personas sin diabetes, la variable principal, el metabolismo de la glucosa en el cerebro, no se modificó</w:t>
      </w:r>
      <w:r>
        <w:rPr>
          <w:rStyle w:val="FootnoteReference"/>
        </w:rPr>
        <w:footnoteReference w:id="317"/>
      </w:r>
      <w:r>
        <w:t xml:space="preserve">. En una variable secundaria sobre las funciones ejecutivas, la liraglutida obtuvo mejores resultados, pero no en las capacidades para la vida diaria ni en la gravedad de la demencia. Las variables secundarias sin corrección por comparaciones múltiples son solo indicios.</w:t>
      </w:r>
    </w:p>
    <w:p>
      <w:pPr>
        <w:numPr>
          <w:ilvl w:val="0"/>
          <w:numId w:val="1043"/>
        </w:numPr>
        <w:pStyle w:val="Compact"/>
      </w:pPr>
      <w:r>
        <w:rPr>
          <w:bCs/>
          <w:b/>
        </w:rPr>
        <w:t xml:space="preserve">Alcohol y otras adicciones:</w:t>
      </w:r>
      <w:r>
        <w:t xml:space="preserve"> </w:t>
      </w:r>
      <w:r>
        <w:t xml:space="preserve">en un estudio de registro sueco con 227.866 personas con dependencia del alcohol, el uso de liraglutida se asoció a un riesgo un 28 % menor de hospitalizaciones relacionadas con el alcohol</w:t>
      </w:r>
      <w:r>
        <w:rPr>
          <w:rStyle w:val="FootnoteReference"/>
        </w:rPr>
        <w:footnoteReference w:id="318"/>
      </w:r>
      <w:r>
        <w:t xml:space="preserve">. Los datos observacionales de este tipo muestran asociaciones, no relaciones de causa y efecto.</w:t>
      </w:r>
    </w:p>
    <w:bookmarkEnd w:id="319"/>
    <w:bookmarkEnd w:id="320"/>
    <w:bookmarkStart w:id="323" w:name="estudios-en-animales-y-de-laboratorio-1"/>
    <w:p>
      <w:pPr>
        <w:pStyle w:val="Heading3"/>
      </w:pPr>
      <w:r>
        <w:t xml:space="preserve">Estudios en animales y de laboratorio</w:t>
      </w:r>
    </w:p>
    <w:p>
      <w:pPr>
        <w:pStyle w:val="FirstParagraph"/>
      </w:pPr>
      <w:r>
        <w:t xml:space="preserve">Gran parte de lo que se sabe hoy sobre el efecto del GLP-1 en el cerebro procede de experimentos en animales con liraglutida. En ratas y ratones se demostró que la molécula, a pesar de su tamaño, llega a determinadas regiones cerebrales sin una barrera hematoencefálica densa y estimula allí neuronas que frenan el apetito</w:t>
      </w:r>
      <w:r>
        <w:rPr>
          <w:rStyle w:val="FootnoteReference"/>
        </w:rPr>
        <w:footnoteReference w:id="321"/>
      </w:r>
      <w:r>
        <w:t xml:space="preserve">.</w:t>
      </w:r>
    </w:p>
    <w:p>
      <w:pPr>
        <w:pStyle w:val="BodyText"/>
      </w:pPr>
      <w:r>
        <w:t xml:space="preserve">Especialmente trascendentes fueron los hallazgos sobre la tiroides. En experimentos de larga duración con ratas y ratones, la liraglutida provocó una proliferación de las células C (que producen la hormona calcitonina) y tumores de células C. El estudio del mecanismo reveló que las células C de los roedores poseen abundantes receptores de GLP-1, mientras que las de los seres humanos y los monos apenas los tienen</w:t>
      </w:r>
      <w:r>
        <w:rPr>
          <w:rStyle w:val="FootnoteReference"/>
        </w:rPr>
        <w:footnoteReference w:id="322"/>
      </w:r>
      <w:r>
        <w:t xml:space="preserve">. En macacos cangrejeros, 20 meses de liraglutida con una exposición más de 60 veces superior a la del ser humano no provocaron proliferación de células C. Aun así, desde entonces figura en la ficha técnica de toda la clase una advertencia sobre el carcinoma medular de tiroides, en particular en Estados Unidos.</w:t>
      </w:r>
    </w:p>
    <w:p>
      <w:pPr>
        <w:pStyle w:val="BodyText"/>
      </w:pPr>
      <w:r>
        <w:t xml:space="preserve">Otros estudios en animales se ocuparon de la protección cardíaca, la neuroprotección (modelos de Alzheimer y Parkinson), la esteatosis hepática y el daño renal. Como en el caso de la exenatida, la extrapolación al ser humano es limitada: el estudio de Alzheimer ELAD, por ejemplo, no alcanzó su variable principal, aunque los datos en animales eran positivos.</w:t>
      </w:r>
    </w:p>
    <w:bookmarkEnd w:id="323"/>
    <w:bookmarkStart w:id="333" w:name="riesgos-y-efectos-adversos-1"/>
    <w:p>
      <w:pPr>
        <w:pStyle w:val="Heading3"/>
      </w:pPr>
      <w:r>
        <w:t xml:space="preserve">Riesgos y efectos adversos</w:t>
      </w:r>
    </w:p>
    <w:p>
      <w:pPr>
        <w:pStyle w:val="FirstParagraph"/>
      </w:pPr>
      <w:r>
        <w:rPr>
          <w:bCs/>
          <w:b/>
        </w:rPr>
        <w:t xml:space="preserve">Demostrados en estudios aleatorizados:</w:t>
      </w:r>
    </w:p>
    <w:p>
      <w:pPr>
        <w:numPr>
          <w:ilvl w:val="0"/>
          <w:numId w:val="1044"/>
        </w:numPr>
        <w:pStyle w:val="Compact"/>
      </w:pPr>
      <w:r>
        <w:rPr>
          <w:bCs/>
          <w:b/>
        </w:rPr>
        <w:t xml:space="preserve">Molestias gastrointestinales:</w:t>
      </w:r>
      <w:r>
        <w:t xml:space="preserve"> </w:t>
      </w:r>
      <w:r>
        <w:t xml:space="preserve">las náuseas, la diarrea, los vómitos y el estreñimiento son los efectos adversos más frecuentes y, por lo general, el motivo de las interrupciones del tratamiento</w:t>
      </w:r>
      <w:r>
        <w:rPr>
          <w:rStyle w:val="FootnoteReference"/>
        </w:rPr>
        <w:footnoteReference w:id="324"/>
      </w:r>
      <w:r>
        <w:t xml:space="preserve">. Aparecen sobre todo al principio y tras los aumentos de dosis. Con la dosis más alta para la obesidad son más frecuentes que con la dosis para la diabetes</w:t>
      </w:r>
      <w:r>
        <w:rPr>
          <w:rStyle w:val="FootnoteReference"/>
        </w:rPr>
        <w:footnoteReference w:id="325"/>
      </w:r>
      <w:r>
        <w:t xml:space="preserve">.</w:t>
      </w:r>
    </w:p>
    <w:p>
      <w:pPr>
        <w:numPr>
          <w:ilvl w:val="0"/>
          <w:numId w:val="1044"/>
        </w:numPr>
        <w:pStyle w:val="Compact"/>
      </w:pPr>
      <w:r>
        <w:rPr>
          <w:bCs/>
          <w:b/>
        </w:rPr>
        <w:t xml:space="preserve">Vesícula biliar:</w:t>
      </w:r>
      <w:r>
        <w:t xml:space="preserve"> </w:t>
      </w:r>
      <w:r>
        <w:t xml:space="preserve">un metaanálisis de 76 estudios aleatorizados con 103.371 participantes encontró para la clase GLP-1 un aumento del 37 % del riesgo relativo de enfermedades de la vesícula y las vías biliares, como cálculos biliares e inflamación de la vesícula</w:t>
      </w:r>
      <w:r>
        <w:rPr>
          <w:rStyle w:val="FootnoteReference"/>
        </w:rPr>
        <w:footnoteReference w:id="326"/>
      </w:r>
      <w:r>
        <w:t xml:space="preserve">. El riesgo fue mayor con dosis más altas, con un uso más prolongado y en los estudios sobre pérdida de peso (riesgo relativo 2,29). Una parte probablemente esté relacionada con la propia pérdida de peso rápida.</w:t>
      </w:r>
    </w:p>
    <w:p>
      <w:pPr>
        <w:numPr>
          <w:ilvl w:val="0"/>
          <w:numId w:val="1044"/>
        </w:numPr>
        <w:pStyle w:val="Compact"/>
      </w:pPr>
      <w:r>
        <w:rPr>
          <w:bCs/>
          <w:b/>
        </w:rPr>
        <w:t xml:space="preserve">Hipoglucemia:</w:t>
      </w:r>
      <w:r>
        <w:t xml:space="preserve"> </w:t>
      </w:r>
      <w:r>
        <w:t xml:space="preserve">rara en monoterapia, más frecuente en combinación con sulfonilureas o insulina.</w:t>
      </w:r>
    </w:p>
    <w:p>
      <w:pPr>
        <w:numPr>
          <w:ilvl w:val="0"/>
          <w:numId w:val="1044"/>
        </w:numPr>
        <w:pStyle w:val="Compact"/>
      </w:pPr>
      <w:r>
        <w:rPr>
          <w:bCs/>
          <w:b/>
        </w:rPr>
        <w:t xml:space="preserve">Frecuencia cardíaca:</w:t>
      </w:r>
      <w:r>
        <w:t xml:space="preserve"> </w:t>
      </w:r>
      <w:r>
        <w:t xml:space="preserve">la liraglutida aumenta ligeramente el pulso en reposo en unos pocos latidos por minuto; a la vista de los resultados de LEADER, su relevancia clínica se considera escasa.</w:t>
      </w:r>
    </w:p>
    <w:p>
      <w:pPr>
        <w:pStyle w:val="FirstParagraph"/>
      </w:pPr>
      <w:r>
        <w:rPr>
          <w:bCs/>
          <w:b/>
        </w:rPr>
        <w:t xml:space="preserve">Investigados, pero inciertos o no confirmados:</w:t>
      </w:r>
    </w:p>
    <w:p>
      <w:pPr>
        <w:numPr>
          <w:ilvl w:val="0"/>
          <w:numId w:val="1045"/>
        </w:numPr>
        <w:pStyle w:val="Compact"/>
      </w:pPr>
      <w:r>
        <w:rPr>
          <w:bCs/>
          <w:b/>
        </w:rPr>
        <w:t xml:space="preserve">Inflamación del páncreas:</w:t>
      </w:r>
      <w:r>
        <w:t xml:space="preserve"> </w:t>
      </w:r>
      <w:r>
        <w:t xml:space="preserve">en LEADER no fue más frecuente con liraglutida que con placebo</w:t>
      </w:r>
      <w:r>
        <w:rPr>
          <w:rStyle w:val="FootnoteReference"/>
        </w:rPr>
        <w:footnoteReference w:id="327"/>
      </w:r>
      <w:r>
        <w:t xml:space="preserve">. Un metaanálisis anterior tampoco encontró un aumento del riesgo</w:t>
      </w:r>
      <w:r>
        <w:rPr>
          <w:rStyle w:val="FootnoteReference"/>
        </w:rPr>
        <w:footnoteReference w:id="328"/>
      </w:r>
      <w:r>
        <w:t xml:space="preserve">. No obstante, la ficha técnica la recoge como efecto adverso raro; ante un dolor abdominal intenso y persistente es necesaria una evaluación médica.</w:t>
      </w:r>
    </w:p>
    <w:p>
      <w:pPr>
        <w:numPr>
          <w:ilvl w:val="0"/>
          <w:numId w:val="1045"/>
        </w:numPr>
        <w:pStyle w:val="Compact"/>
      </w:pPr>
      <w:r>
        <w:rPr>
          <w:bCs/>
          <w:b/>
        </w:rPr>
        <w:t xml:space="preserve">Cáncer de tiroides:</w:t>
      </w:r>
      <w:r>
        <w:t xml:space="preserve"> </w:t>
      </w:r>
      <w:r>
        <w:t xml:space="preserve">los hallazgos en animales se describen más arriba. En el ser humano, los datos son contradictorios. Un estudio francés de casos y controles con 2562 casos encontró, tras uno a tres años de tratamiento con GLP-1, un aumento del riesgo de cáncer de tiroides en general (HR 1,58) y del raro carcinoma medular (HR 1,78)</w:t>
      </w:r>
      <w:r>
        <w:rPr>
          <w:rStyle w:val="FootnoteReference"/>
        </w:rPr>
        <w:footnoteReference w:id="329"/>
      </w:r>
      <w:r>
        <w:t xml:space="preserve">. Un metaanálisis de 50 estudios aleatorizados también mostró una señal (odds ratio 1,55)</w:t>
      </w:r>
      <w:r>
        <w:rPr>
          <w:rStyle w:val="FootnoteReference"/>
        </w:rPr>
        <w:footnoteReference w:id="330"/>
      </w:r>
      <w:r>
        <w:t xml:space="preserve">. Se discute si una parte se debe a que las personas tratadas se someten a más exploraciones. Según la ficha técnica, las personas con antecedentes personales o familiares de carcinoma medular de tiroides no deben utilizar agonistas del receptor de GLP-1.</w:t>
      </w:r>
    </w:p>
    <w:p>
      <w:pPr>
        <w:numPr>
          <w:ilvl w:val="0"/>
          <w:numId w:val="1045"/>
        </w:numPr>
        <w:pStyle w:val="Compact"/>
      </w:pPr>
      <w:r>
        <w:rPr>
          <w:bCs/>
          <w:b/>
        </w:rPr>
        <w:t xml:space="preserve">Efectos adversos psiquiátricos e ideas suicidas:</w:t>
      </w:r>
      <w:r>
        <w:t xml:space="preserve"> </w:t>
      </w:r>
      <w:r>
        <w:t xml:space="preserve">tras notificaciones aisladas, las autoridades europea y estadounidense examinaron en 2023/2024 una posible relación y no encontraron pruebas de una relación causal. En un estudio de cohortes escandinavo con 124.517 personas tratadas con agonistas del receptor de GLP-1, el riesgo de suicidio no estaba aumentado frente a los inhibidores de SGLT2 (HR 1,25; intervalo de confianza 0,83–1,88)</w:t>
      </w:r>
      <w:r>
        <w:rPr>
          <w:rStyle w:val="FootnoteReference"/>
        </w:rPr>
        <w:footnoteReference w:id="331"/>
      </w:r>
      <w:r>
        <w:t xml:space="preserve">. Un metaanálisis de 2026 tampoco encontró relación en los estudios aleatorizados</w:t>
      </w:r>
      <w:r>
        <w:rPr>
          <w:rStyle w:val="FootnoteReference"/>
        </w:rPr>
        <w:footnoteReference w:id="332"/>
      </w:r>
      <w:r>
        <w:t xml:space="preserve">. La observación sigue siendo objeto de vigilancia.</w:t>
      </w:r>
    </w:p>
    <w:p>
      <w:pPr>
        <w:pStyle w:val="FirstParagraph"/>
      </w:pPr>
      <w:r>
        <w:rPr>
          <w:bCs/>
          <w:b/>
        </w:rPr>
        <w:t xml:space="preserve">Indicaciones para la práctica:</w:t>
      </w:r>
      <w:r>
        <w:t xml:space="preserve"> </w:t>
      </w:r>
      <w:r>
        <w:t xml:space="preserve">la liraglutida no está indicada durante el embarazo. Como todos los agonistas del receptor de GLP-1, ralentiza el vaciamiento gástrico, lo que puede tener importancia en las anestesias y en la absorción de otros medicamentos. Lo determinante son la ficha técnica y el seguimiento médico, también para el aumento progresivo de la dosis.</w:t>
      </w:r>
    </w:p>
    <w:bookmarkEnd w:id="333"/>
    <w:bookmarkStart w:id="334" w:name="situación-legal-1"/>
    <w:p>
      <w:pPr>
        <w:pStyle w:val="Heading3"/>
      </w:pPr>
      <w:r>
        <w:t xml:space="preserve">Situación legal</w:t>
      </w:r>
    </w:p>
    <w:p>
      <w:pPr>
        <w:numPr>
          <w:ilvl w:val="0"/>
          <w:numId w:val="1046"/>
        </w:numPr>
        <w:pStyle w:val="Compact"/>
      </w:pPr>
      <w:r>
        <w:rPr>
          <w:bCs/>
          <w:b/>
        </w:rPr>
        <w:t xml:space="preserve">UE:</w:t>
      </w:r>
      <w:r>
        <w:t xml:space="preserve"> </w:t>
      </w:r>
      <w:r>
        <w:t xml:space="preserve">Victoza está autorizado desde 2009 para el tratamiento de la diabetes tipo 2, y Saxenda desde 2015 para el control del peso en adultos y adolescentes. Ambos están sujetos a prescripción médica.</w:t>
      </w:r>
    </w:p>
    <w:p>
      <w:pPr>
        <w:numPr>
          <w:ilvl w:val="0"/>
          <w:numId w:val="1046"/>
        </w:numPr>
        <w:pStyle w:val="Compact"/>
      </w:pPr>
      <w:r>
        <w:rPr>
          <w:bCs/>
          <w:b/>
        </w:rPr>
        <w:t xml:space="preserve">Alemania:</w:t>
      </w:r>
      <w:r>
        <w:t xml:space="preserve"> </w:t>
      </w:r>
      <w:r>
        <w:t xml:space="preserve">en la diabetes, las cajas del seguro obligatorio de enfermedad financian la liraglutida. En cambio, los medicamentos para reducir peso están excluidos en principio de la financiación según el artículo 34 del Libro V del Código Social (SGB V); los asegurados suelen tener que pagar Saxenda de su bolsillo.</w:t>
      </w:r>
    </w:p>
    <w:p>
      <w:pPr>
        <w:numPr>
          <w:ilvl w:val="0"/>
          <w:numId w:val="1046"/>
        </w:numPr>
        <w:pStyle w:val="Compact"/>
      </w:pPr>
      <w:r>
        <w:rPr>
          <w:bCs/>
          <w:b/>
        </w:rPr>
        <w:t xml:space="preserve">Austria:</w:t>
      </w:r>
      <w:r>
        <w:t xml:space="preserve"> </w:t>
      </w:r>
      <w:r>
        <w:t xml:space="preserve">sujeta a prescripción médica; la financiación para el control del peso es limitada y está sujeta a condiciones (comprueba la información actualizada).</w:t>
      </w:r>
    </w:p>
    <w:p>
      <w:pPr>
        <w:numPr>
          <w:ilvl w:val="0"/>
          <w:numId w:val="1046"/>
        </w:numPr>
        <w:pStyle w:val="Compact"/>
      </w:pPr>
      <w:r>
        <w:rPr>
          <w:bCs/>
          <w:b/>
        </w:rPr>
        <w:t xml:space="preserve">EE. UU.:</w:t>
      </w:r>
      <w:r>
        <w:t xml:space="preserve"> </w:t>
      </w:r>
      <w:r>
        <w:t xml:space="preserve">Victoza y Saxenda autorizados; Victoza, además, para reducir el riesgo cardiovascular. Desde 2024 hay en el mercado genéricos de la forma para la diabetes, y desde 2025 también de la forma para la obesidad.</w:t>
      </w:r>
    </w:p>
    <w:p>
      <w:pPr>
        <w:numPr>
          <w:ilvl w:val="0"/>
          <w:numId w:val="1046"/>
        </w:numPr>
        <w:pStyle w:val="Compact"/>
      </w:pPr>
      <w:r>
        <w:rPr>
          <w:bCs/>
          <w:b/>
        </w:rPr>
        <w:t xml:space="preserve">Genéricos en Europa:</w:t>
      </w:r>
      <w:r>
        <w:t xml:space="preserve"> </w:t>
      </w:r>
      <w:r>
        <w:t xml:space="preserve">como la liraglutida es un péptido que puede fabricarse por síntesis o por ingeniería genética y cuya protección por patente ha expirado, también en Europa están llegando al mercado preparados de imitación. La situación varía según el país; comprueba la información actualizada.</w:t>
      </w:r>
    </w:p>
    <w:p>
      <w:pPr>
        <w:numPr>
          <w:ilvl w:val="0"/>
          <w:numId w:val="1046"/>
        </w:numPr>
        <w:pStyle w:val="Compact"/>
      </w:pPr>
      <w:r>
        <w:rPr>
          <w:bCs/>
          <w:b/>
        </w:rPr>
        <w:t xml:space="preserve">Deporte (WADA):</w:t>
      </w:r>
      <w:r>
        <w:t xml:space="preserve"> </w:t>
      </w:r>
      <w:r>
        <w:t xml:space="preserve">no figura en la lista (estado en 2026; comprueba la información actualizada).</w:t>
      </w:r>
    </w:p>
    <w:p>
      <w:pPr>
        <w:pStyle w:val="FirstParagraph"/>
      </w:pPr>
      <w:r>
        <w:t xml:space="preserve">Los genéricos convierten a la liraglutida en un caso especial dentro de la clase: es el primer principio activo GLP-1 con beneficio cardiovascular demostrado que puede abaratarse considerablemente. Esto tiene importancia sobre todo en países con presupuestos sanitarios limitados, aunque la inyección diaria y el menor efecto en comparación con la semaglutida siguen siendo inconvenientes. Más información sobre el vencimiento de patentes y los precios en la Parte V.</w:t>
      </w:r>
    </w:p>
    <w:bookmarkEnd w:id="334"/>
    <w:bookmarkStart w:id="340" w:name="estudios-en-curso-y-perspectivas-1"/>
    <w:p>
      <w:pPr>
        <w:pStyle w:val="Heading3"/>
      </w:pPr>
      <w:r>
        <w:t xml:space="preserve">Estudios en curso y perspectivas</w:t>
      </w:r>
    </w:p>
    <w:p>
      <w:pPr>
        <w:pStyle w:val="FirstParagraph"/>
      </w:pPr>
      <w:r>
        <w:rPr>
          <w:bCs/>
          <w:b/>
        </w:rPr>
        <w:t xml:space="preserve">Confirmado (estudios registrados):</w:t>
      </w:r>
      <w:r>
        <w:t xml:space="preserve"> </w:t>
      </w:r>
      <w:r>
        <w:t xml:space="preserve">apenas hay ya nuevos estudios de registro de Novo Nordisk; la investigación la llevan a cabo sobre todo hospitales y universidades. Ejemplos:</w:t>
      </w:r>
    </w:p>
    <w:p>
      <w:pPr>
        <w:numPr>
          <w:ilvl w:val="0"/>
          <w:numId w:val="1047"/>
        </w:numPr>
        <w:pStyle w:val="Compact"/>
      </w:pPr>
      <w:r>
        <w:t xml:space="preserve">Un estudio con 890 mujeres con obesidad, deseo gestacional no cumplido y síndrome de ovario poliquístico (SOP) evalúa la liraglutida antes de un tratamiento de fertilidad</w:t>
      </w:r>
      <w:r>
        <w:rPr>
          <w:rStyle w:val="FootnoteReference"/>
        </w:rPr>
        <w:footnoteReference w:id="335"/>
      </w:r>
      <w:r>
        <w:t xml:space="preserve">.</w:t>
      </w:r>
    </w:p>
    <w:p>
      <w:pPr>
        <w:numPr>
          <w:ilvl w:val="0"/>
          <w:numId w:val="1047"/>
        </w:numPr>
        <w:pStyle w:val="Compact"/>
      </w:pPr>
      <w:r>
        <w:t xml:space="preserve">Un estudio de fase 3 con 260 personas mayores con diabetes investiga si la liraglutida puede prevenir el delirio tras una cirugía cardíaca</w:t>
      </w:r>
      <w:r>
        <w:rPr>
          <w:rStyle w:val="FootnoteReference"/>
        </w:rPr>
        <w:footnoteReference w:id="336"/>
      </w:r>
      <w:r>
        <w:t xml:space="preserve">.</w:t>
      </w:r>
    </w:p>
    <w:p>
      <w:pPr>
        <w:numPr>
          <w:ilvl w:val="0"/>
          <w:numId w:val="1047"/>
        </w:numPr>
        <w:pStyle w:val="Compact"/>
      </w:pPr>
      <w:r>
        <w:t xml:space="preserve">En una forma hereditaria de diabetes (MODY), la liraglutida se investiga en un estudio de fase 2</w:t>
      </w:r>
      <w:r>
        <w:rPr>
          <w:rStyle w:val="FootnoteReference"/>
        </w:rPr>
        <w:footnoteReference w:id="337"/>
      </w:r>
      <w:r>
        <w:t xml:space="preserve">.</w:t>
      </w:r>
    </w:p>
    <w:p>
      <w:pPr>
        <w:numPr>
          <w:ilvl w:val="0"/>
          <w:numId w:val="1047"/>
        </w:numPr>
        <w:pStyle w:val="Compact"/>
      </w:pPr>
      <w:r>
        <w:t xml:space="preserve">Un gran estudio pragmático con 6000 participantes compara estrategias de tratamiento para prevenir enfermedades cardíacas y renales en la diabetes tipo 2</w:t>
      </w:r>
      <w:r>
        <w:rPr>
          <w:rStyle w:val="FootnoteReference"/>
        </w:rPr>
        <w:footnoteReference w:id="338"/>
      </w:r>
      <w:r>
        <w:t xml:space="preserve">.</w:t>
      </w:r>
    </w:p>
    <w:p>
      <w:pPr>
        <w:numPr>
          <w:ilvl w:val="0"/>
          <w:numId w:val="1047"/>
        </w:numPr>
        <w:pStyle w:val="Compact"/>
      </w:pPr>
      <w:r>
        <w:t xml:space="preserve">Continúa el seguimiento a largo plazo de los participantes de SCALE Kids</w:t>
      </w:r>
      <w:r>
        <w:rPr>
          <w:rStyle w:val="FootnoteReference"/>
        </w:rPr>
        <w:footnoteReference w:id="339"/>
      </w:r>
      <w:r>
        <w:t xml:space="preserve">.</w:t>
      </w:r>
    </w:p>
    <w:p>
      <w:pPr>
        <w:pStyle w:val="FirstParagraph"/>
      </w:pPr>
      <w:r>
        <w:rPr>
          <w:bCs/>
          <w:b/>
        </w:rPr>
        <w:t xml:space="preserve">Valoración:</w:t>
      </w:r>
      <w:r>
        <w:t xml:space="preserve"> </w:t>
      </w:r>
      <w:r>
        <w:t xml:space="preserve">en los países ricos, la liraglutida está siendo desplazada cada vez más por principios activos semanales como la semaglutida y la tirzepatida. Sin embargo, gracias a los genéricos probablemente vivirá una segunda carrera como alternativa económica, sobre todo allí donde los fármacos más nuevos no son asequibles o no están disponibles. Científicamente sigue siendo una referencia de comparación importante.</w:t>
      </w:r>
    </w:p>
    <w:bookmarkEnd w:id="340"/>
    <w:bookmarkStart w:id="341" w:name="conclusión-1"/>
    <w:p>
      <w:pPr>
        <w:pStyle w:val="Heading3"/>
      </w:pPr>
      <w:r>
        <w:t xml:space="preserve">Conclusión</w:t>
      </w:r>
    </w:p>
    <w:p>
      <w:pPr>
        <w:pStyle w:val="FirstParagraph"/>
      </w:pPr>
      <w:r>
        <w:t xml:space="preserve">La liraglutida fue el primer principio activo GLP-1 casi idéntico al humano y el primero para el que un gran estudio demostró protección frente a eventos cardiovasculares (LEADER, 9340 participantes, reducción relativa del riesgo del 13 %). Como Saxenda, fue el primer medicamento GLP-1 para la reducción de peso; de media, los participantes sin diabetes perdieron unos 8 kg en un año. En la comparación directa es superior a la exenatida, equivalente a la dulaglutida y claramente inferior a la semaglutida. Los efectos adversos más frecuentes son las molestias gastrointestinales, a los que se suma un aumento del riesgo de problemas de la vesícula biliar; la cuestión del cáncer de tiroides no está definitivamente aclarada. Con el fin de la protección por patente se convierte en la primera opción económica de la clase; aun así, el tratamiento debe estar en manos médicas.</w:t>
      </w:r>
    </w:p>
    <w:bookmarkEnd w:id="341"/>
    <w:bookmarkEnd w:id="342"/>
    <w:bookmarkStart w:id="402" w:name="dulaglutida"/>
    <w:p>
      <w:pPr>
        <w:pStyle w:val="Heading2"/>
      </w:pPr>
      <w:r>
        <w:t xml:space="preserve">Dulaglutida</w:t>
      </w:r>
    </w:p>
    <w:bookmarkStart w:id="344" w:name="ficha-2"/>
    <w:p>
      <w:pPr>
        <w:pStyle w:val="Heading3"/>
      </w:pPr>
      <w:r>
        <w:t xml:space="preserve">Ficha</w:t>
      </w:r>
    </w:p>
    <w:p>
      <w:pPr>
        <w:numPr>
          <w:ilvl w:val="0"/>
          <w:numId w:val="1048"/>
        </w:numPr>
        <w:pStyle w:val="Compact"/>
      </w:pPr>
      <w:r>
        <w:rPr>
          <w:bCs/>
          <w:b/>
        </w:rPr>
        <w:t xml:space="preserve">Tipo/estructura:</w:t>
      </w:r>
      <w:r>
        <w:t xml:space="preserve"> </w:t>
      </w:r>
      <w:r>
        <w:t xml:space="preserve">proteína de fusión. Dos cadenas de GLP-1 ligeramente modificadas están acopladas mediante un breve espaciador a la parte constante (fragmento Fc) de un anticuerpo humano de tipo IgG4. Por tanto, la dulaglutida es muchas veces más grande que la liraglutida; en sentido estricto, más una proteína que un péptido pequeño.</w:t>
      </w:r>
    </w:p>
    <w:p>
      <w:pPr>
        <w:numPr>
          <w:ilvl w:val="0"/>
          <w:numId w:val="1048"/>
        </w:numPr>
        <w:pStyle w:val="Compact"/>
      </w:pPr>
      <w:r>
        <w:rPr>
          <w:bCs/>
          <w:b/>
        </w:rPr>
        <w:t xml:space="preserve">Origen:</w:t>
      </w:r>
      <w:r>
        <w:t xml:space="preserve"> </w:t>
      </w:r>
      <w:r>
        <w:t xml:space="preserve">desarrollada por Eli Lilly, producida por ingeniería genética en células de mamífero</w:t>
      </w:r>
      <w:r>
        <w:rPr>
          <w:rStyle w:val="FootnoteReference"/>
        </w:rPr>
        <w:footnoteReference w:id="343"/>
      </w:r>
      <w:r>
        <w:t xml:space="preserve">.</w:t>
      </w:r>
    </w:p>
    <w:p>
      <w:pPr>
        <w:numPr>
          <w:ilvl w:val="0"/>
          <w:numId w:val="1048"/>
        </w:numPr>
        <w:pStyle w:val="Compact"/>
      </w:pPr>
      <w:r>
        <w:rPr>
          <w:bCs/>
          <w:b/>
        </w:rPr>
        <w:t xml:space="preserve">Principio de acción:</w:t>
      </w:r>
      <w:r>
        <w:t xml:space="preserve"> </w:t>
      </w:r>
      <w:r>
        <w:t xml:space="preserve">agonista del receptor de GLP-1. La parte de anticuerpo la protege de la degradación y de la eliminación renal; basta con una inyección semanal.</w:t>
      </w:r>
    </w:p>
    <w:p>
      <w:pPr>
        <w:numPr>
          <w:ilvl w:val="0"/>
          <w:numId w:val="1048"/>
        </w:numPr>
        <w:pStyle w:val="Compact"/>
      </w:pPr>
      <w:r>
        <w:rPr>
          <w:bCs/>
          <w:b/>
        </w:rPr>
        <w:t xml:space="preserve">Preparado:</w:t>
      </w:r>
      <w:r>
        <w:t xml:space="preserve"> </w:t>
      </w:r>
      <w:r>
        <w:t xml:space="preserve">Trulicity (pluma precargada, semanal; concentraciones autorizadas de hasta 4,5 mg).</w:t>
      </w:r>
    </w:p>
    <w:p>
      <w:pPr>
        <w:numPr>
          <w:ilvl w:val="0"/>
          <w:numId w:val="1048"/>
        </w:numPr>
        <w:pStyle w:val="Compact"/>
      </w:pPr>
      <w:r>
        <w:rPr>
          <w:bCs/>
          <w:b/>
        </w:rPr>
        <w:t xml:space="preserve">Autorización UE:</w:t>
      </w:r>
      <w:r>
        <w:t xml:space="preserve"> </w:t>
      </w:r>
      <w:r>
        <w:t xml:space="preserve">sí, diabetes tipo 2 en adultos y adolescentes a partir de 10 años. Sin autorización para la reducción de peso.</w:t>
      </w:r>
    </w:p>
    <w:p>
      <w:pPr>
        <w:numPr>
          <w:ilvl w:val="0"/>
          <w:numId w:val="1048"/>
        </w:numPr>
        <w:pStyle w:val="Compact"/>
      </w:pPr>
      <w:r>
        <w:rPr>
          <w:bCs/>
          <w:b/>
        </w:rPr>
        <w:t xml:space="preserve">Autorización EE. UU.:</w:t>
      </w:r>
      <w:r>
        <w:t xml:space="preserve"> </w:t>
      </w:r>
      <w:r>
        <w:t xml:space="preserve">sí, diabetes tipo 2 a partir de 10 años y reducción del riesgo cardiovascular en adultos con diabetes tipo 2.</w:t>
      </w:r>
    </w:p>
    <w:p>
      <w:pPr>
        <w:numPr>
          <w:ilvl w:val="0"/>
          <w:numId w:val="1048"/>
        </w:numPr>
        <w:pStyle w:val="Compact"/>
      </w:pPr>
      <w:r>
        <w:rPr>
          <w:bCs/>
          <w:b/>
        </w:rPr>
        <w:t xml:space="preserve">WADA:</w:t>
      </w:r>
      <w:r>
        <w:t xml:space="preserve"> </w:t>
      </w:r>
      <w:r>
        <w:t xml:space="preserve">no figura en la lista.</w:t>
      </w:r>
    </w:p>
    <w:p>
      <w:pPr>
        <w:numPr>
          <w:ilvl w:val="0"/>
          <w:numId w:val="1048"/>
        </w:numPr>
        <w:pStyle w:val="Compact"/>
      </w:pPr>
      <w:r>
        <w:rPr>
          <w:bCs/>
          <w:b/>
        </w:rPr>
        <w:t xml:space="preserve">Nivel de evidencia:</w:t>
      </w:r>
      <w:r>
        <w:t xml:space="preserve"> </w:t>
      </w:r>
      <w:r>
        <w:rPr>
          <w:bCs/>
          <w:b/>
        </w:rPr>
        <w:t xml:space="preserve">A</w:t>
      </w:r>
      <w:r>
        <w:t xml:space="preserve"> </w:t>
      </w:r>
      <w:r>
        <w:t xml:space="preserve">– programa de estudios AWARD con más de diez estudios aleatorizados de fase 3, estudio de resultados REWIND, estudio en adolescentes.</w:t>
      </w:r>
    </w:p>
    <w:bookmarkEnd w:id="344"/>
    <w:bookmarkStart w:id="347" w:name="cómo-se-supone-que-actúa-2"/>
    <w:p>
      <w:pPr>
        <w:pStyle w:val="Heading3"/>
      </w:pPr>
      <w:r>
        <w:t xml:space="preserve">Cómo se supone que actúa</w:t>
      </w:r>
    </w:p>
    <w:p>
      <w:pPr>
        <w:pStyle w:val="FirstParagraph"/>
      </w:pPr>
      <w:r>
        <w:t xml:space="preserve">La dulaglutida actúa sobre el receptor de GLP-1 igual que la exenatida, la liraglutida y la semaglutida: aumenta la secreción de insulina dependiente de la glucosa, frena la hormona glucagón, ralentiza el vaciamiento gástrico y atenúa el apetito. El mecanismo básico se explica en el capítulo Exenatida.</w:t>
      </w:r>
    </w:p>
    <w:p>
      <w:pPr>
        <w:pStyle w:val="BodyText"/>
      </w:pPr>
      <w:r>
        <w:t xml:space="preserve">La diferencia está en el «envoltorio». La liraglutida y la semaglutida se unen a las proteínas plasmáticas mediante un ácido graso. Lilly siguió otro camino y acopló la hormona al fragmento Fc de un anticuerpo. Este componente es conocido en biotecnología: hace que las moléculas sean tan grandes que los riñones ya no pueden filtrarlas y aprovecha una vía de reciclaje del propio organismo que protege a los anticuerpos de la degradación. En ratas y macacos cangrejeros, la semivida del principio activo fue de 1,5 a 2 días; en el ser humano es más larga y permite la administración semanal</w:t>
      </w:r>
      <w:r>
        <w:rPr>
          <w:rStyle w:val="FootnoteReference"/>
        </w:rPr>
        <w:footnoteReference w:id="345"/>
      </w:r>
      <w:r>
        <w:t xml:space="preserve">.</w:t>
      </w:r>
    </w:p>
    <w:p>
      <w:pPr>
        <w:pStyle w:val="BodyText"/>
      </w:pPr>
      <w:r>
        <w:t xml:space="preserve">En las propias cadenas de GLP-1 se sustituyeron algunos aminoácidos, en parte para impedir la degradación por la enzima DPP-4 y en parte para reducir la formación de anticuerpos contra el principio activo. De hecho, en nueve estudios solo el 1,6 % de las personas tratadas con dulaglutida formaron anticuerpos contra el medicamento</w:t>
      </w:r>
      <w:r>
        <w:rPr>
          <w:rStyle w:val="FootnoteReference"/>
        </w:rPr>
        <w:footnoteReference w:id="346"/>
      </w:r>
      <w:r>
        <w:t xml:space="preserve">, bastante menos que con exenatida.</w:t>
      </w:r>
    </w:p>
    <w:p>
      <w:pPr>
        <w:pStyle w:val="BodyText"/>
      </w:pPr>
      <w:r>
        <w:t xml:space="preserve">Un inconveniente del tamaño: es probable que la molécula llegue peor a las regiones cerebrales que regulan el apetito. Esto podría explicar por qué la dulaglutida, con una reducción de la glucemia comparable, provoca menos pérdida de peso que la semaglutida. Esta explicación es plausible, pero no está demostrada.</w:t>
      </w:r>
    </w:p>
    <w:bookmarkEnd w:id="347"/>
    <w:bookmarkStart w:id="379" w:name="estudios-en-humanos-2"/>
    <w:p>
      <w:pPr>
        <w:pStyle w:val="Heading3"/>
      </w:pPr>
      <w:r>
        <w:t xml:space="preserve">Estudios en humanos</w:t>
      </w:r>
    </w:p>
    <w:p>
      <w:pPr>
        <w:pStyle w:val="FirstParagraph"/>
      </w:pPr>
      <w:r>
        <w:t xml:space="preserve">La consulta de PubMed analizada para este libro (término de búsqueda «dulaglutide» en el título o el resumen, fecha de consulta octubre de 2026) arrojó 158 estudios en seres humanos; ClinicalTrials.gov recoge 143 registros. La cifra es menor que en el caso de la liraglutida o la semaglutida, pero los estudios están planteados de forma especialmente sistemática: el programa AWARD (Assessment of Weekly AdministRation of LY2189265 in Diabetes) evaluó la dulaglutida frente a casi todos los tratamientos habituales de la diabetes. Llama la atención, además, la frecuencia con que la propia dulaglutida sirve de medicamento comparador para principios activos más recientes: desde la semaglutida y la tirzepatida hasta nuevos desarrollos chinos.</w:t>
      </w:r>
    </w:p>
    <w:bookmarkStart w:id="352" w:name="el-programa-award"/>
    <w:p>
      <w:pPr>
        <w:pStyle w:val="Heading4"/>
      </w:pPr>
      <w:r>
        <w:t xml:space="preserve">El programa AWARD</w:t>
      </w:r>
    </w:p>
    <w:p>
      <w:pPr>
        <w:pStyle w:val="FirstParagraph"/>
      </w:pPr>
      <w:r>
        <w:t xml:space="preserve">En la mayoría de los estudios AWARD se evaluaron las dosis de 0,75 y 1,5 mg semanales. La tabla muestra en cada caso el resultado de la dosis más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 (dulaglutida 1,5 mg frente a comparador)</w:t>
            </w:r>
          </w:p>
        </w:tc>
      </w:tr>
      <w:tr>
        <w:tc>
          <w:tcPr/>
          <w:p>
            <w:pPr>
              <w:pStyle w:val="Compact"/>
              <w:jc w:val="left"/>
            </w:pPr>
            <w:r>
              <w:t xml:space="preserve">AWARD-1 (Wysham 2014), PMID 24879836</w:t>
            </w:r>
          </w:p>
        </w:tc>
        <w:tc>
          <w:tcPr/>
          <w:p>
            <w:pPr>
              <w:pStyle w:val="Compact"/>
              <w:jc w:val="left"/>
            </w:pPr>
            <w:r>
              <w:t xml:space="preserve">diabetes tipo 2 con metformina y pioglitazona; frente a exenatida dos veces al día y placebo</w:t>
            </w:r>
          </w:p>
        </w:tc>
        <w:tc>
          <w:tcPr/>
          <w:p>
            <w:pPr>
              <w:pStyle w:val="Compact"/>
              <w:jc w:val="left"/>
            </w:pPr>
            <w:r>
              <w:t xml:space="preserve">52 semanas (variable principal a las 26)</w:t>
            </w:r>
          </w:p>
        </w:tc>
        <w:tc>
          <w:tcPr/>
          <w:p>
            <w:pPr>
              <w:pStyle w:val="Compact"/>
              <w:jc w:val="left"/>
            </w:pPr>
            <w:r>
              <w:t xml:space="preserve">HbA1c −1,51 frente a −0,99 (exenatida) frente a −0,46 (placebo)</w:t>
            </w:r>
          </w:p>
        </w:tc>
      </w:tr>
      <w:tr>
        <w:tc>
          <w:tcPr/>
          <w:p>
            <w:pPr>
              <w:pStyle w:val="Compact"/>
              <w:jc w:val="left"/>
            </w:pPr>
            <w:r>
              <w:t xml:space="preserve">AWARD-2 (Giorgino 2015), PMID 26089386</w:t>
            </w:r>
          </w:p>
        </w:tc>
        <w:tc>
          <w:tcPr/>
          <w:p>
            <w:pPr>
              <w:pStyle w:val="Compact"/>
              <w:jc w:val="left"/>
            </w:pPr>
            <w:r>
              <w:t xml:space="preserve">810 personas con metformina y glimepirida; abierto frente a insulina glargina</w:t>
            </w:r>
          </w:p>
        </w:tc>
        <w:tc>
          <w:tcPr/>
          <w:p>
            <w:pPr>
              <w:pStyle w:val="Compact"/>
              <w:jc w:val="left"/>
            </w:pPr>
            <w:r>
              <w:t xml:space="preserve">78 semanas</w:t>
            </w:r>
          </w:p>
        </w:tc>
        <w:tc>
          <w:tcPr/>
          <w:p>
            <w:pPr>
              <w:pStyle w:val="Compact"/>
              <w:jc w:val="left"/>
            </w:pPr>
            <w:r>
              <w:t xml:space="preserve">HbA1c −1,08 frente a −0,63; el peso disminuyó frente a aumentó</w:t>
            </w:r>
          </w:p>
        </w:tc>
      </w:tr>
      <w:tr>
        <w:tc>
          <w:tcPr/>
          <w:p>
            <w:pPr>
              <w:pStyle w:val="Compact"/>
              <w:jc w:val="left"/>
            </w:pPr>
            <w:r>
              <w:t xml:space="preserve">AWARD-3 (Umpierrez 2014), PMID 24842985</w:t>
            </w:r>
          </w:p>
        </w:tc>
        <w:tc>
          <w:tcPr/>
          <w:p>
            <w:pPr>
              <w:pStyle w:val="Compact"/>
              <w:jc w:val="left"/>
            </w:pPr>
            <w:r>
              <w:t xml:space="preserve">diabetes tipo 2 temprana, monoterapia; doble ciego frente a metformina</w:t>
            </w:r>
          </w:p>
        </w:tc>
        <w:tc>
          <w:tcPr/>
          <w:p>
            <w:pPr>
              <w:pStyle w:val="Compact"/>
              <w:jc w:val="left"/>
            </w:pPr>
            <w:r>
              <w:t xml:space="preserve">52 semanas (variable principal a las 26)</w:t>
            </w:r>
          </w:p>
        </w:tc>
        <w:tc>
          <w:tcPr/>
          <w:p>
            <w:pPr>
              <w:pStyle w:val="Compact"/>
              <w:jc w:val="left"/>
            </w:pPr>
            <w:r>
              <w:t xml:space="preserve">HbA1c −0,78 frente a −0,56</w:t>
            </w:r>
          </w:p>
        </w:tc>
      </w:tr>
      <w:tr>
        <w:tc>
          <w:tcPr/>
          <w:p>
            <w:pPr>
              <w:pStyle w:val="Compact"/>
              <w:jc w:val="left"/>
            </w:pPr>
            <w:r>
              <w:t xml:space="preserve">AWARD-4 (Blonde 2015), PMID 26009229</w:t>
            </w:r>
          </w:p>
        </w:tc>
        <w:tc>
          <w:tcPr/>
          <w:p>
            <w:pPr>
              <w:pStyle w:val="Compact"/>
              <w:jc w:val="left"/>
            </w:pPr>
            <w:r>
              <w:t xml:space="preserve">884 personas con insulina prandial; abierto frente a insulina glargina</w:t>
            </w:r>
          </w:p>
        </w:tc>
        <w:tc>
          <w:tcPr/>
          <w:p>
            <w:pPr>
              <w:pStyle w:val="Compact"/>
              <w:jc w:val="left"/>
            </w:pPr>
            <w:r>
              <w:t xml:space="preserve">52 semanas (variable principal a las 26)</w:t>
            </w:r>
          </w:p>
        </w:tc>
        <w:tc>
          <w:tcPr/>
          <w:p>
            <w:pPr>
              <w:pStyle w:val="Compact"/>
              <w:jc w:val="left"/>
            </w:pPr>
            <w:r>
              <w:t xml:space="preserve">HbA1c −1,64 frente a −1,41</w:t>
            </w:r>
          </w:p>
        </w:tc>
      </w:tr>
      <w:tr>
        <w:tc>
          <w:tcPr/>
          <w:p>
            <w:pPr>
              <w:pStyle w:val="Compact"/>
              <w:jc w:val="left"/>
            </w:pPr>
            <w:r>
              <w:t xml:space="preserve">AWARD-5 (Nauck 2014), PMID 24742660</w:t>
            </w:r>
          </w:p>
        </w:tc>
        <w:tc>
          <w:tcPr/>
          <w:p>
            <w:pPr>
              <w:pStyle w:val="Compact"/>
              <w:jc w:val="left"/>
            </w:pPr>
            <w:r>
              <w:t xml:space="preserve">1098 personas con metformina; frente a sitagliptina</w:t>
            </w:r>
          </w:p>
        </w:tc>
        <w:tc>
          <w:tcPr/>
          <w:p>
            <w:pPr>
              <w:pStyle w:val="Compact"/>
              <w:jc w:val="left"/>
            </w:pPr>
            <w:r>
              <w:t xml:space="preserve">52 semanas</w:t>
            </w:r>
          </w:p>
        </w:tc>
        <w:tc>
          <w:tcPr/>
          <w:p>
            <w:pPr>
              <w:pStyle w:val="Compact"/>
              <w:jc w:val="left"/>
            </w:pPr>
            <w:r>
              <w:t xml:space="preserve">HbA1c −1,10 frente a −0,39; peso −3,03 frente a −1,53 kg</w:t>
            </w:r>
          </w:p>
        </w:tc>
      </w:tr>
      <w:tr>
        <w:tc>
          <w:tcPr/>
          <w:p>
            <w:pPr>
              <w:pStyle w:val="Compact"/>
              <w:jc w:val="left"/>
            </w:pPr>
            <w:r>
              <w:t xml:space="preserve">AWARD-6 (Dungan 2014), PMID 25018121</w:t>
            </w:r>
          </w:p>
        </w:tc>
        <w:tc>
          <w:tcPr/>
          <w:p>
            <w:pPr>
              <w:pStyle w:val="Compact"/>
              <w:jc w:val="left"/>
            </w:pPr>
            <w:r>
              <w:t xml:space="preserve">599 personas con metformina; abierto frente a liraglutida</w:t>
            </w:r>
          </w:p>
        </w:tc>
        <w:tc>
          <w:tcPr/>
          <w:p>
            <w:pPr>
              <w:pStyle w:val="Compact"/>
              <w:jc w:val="left"/>
            </w:pPr>
            <w:r>
              <w:t xml:space="preserve">26 semanas</w:t>
            </w:r>
          </w:p>
        </w:tc>
        <w:tc>
          <w:tcPr/>
          <w:p>
            <w:pPr>
              <w:pStyle w:val="Compact"/>
              <w:jc w:val="left"/>
            </w:pPr>
            <w:r>
              <w:t xml:space="preserve">HbA1c −1,42 frente a −1,36; equivalentes</w:t>
            </w:r>
          </w:p>
        </w:tc>
      </w:tr>
      <w:tr>
        <w:tc>
          <w:tcPr/>
          <w:p>
            <w:pPr>
              <w:pStyle w:val="Compact"/>
              <w:jc w:val="left"/>
            </w:pPr>
            <w:r>
              <w:t xml:space="preserve">AWARD-7 (Tuttle 2018), PMID 29910024</w:t>
            </w:r>
          </w:p>
        </w:tc>
        <w:tc>
          <w:tcPr/>
          <w:p>
            <w:pPr>
              <w:pStyle w:val="Compact"/>
              <w:jc w:val="left"/>
            </w:pPr>
            <w:r>
              <w:t xml:space="preserve">577 personas con enfermedad renal crónica moderada a grave; frente a insulina glargina</w:t>
            </w:r>
          </w:p>
        </w:tc>
        <w:tc>
          <w:tcPr/>
          <w:p>
            <w:pPr>
              <w:pStyle w:val="Compact"/>
              <w:jc w:val="left"/>
            </w:pPr>
            <w:r>
              <w:t xml:space="preserve">52 semanas</w:t>
            </w:r>
          </w:p>
        </w:tc>
        <w:tc>
          <w:tcPr/>
          <w:p>
            <w:pPr>
              <w:pStyle w:val="Compact"/>
              <w:jc w:val="left"/>
            </w:pPr>
            <w:r>
              <w:t xml:space="preserve">HbA1c −1,2 frente a −1,1; función renal mejor conservada a las 52 semanas</w:t>
            </w:r>
          </w:p>
        </w:tc>
      </w:tr>
      <w:tr>
        <w:tc>
          <w:tcPr/>
          <w:p>
            <w:pPr>
              <w:pStyle w:val="Compact"/>
              <w:jc w:val="left"/>
            </w:pPr>
            <w:r>
              <w:t xml:space="preserve">AWARD-8 (Dungan 2016), PMID 26799540</w:t>
            </w:r>
          </w:p>
        </w:tc>
        <w:tc>
          <w:tcPr/>
          <w:p>
            <w:pPr>
              <w:pStyle w:val="Compact"/>
              <w:jc w:val="left"/>
            </w:pPr>
            <w:r>
              <w:t xml:space="preserve">diabetes tipo 2 con glimepirida; frente a placebo</w:t>
            </w:r>
          </w:p>
        </w:tc>
        <w:tc>
          <w:tcPr/>
          <w:p>
            <w:pPr>
              <w:pStyle w:val="Compact"/>
              <w:jc w:val="left"/>
            </w:pPr>
            <w:r>
              <w:t xml:space="preserve">24 semanas</w:t>
            </w:r>
          </w:p>
        </w:tc>
        <w:tc>
          <w:tcPr/>
          <w:p>
            <w:pPr>
              <w:pStyle w:val="Compact"/>
              <w:jc w:val="left"/>
            </w:pPr>
            <w:r>
              <w:t xml:space="preserve">diferencia de HbA1c −1,3 puntos porcentuales; más hipoglucemias</w:t>
            </w:r>
          </w:p>
        </w:tc>
      </w:tr>
      <w:tr>
        <w:tc>
          <w:tcPr/>
          <w:p>
            <w:pPr>
              <w:pStyle w:val="Compact"/>
              <w:jc w:val="left"/>
            </w:pPr>
            <w:r>
              <w:t xml:space="preserve">AWARD-10 (Ludvik 2018), PMID 29483060</w:t>
            </w:r>
          </w:p>
        </w:tc>
        <w:tc>
          <w:tcPr/>
          <w:p>
            <w:pPr>
              <w:pStyle w:val="Compact"/>
              <w:jc w:val="left"/>
            </w:pPr>
            <w:r>
              <w:t xml:space="preserve">424 personas con inhibidor de SGLT2; frente a placebo</w:t>
            </w:r>
          </w:p>
        </w:tc>
        <w:tc>
          <w:tcPr/>
          <w:p>
            <w:pPr>
              <w:pStyle w:val="Compact"/>
              <w:jc w:val="left"/>
            </w:pPr>
            <w:r>
              <w:t xml:space="preserve">24 semanas</w:t>
            </w:r>
          </w:p>
        </w:tc>
        <w:tc>
          <w:tcPr/>
          <w:p>
            <w:pPr>
              <w:pStyle w:val="Compact"/>
              <w:jc w:val="left"/>
            </w:pPr>
            <w:r>
              <w:t xml:space="preserve">HbA1c −1,34 frente a −0,54</w:t>
            </w:r>
          </w:p>
        </w:tc>
      </w:tr>
      <w:tr>
        <w:tc>
          <w:tcPr/>
          <w:p>
            <w:pPr>
              <w:pStyle w:val="Compact"/>
              <w:jc w:val="left"/>
            </w:pPr>
            <w:r>
              <w:t xml:space="preserve">AWARD-11 (Frias 2021), PMID 33397768</w:t>
            </w:r>
          </w:p>
        </w:tc>
        <w:tc>
          <w:tcPr/>
          <w:p>
            <w:pPr>
              <w:pStyle w:val="Compact"/>
              <w:jc w:val="left"/>
            </w:pPr>
            <w:r>
              <w:t xml:space="preserve">1842 personas con metformina; 4,5 y 3,0 mg frente a 1,5 mg</w:t>
            </w:r>
          </w:p>
        </w:tc>
        <w:tc>
          <w:tcPr/>
          <w:p>
            <w:pPr>
              <w:pStyle w:val="Compact"/>
              <w:jc w:val="left"/>
            </w:pPr>
            <w:r>
              <w:t xml:space="preserve">36 semanas</w:t>
            </w:r>
          </w:p>
        </w:tc>
        <w:tc>
          <w:tcPr/>
          <w:p>
            <w:pPr>
              <w:pStyle w:val="Compact"/>
              <w:jc w:val="left"/>
            </w:pPr>
            <w:r>
              <w:t xml:space="preserve">HbA1c −1,77 (4,5 mg) frente a −1,54; peso −4,6 frente a −3,0 kg</w:t>
            </w:r>
          </w:p>
        </w:tc>
      </w:tr>
    </w:tbl>
    <w:p>
      <w:pPr>
        <w:pStyle w:val="BodyText"/>
      </w:pPr>
      <w:r>
        <w:t xml:space="preserve">Algunos resultados merecen una explicación:</w:t>
      </w:r>
    </w:p>
    <w:p>
      <w:pPr>
        <w:pStyle w:val="BodyText"/>
      </w:pPr>
      <w:r>
        <w:rPr>
          <w:bCs/>
          <w:b/>
        </w:rPr>
        <w:t xml:space="preserve">Frente a la insulina</w:t>
      </w:r>
      <w:r>
        <w:t xml:space="preserve"> </w:t>
      </w:r>
      <w:r>
        <w:t xml:space="preserve">(AWARD-2 y AWARD-4), la dulaglutida redujo algo más la glucemia a largo plazo, con menos hipoglucemias y sin aumento de peso</w:t>
      </w:r>
      <w:r>
        <w:rPr>
          <w:rStyle w:val="FootnoteReference"/>
        </w:rPr>
        <w:footnoteReference w:id="348"/>
      </w:r>
      <w:r>
        <w:t xml:space="preserve">. No obstante, en AWARD-2 la dosis de insulina no se aumentó de forma sistemática; la dosis final media fue de 29 unidades. Una insulina titulada con más decisión quizá habría obtenido mejores resultados. Las náuseas aparecieron con dulaglutida 1,5 mg en el 15,4 % y con insulina en el 1,5 %.</w:t>
      </w:r>
    </w:p>
    <w:p>
      <w:pPr>
        <w:pStyle w:val="BodyText"/>
      </w:pPr>
      <w:r>
        <w:rPr>
          <w:bCs/>
          <w:b/>
        </w:rPr>
        <w:t xml:space="preserve">En la enfermedad renal</w:t>
      </w:r>
      <w:r>
        <w:t xml:space="preserve"> </w:t>
      </w:r>
      <w:r>
        <w:t xml:space="preserve">(AWARD-7), el resultado es especialmente interesante: la glucemia disminuyó en la misma medida que con insulina, pero la función renal estimada (FGe) era más alta con dulaglutida a las 52 semanas: 34,0 frente a 31,3 ml/min por 1,73 m²</w:t>
      </w:r>
      <w:r>
        <w:rPr>
          <w:rStyle w:val="FootnoteReference"/>
        </w:rPr>
        <w:footnoteReference w:id="349"/>
      </w:r>
      <w:r>
        <w:t xml:space="preserve">. La excreción de proteínas en la orina no difirió significativamente. Es un indicio, pero no una prueba, de protección renal.</w:t>
      </w:r>
    </w:p>
    <w:p>
      <w:pPr>
        <w:pStyle w:val="BodyText"/>
      </w:pPr>
      <w:r>
        <w:rPr>
          <w:bCs/>
          <w:b/>
        </w:rPr>
        <w:t xml:space="preserve">Con una sulfonilurea</w:t>
      </w:r>
      <w:r>
        <w:t xml:space="preserve"> </w:t>
      </w:r>
      <w:r>
        <w:t xml:space="preserve">(AWARD-8) se ve la otra cara: la dulaglutida redujo la HbA1c 1,3 puntos porcentuales más que el placebo, y el 55,3 % frente al 18,9 % alcanzó un valor inferior al 7 %. Pero las hipoglucemias fueron claramente más frecuentes (2,37 frente a 0,07 episodios por persona y año), porque la sulfonilurea libera insulina con independencia de la glucemia</w:t>
      </w:r>
      <w:r>
        <w:rPr>
          <w:rStyle w:val="FootnoteReference"/>
        </w:rPr>
        <w:footnoteReference w:id="350"/>
      </w:r>
      <w:r>
        <w:t xml:space="preserve">. No se produjeron hipoglucemias graves.</w:t>
      </w:r>
    </w:p>
    <w:p>
      <w:pPr>
        <w:pStyle w:val="BodyText"/>
      </w:pPr>
      <w:r>
        <w:rPr>
          <w:bCs/>
          <w:b/>
        </w:rPr>
        <w:t xml:space="preserve">Dosis más altas</w:t>
      </w:r>
      <w:r>
        <w:t xml:space="preserve"> </w:t>
      </w:r>
      <w:r>
        <w:t xml:space="preserve">(AWARD-11): para estar a la altura de la semaglutida, Lilly evaluó 3,0 y 4,5 mg. La dosis más alta redujo la HbA1c otros 0,24 puntos porcentuales y el peso otros 1,6 kg frente a 1,5 mg</w:t>
      </w:r>
      <w:r>
        <w:rPr>
          <w:rStyle w:val="FootnoteReference"/>
        </w:rPr>
        <w:footnoteReference w:id="351"/>
      </w:r>
      <w:r>
        <w:t xml:space="preserve">. Las náuseas aumentaron ligeramente (16,4 % frente a 13,4 %), al igual que los vómitos (9,3 % frente a 5,6 %). La ganancia es medible, pero limitada.</w:t>
      </w:r>
    </w:p>
    <w:bookmarkEnd w:id="352"/>
    <w:bookmarkStart w:id="356" w:name="X20df5d0370ec577a75a04b5aaa39ddf0104f5cd"/>
    <w:p>
      <w:pPr>
        <w:pStyle w:val="Heading4"/>
      </w:pPr>
      <w:r>
        <w:t xml:space="preserve">Comparaciones directas dentro de la clase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(dulaglutida frente a comparador)</w:t>
            </w:r>
          </w:p>
        </w:tc>
      </w:tr>
      <w:tr>
        <w:tc>
          <w:tcPr/>
          <w:p>
            <w:pPr>
              <w:pStyle w:val="Compact"/>
              <w:jc w:val="left"/>
            </w:pPr>
            <w:r>
              <w:t xml:space="preserve">AWARD-1 (Wysham 2014), PMID 24879836</w:t>
            </w:r>
          </w:p>
        </w:tc>
        <w:tc>
          <w:tcPr/>
          <w:p>
            <w:pPr>
              <w:pStyle w:val="Compact"/>
              <w:jc w:val="left"/>
            </w:pPr>
            <w:r>
              <w:t xml:space="preserve">frente a exenatida dos veces al día</w:t>
            </w:r>
          </w:p>
        </w:tc>
        <w:tc>
          <w:tcPr/>
          <w:p>
            <w:pPr>
              <w:pStyle w:val="Compact"/>
              <w:jc w:val="left"/>
            </w:pPr>
            <w:r>
              <w:t xml:space="preserve">26 semanas</w:t>
            </w:r>
          </w:p>
        </w:tc>
        <w:tc>
          <w:tcPr/>
          <w:p>
            <w:pPr>
              <w:pStyle w:val="Compact"/>
              <w:jc w:val="left"/>
            </w:pPr>
            <w:r>
              <w:t xml:space="preserve">HbA1c −1,51 frente a −0,99; menos hipoglucemias</w:t>
            </w:r>
          </w:p>
        </w:tc>
      </w:tr>
      <w:tr>
        <w:tc>
          <w:tcPr/>
          <w:p>
            <w:pPr>
              <w:pStyle w:val="Compact"/>
              <w:jc w:val="left"/>
            </w:pPr>
            <w:r>
              <w:t xml:space="preserve">AWARD-6 (Dungan 2014), PMID 25018121</w:t>
            </w:r>
          </w:p>
        </w:tc>
        <w:tc>
          <w:tcPr/>
          <w:p>
            <w:pPr>
              <w:pStyle w:val="Compact"/>
              <w:jc w:val="left"/>
            </w:pPr>
            <w:r>
              <w:t xml:space="preserve">599 personas, frente a liraglutida 1,8 mg diaria</w:t>
            </w:r>
          </w:p>
        </w:tc>
        <w:tc>
          <w:tcPr/>
          <w:p>
            <w:pPr>
              <w:pStyle w:val="Compact"/>
              <w:jc w:val="left"/>
            </w:pPr>
            <w:r>
              <w:t xml:space="preserve">26 semanas</w:t>
            </w:r>
          </w:p>
        </w:tc>
        <w:tc>
          <w:tcPr/>
          <w:p>
            <w:pPr>
              <w:pStyle w:val="Compact"/>
              <w:jc w:val="left"/>
            </w:pPr>
            <w:r>
              <w:t xml:space="preserve">HbA1c −1,42 frente a −1,36; náuseas 20 % frente a 18 %</w:t>
            </w:r>
          </w:p>
        </w:tc>
      </w:tr>
      <w:tr>
        <w:tc>
          <w:tcPr/>
          <w:p>
            <w:pPr>
              <w:pStyle w:val="Compact"/>
              <w:jc w:val="left"/>
            </w:pPr>
            <w:r>
              <w:t xml:space="preserve">SUSTAIN 7 (Pratley 2018), PMID 29397376</w:t>
            </w:r>
          </w:p>
        </w:tc>
        <w:tc>
          <w:tcPr/>
          <w:p>
            <w:pPr>
              <w:pStyle w:val="Compact"/>
              <w:jc w:val="left"/>
            </w:pPr>
            <w:r>
              <w:t xml:space="preserve">1201 personas, dulaglutida 0,75/1,5 mg frente a semaglutida 0,5/1,0 mg</w:t>
            </w:r>
          </w:p>
        </w:tc>
        <w:tc>
          <w:tcPr/>
          <w:p>
            <w:pPr>
              <w:pStyle w:val="Compact"/>
              <w:jc w:val="left"/>
            </w:pPr>
            <w:r>
              <w:t xml:space="preserve">40 semanas</w:t>
            </w:r>
          </w:p>
        </w:tc>
        <w:tc>
          <w:tcPr/>
          <w:p>
            <w:pPr>
              <w:pStyle w:val="Compact"/>
              <w:jc w:val="left"/>
            </w:pPr>
            <w:r>
              <w:t xml:space="preserve">HbA1c −1,4 frente a −1,8 (dosis altas); peso −3,0 frente a −6,5 kg</w:t>
            </w:r>
          </w:p>
        </w:tc>
      </w:tr>
    </w:tbl>
    <w:p>
      <w:pPr>
        <w:pStyle w:val="BodyText"/>
      </w:pPr>
      <w:r>
        <w:t xml:space="preserve">La clasificación es clara. La dulaglutida fue claramente superior a la exenatida dos veces al día</w:t>
      </w:r>
      <w:r>
        <w:rPr>
          <w:rStyle w:val="FootnoteReference"/>
        </w:rPr>
        <w:footnoteReference w:id="353"/>
      </w:r>
      <w:r>
        <w:t xml:space="preserve"> </w:t>
      </w:r>
      <w:r>
        <w:t xml:space="preserve">y equivalente a la liraglutida</w:t>
      </w:r>
      <w:r>
        <w:rPr>
          <w:rStyle w:val="FootnoteReference"/>
        </w:rPr>
        <w:footnoteReference w:id="354"/>
      </w:r>
      <w:r>
        <w:t xml:space="preserve">. En AWARD-6 fue así el primer agonista semanal del receptor de GLP-1 que, en la comparación directa, se mantuvo a la altura de la liraglutida, el estándar de entonces, con muchas menos inyecciones.</w:t>
      </w:r>
    </w:p>
    <w:p>
      <w:pPr>
        <w:pStyle w:val="BodyText"/>
      </w:pPr>
      <w:r>
        <w:t xml:space="preserve">Frente a la semaglutida, la dulaglutida perdió en SUSTAIN 7</w:t>
      </w:r>
      <w:r>
        <w:rPr>
          <w:rStyle w:val="FootnoteReference"/>
        </w:rPr>
        <w:footnoteReference w:id="355"/>
      </w:r>
      <w:r>
        <w:t xml:space="preserve"> </w:t>
      </w:r>
      <w:r>
        <w:t xml:space="preserve">en ambos niveles de dosis. Con las dosis altas, la HbA1c disminuyó 1,4 frente a 1,8 puntos porcentuales, y el peso 3,0 frente a 6,5 kg. Las molestias gastrointestinales fueron de frecuencia similar (48 % con dulaglutida 1,5 mg, 44 % con semaglutida 1,0 mg). Posteriormente se criticó que en SUSTAIN 7 la dulaglutida solo se dosificara hasta 1,5 mg; las dosis más altas de AWARD-11 aún no estaban disponibles entonces. Aun así, es probable que la diferencia de peso se mantuviera también con 4,5 mg.</w:t>
      </w:r>
    </w:p>
    <w:bookmarkEnd w:id="356"/>
    <w:bookmarkStart w:id="361" w:name="rewind-el-estudio-cardiovascular"/>
    <w:p>
      <w:pPr>
        <w:pStyle w:val="Heading4"/>
      </w:pPr>
      <w:r>
        <w:t xml:space="preserve">REWIND: el estudio cardiovascular</w:t>
      </w:r>
    </w:p>
    <w:p>
      <w:pPr>
        <w:pStyle w:val="FirstParagraph"/>
      </w:pPr>
      <w:r>
        <w:t xml:space="preserve">REWIND se diferenciaba de otros estudios de resultados con GLP-1: duró más, incluyó a personas mayores con una glucemia relativamente bien controlada (HbA1c mediana del 7,2 %) y admitió también a muchas personas sin enfermedad cardiovascular previa que solo tenían factores de riesgo. Por ello, su población se parece más a la de las consultas de atención primaria que la de otros estudios de resultados.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REWIND (Gerstein 2019), PMID 31189511</w:t>
            </w:r>
          </w:p>
        </w:tc>
        <w:tc>
          <w:tcPr/>
          <w:p>
            <w:pPr>
              <w:pStyle w:val="Compact"/>
              <w:jc w:val="left"/>
            </w:pPr>
            <w:r>
              <w:t xml:space="preserve">9901 personas con diabetes tipo 2, edad media 66,2 años, 46,3 % mujeres; RCT frente a placebo</w:t>
            </w:r>
          </w:p>
        </w:tc>
        <w:tc>
          <w:tcPr/>
          <w:p>
            <w:pPr>
              <w:pStyle w:val="Compact"/>
              <w:jc w:val="left"/>
            </w:pPr>
            <w:r>
              <w:t xml:space="preserve">mediana de 5,4 años</w:t>
            </w:r>
          </w:p>
        </w:tc>
        <w:tc>
          <w:tcPr/>
          <w:p>
            <w:pPr>
              <w:pStyle w:val="Compact"/>
              <w:jc w:val="left"/>
            </w:pPr>
            <w:r>
              <w:t xml:space="preserve">Eventos cardiovasculares graves 12,0 % frente a 13,4 %; HR 0,88 (0,79–0,99)</w:t>
            </w:r>
          </w:p>
        </w:tc>
      </w:tr>
      <w:tr>
        <w:tc>
          <w:tcPr/>
          <w:p>
            <w:pPr>
              <w:pStyle w:val="Compact"/>
              <w:jc w:val="left"/>
            </w:pPr>
            <w:r>
              <w:t xml:space="preserve">REWIND, riñón (Gerstein 2019), PMID 31189509</w:t>
            </w:r>
          </w:p>
        </w:tc>
        <w:tc>
          <w:tcPr/>
          <w:p>
            <w:pPr>
              <w:pStyle w:val="Compact"/>
              <w:jc w:val="left"/>
            </w:pPr>
            <w:r>
              <w:t xml:space="preserve">el mismo estudio, análisis exploratorio</w:t>
            </w:r>
          </w:p>
        </w:tc>
        <w:tc>
          <w:tcPr/>
          <w:p>
            <w:pPr>
              <w:pStyle w:val="Compact"/>
              <w:jc w:val="left"/>
            </w:pPr>
            <w:r>
              <w:t xml:space="preserve">mediana de 5,4 años</w:t>
            </w:r>
          </w:p>
        </w:tc>
        <w:tc>
          <w:tcPr/>
          <w:p>
            <w:pPr>
              <w:pStyle w:val="Compact"/>
              <w:jc w:val="left"/>
            </w:pPr>
            <w:r>
              <w:t xml:space="preserve">variable renal 17,1 % frente a 19,6 %; HR 0,85, sobre todo menos macroalbuminuria nueva</w:t>
            </w:r>
          </w:p>
        </w:tc>
      </w:tr>
      <w:tr>
        <w:tc>
          <w:tcPr/>
          <w:p>
            <w:pPr>
              <w:pStyle w:val="Compact"/>
              <w:jc w:val="left"/>
            </w:pPr>
            <w:r>
              <w:t xml:space="preserve">REWIND, cognición (Cukierman-Yaffe 2020), PMID 32562683</w:t>
            </w:r>
          </w:p>
        </w:tc>
        <w:tc>
          <w:tcPr/>
          <w:p>
            <w:pPr>
              <w:pStyle w:val="Compact"/>
              <w:jc w:val="left"/>
            </w:pPr>
            <w:r>
              <w:t xml:space="preserve">8828 personas con pruebas de memoria</w:t>
            </w:r>
          </w:p>
        </w:tc>
        <w:tc>
          <w:tcPr/>
          <w:p>
            <w:pPr>
              <w:pStyle w:val="Compact"/>
              <w:jc w:val="left"/>
            </w:pPr>
            <w:r>
              <w:t xml:space="preserve">mediana de 5,4 años</w:t>
            </w:r>
          </w:p>
        </w:tc>
        <w:tc>
          <w:tcPr/>
          <w:p>
            <w:pPr>
              <w:pStyle w:val="Compact"/>
              <w:jc w:val="left"/>
            </w:pPr>
            <w:r>
              <w:t xml:space="preserve">HR 0,93 (no significativo); tras un ajuste a posteriori, HR 0,86</w:t>
            </w:r>
          </w:p>
        </w:tc>
      </w:tr>
    </w:tbl>
    <w:p>
      <w:pPr>
        <w:pStyle w:val="BodyText"/>
      </w:pPr>
      <w:r>
        <w:t xml:space="preserve">La variable principal —muerte de causa cardiovascular, infarto de miocardio no mortal o ictus— se produjo con dulaglutida en 594 de 4949 personas (12,0 %) y con placebo en 663 de 4952 (13,4 %)</w:t>
      </w:r>
      <w:r>
        <w:rPr>
          <w:rStyle w:val="FootnoteReference"/>
        </w:rPr>
        <w:footnoteReference w:id="357"/>
      </w:r>
      <w:r>
        <w:t xml:space="preserve">. Esto corresponde a una reducción relativa del 12 %. La mortalidad total no difirió significativamente (10,8 % frente a 12,0 %; HR 0,90). Comunicaron efectos adversos gastrointestinales el 47,4 % frente al 34,1 %.</w:t>
      </w:r>
    </w:p>
    <w:p>
      <w:pPr>
        <w:pStyle w:val="BodyText"/>
      </w:pPr>
      <w:r>
        <w:t xml:space="preserve">En el análisis renal</w:t>
      </w:r>
      <w:r>
        <w:rPr>
          <w:rStyle w:val="FootnoteReference"/>
        </w:rPr>
        <w:footnoteReference w:id="358"/>
      </w:r>
      <w:r>
        <w:t xml:space="preserve">, el efecto se debió sobre todo a una macroalbuminuria de nueva aparición (HR 0,77). Para una disminución persistente de la función renal de al menos el 30 %, la estimación fue de 0,89, y para diálisis o trasplante renal, de 0,75; ambas sin significación estadística.</w:t>
      </w:r>
    </w:p>
    <w:p>
      <w:pPr>
        <w:pStyle w:val="BodyText"/>
      </w:pPr>
      <w:r>
        <w:t xml:space="preserve">El análisis sobre el rendimiento cognitivo</w:t>
      </w:r>
      <w:r>
        <w:rPr>
          <w:rStyle w:val="FootnoteReference"/>
        </w:rPr>
        <w:footnoteReference w:id="359"/>
      </w:r>
      <w:r>
        <w:t xml:space="preserve"> </w:t>
      </w:r>
      <w:r>
        <w:t xml:space="preserve">se cita a veces como prueba de protección frente a la demencia. Eso va demasiado lejos: la comparación fijada de antemano no fue significativa. Solo tras un ajuste estadístico a posteriori se obtuvo un riesgo relativo un 14 % menor de deterioro claro del rendimiento cognitivo (hazard ratio 0,86). Los propios autores hablan de un análisis exploratorio que justifica más estudios.</w:t>
      </w:r>
    </w:p>
    <w:p>
      <w:pPr>
        <w:pStyle w:val="BodyText"/>
      </w:pPr>
      <w:r>
        <w:t xml:space="preserve">En un metaanálisis de todos los grandes estudios de resultados con GLP-1, REWIND encajó bien en el panorama general, según el cual la clase reduce los eventos cardiovasculares graves en aproximadamente un 12 %</w:t>
      </w:r>
      <w:r>
        <w:rPr>
          <w:rStyle w:val="FootnoteReference"/>
        </w:rPr>
        <w:footnoteReference w:id="360"/>
      </w:r>
      <w:r>
        <w:t xml:space="preserve">.</w:t>
      </w:r>
    </w:p>
    <w:bookmarkEnd w:id="361"/>
    <w:bookmarkStart w:id="366" w:name="qué-explica-el-beneficio-y-qué-no"/>
    <w:p>
      <w:pPr>
        <w:pStyle w:val="Heading4"/>
      </w:pPr>
      <w:r>
        <w:t xml:space="preserve">¿Qué explica el beneficio y qué no?</w:t>
      </w:r>
    </w:p>
    <w:p>
      <w:pPr>
        <w:pStyle w:val="FirstParagraph"/>
      </w:pPr>
      <w:r>
        <w:t xml:space="preserve">Varios análisis a posteriori de REWIND han intentado comprender mejor el efecto cardiovascular. En un análisis parcial con 9543 personas sin fibrilación auricular al inicio del estudio, el 31 % ya tenía una enfermedad cardiovascular, y el resto «solo» factores de riesgo</w:t>
      </w:r>
      <w:r>
        <w:rPr>
          <w:rStyle w:val="FootnoteReference"/>
        </w:rPr>
        <w:footnoteReference w:id="362"/>
      </w:r>
      <w:r>
        <w:t xml:space="preserve">. Esto subraya que REWIND estudió a personas en prevención mucho más que otros estudios de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Análisis</w:t>
            </w:r>
          </w:p>
        </w:tc>
        <w:tc>
          <w:tcPr/>
          <w:p>
            <w:pPr>
              <w:pStyle w:val="Compact"/>
              <w:jc w:val="left"/>
            </w:pPr>
            <w:r>
              <w:t xml:space="preserve">Pregunta</w:t>
            </w:r>
          </w:p>
        </w:tc>
        <w:tc>
          <w:tcPr/>
          <w:p>
            <w:pPr>
              <w:pStyle w:val="Compact"/>
              <w:jc w:val="left"/>
            </w:pPr>
            <w:r>
              <w:t xml:space="preserve">Resultado</w:t>
            </w:r>
          </w:p>
        </w:tc>
      </w:tr>
      <w:tr>
        <w:tc>
          <w:tcPr/>
          <w:p>
            <w:pPr>
              <w:pStyle w:val="Compact"/>
              <w:jc w:val="left"/>
            </w:pPr>
            <w:r>
              <w:t xml:space="preserve">Konig 2021, PMID 34563178</w:t>
            </w:r>
          </w:p>
        </w:tc>
        <w:tc>
          <w:tcPr/>
          <w:p>
            <w:pPr>
              <w:pStyle w:val="Compact"/>
              <w:jc w:val="left"/>
            </w:pPr>
            <w:r>
              <w:t xml:space="preserve">¿Qué cambios explican el beneficio?</w:t>
            </w:r>
          </w:p>
        </w:tc>
        <w:tc>
          <w:tcPr/>
          <w:p>
            <w:pPr>
              <w:pStyle w:val="Compact"/>
              <w:jc w:val="left"/>
            </w:pPr>
            <w:r>
              <w:t xml:space="preserve">En parte la reducción de la HbA1c y de la excreción de proteínas en la orina, no el peso, la presión arterial ni el colesterol LDL</w:t>
            </w:r>
          </w:p>
        </w:tc>
      </w:tr>
      <w:tr>
        <w:tc>
          <w:tcPr/>
          <w:p>
            <w:pPr>
              <w:pStyle w:val="Compact"/>
              <w:jc w:val="left"/>
            </w:pPr>
            <w:r>
              <w:t xml:space="preserve">Branch 2022, PMID 36073143</w:t>
            </w:r>
          </w:p>
        </w:tc>
        <w:tc>
          <w:tcPr/>
          <w:p>
            <w:pPr>
              <w:pStyle w:val="Compact"/>
              <w:jc w:val="left"/>
            </w:pPr>
            <w:r>
              <w:t xml:space="preserve">Eventos de insuficiencia cardíaca</w:t>
            </w:r>
          </w:p>
        </w:tc>
        <w:tc>
          <w:tcPr/>
          <w:p>
            <w:pPr>
              <w:pStyle w:val="Compact"/>
              <w:jc w:val="left"/>
            </w:pPr>
            <w:r>
              <w:t xml:space="preserve">4,3 % frente a 4,6 %; HR 0,93, sin diferencia significativa</w:t>
            </w:r>
          </w:p>
        </w:tc>
      </w:tr>
      <w:tr>
        <w:tc>
          <w:tcPr/>
          <w:p>
            <w:pPr>
              <w:pStyle w:val="Compact"/>
              <w:jc w:val="left"/>
            </w:pPr>
            <w:r>
              <w:t xml:space="preserve">Raubenheimer 2022, PMID 34984808</w:t>
            </w:r>
          </w:p>
        </w:tc>
        <w:tc>
          <w:tcPr/>
          <w:p>
            <w:pPr>
              <w:pStyle w:val="Compact"/>
              <w:jc w:val="left"/>
            </w:pPr>
            <w:r>
              <w:t xml:space="preserve">Fibrilación o flúter auricular nuevos</w:t>
            </w:r>
          </w:p>
        </w:tc>
        <w:tc>
          <w:tcPr/>
          <w:p>
            <w:pPr>
              <w:pStyle w:val="Compact"/>
              <w:jc w:val="left"/>
            </w:pPr>
            <w:r>
              <w:t xml:space="preserve">5,6 % frente a 5,3 %; sin diferencias</w:t>
            </w:r>
          </w:p>
        </w:tc>
      </w:tr>
    </w:tbl>
    <w:p>
      <w:pPr>
        <w:pStyle w:val="BodyText"/>
      </w:pPr>
      <w:r>
        <w:t xml:space="preserve">Según el análisis de Konig 2021</w:t>
      </w:r>
      <w:r>
        <w:rPr>
          <w:rStyle w:val="FootnoteReference"/>
        </w:rPr>
        <w:footnoteReference w:id="363"/>
      </w:r>
      <w:r>
        <w:t xml:space="preserve">, una parte del efecto podía explicarse estadísticamente por el mejor control de la glucemia y la menor excreción de proteínas en la orina; otra parte quedó sin explicar. La pérdida de peso no desempeñó en este análisis ningún papel medible. Esto encaja con la suposición extendida de que los agonistas del receptor de GLP-1 tienen también efectos directos sobre los vasos y los procesos inflamatorios, aunque esto no está demostrado en el ser humano.</w:t>
      </w:r>
    </w:p>
    <w:p>
      <w:pPr>
        <w:pStyle w:val="BodyText"/>
      </w:pPr>
      <w:r>
        <w:t xml:space="preserve">La dulaglutida no mostró protección frente a los eventos de insuficiencia cardíaca</w:t>
      </w:r>
      <w:r>
        <w:rPr>
          <w:rStyle w:val="FootnoteReference"/>
        </w:rPr>
        <w:footnoteReference w:id="364"/>
      </w:r>
      <w:r>
        <w:t xml:space="preserve"> </w:t>
      </w:r>
      <w:r>
        <w:t xml:space="preserve">ni frente a la fibrilación auricular de nueva aparición</w:t>
      </w:r>
      <w:r>
        <w:rPr>
          <w:rStyle w:val="FootnoteReference"/>
        </w:rPr>
        <w:footnoteReference w:id="365"/>
      </w:r>
      <w:r>
        <w:t xml:space="preserve">. Tampoco en los 853 participantes que ya tenían insuficiencia cardíaca al inicio del estudio se obtuvo un panorama distinto. Para la insuficiencia cardíaca con función de bomba conservada en la obesidad existen ya datos de la semaglutida y la tirzepatida; para la dulaglutida faltan.</w:t>
      </w:r>
    </w:p>
    <w:bookmarkEnd w:id="366"/>
    <w:bookmarkStart w:id="369" w:name="Xeb6140d24e60570c06d2b8ca2367eace42d2fdc"/>
    <w:p>
      <w:pPr>
        <w:pStyle w:val="Heading4"/>
      </w:pPr>
      <w:r>
        <w:t xml:space="preserve">La dulaglutida como referencia para nuevos principios activos</w:t>
      </w:r>
    </w:p>
    <w:p>
      <w:pPr>
        <w:pStyle w:val="FirstParagraph"/>
      </w:pPr>
      <w:r>
        <w:t xml:space="preserve">Como la dulaglutida se utiliza ampliamente en todo el mundo, se tolera bien y tiene un beneficio cardiovascular demostrado, los fabricantes la eligen a menudo como comparador activo. Los resultados de estos estudios corresponden por su contenido a los capítulos de los respectivos principios activos nuevos; aquí solo se ofrece una visión de conjunto: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SURPASS-CVOT (Nicholls 2025), PMID 41406444</w:t>
            </w:r>
          </w:p>
        </w:tc>
        <w:tc>
          <w:tcPr/>
          <w:p>
            <w:pPr>
              <w:pStyle w:val="Compact"/>
              <w:jc w:val="left"/>
            </w:pPr>
            <w:r>
              <w:t xml:space="preserve">13.165 personas con diabetes tipo 2 y enfermedad vascular; tirzepatida frente a dulaglutida</w:t>
            </w:r>
          </w:p>
        </w:tc>
        <w:tc>
          <w:tcPr/>
          <w:p>
            <w:pPr>
              <w:pStyle w:val="Compact"/>
              <w:jc w:val="left"/>
            </w:pPr>
            <w:r>
              <w:t xml:space="preserve">varios años</w:t>
            </w:r>
          </w:p>
        </w:tc>
        <w:tc>
          <w:tcPr/>
          <w:p>
            <w:pPr>
              <w:pStyle w:val="Compact"/>
              <w:jc w:val="left"/>
            </w:pPr>
            <w:r>
              <w:t xml:space="preserve">Eventos cardiovasculares graves 12,2 % frente a 13,1 %; HR 0,92, no inferior, superioridad no demostrada</w:t>
            </w:r>
          </w:p>
        </w:tc>
      </w:tr>
      <w:tr>
        <w:tc>
          <w:tcPr/>
          <w:p>
            <w:pPr>
              <w:pStyle w:val="Compact"/>
              <w:jc w:val="left"/>
            </w:pPr>
            <w:r>
              <w:t xml:space="preserve">SURPASS J-mono (Inagaki 2022), PMID 35914543</w:t>
            </w:r>
          </w:p>
        </w:tc>
        <w:tc>
          <w:tcPr/>
          <w:p>
            <w:pPr>
              <w:pStyle w:val="Compact"/>
              <w:jc w:val="left"/>
            </w:pPr>
            <w:r>
              <w:t xml:space="preserve">636 personas en Japón; tirzepatida frente a dulaglutida 0,75 mg</w:t>
            </w:r>
          </w:p>
        </w:tc>
        <w:tc>
          <w:tcPr/>
          <w:p>
            <w:pPr>
              <w:pStyle w:val="Compact"/>
              <w:jc w:val="left"/>
            </w:pPr>
            <w:r>
              <w:t xml:space="preserve">52 semanas</w:t>
            </w:r>
          </w:p>
        </w:tc>
        <w:tc>
          <w:tcPr/>
          <w:p>
            <w:pPr>
              <w:pStyle w:val="Compact"/>
              <w:jc w:val="left"/>
            </w:pPr>
            <w:r>
              <w:t xml:space="preserve">HbA1c −2,4 a −2,8 frente a −1,3</w:t>
            </w:r>
          </w:p>
        </w:tc>
      </w:tr>
      <w:tr>
        <w:tc>
          <w:tcPr/>
          <w:p>
            <w:pPr>
              <w:pStyle w:val="Compact"/>
              <w:jc w:val="left"/>
            </w:pPr>
            <w:r>
              <w:t xml:space="preserve">Guo 2026, PMID 41407860</w:t>
            </w:r>
          </w:p>
        </w:tc>
        <w:tc>
          <w:tcPr/>
          <w:p>
            <w:pPr>
              <w:pStyle w:val="Compact"/>
              <w:jc w:val="left"/>
            </w:pPr>
            <w:r>
              <w:t xml:space="preserve">731 personas en China; mazdutida frente a dulaglutida 1,5 mg</w:t>
            </w:r>
          </w:p>
        </w:tc>
        <w:tc>
          <w:tcPr/>
          <w:p>
            <w:pPr>
              <w:pStyle w:val="Compact"/>
              <w:jc w:val="left"/>
            </w:pPr>
            <w:r>
              <w:t xml:space="preserve">28 semanas</w:t>
            </w:r>
          </w:p>
        </w:tc>
        <w:tc>
          <w:tcPr/>
          <w:p>
            <w:pPr>
              <w:pStyle w:val="Compact"/>
              <w:jc w:val="left"/>
            </w:pPr>
            <w:r>
              <w:t xml:space="preserve">diferencia de HbA1c −0,24 y −0,30 puntos porcentuales, respectivamente, a favor de la mazdutida</w:t>
            </w:r>
          </w:p>
        </w:tc>
      </w:tr>
      <w:tr>
        <w:tc>
          <w:tcPr/>
          <w:p>
            <w:pPr>
              <w:pStyle w:val="Compact"/>
              <w:jc w:val="left"/>
            </w:pPr>
            <w:r>
              <w:t xml:space="preserve">EECOH-2 (He 2025), PMID 40854315</w:t>
            </w:r>
          </w:p>
        </w:tc>
        <w:tc>
          <w:tcPr/>
          <w:p>
            <w:pPr>
              <w:pStyle w:val="Compact"/>
              <w:jc w:val="left"/>
            </w:pPr>
            <w:r>
              <w:t xml:space="preserve">621 personas en China; ecnoglutida frente a dulaglutida 1,5 mg</w:t>
            </w:r>
          </w:p>
        </w:tc>
        <w:tc>
          <w:tcPr/>
          <w:p>
            <w:pPr>
              <w:pStyle w:val="Compact"/>
              <w:jc w:val="left"/>
            </w:pPr>
            <w:r>
              <w:t xml:space="preserve">52 semanas (variable principal a las 32)</w:t>
            </w:r>
          </w:p>
        </w:tc>
        <w:tc>
          <w:tcPr/>
          <w:p>
            <w:pPr>
              <w:pStyle w:val="Compact"/>
              <w:jc w:val="left"/>
            </w:pPr>
            <w:r>
              <w:t xml:space="preserve">HbA1c −1,89 a −1,91 frente a −1,65</w:t>
            </w:r>
          </w:p>
        </w:tc>
      </w:tr>
    </w:tbl>
    <w:p>
      <w:pPr>
        <w:pStyle w:val="BodyText"/>
      </w:pPr>
      <w:r>
        <w:t xml:space="preserve">Especialmente reveladora es SURPASS-CVOT</w:t>
      </w:r>
      <w:r>
        <w:rPr>
          <w:rStyle w:val="FootnoteReference"/>
        </w:rPr>
        <w:footnoteReference w:id="367"/>
      </w:r>
      <w:r>
        <w:t xml:space="preserve">, el primer gran estudio de resultados en el que dos medicamentos incretínicos se enfrentaron directamente. La tirzepatida no fue inferior, pero tampoco se demostró que fuera mejor que la dulaglutida. Como la propia dulaglutida había reducido el riesgo en REWIND, un «empate» frente a ella es un resultado sólido para ambos principios activos. Un análisis a posteriori con una variable cardiorrenal más amplia encontró una ventaja para la tirzepatida (23,7 % frente a 27,4 %; HR 0,84)</w:t>
      </w:r>
      <w:r>
        <w:rPr>
          <w:rStyle w:val="FootnoteReference"/>
        </w:rPr>
        <w:footnoteReference w:id="368"/>
      </w:r>
      <w:r>
        <w:t xml:space="preserve">. No obstante, los análisis a posteriori son menos sólidos que la variable principal fijada de antemano.</w:t>
      </w:r>
    </w:p>
    <w:bookmarkEnd w:id="369"/>
    <w:bookmarkStart w:id="372" w:name="manejo-la-pluma-precargada"/>
    <w:p>
      <w:pPr>
        <w:pStyle w:val="Heading4"/>
      </w:pPr>
      <w:r>
        <w:t xml:space="preserve">Manejo: la pluma precargada</w:t>
      </w:r>
    </w:p>
    <w:p>
      <w:pPr>
        <w:pStyle w:val="FirstParagraph"/>
      </w:pPr>
      <w:r>
        <w:t xml:space="preserve">Un aspecto práctico que rara vez se valora en los estudios es el uso. La dulaglutida se suministra en una pluma precargada de un solo uso en la que no hay que colocar una aguja ni ajustar la dosis. En un estudio con 211 personas con diabetes tipo 2 que nunca se habían inyectado, la inyección se realizó con éxito al final en el 99,1 % de los casos; el miedo a inyectarse disminuyó</w:t>
      </w:r>
      <w:r>
        <w:rPr>
          <w:rStyle w:val="FootnoteReference"/>
        </w:rPr>
        <w:footnoteReference w:id="370"/>
      </w:r>
      <w:r>
        <w:t xml:space="preserve">. En un estudio comparativo financiado por el fabricante con 310 participantes, el 84,2 % prefirió la pluma de dulaglutida a la pluma de semaglutida de entonces</w:t>
      </w:r>
      <w:r>
        <w:rPr>
          <w:rStyle w:val="FootnoteReference"/>
        </w:rPr>
        <w:footnoteReference w:id="371"/>
      </w:r>
      <w:r>
        <w:t xml:space="preserve">. Estos estudios de preferencia no dicen nada sobre la eficacia, pero pueden explicar por qué la dulaglutida está extendida precisamente entre las personas mayores.</w:t>
      </w:r>
    </w:p>
    <w:bookmarkEnd w:id="372"/>
    <w:bookmarkStart w:id="374" w:name="niños-y-adolescentes-1"/>
    <w:p>
      <w:pPr>
        <w:pStyle w:val="Heading4"/>
      </w:pPr>
      <w:r>
        <w:t xml:space="preserve">Niños y adolescentes</w:t>
      </w:r>
    </w:p>
    <w:p>
      <w:pPr>
        <w:pStyle w:val="FirstParagraph"/>
      </w:pPr>
      <w:r>
        <w:t xml:space="preserve">En AWARD-PEDS, con 154 adolescentes con diabetes tipo 2, la HbA1c aumentó con placebo 0,6 puntos porcentuales al cabo de 26 semanas y disminuyó con dulaglutida 0,6 (0,75 mg) y 0,9 puntos porcentuales (1,5 mg), respectivamente</w:t>
      </w:r>
      <w:r>
        <w:rPr>
          <w:rStyle w:val="FootnoteReference"/>
        </w:rPr>
        <w:footnoteReference w:id="373"/>
      </w:r>
      <w:r>
        <w:t xml:space="preserve">. Una HbA1c inferior al 7 % la alcanzó el 51 % frente al 14 %. La dulaglutida no influyó en el índice de masa corporal en este grupo de edad. Este estudio fue la base de la autorización a partir de 10 años.</w:t>
      </w:r>
    </w:p>
    <w:bookmarkEnd w:id="374"/>
    <w:bookmarkStart w:id="378" w:name="otros-campos-de-aplicación-en-estudios-2"/>
    <w:p>
      <w:pPr>
        <w:pStyle w:val="Heading4"/>
      </w:pPr>
      <w:r>
        <w:t xml:space="preserve">Otros campos de aplicación en estudios</w:t>
      </w:r>
    </w:p>
    <w:p>
      <w:pPr>
        <w:numPr>
          <w:ilvl w:val="0"/>
          <w:numId w:val="1049"/>
        </w:numPr>
        <w:pStyle w:val="Compact"/>
      </w:pPr>
      <w:r>
        <w:rPr>
          <w:bCs/>
          <w:b/>
        </w:rPr>
        <w:t xml:space="preserve">Dejar de fumar:</w:t>
      </w:r>
      <w:r>
        <w:t xml:space="preserve"> </w:t>
      </w:r>
      <w:r>
        <w:t xml:space="preserve">en un estudio con 255 personas, la dulaglutida no mejoró la tasa de abstinencia; al cabo de 52 semanas, en ambos grupos el 32 % no fumaba</w:t>
      </w:r>
      <w:r>
        <w:rPr>
          <w:rStyle w:val="FootnoteReference"/>
        </w:rPr>
        <w:footnoteReference w:id="375"/>
      </w:r>
      <w:r>
        <w:t xml:space="preserve">. El aumento de peso habitual tras dejar de fumar se evitó en las primeras 12 semanas, pero al cabo de un año la diferencia había desaparecido.</w:t>
      </w:r>
    </w:p>
    <w:p>
      <w:pPr>
        <w:numPr>
          <w:ilvl w:val="0"/>
          <w:numId w:val="1049"/>
        </w:numPr>
        <w:pStyle w:val="Compact"/>
      </w:pPr>
      <w:r>
        <w:rPr>
          <w:bCs/>
          <w:b/>
        </w:rPr>
        <w:t xml:space="preserve">Alcohol:</w:t>
      </w:r>
      <w:r>
        <w:t xml:space="preserve"> </w:t>
      </w:r>
      <w:r>
        <w:t xml:space="preserve">en un análisis adicional planificado de antemano del mismo estudio, los participantes con dulaglutida bebieron al cabo de 12 semanas un 29 % menos de alcohol que con placebo</w:t>
      </w:r>
      <w:r>
        <w:rPr>
          <w:rStyle w:val="FootnoteReference"/>
        </w:rPr>
        <w:footnoteReference w:id="376"/>
      </w:r>
      <w:r>
        <w:t xml:space="preserve">. El estudio no estaba diseñado para esta pregunta.</w:t>
      </w:r>
    </w:p>
    <w:p>
      <w:pPr>
        <w:numPr>
          <w:ilvl w:val="0"/>
          <w:numId w:val="1049"/>
        </w:numPr>
        <w:pStyle w:val="Compact"/>
      </w:pPr>
      <w:r>
        <w:rPr>
          <w:bCs/>
          <w:b/>
        </w:rPr>
        <w:t xml:space="preserve">Polidipsia primaria</w:t>
      </w:r>
      <w:r>
        <w:t xml:space="preserve"> </w:t>
      </w:r>
      <w:r>
        <w:t xml:space="preserve">(ingesta excesiva patológica de líquidos): en un estudio cruzado con 34 personas, la dulaglutida redujo la cantidad bebida durante una prueba de ocho horas en 490 ml, lo que corresponde a un 17 %</w:t>
      </w:r>
      <w:r>
        <w:rPr>
          <w:rStyle w:val="FootnoteReference"/>
        </w:rPr>
        <w:footnoteReference w:id="377"/>
      </w:r>
      <w:r>
        <w:t xml:space="preserve">. Un indicio de que el GLP-1 influye también en la sensación de sed.</w:t>
      </w:r>
    </w:p>
    <w:bookmarkEnd w:id="378"/>
    <w:bookmarkEnd w:id="379"/>
    <w:bookmarkStart w:id="382" w:name="estudios-en-animales-y-de-laboratorio-2"/>
    <w:p>
      <w:pPr>
        <w:pStyle w:val="Heading3"/>
      </w:pPr>
      <w:r>
        <w:t xml:space="preserve">Estudios en animales y de laboratorio</w:t>
      </w:r>
    </w:p>
    <w:p>
      <w:pPr>
        <w:pStyle w:val="FirstParagraph"/>
      </w:pPr>
      <w:r>
        <w:t xml:space="preserve">La caracterización preclínica de la dulaglutida (entonces LY2189265) se llevó a cabo en células, ratas, ratones y macacos cangrejeros</w:t>
      </w:r>
      <w:r>
        <w:rPr>
          <w:rStyle w:val="FootnoteReference"/>
        </w:rPr>
        <w:footnoteReference w:id="380"/>
      </w:r>
      <w:r>
        <w:t xml:space="preserve">. En experimentos de laboratorio, la proteína de fusión conservó todo su efecto sobre el receptor de GLP-1. En ratones diabéticos, una sola administración mejoró la tolerancia a la glucosa; las administraciones dos veces por semana durante cuatro semanas redujeron el peso y retrasaron el aumento de la glucemia. En monos, el efecto sobre la secreción de insulina se mantuvo hasta una semana tras una dosis.</w:t>
      </w:r>
    </w:p>
    <w:p>
      <w:pPr>
        <w:pStyle w:val="BodyText"/>
      </w:pPr>
      <w:r>
        <w:t xml:space="preserve">Como con todos los agonistas del receptor de GLP-1, en estudios de larga duración en roedores aparecieron alteraciones de las células C de la tiroides; el mecanismo y su limitada extrapolación al ser humano se describen en el capítulo Liraglutida</w:t>
      </w:r>
      <w:r>
        <w:rPr>
          <w:rStyle w:val="FootnoteReference"/>
        </w:rPr>
        <w:footnoteReference w:id="381"/>
      </w:r>
      <w:r>
        <w:t xml:space="preserve">.</w:t>
      </w:r>
    </w:p>
    <w:bookmarkEnd w:id="382"/>
    <w:bookmarkStart w:id="392" w:name="riesgos-y-efectos-adversos-2"/>
    <w:p>
      <w:pPr>
        <w:pStyle w:val="Heading3"/>
      </w:pPr>
      <w:r>
        <w:t xml:space="preserve">Riesgos y efectos adversos</w:t>
      </w:r>
    </w:p>
    <w:p>
      <w:pPr>
        <w:pStyle w:val="FirstParagraph"/>
      </w:pPr>
      <w:r>
        <w:rPr>
          <w:bCs/>
          <w:b/>
        </w:rPr>
        <w:t xml:space="preserve">Demostrados en estudios aleatorizados:</w:t>
      </w:r>
    </w:p>
    <w:p>
      <w:pPr>
        <w:numPr>
          <w:ilvl w:val="0"/>
          <w:numId w:val="1050"/>
        </w:numPr>
        <w:pStyle w:val="Compact"/>
      </w:pPr>
      <w:r>
        <w:rPr>
          <w:bCs/>
          <w:b/>
        </w:rPr>
        <w:t xml:space="preserve">Molestias gastrointestinales:</w:t>
      </w:r>
      <w:r>
        <w:t xml:space="preserve"> </w:t>
      </w:r>
      <w:r>
        <w:t xml:space="preserve">las náuseas, la diarrea y los vómitos son los efectos adversos más frecuentes. En REWIND, el 47,4 % de las personas tratadas comunicó molestias gastrointestinales, frente al 34,1 % con placebo</w:t>
      </w:r>
      <w:r>
        <w:rPr>
          <w:rStyle w:val="FootnoteReference"/>
        </w:rPr>
        <w:footnoteReference w:id="383"/>
      </w:r>
      <w:r>
        <w:t xml:space="preserve">. Aumentan con dosis más altas</w:t>
      </w:r>
      <w:r>
        <w:rPr>
          <w:rStyle w:val="FootnoteReference"/>
        </w:rPr>
        <w:footnoteReference w:id="384"/>
      </w:r>
      <w:r>
        <w:t xml:space="preserve">.</w:t>
      </w:r>
    </w:p>
    <w:p>
      <w:pPr>
        <w:numPr>
          <w:ilvl w:val="0"/>
          <w:numId w:val="1050"/>
        </w:numPr>
        <w:pStyle w:val="Compact"/>
      </w:pPr>
      <w:r>
        <w:rPr>
          <w:bCs/>
          <w:b/>
        </w:rPr>
        <w:t xml:space="preserve">Hipoglucemia:</w:t>
      </w:r>
      <w:r>
        <w:t xml:space="preserve"> </w:t>
      </w:r>
      <w:r>
        <w:t xml:space="preserve">rara en monoterapia; más frecuente en combinación con insulina o sulfonilureas, pero menos que con insulina sola</w:t>
      </w:r>
      <w:r>
        <w:rPr>
          <w:rStyle w:val="FootnoteReference"/>
        </w:rPr>
        <w:footnoteReference w:id="385"/>
      </w:r>
      <w:r>
        <w:t xml:space="preserve">.</w:t>
      </w:r>
    </w:p>
    <w:p>
      <w:pPr>
        <w:numPr>
          <w:ilvl w:val="0"/>
          <w:numId w:val="1050"/>
        </w:numPr>
        <w:pStyle w:val="Compact"/>
      </w:pPr>
      <w:r>
        <w:rPr>
          <w:bCs/>
          <w:b/>
        </w:rPr>
        <w:t xml:space="preserve">Enzimas pancreáticas:</w:t>
      </w:r>
      <w:r>
        <w:t xml:space="preserve"> </w:t>
      </w:r>
      <w:r>
        <w:t xml:space="preserve">en AWARD-2, las enzimas del páncreas aumentaron con dulaglutida</w:t>
      </w:r>
      <w:r>
        <w:rPr>
          <w:rStyle w:val="FootnoteReference"/>
        </w:rPr>
        <w:footnoteReference w:id="386"/>
      </w:r>
      <w:r>
        <w:t xml:space="preserve">. La relevancia clínica de estos aumentos sin síntomas no está clara.</w:t>
      </w:r>
    </w:p>
    <w:p>
      <w:pPr>
        <w:numPr>
          <w:ilvl w:val="0"/>
          <w:numId w:val="1050"/>
        </w:numPr>
        <w:pStyle w:val="Compact"/>
      </w:pPr>
      <w:r>
        <w:rPr>
          <w:bCs/>
          <w:b/>
        </w:rPr>
        <w:t xml:space="preserve">Anticuerpos:</w:t>
      </w:r>
      <w:r>
        <w:t xml:space="preserve"> </w:t>
      </w:r>
      <w:r>
        <w:t xml:space="preserve">raros (1,6 % de las personas tratadas), sin acumulación de reacciones de hipersensibilidad</w:t>
      </w:r>
      <w:r>
        <w:rPr>
          <w:rStyle w:val="FootnoteReference"/>
        </w:rPr>
        <w:footnoteReference w:id="387"/>
      </w:r>
      <w:r>
        <w:t xml:space="preserve">.</w:t>
      </w:r>
    </w:p>
    <w:p>
      <w:pPr>
        <w:numPr>
          <w:ilvl w:val="0"/>
          <w:numId w:val="1050"/>
        </w:numPr>
        <w:pStyle w:val="Compact"/>
      </w:pPr>
      <w:r>
        <w:rPr>
          <w:bCs/>
          <w:b/>
        </w:rPr>
        <w:t xml:space="preserve">Vesícula biliar:</w:t>
      </w:r>
      <w:r>
        <w:t xml:space="preserve"> </w:t>
      </w:r>
      <w:r>
        <w:t xml:space="preserve">para toda la clase está demostrado un aumento del riesgo de cálculos biliares e inflamación de la vesícula</w:t>
      </w:r>
      <w:r>
        <w:rPr>
          <w:rStyle w:val="FootnoteReference"/>
        </w:rPr>
        <w:footnoteReference w:id="388"/>
      </w:r>
      <w:r>
        <w:t xml:space="preserve">; detalles en el capítulo Liraglutida.</w:t>
      </w:r>
    </w:p>
    <w:p>
      <w:pPr>
        <w:pStyle w:val="FirstParagraph"/>
      </w:pPr>
      <w:r>
        <w:rPr>
          <w:bCs/>
          <w:b/>
        </w:rPr>
        <w:t xml:space="preserve">Investigados, pero inciertos:</w:t>
      </w:r>
    </w:p>
    <w:p>
      <w:pPr>
        <w:numPr>
          <w:ilvl w:val="0"/>
          <w:numId w:val="1051"/>
        </w:numPr>
        <w:pStyle w:val="Compact"/>
      </w:pPr>
      <w:r>
        <w:rPr>
          <w:bCs/>
          <w:b/>
        </w:rPr>
        <w:t xml:space="preserve">Inflamación y cáncer de páncreas:</w:t>
      </w:r>
      <w:r>
        <w:t xml:space="preserve"> </w:t>
      </w:r>
      <w:r>
        <w:t xml:space="preserve">en el metaanálisis de los estudios de resultados, sin aumento del riesgo para la clase</w:t>
      </w:r>
      <w:r>
        <w:rPr>
          <w:rStyle w:val="FootnoteReference"/>
        </w:rPr>
        <w:footnoteReference w:id="389"/>
      </w:r>
      <w:r>
        <w:t xml:space="preserve">. No obstante, la pancreatitis figura en la ficha técnica como efecto adverso raro.</w:t>
      </w:r>
    </w:p>
    <w:p>
      <w:pPr>
        <w:numPr>
          <w:ilvl w:val="0"/>
          <w:numId w:val="1051"/>
        </w:numPr>
        <w:pStyle w:val="Compact"/>
      </w:pPr>
      <w:r>
        <w:rPr>
          <w:bCs/>
          <w:b/>
        </w:rPr>
        <w:t xml:space="preserve">Cáncer de tiroides:</w:t>
      </w:r>
      <w:r>
        <w:t xml:space="preserve"> </w:t>
      </w:r>
      <w:r>
        <w:t xml:space="preserve">señal en estudios observacionales y metaanálisis para toda la clase</w:t>
      </w:r>
      <w:r>
        <w:rPr>
          <w:rStyle w:val="FootnoteReference"/>
        </w:rPr>
        <w:footnoteReference w:id="390"/>
      </w:r>
      <w:r>
        <w:t xml:space="preserve">, no específica de la dulaglutida; véanse el capítulo Liraglutida y la Parte IV.</w:t>
      </w:r>
    </w:p>
    <w:p>
      <w:pPr>
        <w:pStyle w:val="FirstParagraph"/>
      </w:pPr>
      <w:r>
        <w:rPr>
          <w:bCs/>
          <w:b/>
        </w:rPr>
        <w:t xml:space="preserve">Indicaciones para la práctica:</w:t>
      </w:r>
      <w:r>
        <w:t xml:space="preserve"> </w:t>
      </w:r>
      <w:r>
        <w:t xml:space="preserve">la dulaglutida ralentiza el vaciamiento gástrico, lo que tiene importancia en las anestesias y las gastroscopias; al respecto está en marcha un gran estudio sobre si los agonistas del receptor de GLP-1 deben suspenderse antes de una gastroscopia</w:t>
      </w:r>
      <w:r>
        <w:rPr>
          <w:rStyle w:val="FootnoteReference"/>
        </w:rPr>
        <w:footnoteReference w:id="391"/>
      </w:r>
      <w:r>
        <w:t xml:space="preserve">. Lo determinante son la ficha técnica y el seguimiento médico.</w:t>
      </w:r>
    </w:p>
    <w:bookmarkEnd w:id="392"/>
    <w:bookmarkStart w:id="393" w:name="situación-legal-2"/>
    <w:p>
      <w:pPr>
        <w:pStyle w:val="Heading3"/>
      </w:pPr>
      <w:r>
        <w:t xml:space="preserve">Situación legal</w:t>
      </w:r>
    </w:p>
    <w:p>
      <w:pPr>
        <w:numPr>
          <w:ilvl w:val="0"/>
          <w:numId w:val="1052"/>
        </w:numPr>
        <w:pStyle w:val="Compact"/>
      </w:pPr>
      <w:r>
        <w:rPr>
          <w:bCs/>
          <w:b/>
        </w:rPr>
        <w:t xml:space="preserve">UE:</w:t>
      </w:r>
      <w:r>
        <w:t xml:space="preserve"> </w:t>
      </w:r>
      <w:r>
        <w:t xml:space="preserve">Trulicity está autorizado por el procedimiento centralizado desde 2014 para el tratamiento de la diabetes tipo 2, actualmente también para adolescentes a partir de 10 años. Sujeto a prescripción médica. Sin autorización para la reducción de peso.</w:t>
      </w:r>
    </w:p>
    <w:p>
      <w:pPr>
        <w:numPr>
          <w:ilvl w:val="0"/>
          <w:numId w:val="1052"/>
        </w:numPr>
        <w:pStyle w:val="Compact"/>
      </w:pPr>
      <w:r>
        <w:rPr>
          <w:bCs/>
          <w:b/>
        </w:rPr>
        <w:t xml:space="preserve">Alemania y Austria:</w:t>
      </w:r>
      <w:r>
        <w:t xml:space="preserve"> </w:t>
      </w:r>
      <w:r>
        <w:t xml:space="preserve">sujeta a prescripción médica; financiable en la diabetes tipo 2. A partir de 2022 se produjeron, como con otros preparados de GLP-1, problemas de suministro temporales (comprueba la información actualizada).</w:t>
      </w:r>
    </w:p>
    <w:p>
      <w:pPr>
        <w:numPr>
          <w:ilvl w:val="0"/>
          <w:numId w:val="1052"/>
        </w:numPr>
        <w:pStyle w:val="Compact"/>
      </w:pPr>
      <w:r>
        <w:rPr>
          <w:bCs/>
          <w:b/>
        </w:rPr>
        <w:t xml:space="preserve">EE. UU.:</w:t>
      </w:r>
      <w:r>
        <w:t xml:space="preserve"> </w:t>
      </w:r>
      <w:r>
        <w:t xml:space="preserve">autorizada para la diabetes tipo 2 a partir de 10 años y para reducir el riesgo cardiovascular.</w:t>
      </w:r>
    </w:p>
    <w:p>
      <w:pPr>
        <w:numPr>
          <w:ilvl w:val="0"/>
          <w:numId w:val="1052"/>
        </w:numPr>
        <w:pStyle w:val="Compact"/>
      </w:pPr>
      <w:r>
        <w:rPr>
          <w:bCs/>
          <w:b/>
        </w:rPr>
        <w:t xml:space="preserve">Genéricos:</w:t>
      </w:r>
      <w:r>
        <w:t xml:space="preserve"> </w:t>
      </w:r>
      <w:r>
        <w:t xml:space="preserve">como la dulaglutida es una proteína de fusión obtenida por ingeniería genética, los preparados de imitación serían biosimilares, con un procedimiento de autorización más complejo que en el caso de la liraglutida o la semaglutida. En el momento de la impresión, según el leal saber y entender del autor, no hay ningún biosimilar comercializado en la UE (comprueba la información actualizada).</w:t>
      </w:r>
    </w:p>
    <w:p>
      <w:pPr>
        <w:numPr>
          <w:ilvl w:val="0"/>
          <w:numId w:val="1052"/>
        </w:numPr>
        <w:pStyle w:val="Compact"/>
      </w:pPr>
      <w:r>
        <w:rPr>
          <w:bCs/>
          <w:b/>
        </w:rPr>
        <w:t xml:space="preserve">Deporte (WADA):</w:t>
      </w:r>
      <w:r>
        <w:t xml:space="preserve"> </w:t>
      </w:r>
      <w:r>
        <w:t xml:space="preserve">no figura en la lista (estado en 2026; comprueba la información actualizada).</w:t>
      </w:r>
    </w:p>
    <w:p>
      <w:pPr>
        <w:numPr>
          <w:ilvl w:val="0"/>
          <w:numId w:val="1052"/>
        </w:numPr>
        <w:pStyle w:val="Compact"/>
      </w:pPr>
      <w:r>
        <w:rPr>
          <w:bCs/>
          <w:b/>
        </w:rPr>
        <w:t xml:space="preserve">Mercado gris:</w:t>
      </w:r>
      <w:r>
        <w:t xml:space="preserve"> </w:t>
      </w:r>
      <w:r>
        <w:t xml:space="preserve">la dulaglutida prácticamente no desempeña ningún papel en el mercado gris, porque una gran proteína de fusión no puede fabricarse por síntesis como los péptidos pequeños.</w:t>
      </w:r>
    </w:p>
    <w:bookmarkEnd w:id="393"/>
    <w:bookmarkStart w:id="400" w:name="estudios-en-curso-y-perspectivas-2"/>
    <w:p>
      <w:pPr>
        <w:pStyle w:val="Heading3"/>
      </w:pPr>
      <w:r>
        <w:t xml:space="preserve">Estudios en curso y perspectivas</w:t>
      </w:r>
    </w:p>
    <w:p>
      <w:pPr>
        <w:pStyle w:val="FirstParagraph"/>
      </w:pPr>
      <w:r>
        <w:rPr>
          <w:bCs/>
          <w:b/>
        </w:rPr>
        <w:t xml:space="preserve">Confirmado (estudios registrados):</w:t>
      </w:r>
    </w:p>
    <w:p>
      <w:pPr>
        <w:numPr>
          <w:ilvl w:val="0"/>
          <w:numId w:val="1053"/>
        </w:numPr>
        <w:pStyle w:val="Compact"/>
      </w:pPr>
      <w:r>
        <w:rPr>
          <w:bCs/>
          <w:b/>
        </w:rPr>
        <w:t xml:space="preserve">Niños y adolescentes:</w:t>
      </w:r>
      <w:r>
        <w:t xml:space="preserve"> </w:t>
      </w:r>
      <w:r>
        <w:t xml:space="preserve">Lilly evalúa las dosis más altas de 3,0 y 4,5 mg en adolescentes con diabetes tipo 2</w:t>
      </w:r>
      <w:r>
        <w:rPr>
          <w:rStyle w:val="FootnoteReference"/>
        </w:rPr>
        <w:footnoteReference w:id="394"/>
      </w:r>
      <w:r>
        <w:t xml:space="preserve"> </w:t>
      </w:r>
      <w:r>
        <w:t xml:space="preserve">y compara el comprimido de orforglipron con la dulaglutida en este grupo de edad</w:t>
      </w:r>
      <w:r>
        <w:rPr>
          <w:rStyle w:val="FootnoteReference"/>
        </w:rPr>
        <w:footnoteReference w:id="395"/>
      </w:r>
      <w:r>
        <w:t xml:space="preserve">.</w:t>
      </w:r>
    </w:p>
    <w:p>
      <w:pPr>
        <w:numPr>
          <w:ilvl w:val="0"/>
          <w:numId w:val="1053"/>
        </w:numPr>
        <w:pStyle w:val="Compact"/>
      </w:pPr>
      <w:r>
        <w:rPr>
          <w:bCs/>
          <w:b/>
        </w:rPr>
        <w:t xml:space="preserve">Vasos y cirugías:</w:t>
      </w:r>
      <w:r>
        <w:t xml:space="preserve"> </w:t>
      </w:r>
      <w:r>
        <w:t xml:space="preserve">un estudio investiga la dulaglutida en la estenosis grave de los vasos cerebrales</w:t>
      </w:r>
      <w:r>
        <w:rPr>
          <w:rStyle w:val="FootnoteReference"/>
        </w:rPr>
        <w:footnoteReference w:id="396"/>
      </w:r>
      <w:r>
        <w:t xml:space="preserve">, y otro si reduce el daño del músculo cardíaco tras cirugías no cardíacas</w:t>
      </w:r>
      <w:r>
        <w:rPr>
          <w:rStyle w:val="FootnoteReference"/>
        </w:rPr>
        <w:footnoteReference w:id="397"/>
      </w:r>
      <w:r>
        <w:t xml:space="preserve">.</w:t>
      </w:r>
    </w:p>
    <w:p>
      <w:pPr>
        <w:numPr>
          <w:ilvl w:val="0"/>
          <w:numId w:val="1053"/>
        </w:numPr>
        <w:pStyle w:val="Compact"/>
      </w:pPr>
      <w:r>
        <w:rPr>
          <w:bCs/>
          <w:b/>
        </w:rPr>
        <w:t xml:space="preserve">Fibrosis quística:</w:t>
      </w:r>
      <w:r>
        <w:t xml:space="preserve"> </w:t>
      </w:r>
      <w:r>
        <w:t xml:space="preserve">un pequeño estudio de fase 2 investiga la dulaglutida en la alteración del metabolismo de la glucosa asociada a la enfermedad</w:t>
      </w:r>
      <w:r>
        <w:rPr>
          <w:rStyle w:val="FootnoteReference"/>
        </w:rPr>
        <w:footnoteReference w:id="398"/>
      </w:r>
      <w:r>
        <w:t xml:space="preserve">.</w:t>
      </w:r>
    </w:p>
    <w:p>
      <w:pPr>
        <w:numPr>
          <w:ilvl w:val="0"/>
          <w:numId w:val="1053"/>
        </w:numPr>
        <w:pStyle w:val="Compact"/>
      </w:pPr>
      <w:r>
        <w:rPr>
          <w:bCs/>
          <w:b/>
        </w:rPr>
        <w:t xml:space="preserve">Como comparador:</w:t>
      </w:r>
      <w:r>
        <w:t xml:space="preserve"> </w:t>
      </w:r>
      <w:r>
        <w:t xml:space="preserve">numerosos principios activos nuevos se evalúan en estudios de fase 3 frente a la dulaglutida, entre ellos la proteína de fusión de exendina-4 JY09</w:t>
      </w:r>
      <w:r>
        <w:rPr>
          <w:rStyle w:val="FootnoteReference"/>
        </w:rPr>
        <w:footnoteReference w:id="399"/>
      </w:r>
      <w:r>
        <w:t xml:space="preserve">.</w:t>
      </w:r>
    </w:p>
    <w:p>
      <w:pPr>
        <w:pStyle w:val="FirstParagraph"/>
      </w:pPr>
      <w:r>
        <w:rPr>
          <w:bCs/>
          <w:b/>
        </w:rPr>
        <w:t xml:space="preserve">Valoración:</w:t>
      </w:r>
      <w:r>
        <w:t xml:space="preserve"> </w:t>
      </w:r>
      <w:r>
        <w:t xml:space="preserve">la dulaglutida es un principio activo sólido y bien estudiado, con beneficio cardiovascular demostrado, pero superado en glucemia y peso por la semaglutida y la tirzepatida. Es probable que su papel se desplace cada vez más hacia el de referencia de comparación en los estudios. Como Lilly ofrece con la tirzepatida y el orforglipron sus propios sucesores, es poco probable que la dulaglutida siga desarrollándose para nuevas indicaciones.</w:t>
      </w:r>
    </w:p>
    <w:bookmarkEnd w:id="400"/>
    <w:bookmarkStart w:id="401" w:name="conclusión-2"/>
    <w:p>
      <w:pPr>
        <w:pStyle w:val="Heading3"/>
      </w:pPr>
      <w:r>
        <w:t xml:space="preserve">Conclusión</w:t>
      </w:r>
    </w:p>
    <w:p>
      <w:pPr>
        <w:pStyle w:val="FirstParagraph"/>
      </w:pPr>
      <w:r>
        <w:t xml:space="preserve">La dulaglutida es una proteína de fusión de GLP-1 de inyección semanal que se evaluó en el programa AWARD frente a casi todos los antidiabéticos habituales. Redujo la glucemia a largo plazo aproximadamente tanto como la liraglutida y más que la exenatida, la sitagliptina o la metformina, pero quedó por detrás de la semaglutida en SUSTAIN 7, sobre todo en el peso. En REWIND, con 9901 participantes, muchos de ellos sin enfermedad cardiovascular conocida, redujo los eventos cardiovasculares graves en un 12 %. Los efectos adversos corresponden a los de la clase; los anticuerpos son raros. No está autorizada para la reducción de peso, y el tratamiento debe estar en manos médicas.</w:t>
      </w:r>
    </w:p>
    <w:bookmarkEnd w:id="401"/>
    <w:bookmarkEnd w:id="402"/>
    <w:bookmarkStart w:id="477" w:name="semaglutida"/>
    <w:p>
      <w:pPr>
        <w:pStyle w:val="Heading2"/>
      </w:pPr>
      <w:r>
        <w:t xml:space="preserve">Semaglutida</w:t>
      </w:r>
    </w:p>
    <w:bookmarkStart w:id="404" w:name="ficha-3"/>
    <w:p>
      <w:pPr>
        <w:pStyle w:val="Heading3"/>
      </w:pPr>
      <w:r>
        <w:t xml:space="preserve">Ficha</w:t>
      </w:r>
    </w:p>
    <w:p>
      <w:pPr>
        <w:numPr>
          <w:ilvl w:val="0"/>
          <w:numId w:val="1054"/>
        </w:numPr>
        <w:pStyle w:val="Compact"/>
      </w:pPr>
      <w:r>
        <w:rPr>
          <w:bCs/>
          <w:b/>
        </w:rPr>
        <w:t xml:space="preserve">Tipo/estructura:</w:t>
      </w:r>
      <w:r>
        <w:t xml:space="preserve"> </w:t>
      </w:r>
      <w:r>
        <w:t xml:space="preserve">GLP-1 humano modificado de 31 aminoácidos. Respecto a la hormona endógena se han sustituido dos aminoácidos; en una tercera posición se ha unido, mediante un espaciador, una cadena de ácido graso que une con fuerza la molécula a la proteína plasmática albúmina</w:t>
      </w:r>
      <w:r>
        <w:rPr>
          <w:rStyle w:val="FootnoteReference"/>
        </w:rPr>
        <w:footnoteReference w:id="403"/>
      </w:r>
      <w:r>
        <w:t xml:space="preserve">.</w:t>
      </w:r>
    </w:p>
    <w:p>
      <w:pPr>
        <w:numPr>
          <w:ilvl w:val="0"/>
          <w:numId w:val="1054"/>
        </w:numPr>
        <w:pStyle w:val="Compact"/>
      </w:pPr>
      <w:r>
        <w:rPr>
          <w:bCs/>
          <w:b/>
        </w:rPr>
        <w:t xml:space="preserve">Origen:</w:t>
      </w:r>
      <w:r>
        <w:t xml:space="preserve"> </w:t>
      </w:r>
      <w:r>
        <w:t xml:space="preserve">desarrollada por Novo Nordisk como evolución de la liraglutida.</w:t>
      </w:r>
    </w:p>
    <w:p>
      <w:pPr>
        <w:numPr>
          <w:ilvl w:val="0"/>
          <w:numId w:val="1054"/>
        </w:numPr>
        <w:pStyle w:val="Compact"/>
      </w:pPr>
      <w:r>
        <w:rPr>
          <w:bCs/>
          <w:b/>
        </w:rPr>
        <w:t xml:space="preserve">Principio de acción:</w:t>
      </w:r>
      <w:r>
        <w:t xml:space="preserve"> </w:t>
      </w:r>
      <w:r>
        <w:t xml:space="preserve">agonista del receptor de GLP-1 de acción muy prolongada: una inyección a la semana o un comprimido al día.</w:t>
      </w:r>
    </w:p>
    <w:p>
      <w:pPr>
        <w:numPr>
          <w:ilvl w:val="0"/>
          <w:numId w:val="1054"/>
        </w:numPr>
        <w:pStyle w:val="Compact"/>
      </w:pPr>
      <w:r>
        <w:rPr>
          <w:bCs/>
          <w:b/>
        </w:rPr>
        <w:t xml:space="preserve">Preparados:</w:t>
      </w:r>
      <w:r>
        <w:t xml:space="preserve"> </w:t>
      </w:r>
      <w:r>
        <w:t xml:space="preserve">Ozempic (inyección, diabetes tipo 2), Wegovy (inyección, control del peso y reducción del riesgo cardiovascular), Rybelsus (comprimido, diabetes tipo 2). En Estados Unidos está autorizado desde finales de 2025 también un comprimido de Wegovy para el control del peso (comprueba la información actualizada).</w:t>
      </w:r>
    </w:p>
    <w:p>
      <w:pPr>
        <w:numPr>
          <w:ilvl w:val="0"/>
          <w:numId w:val="1054"/>
        </w:numPr>
        <w:pStyle w:val="Compact"/>
      </w:pPr>
      <w:r>
        <w:rPr>
          <w:bCs/>
          <w:b/>
        </w:rPr>
        <w:t xml:space="preserve">Autorización UE:</w:t>
      </w:r>
      <w:r>
        <w:t xml:space="preserve"> </w:t>
      </w:r>
      <w:r>
        <w:t xml:space="preserve">sí, diabetes tipo 2 (inyección desde 2018, comprimido desde 2020) y control del peso (desde 2022, también para adolescentes a partir de 12 años).</w:t>
      </w:r>
    </w:p>
    <w:p>
      <w:pPr>
        <w:numPr>
          <w:ilvl w:val="0"/>
          <w:numId w:val="1054"/>
        </w:numPr>
        <w:pStyle w:val="Compact"/>
      </w:pPr>
      <w:r>
        <w:rPr>
          <w:bCs/>
          <w:b/>
        </w:rPr>
        <w:t xml:space="preserve">Autorización EE. UU.:</w:t>
      </w:r>
      <w:r>
        <w:t xml:space="preserve"> </w:t>
      </w:r>
      <w:r>
        <w:t xml:space="preserve">sí, diabetes tipo 2, control del peso, reducción del riesgo cardiovascular en el exceso de peso con enfermedad cardiovascular, protección renal en la diabetes tipo 2 con enfermedad renal crónica y esteatohepatitis (MASH) con fibrosis.</w:t>
      </w:r>
    </w:p>
    <w:p>
      <w:pPr>
        <w:numPr>
          <w:ilvl w:val="0"/>
          <w:numId w:val="1054"/>
        </w:numPr>
        <w:pStyle w:val="Compact"/>
      </w:pPr>
      <w:r>
        <w:rPr>
          <w:bCs/>
          <w:b/>
        </w:rPr>
        <w:t xml:space="preserve">WADA:</w:t>
      </w:r>
      <w:r>
        <w:t xml:space="preserve"> </w:t>
      </w:r>
      <w:r>
        <w:t xml:space="preserve">no figura en la lista.</w:t>
      </w:r>
    </w:p>
    <w:p>
      <w:pPr>
        <w:numPr>
          <w:ilvl w:val="0"/>
          <w:numId w:val="1054"/>
        </w:numPr>
        <w:pStyle w:val="Compact"/>
      </w:pPr>
      <w:r>
        <w:rPr>
          <w:bCs/>
          <w:b/>
        </w:rPr>
        <w:t xml:space="preserve">Nivel de evidencia:</w:t>
      </w:r>
      <w:r>
        <w:t xml:space="preserve"> </w:t>
      </w:r>
      <w:r>
        <w:rPr>
          <w:bCs/>
          <w:b/>
        </w:rPr>
        <w:t xml:space="preserve">A</w:t>
      </w:r>
      <w:r>
        <w:t xml:space="preserve"> </w:t>
      </w:r>
      <w:r>
        <w:t xml:space="preserve">– cuatro grandes programas de registro (SUSTAIN, PIONEER, STEP, OASIS), varios estudios de resultados con un total de más de 40.000 participantes.</w:t>
      </w:r>
    </w:p>
    <w:bookmarkEnd w:id="404"/>
    <w:bookmarkStart w:id="407" w:name="cómo-se-supone-que-actúa-3"/>
    <w:p>
      <w:pPr>
        <w:pStyle w:val="Heading3"/>
      </w:pPr>
      <w:r>
        <w:t xml:space="preserve">Cómo se supone que actúa</w:t>
      </w:r>
    </w:p>
    <w:p>
      <w:pPr>
        <w:pStyle w:val="FirstParagraph"/>
      </w:pPr>
      <w:r>
        <w:t xml:space="preserve">La semaglutida actúa como la hormona intestinal GLP-1: aumenta la secreción de insulina dependiente de la glucosa, inhibe el glucagón, que eleva la glucemia, ralentiza el vaciamiento gástrico y atenúa en el cerebro el hambre y el deseo de comer. El mecanismo básico de la clase se explica en el capítulo Exenatida.</w:t>
      </w:r>
    </w:p>
    <w:p>
      <w:pPr>
        <w:pStyle w:val="BodyText"/>
      </w:pPr>
      <w:r>
        <w:t xml:space="preserve">La novedad de la semaglutida es su duración. Los desarrolladores partieron de la liraglutida y cambiaron dos cosas</w:t>
      </w:r>
      <w:r>
        <w:rPr>
          <w:rStyle w:val="FootnoteReference"/>
        </w:rPr>
        <w:footnoteReference w:id="405"/>
      </w:r>
      <w:r>
        <w:t xml:space="preserve">: una sustitución de aminoácido en la posición 8 hace que la molécula sea totalmente insensible a la enzima degradadora DPP-4. Y una cadena de ácido graso más larga con otro espaciador se une con mucha más firmeza a la albúmina. Por ello, la semaglutida se libera y se elimina lentamente. En minicerdos, la semivida tras la administración intravenosa fue de 46,1 horas; en el ser humano es aún más larga y permite una inyección semanal.</w:t>
      </w:r>
    </w:p>
    <w:p>
      <w:pPr>
        <w:pStyle w:val="BodyText"/>
      </w:pPr>
      <w:r>
        <w:t xml:space="preserve">Para la pérdida de peso son decisivos sobre todo los efectos en el cerebro. La semaglutida reduce la ingesta de alimentos, la sensación de hambre y las ganas de comer alimentos especialmente ricos en grasa y azúcar. No está demostrado un gasto energético apreciablemente mayor.</w:t>
      </w:r>
    </w:p>
    <w:p>
      <w:pPr>
        <w:pStyle w:val="BodyText"/>
      </w:pPr>
      <w:r>
        <w:rPr>
          <w:bCs/>
          <w:b/>
        </w:rPr>
        <w:t xml:space="preserve">El comprimido:</w:t>
      </w:r>
      <w:r>
        <w:t xml:space="preserve"> </w:t>
      </w:r>
      <w:r>
        <w:t xml:space="preserve">normalmente, los péptidos se digieren en el estómago y apenas se absorben. Para Rybelsus, la semaglutida se combina con el excipiente SNAC. Este amortigua el ácido gástrico directamente en la superficie del comprimido, protege así frente a la degradación y facilita durante un breve tiempo la absorción a través de la mucosa gástrica; en estudios en seres humanos y perros, exclusivamente en el estómago, no en el intestino</w:t>
      </w:r>
      <w:r>
        <w:rPr>
          <w:rStyle w:val="FootnoteReference"/>
        </w:rPr>
        <w:footnoteReference w:id="406"/>
      </w:r>
      <w:r>
        <w:t xml:space="preserve">. Aun así, solo una fracción muy pequeña del principio activo llega a la sangre. Por eso, el comprimido contiene una dosis muchas veces mayor que la inyección y debe tomarse en ayunas con poca agua; la ficha técnica regula los detalles.</w:t>
      </w:r>
    </w:p>
    <w:bookmarkEnd w:id="407"/>
    <w:bookmarkStart w:id="448" w:name="estudios-en-humanos-3"/>
    <w:p>
      <w:pPr>
        <w:pStyle w:val="Heading3"/>
      </w:pPr>
      <w:r>
        <w:t xml:space="preserve">Estudios en humanos</w:t>
      </w:r>
    </w:p>
    <w:p>
      <w:pPr>
        <w:pStyle w:val="FirstParagraph"/>
      </w:pPr>
      <w:r>
        <w:t xml:space="preserve">La semaglutida es actualmente el principio activo más estudiado de su clase. La consulta de PubMed analizada para este libro (término de búsqueda «semaglutide» en el título o el resumen, fecha de consulta octubre de 2026) arrojó 342 estudios en seres humanos. Esta cifra subestima el volumen real de investigación, porque muchos análisis de grandes estudios se publican con el nombre de estos. En ClinicalTrials.gov figuran 793 registros, más que para cualquier otro péptido de este libro.</w:t>
      </w:r>
    </w:p>
    <w:p>
      <w:pPr>
        <w:pStyle w:val="BodyText"/>
      </w:pPr>
      <w:r>
        <w:t xml:space="preserve">Los estudios pueden agruparse en cuatro programas: SUSTAIN (inyección en la diabetes tipo 2), PIONEER (comprimido en la diabetes tipo 2), STEP (inyección en la obesidad) y OASIS (comprimido en la obesidad). A ellos se suman grandes estudios de resultados sobre el corazón (SUSTAIN 6, PIONEER 6, SOUL, SELECT), los riñones (FLOW), el hígado (ESSENCE), la insuficiencia cardíaca, las articulaciones y el cerebro (evoke).</w:t>
      </w:r>
    </w:p>
    <w:bookmarkStart w:id="411" w:name="diabetes-tipo-2-con-la-inyección-sustain"/>
    <w:p>
      <w:pPr>
        <w:pStyle w:val="Heading4"/>
      </w:pPr>
      <w:r>
        <w:t xml:space="preserve">Diabetes tipo 2 con la inyección: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SUSTAIN 1 (Sorli 2017), PMID 28110911</w:t>
            </w:r>
          </w:p>
        </w:tc>
        <w:tc>
          <w:tcPr/>
          <w:p>
            <w:pPr>
              <w:pStyle w:val="Compact"/>
              <w:jc w:val="left"/>
            </w:pPr>
            <w:r>
              <w:t xml:space="preserve">388 personas, monoterapia frente a placebo</w:t>
            </w:r>
          </w:p>
        </w:tc>
        <w:tc>
          <w:tcPr/>
          <w:p>
            <w:pPr>
              <w:pStyle w:val="Compact"/>
              <w:jc w:val="left"/>
            </w:pPr>
            <w:r>
              <w:t xml:space="preserve">30 semanas</w:t>
            </w:r>
          </w:p>
        </w:tc>
        <w:tc>
          <w:tcPr/>
          <w:p>
            <w:pPr>
              <w:pStyle w:val="Compact"/>
              <w:jc w:val="left"/>
            </w:pPr>
            <w:r>
              <w:t xml:space="preserve">HbA1c −1,55 (1,0 mg) frente a −0,02 puntos porcentuales; peso −4,53 frente a −0,98 kg</w:t>
            </w:r>
          </w:p>
        </w:tc>
      </w:tr>
      <w:tr>
        <w:tc>
          <w:tcPr/>
          <w:p>
            <w:pPr>
              <w:pStyle w:val="Compact"/>
              <w:jc w:val="left"/>
            </w:pPr>
            <w:r>
              <w:t xml:space="preserve">SUSTAIN FORTE (Frías 2021), PMID 34293304</w:t>
            </w:r>
          </w:p>
        </w:tc>
        <w:tc>
          <w:tcPr/>
          <w:p>
            <w:pPr>
              <w:pStyle w:val="Compact"/>
              <w:jc w:val="left"/>
            </w:pPr>
            <w:r>
              <w:t xml:space="preserve">961 personas; 2,0 mg frente a 1,0 mg</w:t>
            </w:r>
          </w:p>
        </w:tc>
        <w:tc>
          <w:tcPr/>
          <w:p>
            <w:pPr>
              <w:pStyle w:val="Compact"/>
              <w:jc w:val="left"/>
            </w:pPr>
            <w:r>
              <w:t xml:space="preserve">40 semanas</w:t>
            </w:r>
          </w:p>
        </w:tc>
        <w:tc>
          <w:tcPr/>
          <w:p>
            <w:pPr>
              <w:pStyle w:val="Compact"/>
              <w:jc w:val="left"/>
            </w:pPr>
            <w:r>
              <w:t xml:space="preserve">HbA1c −2,2 frente a −1,9; peso −6,9 frente a −6,0 kg</w:t>
            </w:r>
          </w:p>
        </w:tc>
      </w:tr>
      <w:tr>
        <w:tc>
          <w:tcPr/>
          <w:p>
            <w:pPr>
              <w:pStyle w:val="Compact"/>
              <w:jc w:val="left"/>
            </w:pPr>
            <w:r>
              <w:t xml:space="preserve">SUSTAIN 6 (Marso 2016), PMID 27633186</w:t>
            </w:r>
          </w:p>
        </w:tc>
        <w:tc>
          <w:tcPr/>
          <w:p>
            <w:pPr>
              <w:pStyle w:val="Compact"/>
              <w:jc w:val="left"/>
            </w:pPr>
            <w:r>
              <w:t xml:space="preserve">3297 personas con alto riesgo cardiovascular, frente a placebo</w:t>
            </w:r>
          </w:p>
        </w:tc>
        <w:tc>
          <w:tcPr/>
          <w:p>
            <w:pPr>
              <w:pStyle w:val="Compact"/>
              <w:jc w:val="left"/>
            </w:pPr>
            <w:r>
              <w:t xml:space="preserve">104 semanas</w:t>
            </w:r>
          </w:p>
        </w:tc>
        <w:tc>
          <w:tcPr/>
          <w:p>
            <w:pPr>
              <w:pStyle w:val="Compact"/>
              <w:jc w:val="left"/>
            </w:pPr>
            <w:r>
              <w:t xml:space="preserve">Eventos cardiovasculares graves 6,6 % frente a 8,9 %; HR 0,74</w:t>
            </w:r>
          </w:p>
        </w:tc>
      </w:tr>
    </w:tbl>
    <w:p>
      <w:pPr>
        <w:pStyle w:val="BodyText"/>
      </w:pPr>
      <w:r>
        <w:t xml:space="preserve">Ya el estudio de monoterapia SUSTAIN 1</w:t>
      </w:r>
      <w:r>
        <w:rPr>
          <w:rStyle w:val="FootnoteReference"/>
        </w:rPr>
        <w:footnoteReference w:id="408"/>
      </w:r>
      <w:r>
        <w:t xml:space="preserve"> </w:t>
      </w:r>
      <w:r>
        <w:t xml:space="preserve">mostró que la semaglutida reduce la glucemia a largo plazo (HbA1c) en alrededor de 1,5 puntos porcentuales. En estudios posteriores con participantes con valores iniciales más altos, la reducción fue mayor; con la dosis de 2,0 mg alcanzó 2,2 puntos porcentuales en SUSTAIN FORTE</w:t>
      </w:r>
      <w:r>
        <w:rPr>
          <w:rStyle w:val="FootnoteReference"/>
        </w:rPr>
        <w:footnoteReference w:id="409"/>
      </w:r>
      <w:r>
        <w:t xml:space="preserve">.</w:t>
      </w:r>
    </w:p>
    <w:p>
      <w:pPr>
        <w:pStyle w:val="BodyText"/>
      </w:pPr>
      <w:r>
        <w:rPr>
          <w:bCs/>
          <w:b/>
        </w:rPr>
        <w:t xml:space="preserve">SUSTAIN 6</w:t>
      </w:r>
      <w:r>
        <w:rPr>
          <w:rStyle w:val="FootnoteReference"/>
        </w:rPr>
        <w:footnoteReference w:id="410"/>
      </w:r>
      <w:r>
        <w:t xml:space="preserve"> </w:t>
      </w:r>
      <w:r>
        <w:t xml:space="preserve">se planteó como estudio de seguridad, pero mostró una clara ventaja: la muerte de causa cardiovascular, el infarto de miocardio no mortal o el ictus se produjeron en 108 de 1648 personas con semaglutida (6,6 %) frente a 146 de 1649 con placebo (8,9 %). Los ictus fueron significativamente menos frecuentes (1,6 % frente a 2,7 %). Al mismo tiempo apareció una señal de alarma: las complicaciones de la enfermedad diabética de la retina (retinopatía) —como hemorragias vítreas o hallazgos que requerían tratamiento— fueron más frecuentes con semaglutida (HR 1,76). Esta señal se comenta en el apartado de riesgos.</w:t>
      </w:r>
    </w:p>
    <w:bookmarkEnd w:id="411"/>
    <w:bookmarkStart w:id="417" w:name="X51d0b76a47e9016e42fc140355b2931c80effe0"/>
    <w:p>
      <w:pPr>
        <w:pStyle w:val="Heading4"/>
      </w:pPr>
      <w:r>
        <w:t xml:space="preserve">Comparaciones directas dentro de la clase GLP-1</w:t>
      </w:r>
    </w:p>
    <w:p>
      <w:pPr>
        <w:pStyle w:val="FirstParagraph"/>
      </w:pPr>
      <w:r>
        <w:t xml:space="preserve">La semaglutida se ha enfrentado en estudios comparativos directos a todos los agonistas del receptor de GLP-1 anteriores y los ha superado a todos.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(semaglutida frente a comparador)</w:t>
            </w:r>
          </w:p>
        </w:tc>
      </w:tr>
      <w:tr>
        <w:tc>
          <w:tcPr/>
          <w:p>
            <w:pPr>
              <w:pStyle w:val="Compact"/>
              <w:jc w:val="left"/>
            </w:pPr>
            <w:r>
              <w:t xml:space="preserve">SUSTAIN 3 (Ahmann 2018), PMID 29246950</w:t>
            </w:r>
          </w:p>
        </w:tc>
        <w:tc>
          <w:tcPr/>
          <w:p>
            <w:pPr>
              <w:pStyle w:val="Compact"/>
              <w:jc w:val="left"/>
            </w:pPr>
            <w:r>
              <w:t xml:space="preserve">frente a exenatida semanal, abierto</w:t>
            </w:r>
          </w:p>
        </w:tc>
        <w:tc>
          <w:tcPr/>
          <w:p>
            <w:pPr>
              <w:pStyle w:val="Compact"/>
              <w:jc w:val="left"/>
            </w:pPr>
            <w:r>
              <w:t xml:space="preserve">56 semanas</w:t>
            </w:r>
          </w:p>
        </w:tc>
        <w:tc>
          <w:tcPr/>
          <w:p>
            <w:pPr>
              <w:pStyle w:val="Compact"/>
              <w:jc w:val="left"/>
            </w:pPr>
            <w:r>
              <w:t xml:space="preserve">HbA1c −1,5 frente a −0,9; peso −5,6 frente a −1,9 kg</w:t>
            </w:r>
          </w:p>
        </w:tc>
      </w:tr>
      <w:tr>
        <w:tc>
          <w:tcPr/>
          <w:p>
            <w:pPr>
              <w:pStyle w:val="Compact"/>
              <w:jc w:val="left"/>
            </w:pPr>
            <w:r>
              <w:t xml:space="preserve">SUSTAIN 7 (Pratley 2018), PMID 29397376</w:t>
            </w:r>
          </w:p>
        </w:tc>
        <w:tc>
          <w:tcPr/>
          <w:p>
            <w:pPr>
              <w:pStyle w:val="Compact"/>
              <w:jc w:val="left"/>
            </w:pPr>
            <w:r>
              <w:t xml:space="preserve">1201 personas; 0,5/1,0 mg frente a dulaglutida 0,75/1,5 mg</w:t>
            </w:r>
          </w:p>
        </w:tc>
        <w:tc>
          <w:tcPr/>
          <w:p>
            <w:pPr>
              <w:pStyle w:val="Compact"/>
              <w:jc w:val="left"/>
            </w:pPr>
            <w:r>
              <w:t xml:space="preserve">40 semanas</w:t>
            </w:r>
          </w:p>
        </w:tc>
        <w:tc>
          <w:tcPr/>
          <w:p>
            <w:pPr>
              <w:pStyle w:val="Compact"/>
              <w:jc w:val="left"/>
            </w:pPr>
            <w:r>
              <w:t xml:space="preserve">HbA1c −1,8 frente a −1,4; peso −6,5 frente a −3,0 kg (dosis altas)</w:t>
            </w:r>
          </w:p>
        </w:tc>
      </w:tr>
      <w:tr>
        <w:tc>
          <w:tcPr/>
          <w:p>
            <w:pPr>
              <w:pStyle w:val="Compact"/>
              <w:jc w:val="left"/>
            </w:pPr>
            <w:r>
              <w:t xml:space="preserve">SUSTAIN 10 (Capehorn 2020), PMID 31539622</w:t>
            </w:r>
          </w:p>
        </w:tc>
        <w:tc>
          <w:tcPr/>
          <w:p>
            <w:pPr>
              <w:pStyle w:val="Compact"/>
              <w:jc w:val="left"/>
            </w:pPr>
            <w:r>
              <w:t xml:space="preserve">1,0 mg frente a liraglutida 1,2 mg</w:t>
            </w:r>
          </w:p>
        </w:tc>
        <w:tc>
          <w:tcPr/>
          <w:p>
            <w:pPr>
              <w:pStyle w:val="Compact"/>
              <w:jc w:val="left"/>
            </w:pPr>
            <w:r>
              <w:t xml:space="preserve">30 semanas</w:t>
            </w:r>
          </w:p>
        </w:tc>
        <w:tc>
          <w:tcPr/>
          <w:p>
            <w:pPr>
              <w:pStyle w:val="Compact"/>
              <w:jc w:val="left"/>
            </w:pPr>
            <w:r>
              <w:t xml:space="preserve">HbA1c −1,7 frente a −1,0; peso −5,8 frente a −1,9 kg</w:t>
            </w:r>
          </w:p>
        </w:tc>
      </w:tr>
      <w:tr>
        <w:tc>
          <w:tcPr/>
          <w:p>
            <w:pPr>
              <w:pStyle w:val="Compact"/>
              <w:jc w:val="left"/>
            </w:pPr>
            <w:r>
              <w:t xml:space="preserve">PIONEER 4 (Pratley 2019), PMID 31186120</w:t>
            </w:r>
          </w:p>
        </w:tc>
        <w:tc>
          <w:tcPr/>
          <w:p>
            <w:pPr>
              <w:pStyle w:val="Compact"/>
              <w:jc w:val="left"/>
            </w:pPr>
            <w:r>
              <w:t xml:space="preserve">711 personas; comprimido de 14 mg frente a inyección de liraglutida 1,8 mg frente a placebo</w:t>
            </w:r>
          </w:p>
        </w:tc>
        <w:tc>
          <w:tcPr/>
          <w:p>
            <w:pPr>
              <w:pStyle w:val="Compact"/>
              <w:jc w:val="left"/>
            </w:pPr>
            <w:r>
              <w:t xml:space="preserve">52 semanas (análisis principal a las 26 semanas)</w:t>
            </w:r>
          </w:p>
        </w:tc>
        <w:tc>
          <w:tcPr/>
          <w:p>
            <w:pPr>
              <w:pStyle w:val="Compact"/>
              <w:jc w:val="left"/>
            </w:pPr>
            <w:r>
              <w:t xml:space="preserve">HbA1c −1,2 frente a −1,1 (no inferior); peso −4,4 frente a −3,1 kg</w:t>
            </w:r>
          </w:p>
        </w:tc>
      </w:tr>
      <w:tr>
        <w:tc>
          <w:tcPr/>
          <w:p>
            <w:pPr>
              <w:pStyle w:val="Compact"/>
              <w:jc w:val="left"/>
            </w:pPr>
            <w:r>
              <w:t xml:space="preserve">STEP 8 (Rubino 2022), PMID 35015037</w:t>
            </w:r>
          </w:p>
        </w:tc>
        <w:tc>
          <w:tcPr/>
          <w:p>
            <w:pPr>
              <w:pStyle w:val="Compact"/>
              <w:jc w:val="left"/>
            </w:pPr>
            <w:r>
              <w:t xml:space="preserve">338 personas con obesidad sin diabetes; 2,4 mg frente a liraglutida 3,0 mg</w:t>
            </w:r>
          </w:p>
        </w:tc>
        <w:tc>
          <w:tcPr/>
          <w:p>
            <w:pPr>
              <w:pStyle w:val="Compact"/>
              <w:jc w:val="left"/>
            </w:pPr>
            <w:r>
              <w:t xml:space="preserve">68 semanas</w:t>
            </w:r>
          </w:p>
        </w:tc>
        <w:tc>
          <w:tcPr/>
          <w:p>
            <w:pPr>
              <w:pStyle w:val="Compact"/>
              <w:jc w:val="left"/>
            </w:pPr>
            <w:r>
              <w:t xml:space="preserve">peso −15,8 % frente a −6,4 %</w:t>
            </w:r>
          </w:p>
        </w:tc>
      </w:tr>
    </w:tbl>
    <w:p>
      <w:pPr>
        <w:pStyle w:val="BodyText"/>
      </w:pPr>
      <w:r>
        <w:t xml:space="preserve">Las diferencias en la glucemia a largo plazo oscilan entre 0,1 y 0,7 puntos porcentuales a favor de la semaglutida, y en el peso, entre 1,2 y unos 4 kg en la diabetes. La distancia fue mayor en la obesidad: en STEP 8</w:t>
      </w:r>
      <w:r>
        <w:rPr>
          <w:rStyle w:val="FootnoteReference"/>
        </w:rPr>
        <w:footnoteReference w:id="412"/>
      </w:r>
      <w:r>
        <w:t xml:space="preserve">, el 38,5 % con semaglutida perdió al menos el 20 % de su peso, frente al 6,0 % con liraglutida. El precio, en algunas comparaciones, es una tasa algo mayor de molestias gastrointestinales: en SUSTAIN 10, el 11,4 % frente al 6,6 % interrumpió el tratamiento por efectos adversos</w:t>
      </w:r>
      <w:r>
        <w:rPr>
          <w:rStyle w:val="FootnoteReference"/>
        </w:rPr>
        <w:footnoteReference w:id="413"/>
      </w:r>
      <w:r>
        <w:t xml:space="preserve">. En SUSTAIN 3, en cambio, las reacciones en el lugar de inyección fueron mucho más frecuentes con exenatida (22,0 % frente a 1,2 %)</w:t>
      </w:r>
      <w:r>
        <w:rPr>
          <w:rStyle w:val="FootnoteReference"/>
        </w:rPr>
        <w:footnoteReference w:id="414"/>
      </w:r>
      <w:r>
        <w:t xml:space="preserve">.</w:t>
      </w:r>
    </w:p>
    <w:p>
      <w:pPr>
        <w:pStyle w:val="BodyText"/>
      </w:pPr>
      <w:r>
        <w:t xml:space="preserve">PIONEER 4</w:t>
      </w:r>
      <w:r>
        <w:rPr>
          <w:rStyle w:val="FootnoteReference"/>
        </w:rPr>
        <w:footnoteReference w:id="415"/>
      </w:r>
      <w:r>
        <w:t xml:space="preserve"> </w:t>
      </w:r>
      <w:r>
        <w:t xml:space="preserve">es destacable porque en él un comprimido se enfrentó a una inyección: en la HbA1c, el comprimido de semaglutida no fue inferior a la inyección de liraglutida, y en el peso fue superior en 1,2 kg.</w:t>
      </w:r>
    </w:p>
    <w:p>
      <w:pPr>
        <w:pStyle w:val="BodyText"/>
      </w:pPr>
      <w:r>
        <w:t xml:space="preserve">Fuera de la clase GLP-1, la semaglutida fue superada a su vez: en la comparación directa con el agonista dual GIP/GLP-1 tirzepatida en 751 personas con obesidad, la pérdida de peso al cabo de 72 semanas fue del −13,7 % frente al −20,2 %</w:t>
      </w:r>
      <w:r>
        <w:rPr>
          <w:rStyle w:val="FootnoteReference"/>
        </w:rPr>
        <w:footnoteReference w:id="416"/>
      </w:r>
      <w:r>
        <w:t xml:space="preserve">. Los detalles figuran en el capítulo Tirzepatida.</w:t>
      </w:r>
    </w:p>
    <w:bookmarkEnd w:id="417"/>
    <w:bookmarkStart w:id="421" w:name="X98f0bd1ffd25145dc1dc4e2385d76e42aef33ef"/>
    <w:p>
      <w:pPr>
        <w:pStyle w:val="Heading4"/>
      </w:pPr>
      <w:r>
        <w:t xml:space="preserve">Diabetes tipo 2 con el comprimido: PIONEER y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PIONEER 1 (Aroda 2019), PMID 31186300</w:t>
            </w:r>
          </w:p>
        </w:tc>
        <w:tc>
          <w:tcPr/>
          <w:p>
            <w:pPr>
              <w:pStyle w:val="Compact"/>
              <w:jc w:val="left"/>
            </w:pPr>
            <w:r>
              <w:t xml:space="preserve">703 personas, monoterapia; 3/7/14 mg frente a placebo</w:t>
            </w:r>
          </w:p>
        </w:tc>
        <w:tc>
          <w:tcPr/>
          <w:p>
            <w:pPr>
              <w:pStyle w:val="Compact"/>
              <w:jc w:val="left"/>
            </w:pPr>
            <w:r>
              <w:t xml:space="preserve">26 semanas</w:t>
            </w:r>
          </w:p>
        </w:tc>
        <w:tc>
          <w:tcPr/>
          <w:p>
            <w:pPr>
              <w:pStyle w:val="Compact"/>
              <w:jc w:val="left"/>
            </w:pPr>
            <w:r>
              <w:t xml:space="preserve">HbA1c −1,1 puntos porcentuales (14 mg) frente a placebo; peso −2,3 kg frente a placebo</w:t>
            </w:r>
          </w:p>
        </w:tc>
      </w:tr>
      <w:tr>
        <w:tc>
          <w:tcPr/>
          <w:p>
            <w:pPr>
              <w:pStyle w:val="Compact"/>
              <w:jc w:val="left"/>
            </w:pPr>
            <w:r>
              <w:t xml:space="preserve">PIONEER 6 (Husain 2019), PMID 31185157</w:t>
            </w:r>
          </w:p>
        </w:tc>
        <w:tc>
          <w:tcPr/>
          <w:p>
            <w:pPr>
              <w:pStyle w:val="Compact"/>
              <w:jc w:val="left"/>
            </w:pPr>
            <w:r>
              <w:t xml:space="preserve">3183 personas de alto riesgo; frente a placebo</w:t>
            </w:r>
          </w:p>
        </w:tc>
        <w:tc>
          <w:tcPr/>
          <w:p>
            <w:pPr>
              <w:pStyle w:val="Compact"/>
              <w:jc w:val="left"/>
            </w:pPr>
            <w:r>
              <w:t xml:space="preserve">mediana de 15,9 meses</w:t>
            </w:r>
          </w:p>
        </w:tc>
        <w:tc>
          <w:tcPr/>
          <w:p>
            <w:pPr>
              <w:pStyle w:val="Compact"/>
              <w:jc w:val="left"/>
            </w:pPr>
            <w:r>
              <w:t xml:space="preserve">Eventos 3,8 % frente a 4,8 %; HR 0,79, no inferior</w:t>
            </w:r>
          </w:p>
        </w:tc>
      </w:tr>
      <w:tr>
        <w:tc>
          <w:tcPr/>
          <w:p>
            <w:pPr>
              <w:pStyle w:val="Compact"/>
              <w:jc w:val="left"/>
            </w:pPr>
            <w:r>
              <w:t xml:space="preserve">PIONEER PLUS (Aroda 2023), PMID 37385279</w:t>
            </w:r>
          </w:p>
        </w:tc>
        <w:tc>
          <w:tcPr/>
          <w:p>
            <w:pPr>
              <w:pStyle w:val="Compact"/>
              <w:jc w:val="left"/>
            </w:pPr>
            <w:r>
              <w:t xml:space="preserve">1606 personas; 25 y 50 mg frente a 14 mg</w:t>
            </w:r>
          </w:p>
        </w:tc>
        <w:tc>
          <w:tcPr/>
          <w:p>
            <w:pPr>
              <w:pStyle w:val="Compact"/>
              <w:jc w:val="left"/>
            </w:pPr>
            <w:r>
              <w:t xml:space="preserve">52 semanas</w:t>
            </w:r>
          </w:p>
        </w:tc>
        <w:tc>
          <w:tcPr/>
          <w:p>
            <w:pPr>
              <w:pStyle w:val="Compact"/>
              <w:jc w:val="left"/>
            </w:pPr>
            <w:r>
              <w:t xml:space="preserve">HbA1c −2,0 (50 mg) frente a −1,5 (14 mg)</w:t>
            </w:r>
          </w:p>
        </w:tc>
      </w:tr>
      <w:tr>
        <w:tc>
          <w:tcPr/>
          <w:p>
            <w:pPr>
              <w:pStyle w:val="Compact"/>
              <w:jc w:val="left"/>
            </w:pPr>
            <w:r>
              <w:t xml:space="preserve">SOUL (McGuire 2025), PMID 40162642</w:t>
            </w:r>
          </w:p>
        </w:tc>
        <w:tc>
          <w:tcPr/>
          <w:p>
            <w:pPr>
              <w:pStyle w:val="Compact"/>
              <w:jc w:val="left"/>
            </w:pPr>
            <w:r>
              <w:t xml:space="preserve">9650 personas con enfermedad vascular y/o renal; frente a placebo</w:t>
            </w:r>
          </w:p>
        </w:tc>
        <w:tc>
          <w:tcPr/>
          <w:p>
            <w:pPr>
              <w:pStyle w:val="Compact"/>
              <w:jc w:val="left"/>
            </w:pPr>
            <w:r>
              <w:t xml:space="preserve">mediana de 49,5 meses</w:t>
            </w:r>
          </w:p>
        </w:tc>
        <w:tc>
          <w:tcPr/>
          <w:p>
            <w:pPr>
              <w:pStyle w:val="Compact"/>
              <w:jc w:val="left"/>
            </w:pPr>
            <w:r>
              <w:t xml:space="preserve">Eventos 12,0 % frente a 13,8 %; HR 0,86 (0,77–0,96)</w:t>
            </w:r>
          </w:p>
        </w:tc>
      </w:tr>
    </w:tbl>
    <w:p>
      <w:pPr>
        <w:pStyle w:val="BodyText"/>
      </w:pPr>
      <w:r>
        <w:t xml:space="preserve">Con la dosis estándar de 14 mg, el comprimido actúa algo menos que la inyección. PIONEER PLUS</w:t>
      </w:r>
      <w:r>
        <w:rPr>
          <w:rStyle w:val="FootnoteReference"/>
        </w:rPr>
        <w:footnoteReference w:id="418"/>
      </w:r>
      <w:r>
        <w:t xml:space="preserve"> </w:t>
      </w:r>
      <w:r>
        <w:t xml:space="preserve">mostró que dosis más altas del comprimido reducen la distancia. PIONEER 6</w:t>
      </w:r>
      <w:r>
        <w:rPr>
          <w:rStyle w:val="FootnoteReference"/>
        </w:rPr>
        <w:footnoteReference w:id="419"/>
      </w:r>
      <w:r>
        <w:t xml:space="preserve"> </w:t>
      </w:r>
      <w:r>
        <w:t xml:space="preserve">fue un estudio de seguridad breve; demostró que el comprimido no aumenta el riesgo cardiovascular, pero era demasiado pequeño para demostrar un beneficio.</w:t>
      </w:r>
    </w:p>
    <w:p>
      <w:pPr>
        <w:pStyle w:val="BodyText"/>
      </w:pPr>
      <w:r>
        <w:t xml:space="preserve">Esa demostración la aportó</w:t>
      </w:r>
      <w:r>
        <w:t xml:space="preserve"> </w:t>
      </w:r>
      <w:r>
        <w:rPr>
          <w:bCs/>
          <w:b/>
        </w:rPr>
        <w:t xml:space="preserve">SOUL</w:t>
      </w:r>
      <w:r>
        <w:rPr>
          <w:rStyle w:val="FootnoteReference"/>
        </w:rPr>
        <w:footnoteReference w:id="420"/>
      </w:r>
      <w:r>
        <w:t xml:space="preserve">: en 9650 personas con diabetes tipo 2 y enfermedad vascular o renal, el comprimido de semaglutida redujo a lo largo de unos cuatro años los eventos cardiovasculares graves en un 14 %. Las variables secundarias confirmatorias, entre ellas los resultados renales, no difirieron significativamente. Los acontecimientos adversos graves no fueron más frecuentes con semaglutida (47,9 % frente a 50,3 %).</w:t>
      </w:r>
    </w:p>
    <w:bookmarkEnd w:id="421"/>
    <w:bookmarkStart w:id="427" w:name="obesidad-con-la-inyección-step"/>
    <w:p>
      <w:pPr>
        <w:pStyle w:val="Heading4"/>
      </w:pPr>
      <w:r>
        <w:t xml:space="preserve">Obesidad con la inyección: STEP</w:t>
      </w:r>
    </w:p>
    <w:p>
      <w:pPr>
        <w:pStyle w:val="FirstParagraph"/>
      </w:pPr>
      <w:r>
        <w:t xml:space="preserve">Con la dosis de 2,4 mg semanales, la semaglutida, como Wegovy, se convirtió en el primer medicamento con el que las personas con obesidad perdieron en grandes estudios una media de alrededor del 15 % de su peso corporal.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STEP 1 (Wilding 2021), PMID 33567185</w:t>
            </w:r>
          </w:p>
        </w:tc>
        <w:tc>
          <w:tcPr/>
          <w:p>
            <w:pPr>
              <w:pStyle w:val="Compact"/>
              <w:jc w:val="left"/>
            </w:pPr>
            <w:r>
              <w:t xml:space="preserve">1961 adultos con obesidad sin diabetes, RCT frente a placebo</w:t>
            </w:r>
          </w:p>
        </w:tc>
        <w:tc>
          <w:tcPr/>
          <w:p>
            <w:pPr>
              <w:pStyle w:val="Compact"/>
              <w:jc w:val="left"/>
            </w:pPr>
            <w:r>
              <w:t xml:space="preserve">68 semanas</w:t>
            </w:r>
          </w:p>
        </w:tc>
        <w:tc>
          <w:tcPr/>
          <w:p>
            <w:pPr>
              <w:pStyle w:val="Compact"/>
              <w:jc w:val="left"/>
            </w:pPr>
            <w:r>
              <w:t xml:space="preserve">−14,9 % del peso corporal frente a −2,4 %</w:t>
            </w:r>
          </w:p>
        </w:tc>
      </w:tr>
      <w:tr>
        <w:tc>
          <w:tcPr/>
          <w:p>
            <w:pPr>
              <w:pStyle w:val="Compact"/>
              <w:jc w:val="left"/>
            </w:pPr>
            <w:r>
              <w:t xml:space="preserve">STEP 2 (Davies 2021), PMID 33667417</w:t>
            </w:r>
          </w:p>
        </w:tc>
        <w:tc>
          <w:tcPr/>
          <w:p>
            <w:pPr>
              <w:pStyle w:val="Compact"/>
              <w:jc w:val="left"/>
            </w:pPr>
            <w:r>
              <w:t xml:space="preserve">1210 personas con sobrepeso y diabetes tipo 2</w:t>
            </w:r>
          </w:p>
        </w:tc>
        <w:tc>
          <w:tcPr/>
          <w:p>
            <w:pPr>
              <w:pStyle w:val="Compact"/>
              <w:jc w:val="left"/>
            </w:pPr>
            <w:r>
              <w:t xml:space="preserve">68 semanas</w:t>
            </w:r>
          </w:p>
        </w:tc>
        <w:tc>
          <w:tcPr/>
          <w:p>
            <w:pPr>
              <w:pStyle w:val="Compact"/>
              <w:jc w:val="left"/>
            </w:pPr>
            <w:r>
              <w:t xml:space="preserve">−9,6 % frente a −3,4 %</w:t>
            </w:r>
          </w:p>
        </w:tc>
      </w:tr>
      <w:tr>
        <w:tc>
          <w:tcPr/>
          <w:p>
            <w:pPr>
              <w:pStyle w:val="Compact"/>
              <w:jc w:val="left"/>
            </w:pPr>
            <w:r>
              <w:t xml:space="preserve">STEP 3 (Wadden 2021), PMID 33625476</w:t>
            </w:r>
          </w:p>
        </w:tc>
        <w:tc>
          <w:tcPr/>
          <w:p>
            <w:pPr>
              <w:pStyle w:val="Compact"/>
              <w:jc w:val="left"/>
            </w:pPr>
            <w:r>
              <w:t xml:space="preserve">611 personas, con terapia conductual intensiva adicional</w:t>
            </w:r>
          </w:p>
        </w:tc>
        <w:tc>
          <w:tcPr/>
          <w:p>
            <w:pPr>
              <w:pStyle w:val="Compact"/>
              <w:jc w:val="left"/>
            </w:pPr>
            <w:r>
              <w:t xml:space="preserve">68 semanas</w:t>
            </w:r>
          </w:p>
        </w:tc>
        <w:tc>
          <w:tcPr/>
          <w:p>
            <w:pPr>
              <w:pStyle w:val="Compact"/>
              <w:jc w:val="left"/>
            </w:pPr>
            <w:r>
              <w:t xml:space="preserve">−16,0 % frente a −5,7 %</w:t>
            </w:r>
          </w:p>
        </w:tc>
      </w:tr>
      <w:tr>
        <w:tc>
          <w:tcPr/>
          <w:p>
            <w:pPr>
              <w:pStyle w:val="Compact"/>
              <w:jc w:val="left"/>
            </w:pPr>
            <w:r>
              <w:t xml:space="preserve">STEP 4 (Rubino 2021), PMID 33755728</w:t>
            </w:r>
          </w:p>
        </w:tc>
        <w:tc>
          <w:tcPr/>
          <w:p>
            <w:pPr>
              <w:pStyle w:val="Compact"/>
              <w:jc w:val="left"/>
            </w:pPr>
            <w:r>
              <w:t xml:space="preserve">803 personas tras 20 semanas de semaglutida: continuar o cambiar a placebo</w:t>
            </w:r>
          </w:p>
        </w:tc>
        <w:tc>
          <w:tcPr/>
          <w:p>
            <w:pPr>
              <w:pStyle w:val="Compact"/>
              <w:jc w:val="left"/>
            </w:pPr>
            <w:r>
              <w:t xml:space="preserve">48 semanas</w:t>
            </w:r>
          </w:p>
        </w:tc>
        <w:tc>
          <w:tcPr/>
          <w:p>
            <w:pPr>
              <w:pStyle w:val="Compact"/>
              <w:jc w:val="left"/>
            </w:pPr>
            <w:r>
              <w:t xml:space="preserve">−7,9 % (continuación) frente a +6,9 % (suspensión)</w:t>
            </w:r>
          </w:p>
        </w:tc>
      </w:tr>
      <w:tr>
        <w:tc>
          <w:tcPr/>
          <w:p>
            <w:pPr>
              <w:pStyle w:val="Compact"/>
              <w:jc w:val="left"/>
            </w:pPr>
            <w:r>
              <w:t xml:space="preserve">STEP 5 (Garvey 2022), PMID 36216945</w:t>
            </w:r>
          </w:p>
        </w:tc>
        <w:tc>
          <w:tcPr/>
          <w:p>
            <w:pPr>
              <w:pStyle w:val="Compact"/>
              <w:jc w:val="left"/>
            </w:pPr>
            <w:r>
              <w:t xml:space="preserve">304 personas</w:t>
            </w:r>
          </w:p>
        </w:tc>
        <w:tc>
          <w:tcPr/>
          <w:p>
            <w:pPr>
              <w:pStyle w:val="Compact"/>
              <w:jc w:val="left"/>
            </w:pPr>
            <w:r>
              <w:t xml:space="preserve">104 semanas</w:t>
            </w:r>
          </w:p>
        </w:tc>
        <w:tc>
          <w:tcPr/>
          <w:p>
            <w:pPr>
              <w:pStyle w:val="Compact"/>
              <w:jc w:val="left"/>
            </w:pPr>
            <w:r>
              <w:t xml:space="preserve">−15,2 % frente a −2,6 %</w:t>
            </w:r>
          </w:p>
        </w:tc>
      </w:tr>
      <w:tr>
        <w:tc>
          <w:tcPr/>
          <w:p>
            <w:pPr>
              <w:pStyle w:val="Compact"/>
              <w:jc w:val="left"/>
            </w:pPr>
            <w:r>
              <w:t xml:space="preserve">STEP 6 (Kadowaki 2022), PMID 35131037</w:t>
            </w:r>
          </w:p>
        </w:tc>
        <w:tc>
          <w:tcPr/>
          <w:p>
            <w:pPr>
              <w:pStyle w:val="Compact"/>
              <w:jc w:val="left"/>
            </w:pPr>
            <w:r>
              <w:t xml:space="preserve">401 personas en Asia oriental</w:t>
            </w:r>
          </w:p>
        </w:tc>
        <w:tc>
          <w:tcPr/>
          <w:p>
            <w:pPr>
              <w:pStyle w:val="Compact"/>
              <w:jc w:val="left"/>
            </w:pPr>
            <w:r>
              <w:t xml:space="preserve">68 semanas</w:t>
            </w:r>
          </w:p>
        </w:tc>
        <w:tc>
          <w:tcPr/>
          <w:p>
            <w:pPr>
              <w:pStyle w:val="Compact"/>
              <w:jc w:val="left"/>
            </w:pPr>
            <w:r>
              <w:t xml:space="preserve">−13,2 % frente a −2,1 %</w:t>
            </w:r>
          </w:p>
        </w:tc>
      </w:tr>
      <w:tr>
        <w:tc>
          <w:tcPr/>
          <w:p>
            <w:pPr>
              <w:pStyle w:val="Compact"/>
              <w:jc w:val="left"/>
            </w:pPr>
            <w:r>
              <w:t xml:space="preserve">STEP UP (Wharton 2025), PMID 40961952</w:t>
            </w:r>
          </w:p>
        </w:tc>
        <w:tc>
          <w:tcPr/>
          <w:p>
            <w:pPr>
              <w:pStyle w:val="Compact"/>
              <w:jc w:val="left"/>
            </w:pPr>
            <w:r>
              <w:t xml:space="preserve">1407 personas; 7,2 mg frente a 2,4 mg frente a placebo</w:t>
            </w:r>
          </w:p>
        </w:tc>
        <w:tc>
          <w:tcPr/>
          <w:p>
            <w:pPr>
              <w:pStyle w:val="Compact"/>
              <w:jc w:val="left"/>
            </w:pPr>
            <w:r>
              <w:t xml:space="preserve">72 semanas</w:t>
            </w:r>
          </w:p>
        </w:tc>
        <w:tc>
          <w:tcPr/>
          <w:p>
            <w:pPr>
              <w:pStyle w:val="Compact"/>
              <w:jc w:val="left"/>
            </w:pPr>
            <w:r>
              <w:t xml:space="preserve">−18,7 % frente a −15,6 % frente a −3,9 %</w:t>
            </w:r>
          </w:p>
        </w:tc>
      </w:tr>
    </w:tbl>
    <w:p>
      <w:pPr>
        <w:pStyle w:val="BodyText"/>
      </w:pPr>
      <w:r>
        <w:t xml:space="preserve">En</w:t>
      </w:r>
      <w:r>
        <w:t xml:space="preserve"> </w:t>
      </w:r>
      <w:r>
        <w:rPr>
          <w:bCs/>
          <w:b/>
        </w:rPr>
        <w:t xml:space="preserve">STEP 1</w:t>
      </w:r>
      <w:r>
        <w:rPr>
          <w:rStyle w:val="FootnoteReference"/>
        </w:rPr>
        <w:footnoteReference w:id="422"/>
      </w:r>
      <w:r>
        <w:t xml:space="preserve">, los participantes perdieron de media 15,3 kg, frente a 2,6 kg con placebo. La mitad (50,5 %) perdió al menos el 15 % de su peso. Por molestias gastrointestinales, el 4,5 % interrumpió el tratamiento, frente al 0,8 % con placebo.</w:t>
      </w:r>
    </w:p>
    <w:p>
      <w:pPr>
        <w:pStyle w:val="BodyText"/>
      </w:pPr>
      <w:r>
        <w:t xml:space="preserve">En las personas con diabetes tipo 2, la pérdida fue menor (STEP 2, Davies 2021, PMID 33667417), un patrón que aparece con todos los principios activos de esta clase. En</w:t>
      </w:r>
      <w:r>
        <w:t xml:space="preserve"> </w:t>
      </w:r>
      <w:r>
        <w:rPr>
          <w:bCs/>
          <w:b/>
        </w:rPr>
        <w:t xml:space="preserve">STEP 5</w:t>
      </w:r>
      <w:r>
        <w:rPr>
          <w:rStyle w:val="FootnoteReference"/>
        </w:rPr>
        <w:footnoteReference w:id="423"/>
      </w:r>
      <w:r>
        <w:t xml:space="preserve">, el efecto se mantuvo estable durante dos años.</w:t>
      </w:r>
    </w:p>
    <w:p>
      <w:pPr>
        <w:pStyle w:val="BodyText"/>
      </w:pPr>
      <w:r>
        <w:rPr>
          <w:bCs/>
          <w:b/>
        </w:rPr>
        <w:t xml:space="preserve">¿Qué ocurre tras la suspensión?</w:t>
      </w:r>
      <w:r>
        <w:t xml:space="preserve"> </w:t>
      </w:r>
      <w:r>
        <w:t xml:space="preserve">Esta pregunta es central para la práctica. En STEP 4</w:t>
      </w:r>
      <w:r>
        <w:rPr>
          <w:rStyle w:val="FootnoteReference"/>
        </w:rPr>
        <w:footnoteReference w:id="424"/>
      </w:r>
      <w:r>
        <w:t xml:space="preserve">, todos los participantes recibieron primero semaglutida durante 20 semanas y perdieron en ese tiempo una media del 10,6 %. Quienes después cambiaron a placebo volvieron a ganar un 6,9 % en las 48 semanas siguientes; quienes continuaron con el tratamiento perdieron otro 7,9 %. En la extensión de STEP 1</w:t>
      </w:r>
      <w:r>
        <w:rPr>
          <w:rStyle w:val="FootnoteReference"/>
        </w:rPr>
        <w:footnoteReference w:id="425"/>
      </w:r>
      <w:r>
        <w:t xml:space="preserve">, un año después de la suspensión los participantes habían recuperado aproximadamente dos tercios del peso perdido; también la presión arterial, los lípidos sanguíneos y la glucemia se acercaron de nuevo a los valores iniciales. Los autores concluyen que la obesidad es una enfermedad crónica y que el tratamiento probablemente deba ser permanente.</w:t>
      </w:r>
    </w:p>
    <w:p>
      <w:pPr>
        <w:pStyle w:val="BodyText"/>
      </w:pPr>
      <w:r>
        <w:rPr>
          <w:bCs/>
          <w:b/>
        </w:rPr>
        <w:t xml:space="preserve">Dosis más alta:</w:t>
      </w:r>
      <w:r>
        <w:t xml:space="preserve"> </w:t>
      </w:r>
      <w:r>
        <w:t xml:space="preserve">en STEP UP</w:t>
      </w:r>
      <w:r>
        <w:rPr>
          <w:rStyle w:val="FootnoteReference"/>
        </w:rPr>
        <w:footnoteReference w:id="426"/>
      </w:r>
      <w:r>
        <w:t xml:space="preserve">, el triple de dosis, 7,2 mg, produjo una pérdida de peso del 18,7 %. Las molestias gastrointestinales fueron más frecuentes (70,8 % frente al 61,2 % con 2,4 mg), y el 22,9 % comunicó sensaciones anómalas en la piel (disestesia), frente al 6,0 % con 2,4 mg.</w:t>
      </w:r>
    </w:p>
    <w:bookmarkEnd w:id="427"/>
    <w:bookmarkStart w:id="429" w:name="obesidad-con-el-comprimido-oasis"/>
    <w:p>
      <w:pPr>
        <w:pStyle w:val="Heading4"/>
      </w:pPr>
      <w:r>
        <w:t xml:space="preserve">Obesidad con el comprimido: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personas con obesidad sin diabetes; 50 mg diarios frente a placebo</w:t>
            </w:r>
          </w:p>
        </w:tc>
        <w:tc>
          <w:tcPr/>
          <w:p>
            <w:pPr>
              <w:pStyle w:val="Compact"/>
              <w:jc w:val="left"/>
            </w:pPr>
            <w:r>
              <w:t xml:space="preserve">68 semanas</w:t>
            </w:r>
          </w:p>
        </w:tc>
        <w:tc>
          <w:tcPr/>
          <w:p>
            <w:pPr>
              <w:pStyle w:val="Compact"/>
              <w:jc w:val="left"/>
            </w:pPr>
            <w:r>
              <w:t xml:space="preserve">−15,1 % frente a −2,4 %</w:t>
            </w:r>
          </w:p>
        </w:tc>
      </w:tr>
      <w:tr>
        <w:tc>
          <w:tcPr/>
          <w:p>
            <w:pPr>
              <w:pStyle w:val="Compact"/>
              <w:jc w:val="left"/>
            </w:pPr>
            <w:r>
              <w:t xml:space="preserve">OASIS 4 (Wharton 2025), PMID 40934115</w:t>
            </w:r>
          </w:p>
        </w:tc>
        <w:tc>
          <w:tcPr/>
          <w:p>
            <w:pPr>
              <w:pStyle w:val="Compact"/>
              <w:jc w:val="left"/>
            </w:pPr>
            <w:r>
              <w:t xml:space="preserve">307 personas; 25 mg diarios frente a placebo</w:t>
            </w:r>
          </w:p>
        </w:tc>
        <w:tc>
          <w:tcPr/>
          <w:p>
            <w:pPr>
              <w:pStyle w:val="Compact"/>
              <w:jc w:val="left"/>
            </w:pPr>
            <w:r>
              <w:t xml:space="preserve">64 semanas</w:t>
            </w:r>
          </w:p>
        </w:tc>
        <w:tc>
          <w:tcPr/>
          <w:p>
            <w:pPr>
              <w:pStyle w:val="Compact"/>
              <w:jc w:val="left"/>
            </w:pPr>
            <w:r>
              <w:t xml:space="preserve">−13,6 % frente a −2,2 %</w:t>
            </w:r>
          </w:p>
        </w:tc>
      </w:tr>
    </w:tbl>
    <w:p>
      <w:pPr>
        <w:pStyle w:val="BodyText"/>
      </w:pPr>
      <w:r>
        <w:t xml:space="preserve">En estos estudios, los comprimidos alcanzaron valores similares a los de la inyección en STEP 1</w:t>
      </w:r>
      <w:r>
        <w:rPr>
          <w:rStyle w:val="FootnoteReference"/>
        </w:rPr>
        <w:footnoteReference w:id="428"/>
      </w:r>
      <w:r>
        <w:t xml:space="preserve">. Las molestias gastrointestinales aparecieron en el 74 % al 80 %. El comprimido de 25 mg de OASIS 4 es la base del comprimido de Wegovy autorizado en Estados Unidos. Hasta ahora falta una comparación directa con la inyección en un estudio grande.</w:t>
      </w:r>
    </w:p>
    <w:bookmarkEnd w:id="429"/>
    <w:bookmarkStart w:id="432" w:name="niños-y-adolescentes-2"/>
    <w:p>
      <w:pPr>
        <w:pStyle w:val="Heading4"/>
      </w:pPr>
      <w:r>
        <w:t xml:space="preserve">Niños y adolescentes</w:t>
      </w:r>
    </w:p>
    <w:p>
      <w:pPr>
        <w:pStyle w:val="FirstParagraph"/>
      </w:pPr>
      <w:r>
        <w:t xml:space="preserve">En</w:t>
      </w:r>
      <w:r>
        <w:t xml:space="preserve"> </w:t>
      </w:r>
      <w:r>
        <w:rPr>
          <w:bCs/>
          <w:b/>
        </w:rPr>
        <w:t xml:space="preserve">STEP TEENS</w:t>
      </w:r>
      <w:r>
        <w:t xml:space="preserve">, con 201 adolescentes con obesidad, el índice de masa corporal (IMC) disminuyó al cabo de 68 semanas un 16,1 %, mientras que con placebo aumentó un 0,6 %</w:t>
      </w:r>
      <w:r>
        <w:rPr>
          <w:rStyle w:val="FootnoteReference"/>
        </w:rPr>
        <w:footnoteReference w:id="430"/>
      </w:r>
      <w:r>
        <w:t xml:space="preserve">. El 73 % perdió al menos el 5 % de su peso, frente al 18 % con placebo. Cinco adolescentes (4 %) con semaglutida desarrollaron cálculos biliares, ninguno con placebo. Está en marcha un estudio con niños a partir de 6 años</w:t>
      </w:r>
      <w:r>
        <w:rPr>
          <w:rStyle w:val="FootnoteReference"/>
        </w:rPr>
        <w:footnoteReference w:id="431"/>
      </w:r>
      <w:r>
        <w:t xml:space="preserve">.</w:t>
      </w:r>
    </w:p>
    <w:bookmarkEnd w:id="432"/>
    <w:bookmarkStart w:id="434" w:name="X6e93e5263ddca90f272553ae2935acc89a5b4d3"/>
    <w:p>
      <w:pPr>
        <w:pStyle w:val="Heading4"/>
      </w:pPr>
      <w:r>
        <w:t xml:space="preserve">SELECT: protección cardíaca también sin diabetes</w:t>
      </w:r>
    </w:p>
    <w:p>
      <w:pPr>
        <w:pStyle w:val="FirstParagraph"/>
      </w:pPr>
      <w:r>
        <w:t xml:space="preserve">SELECT fue un hito porque mostró por primera vez que un medicamento para reducir el peso disminuye los infartos de miocardio, los ictus y las muertes cardiovasculares en personas sin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SELECT (Lincoff 2023), PMID 37952131</w:t>
            </w:r>
          </w:p>
        </w:tc>
        <w:tc>
          <w:tcPr/>
          <w:p>
            <w:pPr>
              <w:pStyle w:val="Compact"/>
              <w:jc w:val="left"/>
            </w:pPr>
            <w:r>
              <w:t xml:space="preserve">17.604 personas con sobrepeso u obesidad y enfermedad cardiovascular, sin diabetes; 2,4 mg frente a placebo</w:t>
            </w:r>
          </w:p>
        </w:tc>
        <w:tc>
          <w:tcPr/>
          <w:p>
            <w:pPr>
              <w:pStyle w:val="Compact"/>
              <w:jc w:val="left"/>
            </w:pPr>
            <w:r>
              <w:t xml:space="preserve">seguimiento medio de 39,8 meses</w:t>
            </w:r>
          </w:p>
        </w:tc>
        <w:tc>
          <w:tcPr/>
          <w:p>
            <w:pPr>
              <w:pStyle w:val="Compact"/>
              <w:jc w:val="left"/>
            </w:pPr>
            <w:r>
              <w:t xml:space="preserve">Eventos cardiovasculares graves 6,5 % frente a 8,0 %; HR 0,80 (0,72–0,90)</w:t>
            </w:r>
          </w:p>
        </w:tc>
      </w:tr>
    </w:tbl>
    <w:p>
      <w:pPr>
        <w:pStyle w:val="BodyText"/>
      </w:pPr>
      <w:r>
        <w:t xml:space="preserve">La reducción relativa del riesgo fue del 20 %</w:t>
      </w:r>
      <w:r>
        <w:rPr>
          <w:rStyle w:val="FootnoteReference"/>
        </w:rPr>
        <w:footnoteReference w:id="433"/>
      </w:r>
      <w:r>
        <w:t xml:space="preserve">. En cifras absolutas, a lo largo de algo más de tres años, unas 1,5 de cada cien personas tratadas tuvieron un evento de este tipo menos. Llamó la atención la elevada tasa de abandono: el 16,6 % interrumpió el tratamiento de forma permanente por efectos adversos, frente al 8,2 % con placebo. No está definitivamente aclarado si el beneficio se debe solo a la pérdida de peso o también a efectos directos sobre los vasos y la inflamación.</w:t>
      </w:r>
    </w:p>
    <w:bookmarkEnd w:id="434"/>
    <w:bookmarkStart w:id="436" w:name="flow-protección-de-los-riñones"/>
    <w:p>
      <w:pPr>
        <w:pStyle w:val="Heading4"/>
      </w:pPr>
      <w:r>
        <w:t xml:space="preserve">FLOW: protección de los riñones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FLOW (Perkovic 2024), PMID 38785209</w:t>
            </w:r>
          </w:p>
        </w:tc>
        <w:tc>
          <w:tcPr/>
          <w:p>
            <w:pPr>
              <w:pStyle w:val="Compact"/>
              <w:jc w:val="left"/>
            </w:pPr>
            <w:r>
              <w:t xml:space="preserve">3533 personas con diabetes tipo 2 y enfermedad renal crónica; 1,0 mg frente a placebo</w:t>
            </w:r>
          </w:p>
        </w:tc>
        <w:tc>
          <w:tcPr/>
          <w:p>
            <w:pPr>
              <w:pStyle w:val="Compact"/>
              <w:jc w:val="left"/>
            </w:pPr>
            <w:r>
              <w:t xml:space="preserve">mediana de 3,4 años (finalizado prematuramente por eficacia)</w:t>
            </w:r>
          </w:p>
        </w:tc>
        <w:tc>
          <w:tcPr/>
          <w:p>
            <w:pPr>
              <w:pStyle w:val="Compact"/>
              <w:jc w:val="left"/>
            </w:pPr>
            <w:r>
              <w:t xml:space="preserve">variable renal 331 frente a 410 eventos; HR 0,76; mortalidad total HR 0,80</w:t>
            </w:r>
          </w:p>
        </w:tc>
      </w:tr>
    </w:tbl>
    <w:p>
      <w:pPr>
        <w:pStyle w:val="BodyText"/>
      </w:pPr>
      <w:r>
        <w:t xml:space="preserve">FLOW</w:t>
      </w:r>
      <w:r>
        <w:rPr>
          <w:rStyle w:val="FootnoteReference"/>
        </w:rPr>
        <w:footnoteReference w:id="435"/>
      </w:r>
      <w:r>
        <w:t xml:space="preserve"> </w:t>
      </w:r>
      <w:r>
        <w:t xml:space="preserve">fue el primer gran estudio con un agonista del receptor de GLP-1 cuyo objetivo principal era una variable renal dura: insuficiencia renal, pérdida grave de función o muerte de causa renal o cardiovascular. Se interrumpió prematuramente tras un análisis intermedio por su clara eficacia. La pérdida anual de función renal (FGe) fue 1,16 ml/min por 1,73 m² menor con semaglutida. También se redujeron los eventos cardiovasculares (HR 0,82) y la mortalidad total (HR 0,80).</w:t>
      </w:r>
    </w:p>
    <w:bookmarkEnd w:id="436"/>
    <w:bookmarkStart w:id="442" w:name="Xbe13d503502a4e2839a8a1bc618a23e6ab99ba4"/>
    <w:p>
      <w:pPr>
        <w:pStyle w:val="Heading4"/>
      </w:pPr>
      <w:r>
        <w:t xml:space="preserve">Otros órganos: hígado, insuficiencia cardíaca, vasos, articulaciones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ESSENCE (Sanyal 2025), PMID 40305708</w:t>
            </w:r>
          </w:p>
        </w:tc>
        <w:tc>
          <w:tcPr/>
          <w:p>
            <w:pPr>
              <w:pStyle w:val="Compact"/>
              <w:jc w:val="left"/>
            </w:pPr>
            <w:r>
              <w:t xml:space="preserve">1197 personas con esteatohepatitis (MASH) y fibrosis en estadio 2–3; análisis intermedio de los primeros 800</w:t>
            </w:r>
          </w:p>
        </w:tc>
        <w:tc>
          <w:tcPr/>
          <w:p>
            <w:pPr>
              <w:pStyle w:val="Compact"/>
              <w:jc w:val="left"/>
            </w:pPr>
            <w:r>
              <w:t xml:space="preserve">72 semanas (primera parte)</w:t>
            </w:r>
          </w:p>
        </w:tc>
        <w:tc>
          <w:tcPr/>
          <w:p>
            <w:pPr>
              <w:pStyle w:val="Compact"/>
              <w:jc w:val="left"/>
            </w:pPr>
            <w:r>
              <w:t xml:space="preserve">resolución de la inflamación 62,9 % frente a 34,3 %; menos fibrosis 36,8 % frente a 22,4 %</w:t>
            </w:r>
          </w:p>
        </w:tc>
      </w:tr>
      <w:tr>
        <w:tc>
          <w:tcPr/>
          <w:p>
            <w:pPr>
              <w:pStyle w:val="Compact"/>
              <w:jc w:val="left"/>
            </w:pPr>
            <w:r>
              <w:t xml:space="preserve">STEP-HFpEF (Kosiborod 2023), PMID 37622681</w:t>
            </w:r>
          </w:p>
        </w:tc>
        <w:tc>
          <w:tcPr/>
          <w:p>
            <w:pPr>
              <w:pStyle w:val="Compact"/>
              <w:jc w:val="left"/>
            </w:pPr>
            <w:r>
              <w:t xml:space="preserve">529 personas con insuficiencia cardíaca con función de bomba conservada y obesidad; 2,4 mg frente a placebo</w:t>
            </w:r>
          </w:p>
        </w:tc>
        <w:tc>
          <w:tcPr/>
          <w:p>
            <w:pPr>
              <w:pStyle w:val="Compact"/>
              <w:jc w:val="left"/>
            </w:pPr>
            <w:r>
              <w:t xml:space="preserve">52 semanas</w:t>
            </w:r>
          </w:p>
        </w:tc>
        <w:tc>
          <w:tcPr/>
          <w:p>
            <w:pPr>
              <w:pStyle w:val="Compact"/>
              <w:jc w:val="left"/>
            </w:pPr>
            <w:r>
              <w:t xml:space="preserve">puntuación de síntomas +16,6 frente a +8,7 puntos; distancia caminada +21,5 frente a +1,2 m</w:t>
            </w:r>
          </w:p>
        </w:tc>
      </w:tr>
      <w:tr>
        <w:tc>
          <w:tcPr/>
          <w:p>
            <w:pPr>
              <w:pStyle w:val="Compact"/>
              <w:jc w:val="left"/>
            </w:pPr>
            <w:r>
              <w:t xml:space="preserve">STRIDE (Bonaca 2025), PMID 40169145</w:t>
            </w:r>
          </w:p>
        </w:tc>
        <w:tc>
          <w:tcPr/>
          <w:p>
            <w:pPr>
              <w:pStyle w:val="Compact"/>
              <w:jc w:val="left"/>
            </w:pPr>
            <w:r>
              <w:t xml:space="preserve">792 personas con claudicación intermitente y diabetes tipo 2; 1,0 mg frente a placebo</w:t>
            </w:r>
          </w:p>
        </w:tc>
        <w:tc>
          <w:tcPr/>
          <w:p>
            <w:pPr>
              <w:pStyle w:val="Compact"/>
              <w:jc w:val="left"/>
            </w:pPr>
            <w:r>
              <w:t xml:space="preserve">52 semanas</w:t>
            </w:r>
          </w:p>
        </w:tc>
        <w:tc>
          <w:tcPr/>
          <w:p>
            <w:pPr>
              <w:pStyle w:val="Compact"/>
              <w:jc w:val="left"/>
            </w:pPr>
            <w:r>
              <w:t xml:space="preserve">distancia máxima caminada mejorada un 13 % más</w:t>
            </w:r>
          </w:p>
        </w:tc>
      </w:tr>
      <w:tr>
        <w:tc>
          <w:tcPr/>
          <w:p>
            <w:pPr>
              <w:pStyle w:val="Compact"/>
              <w:jc w:val="left"/>
            </w:pPr>
            <w:r>
              <w:t xml:space="preserve">STEP 9 (Bliddal 2024), PMID 39476339</w:t>
            </w:r>
          </w:p>
        </w:tc>
        <w:tc>
          <w:tcPr/>
          <w:p>
            <w:pPr>
              <w:pStyle w:val="Compact"/>
              <w:jc w:val="left"/>
            </w:pPr>
            <w:r>
              <w:t xml:space="preserve">407 personas con obesidad y artrosis de rodilla</w:t>
            </w:r>
          </w:p>
        </w:tc>
        <w:tc>
          <w:tcPr/>
          <w:p>
            <w:pPr>
              <w:pStyle w:val="Compact"/>
              <w:jc w:val="left"/>
            </w:pPr>
            <w:r>
              <w:t xml:space="preserve">68 semanas</w:t>
            </w:r>
          </w:p>
        </w:tc>
        <w:tc>
          <w:tcPr/>
          <w:p>
            <w:pPr>
              <w:pStyle w:val="Compact"/>
              <w:jc w:val="left"/>
            </w:pPr>
            <w:r>
              <w:t xml:space="preserve">puntuación de dolor −41,7 frente a −27,5 puntos; peso −13,7 % frente a −3,2 %</w:t>
            </w:r>
          </w:p>
        </w:tc>
      </w:tr>
    </w:tbl>
    <w:p>
      <w:pPr>
        <w:pStyle w:val="BodyText"/>
      </w:pPr>
      <w:r>
        <w:rPr>
          <w:bCs/>
          <w:b/>
        </w:rPr>
        <w:t xml:space="preserve">Hígado:</w:t>
      </w:r>
      <w:r>
        <w:t xml:space="preserve"> </w:t>
      </w:r>
      <w:r>
        <w:t xml:space="preserve">en ESSENCE</w:t>
      </w:r>
      <w:r>
        <w:rPr>
          <w:rStyle w:val="FootnoteReference"/>
        </w:rPr>
        <w:footnoteReference w:id="437"/>
      </w:r>
      <w:r>
        <w:t xml:space="preserve">, la esteatohepatitis remitió en la muestra de tejido en casi dos tercios de las personas tratadas, sin que aumentara la cicatrización. Una reducción de la fibrosis —el objetivo clínicamente más importante— la alcanzó el 36,8 % frente al 22,4 %. La segunda parte del estudio, con variables hepáticas duras como la cirrosis, se prolonga hasta 2029</w:t>
      </w:r>
      <w:r>
        <w:rPr>
          <w:rStyle w:val="FootnoteReference"/>
        </w:rPr>
        <w:footnoteReference w:id="438"/>
      </w:r>
      <w:r>
        <w:t xml:space="preserve">.</w:t>
      </w:r>
    </w:p>
    <w:p>
      <w:pPr>
        <w:pStyle w:val="BodyText"/>
      </w:pPr>
      <w:r>
        <w:rPr>
          <w:bCs/>
          <w:b/>
        </w:rPr>
        <w:t xml:space="preserve">Insuficiencia cardíaca:</w:t>
      </w:r>
      <w:r>
        <w:t xml:space="preserve"> </w:t>
      </w:r>
      <w:r>
        <w:t xml:space="preserve">en la insuficiencia cardíaca con función de bomba conservada y obesidad, los síntomas y la capacidad de esfuerzo mejoraron claramente</w:t>
      </w:r>
      <w:r>
        <w:rPr>
          <w:rStyle w:val="FootnoteReference"/>
        </w:rPr>
        <w:footnoteReference w:id="439"/>
      </w:r>
      <w:r>
        <w:t xml:space="preserve">. Los acontecimientos adversos graves fueron menos frecuentes con semaglutida (13,3 % frente a 26,7 %). Si la semaglutida reduce también las hospitalizaciones o las muertes por insuficiencia cardíaca no era el objetivo principal de este estudio.</w:t>
      </w:r>
    </w:p>
    <w:p>
      <w:pPr>
        <w:pStyle w:val="BodyText"/>
      </w:pPr>
      <w:r>
        <w:rPr>
          <w:bCs/>
          <w:b/>
        </w:rPr>
        <w:t xml:space="preserve">Claudicación intermitente:</w:t>
      </w:r>
      <w:r>
        <w:t xml:space="preserve"> </w:t>
      </w:r>
      <w:r>
        <w:t xml:space="preserve">en la enfermedad arterial periférica, la semaglutida aumentó la distancia máxima caminada</w:t>
      </w:r>
      <w:r>
        <w:rPr>
          <w:rStyle w:val="FootnoteReference"/>
        </w:rPr>
        <w:footnoteReference w:id="440"/>
      </w:r>
      <w:r>
        <w:t xml:space="preserve">.</w:t>
      </w:r>
    </w:p>
    <w:p>
      <w:pPr>
        <w:pStyle w:val="BodyText"/>
      </w:pPr>
      <w:r>
        <w:rPr>
          <w:bCs/>
          <w:b/>
        </w:rPr>
        <w:t xml:space="preserve">Artrosis de rodilla:</w:t>
      </w:r>
      <w:r>
        <w:t xml:space="preserve"> </w:t>
      </w:r>
      <w:r>
        <w:t xml:space="preserve">en STEP 9</w:t>
      </w:r>
      <w:r>
        <w:rPr>
          <w:rStyle w:val="FootnoteReference"/>
        </w:rPr>
        <w:footnoteReference w:id="441"/>
      </w:r>
      <w:r>
        <w:t xml:space="preserve">, el dolor de rodilla disminuyó más que con placebo. El estudio deja abierto si esto se debe solo a la pérdida de peso.</w:t>
      </w:r>
    </w:p>
    <w:bookmarkEnd w:id="442"/>
    <w:bookmarkStart w:id="447" w:name="cerebro-y-adicciones"/>
    <w:p>
      <w:pPr>
        <w:pStyle w:val="Heading4"/>
      </w:pPr>
      <w:r>
        <w:t xml:space="preserve">Cerebro y adicciones</w:t>
      </w:r>
    </w:p>
    <w:p>
      <w:pPr>
        <w:pStyle w:val="FirstParagraph"/>
      </w:pPr>
      <w:r>
        <w:rPr>
          <w:bCs/>
          <w:b/>
        </w:rPr>
        <w:t xml:space="preserve">Enfermedad de Alzheimer:</w:t>
      </w:r>
      <w:r>
        <w:t xml:space="preserve"> </w:t>
      </w:r>
      <w:r>
        <w:t xml:space="preserve">la esperanza de que los agonistas del receptor de GLP-1 pudieran frenar el deterioro cognitivo se basaba en experimentos con animales y datos observacionales. Novo Nordisk lo evaluó en dos grandes estudios de fase 3, evoke y evoke+, con un total de 3808 personas con enfermedad de Alzheimer temprana que recibieron durante 104 semanas comprimidos diarios de semaglutida o placebo</w:t>
      </w:r>
      <w:r>
        <w:rPr>
          <w:rStyle w:val="FootnoteReference"/>
        </w:rPr>
        <w:footnoteReference w:id="443"/>
      </w:r>
      <w:r>
        <w:t xml:space="preserve">. El resultado fue claramente negativo: la enfermedad avanzó igual de rápido en ambos grupos (diferencia en la escala de demencia CDR-SB de −0,08 y +0,10 puntos, respectivamente, no significativa). Así pues, según el estado actual, la semaglutida ha fracasado como medicamento contra el Alzheimer; un comentario en la misma revista analiza las consecuencias para este campo de investigación</w:t>
      </w:r>
      <w:r>
        <w:rPr>
          <w:rStyle w:val="FootnoteReference"/>
        </w:rPr>
        <w:footnoteReference w:id="444"/>
      </w:r>
      <w:r>
        <w:t xml:space="preserve">.</w:t>
      </w:r>
    </w:p>
    <w:p>
      <w:pPr>
        <w:pStyle w:val="BodyText"/>
      </w:pPr>
      <w:r>
        <w:rPr>
          <w:bCs/>
          <w:b/>
        </w:rPr>
        <w:t xml:space="preserve">Alcohol:</w:t>
      </w:r>
      <w:r>
        <w:t xml:space="preserve"> </w:t>
      </w:r>
      <w:r>
        <w:t xml:space="preserve">en un pequeño estudio aleatorizado con 48 personas con trastorno por consumo de alcohol, la semaglutida a dosis bajas redujo la cantidad de alcohol bebida en una prueba de laboratorio, el deseo de beber y el número de bebidas en los días de consumo; el número de días de consumo no cambió</w:t>
      </w:r>
      <w:r>
        <w:rPr>
          <w:rStyle w:val="FootnoteReference"/>
        </w:rPr>
        <w:footnoteReference w:id="445"/>
      </w:r>
      <w:r>
        <w:t xml:space="preserve">. En un estudio de registro sueco, la semaglutida se asoció a un riesgo un 36 % menor de hospitalizaciones relacionadas con el alcohol</w:t>
      </w:r>
      <w:r>
        <w:rPr>
          <w:rStyle w:val="FootnoteReference"/>
        </w:rPr>
        <w:footnoteReference w:id="446"/>
      </w:r>
      <w:r>
        <w:t xml:space="preserve">. Hay en marcha estudios aleatorizados más grandes.</w:t>
      </w:r>
    </w:p>
    <w:bookmarkEnd w:id="447"/>
    <w:bookmarkEnd w:id="448"/>
    <w:bookmarkStart w:id="452" w:name="estudios-en-animales-y-de-laboratorio-3"/>
    <w:p>
      <w:pPr>
        <w:pStyle w:val="Heading3"/>
      </w:pPr>
      <w:r>
        <w:t xml:space="preserve">Estudios en animales y de laboratorio</w:t>
      </w:r>
    </w:p>
    <w:p>
      <w:pPr>
        <w:pStyle w:val="FirstParagraph"/>
      </w:pPr>
      <w:r>
        <w:t xml:space="preserve">La semaglutida se diseñó deliberadamente sobre el papel: de entre numerosas variantes, los desarrolladores eligieron la que ofrecía la mejor combinación de unión a la albúmina, efecto sobre el receptor y estabilidad</w:t>
      </w:r>
      <w:r>
        <w:rPr>
          <w:rStyle w:val="FootnoteReference"/>
        </w:rPr>
        <w:footnoteReference w:id="449"/>
      </w:r>
      <w:r>
        <w:t xml:space="preserve">. La semivida se determinó primero en minicerdos. La absorción del comprimido a través de la mucosa gástrica se estudió en perros y en seres humanos</w:t>
      </w:r>
      <w:r>
        <w:rPr>
          <w:rStyle w:val="FootnoteReference"/>
        </w:rPr>
        <w:footnoteReference w:id="450"/>
      </w:r>
      <w:r>
        <w:t xml:space="preserve">.</w:t>
      </w:r>
    </w:p>
    <w:p>
      <w:pPr>
        <w:pStyle w:val="BodyText"/>
      </w:pPr>
      <w:r>
        <w:t xml:space="preserve">Como con la liraglutida, los experimentos de larga duración en roedores provocaron tumores de células C de la tiroides; su extrapolación al ser humano se considera dudosa por la baja densidad de receptores en las células C humanas</w:t>
      </w:r>
      <w:r>
        <w:rPr>
          <w:rStyle w:val="FootnoteReference"/>
        </w:rPr>
        <w:footnoteReference w:id="451"/>
      </w:r>
      <w:r>
        <w:t xml:space="preserve">. Los experimentos en animales sobre neuroprotección, adicciones e inflamación sentaron las bases de los estudios en seres humanos descritos más arriba, con resultados dispares, como muestra el fracaso de evoke.</w:t>
      </w:r>
    </w:p>
    <w:bookmarkEnd w:id="452"/>
    <w:bookmarkStart w:id="464" w:name="riesgos-y-efectos-adversos-3"/>
    <w:p>
      <w:pPr>
        <w:pStyle w:val="Heading3"/>
      </w:pPr>
      <w:r>
        <w:t xml:space="preserve">Riesgos y efectos adversos</w:t>
      </w:r>
    </w:p>
    <w:p>
      <w:pPr>
        <w:pStyle w:val="FirstParagraph"/>
      </w:pPr>
      <w:r>
        <w:rPr>
          <w:bCs/>
          <w:b/>
        </w:rPr>
        <w:t xml:space="preserve">Demostrados en estudios aleatorizados:</w:t>
      </w:r>
    </w:p>
    <w:p>
      <w:pPr>
        <w:numPr>
          <w:ilvl w:val="0"/>
          <w:numId w:val="1055"/>
        </w:numPr>
        <w:pStyle w:val="Compact"/>
      </w:pPr>
      <w:r>
        <w:rPr>
          <w:bCs/>
          <w:b/>
        </w:rPr>
        <w:t xml:space="preserve">Molestias gastrointestinales:</w:t>
      </w:r>
      <w:r>
        <w:t xml:space="preserve"> </w:t>
      </w:r>
      <w:r>
        <w:t xml:space="preserve">las náuseas, la diarrea, los vómitos y el estreñimiento afectan en los estudios de obesidad a la mayoría de las personas tratadas, por lo general de forma leve a moderada y transitoria, sobre todo durante el aumento de la dosis</w:t>
      </w:r>
      <w:r>
        <w:rPr>
          <w:rStyle w:val="FootnoteReference"/>
        </w:rPr>
        <w:footnoteReference w:id="453"/>
      </w:r>
      <w:r>
        <w:t xml:space="preserve">. Son el motivo más frecuente de interrupción del tratamiento.</w:t>
      </w:r>
    </w:p>
    <w:p>
      <w:pPr>
        <w:numPr>
          <w:ilvl w:val="0"/>
          <w:numId w:val="1055"/>
        </w:numPr>
        <w:pStyle w:val="Compact"/>
      </w:pPr>
      <w:r>
        <w:rPr>
          <w:bCs/>
          <w:b/>
        </w:rPr>
        <w:t xml:space="preserve">Cálculos biliares e inflamación de la vesícula:</w:t>
      </w:r>
      <w:r>
        <w:t xml:space="preserve"> </w:t>
      </w:r>
      <w:r>
        <w:t xml:space="preserve">aumentados en la clase en su conjunto, sobre todo con dosis altas y en la reducción de peso</w:t>
      </w:r>
      <w:r>
        <w:rPr>
          <w:rStyle w:val="FootnoteReference"/>
        </w:rPr>
        <w:footnoteReference w:id="454"/>
      </w:r>
      <w:r>
        <w:t xml:space="preserve">; en STEP TEENS, en el 4 % de los adolescentes</w:t>
      </w:r>
      <w:r>
        <w:rPr>
          <w:rStyle w:val="FootnoteReference"/>
        </w:rPr>
        <w:footnoteReference w:id="455"/>
      </w:r>
      <w:r>
        <w:t xml:space="preserve">.</w:t>
      </w:r>
    </w:p>
    <w:p>
      <w:pPr>
        <w:numPr>
          <w:ilvl w:val="0"/>
          <w:numId w:val="1055"/>
        </w:numPr>
        <w:pStyle w:val="Compact"/>
      </w:pPr>
      <w:r>
        <w:rPr>
          <w:bCs/>
          <w:b/>
        </w:rPr>
        <w:t xml:space="preserve">Empeoramiento de una retinopatía diabética:</w:t>
      </w:r>
      <w:r>
        <w:t xml:space="preserve"> </w:t>
      </w:r>
      <w:r>
        <w:t xml:space="preserve">más frecuente en SUSTAIN 6 (HR 1,76)</w:t>
      </w:r>
      <w:r>
        <w:rPr>
          <w:rStyle w:val="FootnoteReference"/>
        </w:rPr>
        <w:footnoteReference w:id="456"/>
      </w:r>
      <w:r>
        <w:t xml:space="preserve">. Se sospecha que una reducción muy rápida de la glucemia en una retinopatía ya existente es perjudicial de forma transitoria, un efecto que también se conoce con la insulina. Está en marcha un estudio propio con 1500 participantes sobre esta cuestión</w:t>
      </w:r>
      <w:r>
        <w:rPr>
          <w:rStyle w:val="FootnoteReference"/>
        </w:rPr>
        <w:footnoteReference w:id="457"/>
      </w:r>
      <w:r>
        <w:t xml:space="preserve">. Las personas con retinopatía deben tener seguimiento oftalmológico.</w:t>
      </w:r>
    </w:p>
    <w:p>
      <w:pPr>
        <w:numPr>
          <w:ilvl w:val="0"/>
          <w:numId w:val="1055"/>
        </w:numPr>
        <w:pStyle w:val="Compact"/>
      </w:pPr>
      <w:r>
        <w:rPr>
          <w:bCs/>
          <w:b/>
        </w:rPr>
        <w:t xml:space="preserve">Pérdida de masa muscular:</w:t>
      </w:r>
      <w:r>
        <w:t xml:space="preserve"> </w:t>
      </w:r>
      <w:r>
        <w:t xml:space="preserve">con cualquier pérdida de peso importante se pierde también masa magra. Qué relevancia tiene esto con semaglutida, sobre todo en las personas mayores, todavía se está investigando; la Parte IV lo aborda.</w:t>
      </w:r>
    </w:p>
    <w:p>
      <w:pPr>
        <w:pStyle w:val="FirstParagraph"/>
      </w:pPr>
      <w:r>
        <w:rPr>
          <w:bCs/>
          <w:b/>
        </w:rPr>
        <w:t xml:space="preserve">Datos observacionales y señales:</w:t>
      </w:r>
    </w:p>
    <w:p>
      <w:pPr>
        <w:numPr>
          <w:ilvl w:val="0"/>
          <w:numId w:val="1056"/>
        </w:numPr>
        <w:pStyle w:val="Compact"/>
      </w:pPr>
      <w:r>
        <w:rPr>
          <w:bCs/>
          <w:b/>
        </w:rPr>
        <w:t xml:space="preserve">NAION (trastorno circulatorio del nervio óptico):</w:t>
      </w:r>
      <w:r>
        <w:t xml:space="preserve"> </w:t>
      </w:r>
      <w:r>
        <w:t xml:space="preserve">en 2024, un estudio estadounidense de una clínica oftalmológica comunicó un riesgo claramente aumentado de neuropatía óptica isquémica anterior no arterítica, una pérdida de visión súbita y generalmente indolora en un ojo</w:t>
      </w:r>
      <w:r>
        <w:rPr>
          <w:rStyle w:val="FootnoteReference"/>
        </w:rPr>
        <w:footnoteReference w:id="458"/>
      </w:r>
      <w:r>
        <w:t xml:space="preserve">. En este estudio, el hazard ratio fue de 4,28 (diabetes) y 7,64 (obesidad), respectivamente, aunque con un número de casos muy pequeño. Un estudio de registro danés-noruego con más de 60.000 personas con diabetes tipo 2 confirmó un aumento del riesgo relativo (HR 2,81), con un riesgo absoluto bajo: unos 1,4 casos adicionales por cada 10.000 personas-año</w:t>
      </w:r>
      <w:r>
        <w:rPr>
          <w:rStyle w:val="FootnoteReference"/>
        </w:rPr>
        <w:footnoteReference w:id="459"/>
      </w:r>
      <w:r>
        <w:t xml:space="preserve">. Un metaanálisis de 2026 encontró la señal solo en estudios observacionales en la diabetes (HR 1,85), no en estudios aleatorizados ni en la obesidad</w:t>
      </w:r>
      <w:r>
        <w:rPr>
          <w:rStyle w:val="FootnoteReference"/>
        </w:rPr>
        <w:footnoteReference w:id="460"/>
      </w:r>
      <w:r>
        <w:t xml:space="preserve">. La Agencia Europea de Medicamentos incluyó en 2025 la NAION en la ficha técnica como efecto adverso muy raro. Quien vea peor de repente durante el tratamiento con semaglutida debe buscar ayuda médica de inmediato.</w:t>
      </w:r>
    </w:p>
    <w:p>
      <w:pPr>
        <w:numPr>
          <w:ilvl w:val="0"/>
          <w:numId w:val="1056"/>
        </w:numPr>
        <w:pStyle w:val="Compact"/>
      </w:pPr>
      <w:r>
        <w:rPr>
          <w:bCs/>
          <w:b/>
        </w:rPr>
        <w:t xml:space="preserve">Inflamación del páncreas y obstrucción intestinal:</w:t>
      </w:r>
      <w:r>
        <w:t xml:space="preserve"> </w:t>
      </w:r>
      <w:r>
        <w:t xml:space="preserve">un análisis de datos de aseguradoras encontró con los agonistas del receptor de GLP-1 para perder peso un aumento del riesgo de pancreatitis, obstrucción intestinal y parálisis gástrica</w:t>
      </w:r>
      <w:r>
        <w:rPr>
          <w:rStyle w:val="FootnoteReference"/>
        </w:rPr>
        <w:footnoteReference w:id="461"/>
      </w:r>
      <w:r>
        <w:t xml:space="preserve">. En los grandes estudios aleatorizados, la pancreatitis fue rara. La ficha técnica la menciona como posible efecto adverso.</w:t>
      </w:r>
    </w:p>
    <w:p>
      <w:pPr>
        <w:numPr>
          <w:ilvl w:val="0"/>
          <w:numId w:val="1056"/>
        </w:numPr>
        <w:pStyle w:val="Compact"/>
      </w:pPr>
      <w:r>
        <w:rPr>
          <w:bCs/>
          <w:b/>
        </w:rPr>
        <w:t xml:space="preserve">Cáncer de tiroides:</w:t>
      </w:r>
      <w:r>
        <w:t xml:space="preserve"> </w:t>
      </w:r>
      <w:r>
        <w:t xml:space="preserve">señal en estudios observacionales y metaanálisis para la clase</w:t>
      </w:r>
      <w:r>
        <w:rPr>
          <w:rStyle w:val="FootnoteReference"/>
        </w:rPr>
        <w:footnoteReference w:id="462"/>
      </w:r>
      <w:r>
        <w:t xml:space="preserve">; véase el capítulo Liraglutida.</w:t>
      </w:r>
    </w:p>
    <w:p>
      <w:pPr>
        <w:numPr>
          <w:ilvl w:val="0"/>
          <w:numId w:val="1056"/>
        </w:numPr>
        <w:pStyle w:val="Compact"/>
      </w:pPr>
      <w:r>
        <w:rPr>
          <w:bCs/>
          <w:b/>
        </w:rPr>
        <w:t xml:space="preserve">Efectos adversos psiquiátricos:</w:t>
      </w:r>
      <w:r>
        <w:t xml:space="preserve"> </w:t>
      </w:r>
      <w:r>
        <w:t xml:space="preserve">tras notificaciones de ideas suicidas, las autoridades realizaron una evaluación en 2023/2024 y no encontraron pruebas de una relación causal. En una gran cohorte estadounidense con 240.618 personas con exceso de peso, la semaglutida se asoció incluso a menos ideas suicidas de nueva aparición que otros medicamentos para reducir peso</w:t>
      </w:r>
      <w:r>
        <w:rPr>
          <w:rStyle w:val="FootnoteReference"/>
        </w:rPr>
        <w:footnoteReference w:id="463"/>
      </w:r>
      <w:r>
        <w:t xml:space="preserve">. Los datos observacionales no pueden descartar con seguridad los sesgos.</w:t>
      </w:r>
    </w:p>
    <w:p>
      <w:pPr>
        <w:pStyle w:val="FirstParagraph"/>
      </w:pPr>
      <w:r>
        <w:rPr>
          <w:bCs/>
          <w:b/>
        </w:rPr>
        <w:t xml:space="preserve">Indicaciones para la práctica:</w:t>
      </w:r>
      <w:r>
        <w:t xml:space="preserve"> </w:t>
      </w:r>
      <w:r>
        <w:t xml:space="preserve">la semaglutida no está indicada durante el embarazo; la ficha técnica recomienda suspenderla con suficiente antelación antes de un embarazo planificado. Debido al retraso del vaciamiento gástrico, en las anestesias puede existir un mayor riesgo de que el contenido gástrico pase a los pulmones; las personas tratadas deben indicarlo antes de cirugías y gastroscopias. Para el uso, el aumento de dosis y las contraindicaciones, lo determinante son la ficha técnica y el seguimiento médico.</w:t>
      </w:r>
    </w:p>
    <w:bookmarkEnd w:id="464"/>
    <w:bookmarkStart w:id="468" w:name="Xf69fe3076df3b0b76b7da911870cedac0fc405f"/>
    <w:p>
      <w:pPr>
        <w:pStyle w:val="Heading3"/>
      </w:pPr>
      <w:r>
        <w:t xml:space="preserve">Mercado gris, compounding y falsificaciones</w:t>
      </w:r>
    </w:p>
    <w:p>
      <w:pPr>
        <w:pStyle w:val="FirstParagraph"/>
      </w:pPr>
      <w:r>
        <w:t xml:space="preserve">Ningún otro péptido de este libro se obtiene con tanta frecuencia fuera de las vías regulares como la semaglutida. A partir de 2022, la demanda superó durante años la oferta. Hay que distinguir tres problemas.</w:t>
      </w:r>
    </w:p>
    <w:p>
      <w:pPr>
        <w:pStyle w:val="BodyText"/>
      </w:pPr>
      <w:r>
        <w:rPr>
          <w:bCs/>
          <w:b/>
        </w:rPr>
        <w:t xml:space="preserve">Compounding (EE. UU.):</w:t>
      </w:r>
      <w:r>
        <w:t xml:space="preserve"> </w:t>
      </w:r>
      <w:r>
        <w:t xml:space="preserve">durante los problemas de suministro oficiales, las farmacias estadounidenses pudieron elaborar semaglutida por sí mismas («compounding»), a menudo como polvo o solución en viales, en parte con otras formas salinas del principio activo. Tras el fin de la escasez, la FDA ha restringido fuertemente esta práctica. Una serie de casos de un centro de información toxicológica describió sobredosis de diez veces la dosis porque los pacientes manejaban jeringas y viales en lugar de plumas precargadas y confundían mililitros, unidades y miligramos</w:t>
      </w:r>
      <w:r>
        <w:rPr>
          <w:rStyle w:val="FootnoteReference"/>
        </w:rPr>
        <w:footnoteReference w:id="465"/>
      </w:r>
      <w:r>
        <w:t xml:space="preserve">. En un análisis de la base de datos estadounidense de efectos adversos, las notificaciones de errores de elaboración, contaminación y hospitalizaciones fueron desproporcionadamente frecuentes con los productos elaborados en farmacia</w:t>
      </w:r>
      <w:r>
        <w:rPr>
          <w:rStyle w:val="FootnoteReference"/>
        </w:rPr>
        <w:footnoteReference w:id="466"/>
      </w:r>
      <w:r>
        <w:t xml:space="preserve">.</w:t>
      </w:r>
    </w:p>
    <w:p>
      <w:pPr>
        <w:pStyle w:val="BodyText"/>
      </w:pPr>
      <w:r>
        <w:rPr>
          <w:bCs/>
          <w:b/>
        </w:rPr>
        <w:t xml:space="preserve">Tiendas en línea ilegales:</w:t>
      </w:r>
      <w:r>
        <w:t xml:space="preserve"> </w:t>
      </w:r>
      <w:r>
        <w:t xml:space="preserve">en un estudio de mercado, el 42,3 % de los enlaces a farmacias en línea encontrados conducían a vendedores ilegales que vendían semaglutida sin receta</w:t>
      </w:r>
      <w:r>
        <w:rPr>
          <w:rStyle w:val="FootnoteReference"/>
        </w:rPr>
        <w:footnoteReference w:id="467"/>
      </w:r>
      <w:r>
        <w:t xml:space="preserve">. En las compras de prueba, las plumas de Ozempic encargadas ni siquiera llegaron. Los viales entregados contenían semaglutida, pero la pureza era solo del 7,7 % al 14,37 % en lugar del 99 % declarado, y en todas las muestras se detectaron endotoxinas (componentes de bacterias que pueden provocar fiebre e inflamación).</w:t>
      </w:r>
    </w:p>
    <w:p>
      <w:pPr>
        <w:pStyle w:val="BodyText"/>
      </w:pPr>
      <w:r>
        <w:rPr>
          <w:bCs/>
          <w:b/>
        </w:rPr>
        <w:t xml:space="preserve">Falsificaciones:</w:t>
      </w:r>
      <w:r>
        <w:t xml:space="preserve"> </w:t>
      </w:r>
      <w:r>
        <w:t xml:space="preserve">han aparecido plumas de Ozempic falsificadas en Europa y Estados Unidos, en parte rellenas de insulina o sin principio activo; las autoridades sanitarias y la Organización Mundial de la Salud han emitido varias advertencias. Encontrarás información general sobre los productos del mercado gris en la Parte I y la Parte IV. Solo la vía regular es segura: prescripción médica y dispensación en la farmacia.</w:t>
      </w:r>
    </w:p>
    <w:bookmarkEnd w:id="468"/>
    <w:bookmarkStart w:id="469" w:name="situación-legal-3"/>
    <w:p>
      <w:pPr>
        <w:pStyle w:val="Heading3"/>
      </w:pPr>
      <w:r>
        <w:t xml:space="preserve">Situación legal</w:t>
      </w:r>
    </w:p>
    <w:p>
      <w:pPr>
        <w:numPr>
          <w:ilvl w:val="0"/>
          <w:numId w:val="1057"/>
        </w:numPr>
        <w:pStyle w:val="Compact"/>
      </w:pPr>
      <w:r>
        <w:rPr>
          <w:bCs/>
          <w:b/>
        </w:rPr>
        <w:t xml:space="preserve">UE:</w:t>
      </w:r>
      <w:r>
        <w:t xml:space="preserve"> </w:t>
      </w:r>
      <w:r>
        <w:t xml:space="preserve">Ozempic (2018), Rybelsus (2020) y Wegovy (2022) están autorizados por el procedimiento centralizado y sujetos a prescripción médica. Wegovy está autorizado para el control del peso en adultos y adolescentes a partir de 12 años; la ficha técnica contiene ya también datos sobre la reducción del riesgo cardiovascular procedentes de SELECT.</w:t>
      </w:r>
    </w:p>
    <w:p>
      <w:pPr>
        <w:numPr>
          <w:ilvl w:val="0"/>
          <w:numId w:val="1057"/>
        </w:numPr>
        <w:pStyle w:val="Compact"/>
      </w:pPr>
      <w:r>
        <w:rPr>
          <w:bCs/>
          <w:b/>
        </w:rPr>
        <w:t xml:space="preserve">Alemania:</w:t>
      </w:r>
      <w:r>
        <w:t xml:space="preserve"> </w:t>
      </w:r>
      <w:r>
        <w:t xml:space="preserve">Ozempic y Rybelsus se financian en la diabetes tipo 2. Wegovy se considera un medicamento para reducir peso y, según el artículo 34 del Libro V del Código Social (SGB V), está excluido en principio de la financiación del seguro obligatorio de enfermedad; se está debatiendo políticamente un cambio. La prescripción de Ozempic solo para perder peso es un uso fuera de indicación y fue criticada expresamente por las autoridades durante los problemas de suministro.</w:t>
      </w:r>
    </w:p>
    <w:p>
      <w:pPr>
        <w:numPr>
          <w:ilvl w:val="0"/>
          <w:numId w:val="1057"/>
        </w:numPr>
        <w:pStyle w:val="Compact"/>
      </w:pPr>
      <w:r>
        <w:rPr>
          <w:bCs/>
          <w:b/>
        </w:rPr>
        <w:t xml:space="preserve">Austria:</w:t>
      </w:r>
      <w:r>
        <w:t xml:space="preserve"> </w:t>
      </w:r>
      <w:r>
        <w:t xml:space="preserve">sujeta a prescripción médica; financiación del control del peso solo limitada (comprueba la información actualizada).</w:t>
      </w:r>
    </w:p>
    <w:p>
      <w:pPr>
        <w:numPr>
          <w:ilvl w:val="0"/>
          <w:numId w:val="1057"/>
        </w:numPr>
        <w:pStyle w:val="Compact"/>
      </w:pPr>
      <w:r>
        <w:rPr>
          <w:bCs/>
          <w:b/>
        </w:rPr>
        <w:t xml:space="preserve">EE. UU.:</w:t>
      </w:r>
      <w:r>
        <w:t xml:space="preserve"> </w:t>
      </w:r>
      <w:r>
        <w:t xml:space="preserve">Ozempic, Rybelsus y Wegovy (inyección y comprimido) autorizados, con indicaciones ampliadas para el corazón, los riñones y la MASH.</w:t>
      </w:r>
    </w:p>
    <w:p>
      <w:pPr>
        <w:numPr>
          <w:ilvl w:val="0"/>
          <w:numId w:val="1057"/>
        </w:numPr>
        <w:pStyle w:val="Compact"/>
      </w:pPr>
      <w:r>
        <w:rPr>
          <w:bCs/>
          <w:b/>
        </w:rPr>
        <w:t xml:space="preserve">Patentes y genéricos:</w:t>
      </w:r>
      <w:r>
        <w:t xml:space="preserve"> </w:t>
      </w:r>
      <w:r>
        <w:t xml:space="preserve">en varios grandes mercados fuera de la UE y Estados Unidos —entre ellos Canadá, China, India y Brasil— la protección por patente de la semaglutida expira en 2026; allí se han anunciado o ya están en el mercado los primeros preparados de imitación. En la UE y Estados Unidos no se esperan genéricos hasta 2031/2032 aproximadamente. Más información en la Parte V.</w:t>
      </w:r>
    </w:p>
    <w:p>
      <w:pPr>
        <w:numPr>
          <w:ilvl w:val="0"/>
          <w:numId w:val="1057"/>
        </w:numPr>
        <w:pStyle w:val="Compact"/>
      </w:pPr>
      <w:r>
        <w:rPr>
          <w:bCs/>
          <w:b/>
        </w:rPr>
        <w:t xml:space="preserve">Deporte (WADA):</w:t>
      </w:r>
      <w:r>
        <w:t xml:space="preserve"> </w:t>
      </w:r>
      <w:r>
        <w:t xml:space="preserve">no figura en la lista (estado en 2026; comprueba la información actualizada).</w:t>
      </w:r>
    </w:p>
    <w:bookmarkEnd w:id="469"/>
    <w:bookmarkStart w:id="475" w:name="estudios-en-curso-y-perspectivas-3"/>
    <w:p>
      <w:pPr>
        <w:pStyle w:val="Heading3"/>
      </w:pPr>
      <w:r>
        <w:t xml:space="preserve">Estudios en curso y perspectivas</w:t>
      </w:r>
    </w:p>
    <w:p>
      <w:pPr>
        <w:pStyle w:val="FirstParagraph"/>
      </w:pPr>
      <w:r>
        <w:rPr>
          <w:bCs/>
          <w:b/>
        </w:rPr>
        <w:t xml:space="preserve">Confirmado (estudios registrados):</w:t>
      </w:r>
      <w:r>
        <w:t xml:space="preserve"> </w:t>
      </w:r>
      <w:r>
        <w:t xml:space="preserve">de los 793 registros, una gran parte se refiere a combinaciones y sucesores. Ejemplos:</w:t>
      </w:r>
    </w:p>
    <w:p>
      <w:pPr>
        <w:numPr>
          <w:ilvl w:val="0"/>
          <w:numId w:val="1058"/>
        </w:numPr>
        <w:pStyle w:val="Compact"/>
      </w:pPr>
      <w:r>
        <w:rPr>
          <w:bCs/>
          <w:b/>
        </w:rPr>
        <w:t xml:space="preserve">Ojos:</w:t>
      </w:r>
      <w:r>
        <w:t xml:space="preserve"> </w:t>
      </w:r>
      <w:r>
        <w:t xml:space="preserve">un estudio con 1500 participantes investiga específicamente el efecto sobre la retinopatía diabética</w:t>
      </w:r>
      <w:r>
        <w:rPr>
          <w:rStyle w:val="FootnoteReference"/>
        </w:rPr>
        <w:footnoteReference w:id="470"/>
      </w:r>
      <w:r>
        <w:t xml:space="preserve">.</w:t>
      </w:r>
    </w:p>
    <w:p>
      <w:pPr>
        <w:numPr>
          <w:ilvl w:val="0"/>
          <w:numId w:val="1058"/>
        </w:numPr>
        <w:pStyle w:val="Compact"/>
      </w:pPr>
      <w:r>
        <w:rPr>
          <w:bCs/>
          <w:b/>
        </w:rPr>
        <w:t xml:space="preserve">Hígado:</w:t>
      </w:r>
      <w:r>
        <w:t xml:space="preserve"> </w:t>
      </w:r>
      <w:r>
        <w:t xml:space="preserve">la segunda parte de ESSENCE, con 1205 participantes, debe aclarar si la semaglutida previene la cirrosis hepática y las complicaciones hepáticas</w:t>
      </w:r>
      <w:r>
        <w:rPr>
          <w:rStyle w:val="FootnoteReference"/>
        </w:rPr>
        <w:footnoteReference w:id="471"/>
      </w:r>
      <w:r>
        <w:t xml:space="preserve">.</w:t>
      </w:r>
    </w:p>
    <w:p>
      <w:pPr>
        <w:numPr>
          <w:ilvl w:val="0"/>
          <w:numId w:val="1058"/>
        </w:numPr>
        <w:pStyle w:val="Compact"/>
      </w:pPr>
      <w:r>
        <w:rPr>
          <w:bCs/>
          <w:b/>
        </w:rPr>
        <w:t xml:space="preserve">Niños:</w:t>
      </w:r>
      <w:r>
        <w:t xml:space="preserve"> </w:t>
      </w:r>
      <w:r>
        <w:t xml:space="preserve">está en marcha un estudio con 212 niños y adolescentes</w:t>
      </w:r>
      <w:r>
        <w:rPr>
          <w:rStyle w:val="FootnoteReference"/>
        </w:rPr>
        <w:footnoteReference w:id="472"/>
      </w:r>
      <w:r>
        <w:t xml:space="preserve">.</w:t>
      </w:r>
    </w:p>
    <w:p>
      <w:pPr>
        <w:numPr>
          <w:ilvl w:val="0"/>
          <w:numId w:val="1058"/>
        </w:numPr>
        <w:pStyle w:val="Compact"/>
      </w:pPr>
      <w:r>
        <w:rPr>
          <w:bCs/>
          <w:b/>
        </w:rPr>
        <w:t xml:space="preserve">Comprimido:</w:t>
      </w:r>
      <w:r>
        <w:t xml:space="preserve"> </w:t>
      </w:r>
      <w:r>
        <w:t xml:space="preserve">se han iniciado otros estudios de fase 3 con el comprimido en la obesidad</w:t>
      </w:r>
      <w:r>
        <w:rPr>
          <w:rStyle w:val="FootnoteReference"/>
        </w:rPr>
        <w:footnoteReference w:id="473"/>
      </w:r>
      <w:r>
        <w:t xml:space="preserve">.</w:t>
      </w:r>
    </w:p>
    <w:p>
      <w:pPr>
        <w:numPr>
          <w:ilvl w:val="0"/>
          <w:numId w:val="1058"/>
        </w:numPr>
        <w:pStyle w:val="Compact"/>
      </w:pPr>
      <w:r>
        <w:rPr>
          <w:bCs/>
          <w:b/>
        </w:rPr>
        <w:t xml:space="preserve">Combinación CagriSema:</w:t>
      </w:r>
      <w:r>
        <w:t xml:space="preserve"> </w:t>
      </w:r>
      <w:r>
        <w:t xml:space="preserve">la semaglutida en combinación fija con el análogo de amilina cagrilintida se evalúa en un estudio cardiovascular con 7101 participantes</w:t>
      </w:r>
      <w:r>
        <w:rPr>
          <w:rStyle w:val="FootnoteReference"/>
        </w:rPr>
        <w:footnoteReference w:id="474"/>
      </w:r>
      <w:r>
        <w:t xml:space="preserve">; detalles en el capítulo Cagrilintida/CagriSema.</w:t>
      </w:r>
    </w:p>
    <w:p>
      <w:pPr>
        <w:pStyle w:val="FirstParagraph"/>
      </w:pPr>
      <w:r>
        <w:rPr>
          <w:bCs/>
          <w:b/>
        </w:rPr>
        <w:t xml:space="preserve">Valoración:</w:t>
      </w:r>
      <w:r>
        <w:t xml:space="preserve"> </w:t>
      </w:r>
      <w:r>
        <w:t xml:space="preserve">en los próximos años, la semaglutida estará sometida a presión por dos frentes: por sucesores más eficaces como la tirzepatida, CagriSema o la retatrutida, y por los genéricos en grandes mercados. Al mismo tiempo, es el principio activo con la base de pruebas más amplia en variables duras (corazón, riñones, hígado). La forma en comprimido podría ampliar considerablemente el acceso. Los estudios fallidos en el Alzheimer muestran que no todas las esperanzas surgidas de los experimentos en animales y de los datos observacionales se cumplen.</w:t>
      </w:r>
    </w:p>
    <w:bookmarkEnd w:id="475"/>
    <w:bookmarkStart w:id="476" w:name="conclusión-3"/>
    <w:p>
      <w:pPr>
        <w:pStyle w:val="Heading3"/>
      </w:pPr>
      <w:r>
        <w:t xml:space="preserve">Conclusión</w:t>
      </w:r>
    </w:p>
    <w:p>
      <w:pPr>
        <w:pStyle w:val="FirstParagraph"/>
      </w:pPr>
      <w:r>
        <w:t xml:space="preserve">La semaglutida es el agonista del receptor de GLP-1 estudiado de forma más exhaustiva y ha superado en comparaciones directas a la exenatida, la liraglutida y la dulaglutida. Con la dosis de 2,4 mg semanales, las personas con obesidad perdieron en STEP 1 una media del 14,9 % de su peso; tras la suspensión se recupera la mayor parte del peso. Grandes estudios de resultados mostraron una reducción de los eventos cardiovasculares graves —también sin diabetes (SELECT, 20 %)—, así como protección renal (FLOW) y mejoras en la esteatohepatitis. Los efectos adversos frecuentes afectan al tubo digestivo y a la vesícula biliar; señales raras como la NAION siguen vigilándose, mientras que los estudios en el Alzheimer no mostraron beneficio. Los productos del mercado gris entrañan riesgos considerables; el tratamiento debe estar en manos médicas y pasar por la farmacia.</w:t>
      </w:r>
    </w:p>
    <w:bookmarkEnd w:id="476"/>
    <w:bookmarkEnd w:id="477"/>
    <w:bookmarkStart w:id="537" w:name="tirzepatida"/>
    <w:p>
      <w:pPr>
        <w:pStyle w:val="Heading2"/>
      </w:pPr>
      <w:r>
        <w:t xml:space="preserve">Tirzepatida</w:t>
      </w:r>
    </w:p>
    <w:bookmarkStart w:id="478" w:name="ficha-4"/>
    <w:p>
      <w:pPr>
        <w:pStyle w:val="Heading3"/>
      </w:pPr>
      <w:r>
        <w:t xml:space="preserve">Ficha</w:t>
      </w:r>
    </w:p>
    <w:p>
      <w:pPr>
        <w:numPr>
          <w:ilvl w:val="0"/>
          <w:numId w:val="1059"/>
        </w:numPr>
        <w:pStyle w:val="Compact"/>
      </w:pPr>
      <w:r>
        <w:rPr>
          <w:bCs/>
          <w:b/>
        </w:rPr>
        <w:t xml:space="preserve">Tipo/estructura:</w:t>
      </w:r>
      <w:r>
        <w:t xml:space="preserve"> </w:t>
      </w:r>
      <w:r>
        <w:t xml:space="preserve">péptido sintético cuyo esqueleto básico se inspira en la hormona intestinal endógena GIP; una cadena de ácido graso unida a él lo fija a la albúmina en la sangre y prolonga la duración del efecto hasta el punto de que basta con una inyección semanal.</w:t>
      </w:r>
    </w:p>
    <w:p>
      <w:pPr>
        <w:numPr>
          <w:ilvl w:val="0"/>
          <w:numId w:val="1059"/>
        </w:numPr>
        <w:pStyle w:val="Compact"/>
      </w:pPr>
      <w:r>
        <w:rPr>
          <w:bCs/>
          <w:b/>
        </w:rPr>
        <w:t xml:space="preserve">Origen:</w:t>
      </w:r>
      <w:r>
        <w:t xml:space="preserve"> </w:t>
      </w:r>
      <w:r>
        <w:t xml:space="preserve">desarrollada por Eli Lilly; en los primeros estudios figuraba con el código LY3298176.</w:t>
      </w:r>
    </w:p>
    <w:p>
      <w:pPr>
        <w:numPr>
          <w:ilvl w:val="0"/>
          <w:numId w:val="1059"/>
        </w:numPr>
        <w:pStyle w:val="Compact"/>
      </w:pPr>
      <w:r>
        <w:rPr>
          <w:bCs/>
          <w:b/>
        </w:rPr>
        <w:t xml:space="preserve">Principio de acción:</w:t>
      </w:r>
      <w:r>
        <w:t xml:space="preserve"> </w:t>
      </w:r>
      <w:r>
        <w:t xml:space="preserve">agonista (activador) doble de dos receptores: el receptor de GIP y el receptor de GLP-1. Por eso se la llama también «twincretina» o «agonista incretínico dual».</w:t>
      </w:r>
    </w:p>
    <w:p>
      <w:pPr>
        <w:numPr>
          <w:ilvl w:val="0"/>
          <w:numId w:val="1059"/>
        </w:numPr>
        <w:pStyle w:val="Compact"/>
      </w:pPr>
      <w:r>
        <w:rPr>
          <w:bCs/>
          <w:b/>
        </w:rPr>
        <w:t xml:space="preserve">Autorización UE:</w:t>
      </w:r>
      <w:r>
        <w:t xml:space="preserve"> </w:t>
      </w:r>
      <w:r>
        <w:t xml:space="preserve">sí (Mounjaro) para la diabetes tipo 2 y para el control del peso en la obesidad y el sobrepeso con enfermedades asociadas.</w:t>
      </w:r>
    </w:p>
    <w:p>
      <w:pPr>
        <w:numPr>
          <w:ilvl w:val="0"/>
          <w:numId w:val="1059"/>
        </w:numPr>
        <w:pStyle w:val="Compact"/>
      </w:pPr>
      <w:r>
        <w:rPr>
          <w:bCs/>
          <w:b/>
        </w:rPr>
        <w:t xml:space="preserve">Autorización EE. UU.:</w:t>
      </w:r>
      <w:r>
        <w:t xml:space="preserve"> </w:t>
      </w:r>
      <w:r>
        <w:t xml:space="preserve">sí (Mounjaro para la diabetes tipo 2; Zepbound para la obesidad y para la apnea obstructiva del sueño moderada a grave en la obesidad).</w:t>
      </w:r>
    </w:p>
    <w:p>
      <w:pPr>
        <w:numPr>
          <w:ilvl w:val="0"/>
          <w:numId w:val="1059"/>
        </w:numPr>
        <w:pStyle w:val="Compact"/>
      </w:pPr>
      <w:r>
        <w:rPr>
          <w:bCs/>
          <w:b/>
        </w:rPr>
        <w:t xml:space="preserve">WADA:</w:t>
      </w:r>
      <w:r>
        <w:t xml:space="preserve"> </w:t>
      </w:r>
      <w:r>
        <w:t xml:space="preserve">no figura en la Lista de Prohibiciones.</w:t>
      </w:r>
    </w:p>
    <w:p>
      <w:pPr>
        <w:numPr>
          <w:ilvl w:val="0"/>
          <w:numId w:val="1059"/>
        </w:numPr>
        <w:pStyle w:val="Compact"/>
      </w:pPr>
      <w:r>
        <w:rPr>
          <w:bCs/>
          <w:b/>
        </w:rPr>
        <w:t xml:space="preserve">Nivel de evidencia:</w:t>
      </w:r>
      <w:r>
        <w:t xml:space="preserve"> </w:t>
      </w:r>
      <w:r>
        <w:rPr>
          <w:bCs/>
          <w:b/>
        </w:rPr>
        <w:t xml:space="preserve">A</w:t>
      </w:r>
      <w:r>
        <w:t xml:space="preserve"> </w:t>
      </w:r>
      <w:r>
        <w:t xml:space="preserve">– numerosos estudios aleatorizados grandes, estudios de resultados sobre el corazón y la insuficiencia cardíaca, autorización en muchos países.</w:t>
      </w:r>
    </w:p>
    <w:bookmarkEnd w:id="478"/>
    <w:bookmarkStart w:id="482" w:name="cómo-se-supone-que-actúa-4"/>
    <w:p>
      <w:pPr>
        <w:pStyle w:val="Heading3"/>
      </w:pPr>
      <w:r>
        <w:t xml:space="preserve">Cómo se supone que actúa</w:t>
      </w:r>
    </w:p>
    <w:p>
      <w:pPr>
        <w:pStyle w:val="FirstParagraph"/>
      </w:pPr>
      <w:r>
        <w:t xml:space="preserve">Después de una comida, el intestino libera dos hormonas llamadas incretinas: el GLP-1 (péptido similar al glucagón tipo 1) y el GIP (polipéptido insulinotrópico dependiente de glucosa). Ambas comunican al páncreas que «llega comida» y aumentan la secreción de insulina, pero solo mientras la glucemia esté elevada. Por eso los medicamentos incretínicos por sí solos rara vez provocan hipoglucemias. El GLP-1 frena además el vaciamiento gástrico y actúa en el cerebro sobre los centros de la saciedad. Qué papel desempeña el GIP en el apetito está menos claro y fue objeto de controversia durante mucho tiempo; en algunos trabajos antiguos, el GIP llegó a considerarse más bien una «hormona que engorda».</w:t>
      </w:r>
    </w:p>
    <w:p>
      <w:pPr>
        <w:pStyle w:val="BodyText"/>
      </w:pPr>
      <w:r>
        <w:t xml:space="preserve">La tirzepatida combina ambas señales en una sola molécula. Los estudios de laboratorio en líneas celulares mostraron dos particularidades</w:t>
      </w:r>
      <w:r>
        <w:rPr>
          <w:rStyle w:val="FootnoteReference"/>
        </w:rPr>
        <w:footnoteReference w:id="479"/>
      </w:r>
      <w:r>
        <w:t xml:space="preserve">: en primer lugar, la tirzepatida está «desequilibrada»: a las concentraciones que se alcanzan con las dosis de tratamiento, ocupa el receptor de GIP más que el de GLP-1. En segundo lugar, en el receptor de GLP-1 activa preferentemente una determinada vía de señalización (AMPc) y desencadena en menor medida la internalización del receptor, por la que este es arrastrado al interior de la célula y queda así desactivado temporalmente. Si esta señalización «sesgada» desempeña algún papel en el ser humano es una hipótesis basada en datos de laboratorio.</w:t>
      </w:r>
    </w:p>
    <w:p>
      <w:pPr>
        <w:pStyle w:val="BodyText"/>
      </w:pPr>
      <w:r>
        <w:t xml:space="preserve">En ratones con sobrepeso, la tirzepatida mejoró la sensibilidad a la insulina más que un agonista puro del GLP-1, y en parte con independencia de la pérdida de peso, a través del receptor de GIP y de una mejor captación de glucosa en el tejido adiposo</w:t>
      </w:r>
      <w:r>
        <w:rPr>
          <w:rStyle w:val="FootnoteReference"/>
        </w:rPr>
        <w:footnoteReference w:id="480"/>
      </w:r>
      <w:r>
        <w:t xml:space="preserve">. En el ser humano disminuye sobre todo la ingesta de alimentos; en un estudio con 117 personas con diabetes tipo 2, la tirzepatida redujo el apetito, la ingesta energética y la masa grasa frente a placebo. Sin embargo, en el apetito no se diferenció de forma medible de la semaglutida, aunque la pérdida de peso fue mayor; por eso los autores consideran posibles otros mecanismos</w:t>
      </w:r>
      <w:r>
        <w:rPr>
          <w:rStyle w:val="FootnoteReference"/>
        </w:rPr>
        <w:footnoteReference w:id="481"/>
      </w:r>
      <w:r>
        <w:t xml:space="preserve">.</w:t>
      </w:r>
    </w:p>
    <w:p>
      <w:pPr>
        <w:pStyle w:val="BodyText"/>
      </w:pPr>
      <w:r>
        <w:t xml:space="preserve">Dicho de forma simplificada: la tirzepatida actúa como un medicamento GLP-1 con un «amplificador» adicional de GIP. Los estudios muestran que este paquete logra más en el peso y la glucemia que los agonistas puros del GLP-1 disponibles hasta ahora; el porqué exacto todavía no se comprende del todo.</w:t>
      </w:r>
    </w:p>
    <w:bookmarkEnd w:id="482"/>
    <w:bookmarkStart w:id="515" w:name="estudios-en-humanos-4"/>
    <w:p>
      <w:pPr>
        <w:pStyle w:val="Heading3"/>
      </w:pPr>
      <w:r>
        <w:t xml:space="preserve">Estudios en humanos</w:t>
      </w:r>
    </w:p>
    <w:p>
      <w:pPr>
        <w:pStyle w:val="FirstParagraph"/>
      </w:pPr>
      <w:r>
        <w:rPr>
          <w:bCs/>
          <w:b/>
        </w:rPr>
        <w:t xml:space="preserve">Magnitud de los datos:</w:t>
      </w:r>
      <w:r>
        <w:t xml:space="preserve"> </w:t>
      </w:r>
      <w:r>
        <w:t xml:space="preserve">la consulta automatizada de PubMed (octubre de 2026) arrojó 144 publicaciones clasificadas como estudios en seres humanos con «tirzepatide» en el título o el resumen, además de muchísimos artículos de revisión y metaanálisis. En ClinicalTrials.gov había 307 estudios registrados, más de 100 de ellos aún en fase de reclutamiento (no se ha contado un registro de ejemplo manifiestamente ficticio de un promotor desconocido). La tirzepatida figura así entre los principios activos mejor estudiados de este libro. El peso principal lo soportan dos programas de registro:</w:t>
      </w:r>
      <w:r>
        <w:t xml:space="preserve"> </w:t>
      </w:r>
      <w:r>
        <w:rPr>
          <w:bCs/>
          <w:b/>
        </w:rPr>
        <w:t xml:space="preserve">SURPASS</w:t>
      </w:r>
      <w:r>
        <w:t xml:space="preserve"> </w:t>
      </w:r>
      <w:r>
        <w:t xml:space="preserve">(diabetes tipo 2) y</w:t>
      </w:r>
      <w:r>
        <w:t xml:space="preserve"> </w:t>
      </w:r>
      <w:r>
        <w:rPr>
          <w:bCs/>
          <w:b/>
        </w:rPr>
        <w:t xml:space="preserve">SURMOUNT</w:t>
      </w:r>
      <w:r>
        <w:t xml:space="preserve"> </w:t>
      </w:r>
      <w:r>
        <w:t xml:space="preserve">(obesidad), completados con estudios sobre insuficiencia cardíaca, apnea del sueño e hígado graso.</w:t>
      </w:r>
    </w:p>
    <w:bookmarkStart w:id="485" w:name="del-laboratorio-a-la-clínica-fases-1-y-2"/>
    <w:p>
      <w:pPr>
        <w:pStyle w:val="Heading4"/>
      </w:pPr>
      <w:r>
        <w:t xml:space="preserve">Del laboratorio a la clínica: fases 1 y 2</w:t>
      </w:r>
    </w:p>
    <w:p>
      <w:pPr>
        <w:pStyle w:val="FirstParagraph"/>
      </w:pPr>
      <w:r>
        <w:t xml:space="preserve">Los primeros datos en seres humanos proceden de un estudio combinado de fase 1 con 142 personas que recibieron tirzepatida, dulaglutida o placebo. En personas con diabetes tipo 2, las dosis más altas redujeron claramente la glucemia en ayunas al cabo de cuatro semanas; los efectos adversos más frecuentes afectaron al tubo digestivo</w:t>
      </w:r>
      <w:r>
        <w:rPr>
          <w:rStyle w:val="FootnoteReference"/>
        </w:rPr>
        <w:footnoteReference w:id="483"/>
      </w:r>
      <w:r>
        <w:t xml:space="preserve">.</w:t>
      </w:r>
    </w:p>
    <w:p>
      <w:pPr>
        <w:pStyle w:val="BodyText"/>
      </w:pPr>
      <w:r>
        <w:t xml:space="preserve">En el estudio de fase 2, 318 personas con diabetes tipo 2 recibieron durante 26 semanas una de cuatro dosis de tirzepatida, dulaglutida o placebo. El valor de glucemia a largo plazo HbA1c disminuyó de forma dependiente de la dosis hasta 1,94 puntos porcentuales (dulaglutida: −1,21; placebo: −0,06). El peso corporal varió con tirzepatida entre −0,9 y −11,3 kg, y con dulaglutida −2,7 kg</w:t>
      </w:r>
      <w:r>
        <w:rPr>
          <w:rStyle w:val="FootnoteReference"/>
        </w:rPr>
        <w:footnoteReference w:id="484"/>
      </w:r>
      <w:r>
        <w:t xml:space="preserve">. Esta magnitud de pérdida de peso —en un estudio de diabetes— fue el motivo del gran programa sobre obesidad.</w:t>
      </w:r>
    </w:p>
    <w:bookmarkEnd w:id="485"/>
    <w:bookmarkStart w:id="491" w:name="surpass-diabetes-tipo-2"/>
    <w:p>
      <w:pPr>
        <w:pStyle w:val="Heading4"/>
      </w:pPr>
      <w:r>
        <w:t xml:space="preserve">SURPASS: diabetes tipo 2</w:t>
      </w:r>
    </w:p>
    <w:p>
      <w:pPr>
        <w:pStyle w:val="FirstParagraph"/>
      </w:pPr>
      <w:r>
        <w:t xml:space="preserve">El programa SURPASS evaluó la tirzepatida en tres dosis (5, 10 y 15 mg semanales) frente a placebo, frente a semaglutida y frente a insulinas. El valor de HbA1c refleja la glucemia media de los últimos dos o tres meses; un valor inferior al 7 % se considera el objetivo terapéutico para muchas personas con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SURPASS-1 (Rosenstock 2021), PMID 34186022</w:t>
            </w:r>
          </w:p>
        </w:tc>
        <w:tc>
          <w:tcPr/>
          <w:p>
            <w:pPr>
              <w:pStyle w:val="Compact"/>
              <w:jc w:val="left"/>
            </w:pPr>
            <w:r>
              <w:t xml:space="preserve">478 adultos, solo dieta/ejercicio, frente a placebo</w:t>
            </w:r>
          </w:p>
        </w:tc>
        <w:tc>
          <w:tcPr/>
          <w:p>
            <w:pPr>
              <w:pStyle w:val="Compact"/>
              <w:jc w:val="left"/>
            </w:pPr>
            <w:r>
              <w:t xml:space="preserve">40 semanas</w:t>
            </w:r>
          </w:p>
        </w:tc>
        <w:tc>
          <w:tcPr/>
          <w:p>
            <w:pPr>
              <w:pStyle w:val="Compact"/>
              <w:jc w:val="left"/>
            </w:pPr>
            <w:r>
              <w:t xml:space="preserve">HbA1c −1,87 a −2,07 puntos frente a +0,04; peso −7,0 a −9,5 kg</w:t>
            </w:r>
          </w:p>
        </w:tc>
      </w:tr>
      <w:tr>
        <w:tc>
          <w:tcPr/>
          <w:p>
            <w:pPr>
              <w:pStyle w:val="Compact"/>
              <w:jc w:val="left"/>
            </w:pPr>
            <w:r>
              <w:t xml:space="preserve">SURPASS-2 (Frías 2021), PMID 34170647</w:t>
            </w:r>
          </w:p>
        </w:tc>
        <w:tc>
          <w:tcPr/>
          <w:p>
            <w:pPr>
              <w:pStyle w:val="Compact"/>
              <w:jc w:val="left"/>
            </w:pPr>
            <w:r>
              <w:t xml:space="preserve">1879 adultos con metformina, abierto frente a semaglutida 1 mg</w:t>
            </w:r>
          </w:p>
        </w:tc>
        <w:tc>
          <w:tcPr/>
          <w:p>
            <w:pPr>
              <w:pStyle w:val="Compact"/>
              <w:jc w:val="left"/>
            </w:pPr>
            <w:r>
              <w:t xml:space="preserve">40 semanas</w:t>
            </w:r>
          </w:p>
        </w:tc>
        <w:tc>
          <w:tcPr/>
          <w:p>
            <w:pPr>
              <w:pStyle w:val="Compact"/>
              <w:jc w:val="left"/>
            </w:pPr>
            <w:r>
              <w:t xml:space="preserve">HbA1c −2,01 a −2,30 frente a −1,86; peso adicional −1,9 a −5,5 kg</w:t>
            </w:r>
          </w:p>
        </w:tc>
      </w:tr>
      <w:tr>
        <w:tc>
          <w:tcPr/>
          <w:p>
            <w:pPr>
              <w:pStyle w:val="Compact"/>
              <w:jc w:val="left"/>
            </w:pPr>
            <w:r>
              <w:t xml:space="preserve">SURPASS-3 (Ludvik 2021), PMID 34370970</w:t>
            </w:r>
          </w:p>
        </w:tc>
        <w:tc>
          <w:tcPr/>
          <w:p>
            <w:pPr>
              <w:pStyle w:val="Compact"/>
              <w:jc w:val="left"/>
            </w:pPr>
            <w:r>
              <w:t xml:space="preserve">1444 adultos, abierto frente a insulina degludec</w:t>
            </w:r>
          </w:p>
        </w:tc>
        <w:tc>
          <w:tcPr/>
          <w:p>
            <w:pPr>
              <w:pStyle w:val="Compact"/>
              <w:jc w:val="left"/>
            </w:pPr>
            <w:r>
              <w:t xml:space="preserve">52 semanas</w:t>
            </w:r>
          </w:p>
        </w:tc>
        <w:tc>
          <w:tcPr/>
          <w:p>
            <w:pPr>
              <w:pStyle w:val="Compact"/>
              <w:jc w:val="left"/>
            </w:pPr>
            <w:r>
              <w:t xml:space="preserve">HbA1c −1,93 a −2,37 frente a −1,34; peso −7,5 a −12,9 kg frente a +2,3 kg</w:t>
            </w:r>
          </w:p>
        </w:tc>
      </w:tr>
      <w:tr>
        <w:tc>
          <w:tcPr/>
          <w:p>
            <w:pPr>
              <w:pStyle w:val="Compact"/>
              <w:jc w:val="left"/>
            </w:pPr>
            <w:r>
              <w:t xml:space="preserve">SURPASS-4 (Del Prato 2021), PMID 34672967</w:t>
            </w:r>
          </w:p>
        </w:tc>
        <w:tc>
          <w:tcPr/>
          <w:p>
            <w:pPr>
              <w:pStyle w:val="Compact"/>
              <w:jc w:val="left"/>
            </w:pPr>
            <w:r>
              <w:t xml:space="preserve">2002 adultos con alto riesgo cardiovascular, abierto frente a insulina glargina</w:t>
            </w:r>
          </w:p>
        </w:tc>
        <w:tc>
          <w:tcPr/>
          <w:p>
            <w:pPr>
              <w:pStyle w:val="Compact"/>
              <w:jc w:val="left"/>
            </w:pPr>
            <w:r>
              <w:t xml:space="preserve">52 a 104 semanas</w:t>
            </w:r>
          </w:p>
        </w:tc>
        <w:tc>
          <w:tcPr/>
          <w:p>
            <w:pPr>
              <w:pStyle w:val="Compact"/>
              <w:jc w:val="left"/>
            </w:pPr>
            <w:r>
              <w:t xml:space="preserve">HbA1c −2,43/−2,58 frente a −1,44; MACE-4 no aumentado (HR 0,74)</w:t>
            </w:r>
          </w:p>
        </w:tc>
      </w:tr>
      <w:tr>
        <w:tc>
          <w:tcPr/>
          <w:p>
            <w:pPr>
              <w:pStyle w:val="Compact"/>
              <w:jc w:val="left"/>
            </w:pPr>
            <w:r>
              <w:t xml:space="preserve">SURPASS-5 (Dahl 2022), PMID 35133415</w:t>
            </w:r>
          </w:p>
        </w:tc>
        <w:tc>
          <w:tcPr/>
          <w:p>
            <w:pPr>
              <w:pStyle w:val="Compact"/>
              <w:jc w:val="left"/>
            </w:pPr>
            <w:r>
              <w:t xml:space="preserve">475 adultos con insulina glargina, frente a placebo</w:t>
            </w:r>
          </w:p>
        </w:tc>
        <w:tc>
          <w:tcPr/>
          <w:p>
            <w:pPr>
              <w:pStyle w:val="Compact"/>
              <w:jc w:val="left"/>
            </w:pPr>
            <w:r>
              <w:t xml:space="preserve">40 semanas</w:t>
            </w:r>
          </w:p>
        </w:tc>
        <w:tc>
          <w:tcPr/>
          <w:p>
            <w:pPr>
              <w:pStyle w:val="Compact"/>
              <w:jc w:val="left"/>
            </w:pPr>
            <w:r>
              <w:t xml:space="preserve">HbA1c −2,11 a −2,40 frente a −0,86; peso −5,4 a −8,8 kg frente a +1,6 kg</w:t>
            </w:r>
          </w:p>
        </w:tc>
      </w:tr>
      <w:tr>
        <w:tc>
          <w:tcPr/>
          <w:p>
            <w:pPr>
              <w:pStyle w:val="Compact"/>
              <w:jc w:val="left"/>
            </w:pPr>
            <w:r>
              <w:t xml:space="preserve">SURPASS-PEDS (Hannon 2025), PMID 40975112</w:t>
            </w:r>
          </w:p>
        </w:tc>
        <w:tc>
          <w:tcPr/>
          <w:p>
            <w:pPr>
              <w:pStyle w:val="Compact"/>
              <w:jc w:val="left"/>
            </w:pPr>
            <w:r>
              <w:t xml:space="preserve">99 adolescentes (10–17 años) con diabetes tipo 2, frente a placebo</w:t>
            </w:r>
          </w:p>
        </w:tc>
        <w:tc>
          <w:tcPr/>
          <w:p>
            <w:pPr>
              <w:pStyle w:val="Compact"/>
              <w:jc w:val="left"/>
            </w:pPr>
            <w:r>
              <w:t xml:space="preserve">30 semanas (+22 abierto)</w:t>
            </w:r>
          </w:p>
        </w:tc>
        <w:tc>
          <w:tcPr/>
          <w:p>
            <w:pPr>
              <w:pStyle w:val="Compact"/>
              <w:jc w:val="left"/>
            </w:pPr>
            <w:r>
              <w:t xml:space="preserve">HbA1c −2,23 frente a +0,05; IMC −7,4 a −11,2 %</w:t>
            </w:r>
          </w:p>
        </w:tc>
      </w:tr>
    </w:tbl>
    <w:p>
      <w:pPr>
        <w:pStyle w:val="BodyText"/>
      </w:pPr>
      <w:r>
        <w:t xml:space="preserve">Algunos puntos merecen destacarse:</w:t>
      </w:r>
    </w:p>
    <w:p>
      <w:pPr>
        <w:numPr>
          <w:ilvl w:val="0"/>
          <w:numId w:val="1060"/>
        </w:numPr>
        <w:pStyle w:val="Compact"/>
      </w:pPr>
      <w:r>
        <w:rPr>
          <w:bCs/>
          <w:b/>
        </w:rPr>
        <w:t xml:space="preserve">En la comparación directa con la semaglutida</w:t>
      </w:r>
      <w:r>
        <w:t xml:space="preserve"> </w:t>
      </w:r>
      <w:r>
        <w:t xml:space="preserve">(SURPASS-2), la tirzepatida no fue inferior y fue superior en la HbA1c con las tres dosis. No obstante, el estudio utilizó la semaglutida a la dosis de 1 mg; la dosis más alta para la diabetes, autorizada más tarde, no fue el comparador. La frecuencia de náuseas (17–22 % frente a 18 %) y de vómitos (6–10 % frente a 8 %) fue similar; los acontecimientos adversos graves se produjeron con tirzepatida en el 5–7 % frente al 3 % con semaglutida</w:t>
      </w:r>
      <w:r>
        <w:rPr>
          <w:rStyle w:val="FootnoteReference"/>
        </w:rPr>
        <w:footnoteReference w:id="486"/>
      </w:r>
      <w:r>
        <w:t xml:space="preserve">.</w:t>
      </w:r>
    </w:p>
    <w:p>
      <w:pPr>
        <w:numPr>
          <w:ilvl w:val="0"/>
          <w:numId w:val="1060"/>
        </w:numPr>
        <w:pStyle w:val="Compact"/>
      </w:pPr>
      <w:r>
        <w:rPr>
          <w:bCs/>
          <w:b/>
        </w:rPr>
        <w:t xml:space="preserve">Frente a la insulina</w:t>
      </w:r>
      <w:r>
        <w:t xml:space="preserve">, la tirzepatida logró una mayor reducción de la glucemia y, al mismo tiempo, pérdida de peso en lugar de aumento. Las hipoglucemias (por debajo de 54 mg/dl o graves) fueron claramente menos frecuentes en SURPASS-3: 1–2 % frente al 7 % con insulina degludec</w:t>
      </w:r>
      <w:r>
        <w:rPr>
          <w:rStyle w:val="FootnoteReference"/>
        </w:rPr>
        <w:footnoteReference w:id="487"/>
      </w:r>
      <w:r>
        <w:t xml:space="preserve">.</w:t>
      </w:r>
    </w:p>
    <w:p>
      <w:pPr>
        <w:numPr>
          <w:ilvl w:val="0"/>
          <w:numId w:val="1060"/>
        </w:numPr>
        <w:pStyle w:val="Compact"/>
      </w:pPr>
      <w:r>
        <w:rPr>
          <w:bCs/>
          <w:b/>
        </w:rPr>
        <w:t xml:space="preserve">Niños y adolescentes:</w:t>
      </w:r>
      <w:r>
        <w:t xml:space="preserve"> </w:t>
      </w:r>
      <w:r>
        <w:t xml:space="preserve">SURPASS-PEDS es uno de los pocos estudios con incretinas en la diabetes tipo 2 juvenil. El efecto se mantuvo en la extensión abierta hasta la semana 52; el perfil de efectos adversos correspondió al de los adultos</w:t>
      </w:r>
      <w:r>
        <w:rPr>
          <w:rStyle w:val="FootnoteReference"/>
        </w:rPr>
        <w:footnoteReference w:id="488"/>
      </w:r>
      <w:r>
        <w:t xml:space="preserve">.</w:t>
      </w:r>
    </w:p>
    <w:p>
      <w:pPr>
        <w:numPr>
          <w:ilvl w:val="0"/>
          <w:numId w:val="1060"/>
        </w:numPr>
        <w:pStyle w:val="Compact"/>
      </w:pPr>
      <w:r>
        <w:rPr>
          <w:bCs/>
          <w:b/>
        </w:rPr>
        <w:t xml:space="preserve">Diabetes tipo 1:</w:t>
      </w:r>
      <w:r>
        <w:t xml:space="preserve"> </w:t>
      </w:r>
      <w:r>
        <w:t xml:space="preserve">un pequeño estudio de fase 2 con 24 adultos con diabetes tipo 1 y obesidad mostró al cabo de doce semanas una pérdida de peso de 10,3 kg frente a 0,7 kg con placebo y una necesidad de insulina un 35 % menor</w:t>
      </w:r>
      <w:r>
        <w:rPr>
          <w:rStyle w:val="FootnoteReference"/>
        </w:rPr>
        <w:footnoteReference w:id="489"/>
      </w:r>
      <w:r>
        <w:t xml:space="preserve">. La tirzepatida no está autorizada para la diabetes tipo 1; hay estudios más grandes en curso (véanse las perspectivas).</w:t>
      </w:r>
    </w:p>
    <w:p>
      <w:pPr>
        <w:pStyle w:val="FirstParagraph"/>
      </w:pPr>
      <w:r>
        <w:t xml:space="preserve">Un metaanálisis planificado de antemano de los siete estudios SURPASS de al menos 26 semanas de duración (4887 personas con tirzepatida, 2328 en los grupos de control) no encontró un aumento del riesgo de eventos cardiovasculares graves (MACE-4, hazard ratio 0,80; intervalo de confianza del 95 % 0,57–1,11)</w:t>
      </w:r>
      <w:r>
        <w:rPr>
          <w:rStyle w:val="FootnoteReference"/>
        </w:rPr>
        <w:footnoteReference w:id="490"/>
      </w:r>
      <w:r>
        <w:t xml:space="preserve">. Es una afirmación de seguridad, no de beneficio; para ello fue necesario el estudio de resultados SURPASS-CVOT.</w:t>
      </w:r>
    </w:p>
    <w:bookmarkEnd w:id="491"/>
    <w:bookmarkStart w:id="495" w:name="surpass-cvot-variables-cardiovasculares"/>
    <w:p>
      <w:pPr>
        <w:pStyle w:val="Heading4"/>
      </w:pPr>
      <w:r>
        <w:t xml:space="preserve">SURPASS-CVOT: variables cardiovasculares</w:t>
      </w:r>
    </w:p>
    <w:p>
      <w:pPr>
        <w:pStyle w:val="FirstParagraph"/>
      </w:pPr>
      <w:r>
        <w:t xml:space="preserve">Para los medicamentos contra la diabetes, las autoridades exigen la demostración de que no ponen en peligro el corazón. SURPASS-CVOT fue un paso más allá: en lugar de frente a placebo, la tirzepatida se enfrentó a la dulaglutida, un medicamento GLP-1 que en el estudio REWIND había reducido por sí mismo los eventos cardiovasculares. Se aleatorizó a 13.299 personas con diabetes tipo 2 y enfermedad aterosclerótica establecida; se analizaron 13.165</w:t>
      </w:r>
      <w:r>
        <w:rPr>
          <w:rStyle w:val="FootnoteReference"/>
        </w:rPr>
        <w:footnoteReference w:id="492"/>
      </w:r>
      <w:r>
        <w:t xml:space="preserve">.</w:t>
      </w:r>
    </w:p>
    <w:p>
      <w:pPr>
        <w:pStyle w:val="BodyText"/>
      </w:pPr>
      <w:r>
        <w:t xml:space="preserve">La variable principal —muerte cardiovascular, infarto de miocardio o ictus— se produjo en 801 personas (12,2 %) con tirzepatida y en 862 (13,1 %) con dulaglutida (hazard ratio 0,92; IC del 95,3 % 0,83–1,01). Así, la tirzepatida</w:t>
      </w:r>
      <w:r>
        <w:t xml:space="preserve"> </w:t>
      </w:r>
      <w:r>
        <w:rPr>
          <w:bCs/>
          <w:b/>
        </w:rPr>
        <w:t xml:space="preserve">no fue inferior</w:t>
      </w:r>
      <w:r>
        <w:t xml:space="preserve">; la superioridad formal no se alcanzó por poco (p = 0,09). Los efectos adversos gastrointestinales fueron más frecuentes con tirzepatida.</w:t>
      </w:r>
    </w:p>
    <w:p>
      <w:pPr>
        <w:pStyle w:val="BodyText"/>
      </w:pPr>
      <w:r>
        <w:t xml:space="preserve">Un análisis a posteriori (post hoc) con una variable más amplia de seis componentes —muerte por cualquier causa, infarto de miocardio, ictus, revascularización, hospitalización por insuficiencia cardíaca y eventos renales— encontró, tras una duración mediana del tratamiento de casi cuatro años, eventos en el 23,7 % frente al 27,4 % (hazard ratio 0,84; IC del 95 % 0,79–0,90)</w:t>
      </w:r>
      <w:r>
        <w:rPr>
          <w:rStyle w:val="FootnoteReference"/>
        </w:rPr>
        <w:footnoteReference w:id="493"/>
      </w:r>
      <w:r>
        <w:t xml:space="preserve">. Los análisis post hoc generan hipótesis; no pueden sustituir a un análisis principal fijado de antemano.</w:t>
      </w:r>
    </w:p>
    <w:p>
      <w:pPr>
        <w:pStyle w:val="BodyText"/>
      </w:pPr>
      <w:r>
        <w:t xml:space="preserve">Cuál sería el beneficio frente a</w:t>
      </w:r>
      <w:r>
        <w:t xml:space="preserve"> </w:t>
      </w:r>
      <w:r>
        <w:rPr>
          <w:iCs/>
          <w:i/>
        </w:rPr>
        <w:t xml:space="preserve">ningún</w:t>
      </w:r>
      <w:r>
        <w:t xml:space="preserve"> </w:t>
      </w:r>
      <w:r>
        <w:t xml:space="preserve">tratamiento no puede deducirse directamente de una comparación con un medicamento eficaz. Un análisis planificado de antemano, pero indirecto, calculó un «grupo placebo» a partir de los datos del estudio REWIND y obtuvo para la tirzepatida frente a este placebo calculado un hazard ratio de 0,72 (IC del 95 % 0,55–0,94) para muerte cardiovascular, infarto de miocardio o ictus</w:t>
      </w:r>
      <w:r>
        <w:rPr>
          <w:rStyle w:val="FootnoteReference"/>
        </w:rPr>
        <w:footnoteReference w:id="494"/>
      </w:r>
      <w:r>
        <w:t xml:space="preserve">. Estos cálculos de modelización se basan en supuestos y no sustituyen a una comparación real con placebo.</w:t>
      </w:r>
    </w:p>
    <w:bookmarkEnd w:id="495"/>
    <w:bookmarkStart w:id="501" w:name="surmount-obesidad"/>
    <w:p>
      <w:pPr>
        <w:pStyle w:val="Heading4"/>
      </w:pPr>
      <w:r>
        <w:t xml:space="preserve">SURMOUNT: obesidad</w:t>
      </w:r>
    </w:p>
    <w:p>
      <w:pPr>
        <w:pStyle w:val="FirstParagraph"/>
      </w:pPr>
      <w:r>
        <w:t xml:space="preserve">En el programa de obesidad, la tirzepatida se estudió en personas con un índice de masa corporal (IMC) a partir de 30, o a partir de 27 con una enfermedad asociada, siempre junto con asesoramiento sobre alimentación y actividad física.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SURMOUNT-1 (Jastreboff 2022), PMID 35658024</w:t>
            </w:r>
          </w:p>
        </w:tc>
        <w:tc>
          <w:tcPr/>
          <w:p>
            <w:pPr>
              <w:pStyle w:val="Compact"/>
              <w:jc w:val="left"/>
            </w:pPr>
            <w:r>
              <w:t xml:space="preserve">2539 adultos sin diabetes, frente a placebo</w:t>
            </w:r>
          </w:p>
        </w:tc>
        <w:tc>
          <w:tcPr/>
          <w:p>
            <w:pPr>
              <w:pStyle w:val="Compact"/>
              <w:jc w:val="left"/>
            </w:pPr>
            <w:r>
              <w:t xml:space="preserve">72 semanas</w:t>
            </w:r>
          </w:p>
        </w:tc>
        <w:tc>
          <w:tcPr/>
          <w:p>
            <w:pPr>
              <w:pStyle w:val="Compact"/>
              <w:jc w:val="left"/>
            </w:pPr>
            <w:r>
              <w:t xml:space="preserve">−15,0 / −19,5 / −20,9 % de peso (5/10/15 mg) frente a −3,1 %</w:t>
            </w:r>
          </w:p>
        </w:tc>
      </w:tr>
      <w:tr>
        <w:tc>
          <w:tcPr/>
          <w:p>
            <w:pPr>
              <w:pStyle w:val="Compact"/>
              <w:jc w:val="left"/>
            </w:pPr>
            <w:r>
              <w:t xml:space="preserve">SURMOUNT-2 (Garvey 2023), PMID 37385275</w:t>
            </w:r>
          </w:p>
        </w:tc>
        <w:tc>
          <w:tcPr/>
          <w:p>
            <w:pPr>
              <w:pStyle w:val="Compact"/>
              <w:jc w:val="left"/>
            </w:pPr>
            <w:r>
              <w:t xml:space="preserve">938 adultos con diabetes tipo 2, frente a placebo</w:t>
            </w:r>
          </w:p>
        </w:tc>
        <w:tc>
          <w:tcPr/>
          <w:p>
            <w:pPr>
              <w:pStyle w:val="Compact"/>
              <w:jc w:val="left"/>
            </w:pPr>
            <w:r>
              <w:t xml:space="preserve">72 semanas</w:t>
            </w:r>
          </w:p>
        </w:tc>
        <w:tc>
          <w:tcPr/>
          <w:p>
            <w:pPr>
              <w:pStyle w:val="Compact"/>
              <w:jc w:val="left"/>
            </w:pPr>
            <w:r>
              <w:t xml:space="preserve">−12,8 / −14,7 % frente a −3,2 %</w:t>
            </w:r>
          </w:p>
        </w:tc>
      </w:tr>
      <w:tr>
        <w:tc>
          <w:tcPr/>
          <w:p>
            <w:pPr>
              <w:pStyle w:val="Compact"/>
              <w:jc w:val="left"/>
            </w:pPr>
            <w:r>
              <w:t xml:space="preserve">SURMOUNT-3 (Wadden 2023), PMID 37840095</w:t>
            </w:r>
          </w:p>
        </w:tc>
        <w:tc>
          <w:tcPr/>
          <w:p>
            <w:pPr>
              <w:pStyle w:val="Compact"/>
              <w:jc w:val="left"/>
            </w:pPr>
            <w:r>
              <w:t xml:space="preserve">579 adultos tras una intervención de estilo de vida exitosa de 12 semanas</w:t>
            </w:r>
          </w:p>
        </w:tc>
        <w:tc>
          <w:tcPr/>
          <w:p>
            <w:pPr>
              <w:pStyle w:val="Compact"/>
              <w:jc w:val="left"/>
            </w:pPr>
            <w:r>
              <w:t xml:space="preserve">72 semanas</w:t>
            </w:r>
          </w:p>
        </w:tc>
        <w:tc>
          <w:tcPr/>
          <w:p>
            <w:pPr>
              <w:pStyle w:val="Compact"/>
              <w:jc w:val="left"/>
            </w:pPr>
            <w:r>
              <w:t xml:space="preserve">−18,4 % adicional frente a +2,5 %</w:t>
            </w:r>
          </w:p>
        </w:tc>
      </w:tr>
      <w:tr>
        <w:tc>
          <w:tcPr/>
          <w:p>
            <w:pPr>
              <w:pStyle w:val="Compact"/>
              <w:jc w:val="left"/>
            </w:pPr>
            <w:r>
              <w:t xml:space="preserve">SURMOUNT-4 (Aronne 2024), PMID 38078870</w:t>
            </w:r>
          </w:p>
        </w:tc>
        <w:tc>
          <w:tcPr/>
          <w:p>
            <w:pPr>
              <w:pStyle w:val="Compact"/>
              <w:jc w:val="left"/>
            </w:pPr>
            <w:r>
              <w:t xml:space="preserve">670 adultos tras 36 semanas de tirzepatida, continuación frente a suspensión</w:t>
            </w:r>
          </w:p>
        </w:tc>
        <w:tc>
          <w:tcPr/>
          <w:p>
            <w:pPr>
              <w:pStyle w:val="Compact"/>
              <w:jc w:val="left"/>
            </w:pPr>
            <w:r>
              <w:t xml:space="preserve">52 semanas (tras la fase inicial)</w:t>
            </w:r>
          </w:p>
        </w:tc>
        <w:tc>
          <w:tcPr/>
          <w:p>
            <w:pPr>
              <w:pStyle w:val="Compact"/>
              <w:jc w:val="left"/>
            </w:pPr>
            <w:r>
              <w:t xml:space="preserve">−5,5 % con continuación frente a +14,0 % de recuperación</w:t>
            </w:r>
          </w:p>
        </w:tc>
      </w:tr>
      <w:tr>
        <w:tc>
          <w:tcPr/>
          <w:p>
            <w:pPr>
              <w:pStyle w:val="Compact"/>
              <w:jc w:val="left"/>
            </w:pPr>
            <w:r>
              <w:t xml:space="preserve">SURMOUNT-5 (Aronne 2025), PMID 40353578</w:t>
            </w:r>
          </w:p>
        </w:tc>
        <w:tc>
          <w:tcPr/>
          <w:p>
            <w:pPr>
              <w:pStyle w:val="Compact"/>
              <w:jc w:val="left"/>
            </w:pPr>
            <w:r>
              <w:t xml:space="preserve">751 adultos sin diabetes, abierto frente a semaglutida 2,4 mg</w:t>
            </w:r>
          </w:p>
        </w:tc>
        <w:tc>
          <w:tcPr/>
          <w:p>
            <w:pPr>
              <w:pStyle w:val="Compact"/>
              <w:jc w:val="left"/>
            </w:pPr>
            <w:r>
              <w:t xml:space="preserve">72 semanas</w:t>
            </w:r>
          </w:p>
        </w:tc>
        <w:tc>
          <w:tcPr/>
          <w:p>
            <w:pPr>
              <w:pStyle w:val="Compact"/>
              <w:jc w:val="left"/>
            </w:pPr>
            <w:r>
              <w:t xml:space="preserve">−20,2 % frente a −13,7 %</w:t>
            </w:r>
          </w:p>
        </w:tc>
      </w:tr>
      <w:tr>
        <w:tc>
          <w:tcPr/>
          <w:p>
            <w:pPr>
              <w:pStyle w:val="Compact"/>
              <w:jc w:val="left"/>
            </w:pPr>
            <w:r>
              <w:t xml:space="preserve">SURMOUNT-1, datos a 3 años (Jastreboff 2025), PMID 39536238</w:t>
            </w:r>
          </w:p>
        </w:tc>
        <w:tc>
          <w:tcPr/>
          <w:p>
            <w:pPr>
              <w:pStyle w:val="Compact"/>
              <w:jc w:val="left"/>
            </w:pPr>
            <w:r>
              <w:t xml:space="preserve">1032 adultos con obesidad y prediabetes</w:t>
            </w:r>
          </w:p>
        </w:tc>
        <w:tc>
          <w:tcPr/>
          <w:p>
            <w:pPr>
              <w:pStyle w:val="Compact"/>
              <w:jc w:val="left"/>
            </w:pPr>
            <w:r>
              <w:t xml:space="preserve">176 semanas</w:t>
            </w:r>
          </w:p>
        </w:tc>
        <w:tc>
          <w:tcPr/>
          <w:p>
            <w:pPr>
              <w:pStyle w:val="Compact"/>
              <w:jc w:val="left"/>
            </w:pPr>
            <w:r>
              <w:t xml:space="preserve">−12,3 a −19,7 % frente a −1,3 %; diabetes tipo 2 1,3 % frente a 13,3 %</w:t>
            </w:r>
          </w:p>
        </w:tc>
      </w:tr>
    </w:tbl>
    <w:p>
      <w:pPr>
        <w:pStyle w:val="BodyText"/>
      </w:pPr>
      <w:r>
        <w:rPr>
          <w:bCs/>
          <w:b/>
        </w:rPr>
        <w:t xml:space="preserve">SURMOUNT-1</w:t>
      </w:r>
      <w:r>
        <w:t xml:space="preserve"> </w:t>
      </w:r>
      <w:r>
        <w:t xml:space="preserve">fue el estudio que dio a conocer la tirzepatida como medicamento contra la obesidad. Con un peso inicial medio de 104,8 kg, los participantes con la dosis más alta perdieron de media el 20,9 % de su peso corporal. El 57 % del grupo de 15 mg alcanzó una pérdida de peso de al menos el 20 %, frente al 3 % con placebo. Por efectos adversos interrumpieron el tratamiento el 4,3–7,1 % con tirzepatida y el 2,6 % con placebo</w:t>
      </w:r>
      <w:r>
        <w:rPr>
          <w:rStyle w:val="FootnoteReference"/>
        </w:rPr>
        <w:footnoteReference w:id="496"/>
      </w:r>
      <w:r>
        <w:t xml:space="preserve">.</w:t>
      </w:r>
    </w:p>
    <w:p>
      <w:pPr>
        <w:pStyle w:val="BodyText"/>
      </w:pPr>
      <w:r>
        <w:rPr>
          <w:bCs/>
          <w:b/>
        </w:rPr>
        <w:t xml:space="preserve">Las personas con diabetes tipo 2</w:t>
      </w:r>
      <w:r>
        <w:t xml:space="preserve"> </w:t>
      </w:r>
      <w:r>
        <w:t xml:space="preserve">pierden menos peso con todos los medicamentos incretínicos que las personas sin diabetes. Así lo mostró también SURMOUNT-2: la diferencia frente a placebo fue de 9,6 y 11,6 puntos porcentuales, respectivamente</w:t>
      </w:r>
      <w:r>
        <w:rPr>
          <w:rStyle w:val="FootnoteReference"/>
        </w:rPr>
        <w:footnoteReference w:id="497"/>
      </w:r>
      <w:r>
        <w:t xml:space="preserve">.</w:t>
      </w:r>
    </w:p>
    <w:p>
      <w:pPr>
        <w:pStyle w:val="BodyText"/>
      </w:pPr>
      <w:r>
        <w:rPr>
          <w:bCs/>
          <w:b/>
        </w:rPr>
        <w:t xml:space="preserve">¿Qué ocurre tras la suspensión?</w:t>
      </w:r>
      <w:r>
        <w:t xml:space="preserve"> </w:t>
      </w:r>
      <w:r>
        <w:t xml:space="preserve">SURMOUNT-4 respondió a esta pregunta con un diseño de «retirada aleatorizada»: todos recibieron primero 36 semanas de tirzepatida y perdieron de media un 20,9 %. Después se sorteó quién seguía recibiendo tirzepatida y quién, sin saberlo, placebo. En las 52 semanas siguientes, el grupo de placebo recuperó un 14,0 %, y el grupo de tirzepatida perdió otro 5,5 %. A lo largo de todo el estudio, la pérdida de peso fue del 25,3 % frente al 9,9 %</w:t>
      </w:r>
      <w:r>
        <w:rPr>
          <w:rStyle w:val="FootnoteReference"/>
        </w:rPr>
        <w:footnoteReference w:id="498"/>
      </w:r>
      <w:r>
        <w:t xml:space="preserve">. El mensaje de los autores: la obesidad se comporta como una enfermedad crónica cuyo tratamiento suele tener que ser permanente.</w:t>
      </w:r>
    </w:p>
    <w:p>
      <w:pPr>
        <w:pStyle w:val="BodyText"/>
      </w:pPr>
      <w:r>
        <w:rPr>
          <w:bCs/>
          <w:b/>
        </w:rPr>
        <w:t xml:space="preserve">Dosis de mantenimiento más baja:</w:t>
      </w:r>
      <w:r>
        <w:t xml:space="preserve"> </w:t>
      </w:r>
      <w:r>
        <w:t xml:space="preserve">si tras adelgazar es posible pasar a una dosis menor lo investigó SURMOUNT-MAINTAIN, con 378 personas aleatorizadas en Estados Unidos. Tras 60 semanas con la dosis máxima, se repartieron en tres grupos. En la semana 112, la pérdida de peso desde el inicio del estudio era del −21,9 % (continuación con la dosis máxima), del −16,6 % (reducción a 5 mg) y del −9,9 % (placebo). Necesitaron un tratamiento de rescate por recuperación de al menos el 50 % el 8 %, el 25 % y el 67 %, respectivamente</w:t>
      </w:r>
      <w:r>
        <w:rPr>
          <w:rStyle w:val="FootnoteReference"/>
        </w:rPr>
        <w:footnoteReference w:id="499"/>
      </w:r>
      <w:r>
        <w:t xml:space="preserve">. La reducción de dosis es, por tanto, una solución intermedia con un éxito individual muy variable.</w:t>
      </w:r>
    </w:p>
    <w:p>
      <w:pPr>
        <w:pStyle w:val="BodyText"/>
      </w:pPr>
      <w:r>
        <w:rPr>
          <w:bCs/>
          <w:b/>
        </w:rPr>
        <w:t xml:space="preserve">Prevención de la diabetes:</w:t>
      </w:r>
      <w:r>
        <w:t xml:space="preserve"> </w:t>
      </w:r>
      <w:r>
        <w:t xml:space="preserve">en el análisis a tres años de SURMOUNT-1 en personas con prediabetes (estadio previo de la diabetes), desarrollaron diabetes tipo 2 el 1,3 % con tirzepatida y el 13,3 % con placebo. Incluso 17 semanas después de la suspensión, la diferencia seguía siendo clara (2,4 % frente a 13,7 %). En estos tres años no aparecieron nuevas señales de seguridad</w:t>
      </w:r>
      <w:r>
        <w:rPr>
          <w:rStyle w:val="FootnoteReference"/>
        </w:rPr>
        <w:footnoteReference w:id="500"/>
      </w:r>
      <w:r>
        <w:t xml:space="preserve">.</w:t>
      </w:r>
    </w:p>
    <w:bookmarkEnd w:id="501"/>
    <w:bookmarkStart w:id="504" w:name="X5216730ff2a8a8a5842f7f6366cb1742c84f5d4"/>
    <w:p>
      <w:pPr>
        <w:pStyle w:val="Heading4"/>
      </w:pPr>
      <w:r>
        <w:t xml:space="preserve">SURMOUNT-5: tirzepatida frente a semaglutida</w:t>
      </w:r>
    </w:p>
    <w:p>
      <w:pPr>
        <w:pStyle w:val="FirstParagraph"/>
      </w:pPr>
      <w:r>
        <w:t xml:space="preserve">La comparación directa en la obesidad sin diabetes, esperada por muchos, la aportó SURMOUNT-5</w:t>
      </w:r>
      <w:r>
        <w:rPr>
          <w:rStyle w:val="FootnoteReference"/>
        </w:rPr>
        <w:footnoteReference w:id="502"/>
      </w:r>
      <w:r>
        <w:t xml:space="preserve">. 751 adultos recibieron de forma abierta (es decir, sin enmascaramiento) la dosis máxima tolerada de tirzepatida (10 o 15 mg) o de semaglutida (1,7 o 2,4 mg). Al cabo de 72 semanas:</w:t>
      </w:r>
    </w:p>
    <w:p>
      <w:pPr>
        <w:numPr>
          <w:ilvl w:val="0"/>
          <w:numId w:val="1061"/>
        </w:numPr>
        <w:pStyle w:val="Compact"/>
      </w:pPr>
      <w:r>
        <w:t xml:space="preserve">Cambio de peso: −20,2 % con tirzepatida frente a −13,7 % con semaglutida.</w:t>
      </w:r>
    </w:p>
    <w:p>
      <w:pPr>
        <w:numPr>
          <w:ilvl w:val="0"/>
          <w:numId w:val="1061"/>
        </w:numPr>
        <w:pStyle w:val="Compact"/>
      </w:pPr>
      <w:r>
        <w:t xml:space="preserve">Perímetro de cintura: −18,4 cm frente a −13,0 cm.</w:t>
      </w:r>
    </w:p>
    <w:p>
      <w:pPr>
        <w:numPr>
          <w:ilvl w:val="0"/>
          <w:numId w:val="1061"/>
        </w:numPr>
        <w:pStyle w:val="Compact"/>
      </w:pPr>
      <w:r>
        <w:t xml:space="preserve">Más participantes con tirzepatida alcanzaron cada uno de los umbrales del 10, 15, 20 y 25 %.</w:t>
      </w:r>
    </w:p>
    <w:p>
      <w:pPr>
        <w:numPr>
          <w:ilvl w:val="0"/>
          <w:numId w:val="1061"/>
        </w:numPr>
        <w:pStyle w:val="Compact"/>
      </w:pPr>
      <w:r>
        <w:t xml:space="preserve">Los efectos adversos en ambos grupos fueron mayoritariamente molestias gastrointestinales, por lo general leves a moderadas y sobre todo en la fase de aumento de la dosis.</w:t>
      </w:r>
    </w:p>
    <w:p>
      <w:pPr>
        <w:pStyle w:val="FirstParagraph"/>
      </w:pPr>
      <w:r>
        <w:t xml:space="preserve">Un análisis posterior mostró que el 44 % con tirzepatida y el 21 % con semaglutida ya habían perdido al menos el 15 % hasta la semana 24 («respondedores rápidos»). Estos tuvieron algo más de eventos gastrointestinales y biliares, pero no interrumpieron el tratamiento con más frecuencia</w:t>
      </w:r>
      <w:r>
        <w:rPr>
          <w:rStyle w:val="FootnoteReference"/>
        </w:rPr>
        <w:footnoteReference w:id="503"/>
      </w:r>
      <w:r>
        <w:t xml:space="preserve">.</w:t>
      </w:r>
    </w:p>
    <w:p>
      <w:pPr>
        <w:pStyle w:val="BodyText"/>
      </w:pPr>
      <w:r>
        <w:t xml:space="preserve">Para situarlo en contexto: SURMOUNT-5 fue financiado por el fabricante de la tirzepatida y se realizó de forma abierta. Aun así, la diferencia es lo bastante grande como para que difícilmente pueda explicarse solo por estas limitaciones. Encontrarás una comparación de todos los medicamentos GLP-1 en la Parte III.</w:t>
      </w:r>
    </w:p>
    <w:bookmarkEnd w:id="504"/>
    <w:bookmarkStart w:id="507" w:name="insuficiencia-cardíaca-summit"/>
    <w:p>
      <w:pPr>
        <w:pStyle w:val="Heading4"/>
      </w:pPr>
      <w:r>
        <w:t xml:space="preserve">Insuficiencia cardíaca: SUMMIT</w:t>
      </w:r>
    </w:p>
    <w:p>
      <w:pPr>
        <w:pStyle w:val="FirstParagraph"/>
      </w:pPr>
      <w:r>
        <w:t xml:space="preserve">La insuficiencia cardíaca con fracción de eyección conservada (ICFEp) es una forma frecuente de insuficiencia cardíaca en la que el corazón bombea con normalidad, pero se llena mal. La obesidad es un factor impulsor importante. En SUMMIT se aleatorizó a 731 personas con ICFEp e IMC a partir de 30 a tirzepatida o placebo, con un seguimiento mediano de 104 semanas</w:t>
      </w:r>
      <w:r>
        <w:rPr>
          <w:rStyle w:val="FootnoteReference"/>
        </w:rPr>
        <w:footnoteReference w:id="505"/>
      </w:r>
      <w:r>
        <w:t xml:space="preserve">.</w:t>
      </w:r>
    </w:p>
    <w:p>
      <w:pPr>
        <w:numPr>
          <w:ilvl w:val="0"/>
          <w:numId w:val="1062"/>
        </w:numPr>
        <w:pStyle w:val="Compact"/>
      </w:pPr>
      <w:r>
        <w:t xml:space="preserve">Muerte cardiovascular o empeoramiento de la insuficiencia cardíaca: 9,9 % con tirzepatida frente a 15,3 % con placebo (hazard ratio 0,62; IC del 95 % 0,41–0,95).</w:t>
      </w:r>
    </w:p>
    <w:p>
      <w:pPr>
        <w:numPr>
          <w:ilvl w:val="0"/>
          <w:numId w:val="1062"/>
        </w:numPr>
        <w:pStyle w:val="Compact"/>
      </w:pPr>
      <w:r>
        <w:t xml:space="preserve">Esta diferencia se debió a menos eventos de empeoramiento (8,0 % frente a 14,2 %). Las muertes cardiovasculares fueron raras y, en números, incluso algo más frecuentes con tirzepatida (2,2 % frente a 1,4 %), con un margen de incertidumbre muy amplio.</w:t>
      </w:r>
    </w:p>
    <w:p>
      <w:pPr>
        <w:numPr>
          <w:ilvl w:val="0"/>
          <w:numId w:val="1062"/>
        </w:numPr>
        <w:pStyle w:val="Compact"/>
      </w:pPr>
      <w:r>
        <w:t xml:space="preserve">La calidad de vida (cuestionario KCCQ) mejoró más: +19,5 frente a +12,7 puntos.</w:t>
      </w:r>
    </w:p>
    <w:p>
      <w:pPr>
        <w:numPr>
          <w:ilvl w:val="0"/>
          <w:numId w:val="1062"/>
        </w:numPr>
        <w:pStyle w:val="Compact"/>
      </w:pPr>
      <w:r>
        <w:t xml:space="preserve">Interrupciones por efectos adversos: 6,3 % frente a 1,4 %.</w:t>
      </w:r>
    </w:p>
    <w:p>
      <w:pPr>
        <w:pStyle w:val="FirstParagraph"/>
      </w:pPr>
      <w:r>
        <w:t xml:space="preserve">Un subestudio con resonancia magnética cardíaca mostró una disminución de la masa muscular del ventrículo izquierdo y del tejido graso alrededor del corazón</w:t>
      </w:r>
      <w:r>
        <w:rPr>
          <w:rStyle w:val="FootnoteReference"/>
        </w:rPr>
        <w:footnoteReference w:id="506"/>
      </w:r>
      <w:r>
        <w:t xml:space="preserve">. Con 731 personas y 92 eventos de la variable principal, SUMMIT es un estudio de resultados relativamente pequeño; los resultados son alentadores, pero no tan sólidos como los datos de estudios con miles de participantes.</w:t>
      </w:r>
    </w:p>
    <w:bookmarkEnd w:id="507"/>
    <w:bookmarkStart w:id="509" w:name="apnea-obstructiva-del-sueño-surmount-osa"/>
    <w:p>
      <w:pPr>
        <w:pStyle w:val="Heading4"/>
      </w:pPr>
      <w:r>
        <w:t xml:space="preserve">Apnea obstructiva del sueño: SURMOUNT-OSA</w:t>
      </w:r>
    </w:p>
    <w:p>
      <w:pPr>
        <w:pStyle w:val="FirstParagraph"/>
      </w:pPr>
      <w:r>
        <w:t xml:space="preserve">En la apnea obstructiva del sueño, las vías respiratorias superiores se colapsan repetidamente durante el sueño; la respiración se interrumpe (apnea) o se vuelve superficial (hipopnea). El índice de apnea-hipopnea (IAH) cuenta estos eventos por hora; a partir de 30, la apnea del sueño se considera grave. El exceso de peso es un factor de riesgo principal.</w:t>
      </w:r>
    </w:p>
    <w:p>
      <w:pPr>
        <w:pStyle w:val="BodyText"/>
      </w:pPr>
      <w:r>
        <w:t xml:space="preserve">SURMOUNT-OSA constaba de dos estudios paralelos con personas con obesidad y apnea del sueño moderada a grave: sin tratamiento con mascarilla respiratoria (estudio 1) y con mascarilla (CPAP, estudio 2). IAH inicial de unos 50 eventos por hora. Al cabo de 52 semanas</w:t>
      </w:r>
      <w:r>
        <w:rPr>
          <w:rStyle w:val="FootnoteReference"/>
        </w:rPr>
        <w:footnoteReference w:id="508"/>
      </w:r>
      <w:r>
        <w:t xml:space="preserve">:</w:t>
      </w:r>
    </w:p>
    <w:p>
      <w:pPr>
        <w:numPr>
          <w:ilvl w:val="0"/>
          <w:numId w:val="1063"/>
        </w:numPr>
        <w:pStyle w:val="Compact"/>
      </w:pPr>
      <w:r>
        <w:t xml:space="preserve">Estudio 1: IAH −25,3 eventos/hora con tirzepatida frente a −5,3 con placebo.</w:t>
      </w:r>
    </w:p>
    <w:p>
      <w:pPr>
        <w:numPr>
          <w:ilvl w:val="0"/>
          <w:numId w:val="1063"/>
        </w:numPr>
        <w:pStyle w:val="Compact"/>
      </w:pPr>
      <w:r>
        <w:t xml:space="preserve">Estudio 2: IAH −29,3 frente a −5,5.</w:t>
      </w:r>
    </w:p>
    <w:p>
      <w:pPr>
        <w:numPr>
          <w:ilvl w:val="0"/>
          <w:numId w:val="1063"/>
        </w:numPr>
        <w:pStyle w:val="Compact"/>
      </w:pPr>
      <w:r>
        <w:t xml:space="preserve">Además mejoraron la carga de hipoxia, los marcadores de inflamación (PCR-us), la presión arterial y los trastornos del sueño comunicados por los participantes.</w:t>
      </w:r>
    </w:p>
    <w:p>
      <w:pPr>
        <w:pStyle w:val="FirstParagraph"/>
      </w:pPr>
      <w:r>
        <w:t xml:space="preserve">Sobre esta base, la tirzepatida se autorizó en Estados Unidos como el primer medicamento para el tratamiento de la apnea del sueño en la obesidad. No sustituye automáticamente a la mascarilla respiratoria: incluso tras la reducción, el IAH de muchos participantes seguía en un rango que requería tratamiento. La decisión sobre el tratamiento corresponde a especialistas en medicina del sueño.</w:t>
      </w:r>
    </w:p>
    <w:bookmarkEnd w:id="509"/>
    <w:bookmarkStart w:id="511" w:name="hígado-graso-mash"/>
    <w:p>
      <w:pPr>
        <w:pStyle w:val="Heading4"/>
      </w:pPr>
      <w:r>
        <w:t xml:space="preserve">Hígado graso (MASH)</w:t>
      </w:r>
    </w:p>
    <w:p>
      <w:pPr>
        <w:pStyle w:val="FirstParagraph"/>
      </w:pPr>
      <w:r>
        <w:t xml:space="preserve">La esteatohepatitis asociada a disfunción metabólica (MASH, antes NASH) es una forma inflamatoria del hígado graso que puede progresar a cicatrización (fibrosis) y cirrosis. En el estudio de fase 2 SYNERGY-NASH, 190 personas con MASH confirmada por biopsia y fibrosis moderada a grave recibieron tirzepatida o placebo. Al cabo de 52 semanas, la MASH desapareció sin empeoramiento de la fibrosis en el 44–62 % con tirzepatida frente al 10 % con placebo; una mejora de la fibrosis de al menos un estadio la mostraron el 51–55 % frente al 30 %</w:t>
      </w:r>
      <w:r>
        <w:rPr>
          <w:rStyle w:val="FootnoteReference"/>
        </w:rPr>
        <w:footnoteReference w:id="510"/>
      </w:r>
      <w:r>
        <w:t xml:space="preserve">. Está en curso un estudio de fase 3 (véanse las perspectivas).</w:t>
      </w:r>
    </w:p>
    <w:bookmarkEnd w:id="511"/>
    <w:bookmarkStart w:id="514" w:name="X03e885f1b8f434791fdd716336d63711d7c94b3"/>
    <w:p>
      <w:pPr>
        <w:pStyle w:val="Heading4"/>
      </w:pPr>
      <w:r>
        <w:t xml:space="preserve">Otros campos de aplicación y metaanálisis</w:t>
      </w:r>
    </w:p>
    <w:p>
      <w:pPr>
        <w:pStyle w:val="FirstParagraph"/>
      </w:pPr>
      <w:r>
        <w:t xml:space="preserve">La literatura sobre la tirzepatida crece muy rápido. Además de los grandes programas, hay estudios sobre psoriasis y artritis psoriásica en combinación con fármacos biológicos: en un estudio abierto de fase 3b con 274 personas, con ixekizumab más tirzepatida el 27,1 % alcanzó simultáneamente la curación completa de las lesiones cutáneas (PASI 100) y al menos un 10 % de pérdida de peso, frente al 5,8 % con ixekizumab solo</w:t>
      </w:r>
      <w:r>
        <w:rPr>
          <w:rStyle w:val="FootnoteReference"/>
        </w:rPr>
        <w:footnoteReference w:id="512"/>
      </w:r>
      <w:r>
        <w:t xml:space="preserve">. Otros trabajos se ocupan del síndrome de ovario poliquístico, de la función renal y de poblaciones específicas de Asia (SURMOUNT-J, SURMOUNT-CN, SURPASS-AP-Combo). Una exposición completa de todos los estudios individuales excedería el marco de este libro; figuran en el índice de estudios del anexo.</w:t>
      </w:r>
    </w:p>
    <w:p>
      <w:pPr>
        <w:pStyle w:val="BodyText"/>
      </w:pPr>
      <w:r>
        <w:t xml:space="preserve">Sobre la composición corporal: en un subestudio con DXA de SURMOUNT-1 con 160 personas, aproximadamente el 75 % del peso perdido era grasa y aproximadamente el 25 %, masa magra (a la que pertenece la musculatura), en la misma proporción que en el grupo de placebo</w:t>
      </w:r>
      <w:r>
        <w:rPr>
          <w:rStyle w:val="FootnoteReference"/>
        </w:rPr>
        <w:footnoteReference w:id="513"/>
      </w:r>
      <w:r>
        <w:t xml:space="preserve">. La preocupación por la pérdida de músculo está, por tanto, justificada, pero no es un efecto específico de la tirzepatida, sino típico de cualquier pérdida de peso importante.</w:t>
      </w:r>
    </w:p>
    <w:bookmarkEnd w:id="514"/>
    <w:bookmarkEnd w:id="515"/>
    <w:bookmarkStart w:id="519" w:name="estudios-en-animales-y-de-laboratorio-4"/>
    <w:p>
      <w:pPr>
        <w:pStyle w:val="Heading3"/>
      </w:pPr>
      <w:r>
        <w:t xml:space="preserve">Estudios en animales y de laboratorio</w:t>
      </w:r>
    </w:p>
    <w:p>
      <w:pPr>
        <w:pStyle w:val="FirstParagraph"/>
      </w:pPr>
      <w:r>
        <w:t xml:space="preserve">El desarrollo preclínico está publicado de forma inusualmente completa. En cultivos celulares, la tirzepatida activa ambos receptores; en ratones redujo el peso y la ingesta de alimentos más que un agonista puro del GLP-1</w:t>
      </w:r>
      <w:r>
        <w:rPr>
          <w:rStyle w:val="FootnoteReference"/>
        </w:rPr>
        <w:footnoteReference w:id="516"/>
      </w:r>
      <w:r>
        <w:t xml:space="preserve">. Los estudios en ratones sin receptor de GLP-1 funcional mostraron que el componente GIP mejora la sensibilidad a la insulina en el tejido adiposo</w:t>
      </w:r>
      <w:r>
        <w:rPr>
          <w:rStyle w:val="FootnoteReference"/>
        </w:rPr>
        <w:footnoteReference w:id="517"/>
      </w:r>
      <w:r>
        <w:t xml:space="preserve">. Sobre la distribución y la degradación en el organismo existen estudios en seres humanos, ratas y monos: la molécula se metaboliza mediante la escisión del esqueleto peptídico y la degradación de la cadena de ácido graso; en el ser humano se encontró aproximadamente el 66 % de la sustancia marcada en la orina y aproximadamente el 33 % en las heces, pero tirzepatida sin modificar en ninguna de las dos</w:t>
      </w:r>
      <w:r>
        <w:rPr>
          <w:rStyle w:val="FootnoteReference"/>
        </w:rPr>
        <w:footnoteReference w:id="518"/>
      </w:r>
      <w:r>
        <w:t xml:space="preserve">.</w:t>
      </w:r>
    </w:p>
    <w:p>
      <w:pPr>
        <w:pStyle w:val="BodyText"/>
      </w:pPr>
      <w:r>
        <w:t xml:space="preserve">Como con todos los agonistas del GLP-1 de acción prolongada, en estudios de larga duración en roedores aparecieron tumores de las células C de la tiroides. No está claro si este hallazgo es trasladable al ser humano, porque los roedores tienen muchos más receptores de GLP-1 en estas células. Este resultado en animales es la base de las advertencias de la ficha técnica (véase más abajo).</w:t>
      </w:r>
    </w:p>
    <w:bookmarkEnd w:id="519"/>
    <w:bookmarkStart w:id="528" w:name="riesgos-y-efectos-adversos-4"/>
    <w:p>
      <w:pPr>
        <w:pStyle w:val="Heading3"/>
      </w:pPr>
      <w:r>
        <w:t xml:space="preserve">Riesgos y efectos adversos</w:t>
      </w:r>
    </w:p>
    <w:p>
      <w:pPr>
        <w:pStyle w:val="FirstParagraph"/>
      </w:pPr>
      <w:r>
        <w:rPr>
          <w:bCs/>
          <w:b/>
        </w:rPr>
        <w:t xml:space="preserve">Demostrados en estudios:</w:t>
      </w:r>
    </w:p>
    <w:p>
      <w:pPr>
        <w:numPr>
          <w:ilvl w:val="0"/>
          <w:numId w:val="1064"/>
        </w:numPr>
        <w:pStyle w:val="Compact"/>
      </w:pPr>
      <w:r>
        <w:rPr>
          <w:bCs/>
          <w:b/>
        </w:rPr>
        <w:t xml:space="preserve">Las molestias gastrointestinales</w:t>
      </w:r>
      <w:r>
        <w:t xml:space="preserve"> </w:t>
      </w:r>
      <w:r>
        <w:t xml:space="preserve">son con diferencia las más frecuentes: náuseas, diarrea, vómitos, estreñimiento, disminución del apetito. En SURPASS-3, el 12–24 % comunicó náuseas, el 15–17 % diarrea y el 6–10 % vómitos</w:t>
      </w:r>
      <w:r>
        <w:rPr>
          <w:rStyle w:val="FootnoteReference"/>
        </w:rPr>
        <w:footnoteReference w:id="520"/>
      </w:r>
      <w:r>
        <w:t xml:space="preserve">. Las molestias aparecen sobre todo en la fase de aumento de la dosis y suelen remitir. Son el motivo más frecuente de interrupción del tratamiento.</w:t>
      </w:r>
    </w:p>
    <w:p>
      <w:pPr>
        <w:numPr>
          <w:ilvl w:val="0"/>
          <w:numId w:val="1064"/>
        </w:numPr>
        <w:pStyle w:val="Compact"/>
      </w:pPr>
      <w:r>
        <w:rPr>
          <w:bCs/>
          <w:b/>
        </w:rPr>
        <w:t xml:space="preserve">Vesícula y vías biliares:</w:t>
      </w:r>
      <w:r>
        <w:t xml:space="preserve"> </w:t>
      </w:r>
      <w:r>
        <w:t xml:space="preserve">un metaanálisis de nueve estudios con 9871 participantes encontró un aumento del riesgo de la categoría agrupada de enfermedades de la vesícula o de las vías biliares frente a placebo o insulina (riesgo relativo 1,97; IC del 95 % 1,14–3,42), pero no un aumento estadísticamente significativo de la inflamación del páncreas (pancreatitis)</w:t>
      </w:r>
      <w:r>
        <w:rPr>
          <w:rStyle w:val="FootnoteReference"/>
        </w:rPr>
        <w:footnoteReference w:id="521"/>
      </w:r>
      <w:r>
        <w:t xml:space="preserve">. La propia pérdida de peso rápida favorece los cálculos biliares.</w:t>
      </w:r>
    </w:p>
    <w:p>
      <w:pPr>
        <w:numPr>
          <w:ilvl w:val="0"/>
          <w:numId w:val="1064"/>
        </w:numPr>
        <w:pStyle w:val="Compact"/>
      </w:pPr>
      <w:r>
        <w:rPr>
          <w:bCs/>
          <w:b/>
        </w:rPr>
        <w:t xml:space="preserve">Hipoglucemia:</w:t>
      </w:r>
      <w:r>
        <w:t xml:space="preserve"> </w:t>
      </w:r>
      <w:r>
        <w:t xml:space="preserve">rara en monoterapia. El riesgo aumenta si se toman simultáneamente insulina o sulfonilureas; en SURPASS-4, las hipoglucemias sin sulfonilurea se produjeron en el 1–3 %</w:t>
      </w:r>
      <w:r>
        <w:rPr>
          <w:rStyle w:val="FootnoteReference"/>
        </w:rPr>
        <w:footnoteReference w:id="522"/>
      </w:r>
      <w:r>
        <w:t xml:space="preserve">.</w:t>
      </w:r>
    </w:p>
    <w:p>
      <w:pPr>
        <w:numPr>
          <w:ilvl w:val="0"/>
          <w:numId w:val="1064"/>
        </w:numPr>
        <w:pStyle w:val="Compact"/>
      </w:pPr>
      <w:r>
        <w:rPr>
          <w:bCs/>
          <w:b/>
        </w:rPr>
        <w:t xml:space="preserve">Salud mental:</w:t>
      </w:r>
      <w:r>
        <w:t xml:space="preserve"> </w:t>
      </w:r>
      <w:r>
        <w:t xml:space="preserve">un análisis posterior de SURMOUNT-1 a -3 con 4056 personas sin enfermedad psiquiátrica grave conocida no encontró indicios de un aumento de las depresiones; las ideas suicidas se comunicaron en ambos grupos en el 0,6 %</w:t>
      </w:r>
      <w:r>
        <w:rPr>
          <w:rStyle w:val="FootnoteReference"/>
        </w:rPr>
        <w:footnoteReference w:id="523"/>
      </w:r>
      <w:r>
        <w:t xml:space="preserve">. Para las personas con enfermedades psiquiátricas graves faltan datos suficientes.</w:t>
      </w:r>
    </w:p>
    <w:p>
      <w:pPr>
        <w:numPr>
          <w:ilvl w:val="0"/>
          <w:numId w:val="1064"/>
        </w:numPr>
        <w:pStyle w:val="Compact"/>
      </w:pPr>
      <w:r>
        <w:rPr>
          <w:bCs/>
          <w:b/>
        </w:rPr>
        <w:t xml:space="preserve">Pérdida de masa magra:</w:t>
      </w:r>
      <w:r>
        <w:t xml:space="preserve"> </w:t>
      </w:r>
      <w:r>
        <w:t xml:space="preserve">aproximadamente una cuarta parte del peso perdido</w:t>
      </w:r>
      <w:r>
        <w:rPr>
          <w:rStyle w:val="FootnoteReference"/>
        </w:rPr>
        <w:footnoteReference w:id="524"/>
      </w:r>
      <w:r>
        <w:t xml:space="preserve">. En los círculos especializados se recomiendan el entrenamiento de fuerza y una ingesta suficiente de proteínas para contrarrestarla; los datos sólidos de estudios sobre el beneficio funcional son limitados.</w:t>
      </w:r>
    </w:p>
    <w:p>
      <w:pPr>
        <w:pStyle w:val="FirstParagraph"/>
      </w:pPr>
      <w:r>
        <w:rPr>
          <w:bCs/>
          <w:b/>
        </w:rPr>
        <w:t xml:space="preserve">Datos posteriores a la comercialización:</w:t>
      </w:r>
      <w:r>
        <w:t xml:space="preserve"> </w:t>
      </w:r>
      <w:r>
        <w:t xml:space="preserve">un análisis de la base de datos estadounidense de efectos adversos FAERS encontró notificaciones desproporcionadamente numerosas de náuseas, pancreatitis, retinopatía diabética y cáncer medular de tiroides, pero ningún aumento del riesgo en comparación con otros agonistas del GLP-1</w:t>
      </w:r>
      <w:r>
        <w:rPr>
          <w:rStyle w:val="FootnoteReference"/>
        </w:rPr>
        <w:footnoteReference w:id="525"/>
      </w:r>
      <w:r>
        <w:t xml:space="preserve">. Estos datos de notificación muestran señales, no causas: los riesgos conocidos se notifican con más frecuencia. En un gran estudio de cohortes con más de 46.000 parejas en tratamiento habitual, el riesgo de eventos gastrointestinales graves (pancreatitis, enfermedades de las vías biliares, obstrucción intestinal, parálisis gástrica, estreñimiento grave) no difirió sustancialmente entre tirzepatida y semaglutida (hazard ratio 1,07; IC del 95 % 0,90–1,26)</w:t>
      </w:r>
      <w:r>
        <w:rPr>
          <w:rStyle w:val="FootnoteReference"/>
        </w:rPr>
        <w:footnoteReference w:id="526"/>
      </w:r>
      <w:r>
        <w:t xml:space="preserve">.</w:t>
      </w:r>
    </w:p>
    <w:p>
      <w:pPr>
        <w:pStyle w:val="BodyText"/>
      </w:pPr>
      <w:r>
        <w:rPr>
          <w:bCs/>
          <w:b/>
        </w:rPr>
        <w:t xml:space="preserve">Teóricos o derivados de datos en animales:</w:t>
      </w:r>
      <w:r>
        <w:t xml:space="preserve"> </w:t>
      </w:r>
      <w:r>
        <w:t xml:space="preserve">cáncer medular de tiroides (hallazgo en animales, véase más arriba). Por eso, las fichas técnicas incluyen una advertencia o una contraindicación en caso de antecedentes personales o familiares de carcinoma medular de tiroides y en el síndrome MEN 2.</w:t>
      </w:r>
    </w:p>
    <w:p>
      <w:pPr>
        <w:pStyle w:val="BodyText"/>
      </w:pPr>
      <w:r>
        <w:rPr>
          <w:bCs/>
          <w:b/>
        </w:rPr>
        <w:t xml:space="preserve">Importante para la práctica (según la ficha técnica, no debe entenderse como instrucciones):</w:t>
      </w:r>
      <w:r>
        <w:t xml:space="preserve"> </w:t>
      </w:r>
      <w:r>
        <w:t xml:space="preserve">el retraso del vaciamiento gástrico puede influir en la absorción de comprimidos, lo que es relevante, por ejemplo, para la píldora anticonceptiva. Durante el embarazo y la lactancia no se utiliza la tirzepatida. Antes de cirugías con anestesia hay que tener en cuenta el retraso del vaciamiento gástrico. Sobre todos los detalles informan la ficha técnica y el médico o la médica responsable del tratamiento.</w:t>
      </w:r>
    </w:p>
    <w:p>
      <w:pPr>
        <w:pStyle w:val="BodyText"/>
      </w:pPr>
      <w:r>
        <w:rPr>
          <w:bCs/>
          <w:b/>
        </w:rPr>
        <w:t xml:space="preserve">Productos de imitación:</w:t>
      </w:r>
      <w:r>
        <w:t xml:space="preserve"> </w:t>
      </w:r>
      <w:r>
        <w:t xml:space="preserve">durante los problemas de suministro de los años 2022 a 2024 se elaboraron en farmacias estadounidenses preparados de tirzepatida («compounding»), y paralelamente surgió un gran mercado gris en línea. Un estudio de 2025 encontró 33 preparados con semaglutida o tirzepatida en formas de administración no autorizadas, como pastillas para chupar o mezclas con vitaminas; para estos productos faltan datos de eficacia y seguridad</w:t>
      </w:r>
      <w:r>
        <w:rPr>
          <w:rStyle w:val="FootnoteReference"/>
        </w:rPr>
        <w:footnoteReference w:id="527"/>
      </w:r>
      <w:r>
        <w:t xml:space="preserve">. Para la mercancía «Research» sin autorización como medicamento esto se aplica en mayor medida aún (véanse la Parte I y la Parte IV).</w:t>
      </w:r>
    </w:p>
    <w:bookmarkEnd w:id="528"/>
    <w:bookmarkStart w:id="529" w:name="situación-legal-4"/>
    <w:p>
      <w:pPr>
        <w:pStyle w:val="Heading3"/>
      </w:pPr>
      <w:r>
        <w:t xml:space="preserve">Situación legal</w:t>
      </w:r>
    </w:p>
    <w:p>
      <w:pPr>
        <w:numPr>
          <w:ilvl w:val="0"/>
          <w:numId w:val="1065"/>
        </w:numPr>
        <w:pStyle w:val="Compact"/>
      </w:pPr>
      <w:r>
        <w:rPr>
          <w:bCs/>
          <w:b/>
        </w:rPr>
        <w:t xml:space="preserve">UE / Austria / Alemania:</w:t>
      </w:r>
      <w:r>
        <w:t xml:space="preserve"> </w:t>
      </w:r>
      <w:r>
        <w:t xml:space="preserve">la tirzepatida está autorizada por el procedimiento centralizado en la UE como Mounjaro (en 2022 para la diabetes tipo 2 y, desde finales de 2023, también para el control del peso). Está sujeta a prescripción médica. Que el seguro de enfermedad asuma los costes depende de la indicación: para la diabetes tipo 2, la financiación es en principio posible; los medicamentos para reducir peso están en Alemania excluidos legalmente en gran medida de la financiación, y en Austria rigen normas propias y restrictivas. Los detalles cambian; comprueba la información actualizada.</w:t>
      </w:r>
    </w:p>
    <w:p>
      <w:pPr>
        <w:numPr>
          <w:ilvl w:val="0"/>
          <w:numId w:val="1065"/>
        </w:numPr>
        <w:pStyle w:val="Compact"/>
      </w:pPr>
      <w:r>
        <w:rPr>
          <w:bCs/>
          <w:b/>
        </w:rPr>
        <w:t xml:space="preserve">EE. UU.:</w:t>
      </w:r>
      <w:r>
        <w:t xml:space="preserve"> </w:t>
      </w:r>
      <w:r>
        <w:t xml:space="preserve">autorizada como Mounjaro (2022, diabetes tipo 2) y como Zepbound (2023, control crónico del peso; en 2024 además apnea obstructiva del sueño en la obesidad). Tras el fin de la escasez oficial, la FDA ha restringido fuertemente la elaboración de copias en farmacias.</w:t>
      </w:r>
    </w:p>
    <w:p>
      <w:pPr>
        <w:numPr>
          <w:ilvl w:val="0"/>
          <w:numId w:val="1065"/>
        </w:numPr>
        <w:pStyle w:val="Compact"/>
      </w:pPr>
      <w:r>
        <w:rPr>
          <w:bCs/>
          <w:b/>
        </w:rPr>
        <w:t xml:space="preserve">Deporte:</w:t>
      </w:r>
      <w:r>
        <w:t xml:space="preserve"> </w:t>
      </w:r>
      <w:r>
        <w:t xml:space="preserve">la tirzepatida no figura en la Lista de Prohibiciones de la WADA (estado en 2026; comprueba la información actualizada).</w:t>
      </w:r>
    </w:p>
    <w:p>
      <w:pPr>
        <w:numPr>
          <w:ilvl w:val="0"/>
          <w:numId w:val="1065"/>
        </w:numPr>
        <w:pStyle w:val="Compact"/>
      </w:pPr>
      <w:r>
        <w:rPr>
          <w:bCs/>
          <w:b/>
        </w:rPr>
        <w:t xml:space="preserve">Mercado gris:</w:t>
      </w:r>
      <w:r>
        <w:t xml:space="preserve"> </w:t>
      </w:r>
      <w:r>
        <w:t xml:space="preserve">el comercio con productos de tirzepatida no autorizados («for research use only») no es en la UE una vía legal para obtener el medicamento; los productos no están sujetos a ningún control de calidad.</w:t>
      </w:r>
    </w:p>
    <w:bookmarkEnd w:id="529"/>
    <w:bookmarkStart w:id="535" w:name="estudios-en-curso-y-perspectivas-4"/>
    <w:p>
      <w:pPr>
        <w:pStyle w:val="Heading3"/>
      </w:pPr>
      <w:r>
        <w:t xml:space="preserve">Estudios en curso y perspectivas</w:t>
      </w:r>
    </w:p>
    <w:p>
      <w:pPr>
        <w:pStyle w:val="FirstParagraph"/>
      </w:pPr>
      <w:r>
        <w:rPr>
          <w:bCs/>
          <w:b/>
        </w:rPr>
        <w:t xml:space="preserve">Confirmado (estudios registrados, estado en octubre de 2026):</w:t>
      </w:r>
    </w:p>
    <w:p>
      <w:pPr>
        <w:numPr>
          <w:ilvl w:val="0"/>
          <w:numId w:val="1066"/>
        </w:numPr>
        <w:pStyle w:val="Compact"/>
      </w:pPr>
      <w:r>
        <w:rPr>
          <w:bCs/>
          <w:b/>
        </w:rPr>
        <w:t xml:space="preserve">SURMOUNT-MMO</w:t>
      </w:r>
      <w:r>
        <w:rPr>
          <w:rStyle w:val="FootnoteReference"/>
        </w:rPr>
        <w:footnoteReference w:id="530"/>
      </w:r>
      <w:r>
        <w:t xml:space="preserve">: estudio de resultados con unas 15.000 personas con obesidad sin diabetes y alto riesgo cardiovascular, tirzepatida frente a placebo. La variable principal incluye infarto de miocardio, ictus, revascularización, eventos de insuficiencia cardíaca y muerte por cualquier causa; final previsto en 2027. Según la publicación del diseño, es el primer estudio de resultados con incretinas que investiga tanto la prevención primaria como la secundaria de las enfermedades cardiovasculares</w:t>
      </w:r>
      <w:r>
        <w:rPr>
          <w:rStyle w:val="FootnoteReference"/>
        </w:rPr>
        <w:footnoteReference w:id="531"/>
      </w:r>
      <w:r>
        <w:t xml:space="preserve">.</w:t>
      </w:r>
    </w:p>
    <w:p>
      <w:pPr>
        <w:numPr>
          <w:ilvl w:val="0"/>
          <w:numId w:val="1066"/>
        </w:numPr>
        <w:pStyle w:val="Compact"/>
      </w:pPr>
      <w:r>
        <w:rPr>
          <w:bCs/>
          <w:b/>
        </w:rPr>
        <w:t xml:space="preserve">SYNERGY-Outcomes</w:t>
      </w:r>
      <w:r>
        <w:rPr>
          <w:rStyle w:val="FootnoteReference"/>
        </w:rPr>
        <w:footnoteReference w:id="532"/>
      </w:r>
      <w:r>
        <w:t xml:space="preserve">: protocolo maestro de fase 3 sobre la enfermedad del hígado graso con 4500 participantes previstos.</w:t>
      </w:r>
    </w:p>
    <w:p>
      <w:pPr>
        <w:numPr>
          <w:ilvl w:val="0"/>
          <w:numId w:val="1066"/>
        </w:numPr>
        <w:pStyle w:val="Compact"/>
      </w:pPr>
      <w:r>
        <w:rPr>
          <w:bCs/>
          <w:b/>
        </w:rPr>
        <w:t xml:space="preserve">Diabetes tipo 1 con obesidad</w:t>
      </w:r>
      <w:r>
        <w:rPr>
          <w:rStyle w:val="FootnoteReference"/>
        </w:rPr>
        <w:footnoteReference w:id="533"/>
      </w:r>
      <w:r>
        <w:t xml:space="preserve">: dos estudios de fase 3.</w:t>
      </w:r>
    </w:p>
    <w:p>
      <w:pPr>
        <w:numPr>
          <w:ilvl w:val="0"/>
          <w:numId w:val="1066"/>
        </w:numPr>
        <w:pStyle w:val="Compact"/>
      </w:pPr>
      <w:r>
        <w:rPr>
          <w:bCs/>
          <w:b/>
        </w:rPr>
        <w:t xml:space="preserve">Adolescentes con obesidad</w:t>
      </w:r>
      <w:r>
        <w:t xml:space="preserve"> </w:t>
      </w:r>
      <w:r>
        <w:t xml:space="preserve">(NCT06439277, SURMOUNT-ADOLESCENTS-2) y niños</w:t>
      </w:r>
      <w:r>
        <w:rPr>
          <w:rStyle w:val="FootnoteReference"/>
        </w:rPr>
        <w:footnoteReference w:id="534"/>
      </w:r>
      <w:r>
        <w:t xml:space="preserve">.</w:t>
      </w:r>
    </w:p>
    <w:p>
      <w:pPr>
        <w:numPr>
          <w:ilvl w:val="0"/>
          <w:numId w:val="1066"/>
        </w:numPr>
        <w:pStyle w:val="Compact"/>
      </w:pPr>
      <w:r>
        <w:rPr>
          <w:bCs/>
          <w:b/>
        </w:rPr>
        <w:t xml:space="preserve">Comparación directa con su sucesora, la retatrutida</w:t>
      </w:r>
      <w:r>
        <w:t xml:space="preserve"> </w:t>
      </w:r>
      <w:r>
        <w:t xml:space="preserve">(NCT06662383; véase el capítulo Retatrutida).</w:t>
      </w:r>
    </w:p>
    <w:p>
      <w:pPr>
        <w:numPr>
          <w:ilvl w:val="0"/>
          <w:numId w:val="1066"/>
        </w:numPr>
        <w:pStyle w:val="Compact"/>
      </w:pPr>
      <w:r>
        <w:t xml:space="preserve">Numerosos estudios sobre artrosis de rodilla, psoriasis, enfermedades renales e ictus.</w:t>
      </w:r>
    </w:p>
    <w:p>
      <w:pPr>
        <w:pStyle w:val="FirstParagraph"/>
      </w:pPr>
      <w:r>
        <w:rPr>
          <w:bCs/>
          <w:b/>
        </w:rPr>
        <w:t xml:space="preserve">Valoración:</w:t>
      </w:r>
      <w:r>
        <w:t xml:space="preserve"> </w:t>
      </w:r>
      <w:r>
        <w:t xml:space="preserve">en 2026, la tirzepatida es la referencia con la que deben medirse los nuevos medicamentos para adelgazar. La siguiente gran pregunta es si SURMOUNT-MMO mostrará en personas sin diabetes un beneficio cardiovascular similar al del estudio SELECT para la semaglutida. La competencia procede de los agonistas triples (retatrutida), las combinaciones con amilina (CagriSema, amicretina) y los comprimidos (orforglipron). Cuándo expirarán las patentes y serán posibles preparados de imitación más baratos se trata en la Parte V.</w:t>
      </w:r>
    </w:p>
    <w:bookmarkEnd w:id="535"/>
    <w:bookmarkStart w:id="536" w:name="conclusión-4"/>
    <w:p>
      <w:pPr>
        <w:pStyle w:val="Heading3"/>
      </w:pPr>
      <w:r>
        <w:t xml:space="preserve">Conclusión</w:t>
      </w:r>
    </w:p>
    <w:p>
      <w:pPr>
        <w:pStyle w:val="FirstParagraph"/>
      </w:pPr>
      <w:r>
        <w:t xml:space="preserve">La tirzepatida es un agonista doble GIP/GLP-1 que se ha estudiado en uno de los mayores programas de estudios de la medicina de la diabetes y la obesidad. En SURMOUNT-1, el peso corporal disminuyó con la dosis más alta una media de alrededor del 21 %, y en la comparación directa con la semaglutida (SURMOUNT-5), un 20,2 % frente a un 13,7 %. Frente a la dulaglutida no fue inferior en los eventos cardiovasculares, y en la insuficiencia cardíaca con fracción de eyección conservada y en la apnea del sueño mostró efectos favorables. Los efectos adversos afectan sobre todo al tubo digestivo y a la vesícula biliar; tras la suspensión se recupera gran parte del peso. El tratamiento debe estar en manos médicas, con el preparado original y no con mercancía del mercado gris.</w:t>
      </w:r>
    </w:p>
    <w:bookmarkEnd w:id="536"/>
    <w:bookmarkEnd w:id="537"/>
    <w:bookmarkStart w:id="577" w:name="retatrutida"/>
    <w:p>
      <w:pPr>
        <w:pStyle w:val="Heading2"/>
      </w:pPr>
      <w:r>
        <w:t xml:space="preserve">Retatrutida</w:t>
      </w:r>
    </w:p>
    <w:bookmarkStart w:id="538" w:name="ficha-5"/>
    <w:p>
      <w:pPr>
        <w:pStyle w:val="Heading3"/>
      </w:pPr>
      <w:r>
        <w:t xml:space="preserve">Ficha</w:t>
      </w:r>
    </w:p>
    <w:p>
      <w:pPr>
        <w:numPr>
          <w:ilvl w:val="0"/>
          <w:numId w:val="1067"/>
        </w:numPr>
        <w:pStyle w:val="Compact"/>
      </w:pPr>
      <w:r>
        <w:rPr>
          <w:bCs/>
          <w:b/>
        </w:rPr>
        <w:t xml:space="preserve">Tipo/estructura:</w:t>
      </w:r>
      <w:r>
        <w:t xml:space="preserve"> </w:t>
      </w:r>
      <w:r>
        <w:t xml:space="preserve">péptido sintético con una cadena de ácido graso unida, para administración subcutánea una vez por semana; código de desarrollo LY3437943.</w:t>
      </w:r>
    </w:p>
    <w:p>
      <w:pPr>
        <w:numPr>
          <w:ilvl w:val="0"/>
          <w:numId w:val="1067"/>
        </w:numPr>
        <w:pStyle w:val="Compact"/>
      </w:pPr>
      <w:r>
        <w:rPr>
          <w:bCs/>
          <w:b/>
        </w:rPr>
        <w:t xml:space="preserve">Origen:</w:t>
      </w:r>
      <w:r>
        <w:t xml:space="preserve"> </w:t>
      </w:r>
      <w:r>
        <w:t xml:space="preserve">desarrollada por Eli Lilly como sucesora de la tirzepatida.</w:t>
      </w:r>
    </w:p>
    <w:p>
      <w:pPr>
        <w:numPr>
          <w:ilvl w:val="0"/>
          <w:numId w:val="1067"/>
        </w:numPr>
        <w:pStyle w:val="Compact"/>
      </w:pPr>
      <w:r>
        <w:rPr>
          <w:bCs/>
          <w:b/>
        </w:rPr>
        <w:t xml:space="preserve">Mecanismo de acción:</w:t>
      </w:r>
      <w:r>
        <w:t xml:space="preserve"> </w:t>
      </w:r>
      <w:r>
        <w:t xml:space="preserve">«agonista triple» en tres receptores: GIP, GLP-1 y glucagón. En los medios se la llama a menudo «Triple G».</w:t>
      </w:r>
    </w:p>
    <w:p>
      <w:pPr>
        <w:numPr>
          <w:ilvl w:val="0"/>
          <w:numId w:val="1067"/>
        </w:numPr>
        <w:pStyle w:val="Compact"/>
      </w:pPr>
      <w:r>
        <w:rPr>
          <w:bCs/>
          <w:b/>
        </w:rPr>
        <w:t xml:space="preserve">Autorización UE:</w:t>
      </w:r>
      <w:r>
        <w:t xml:space="preserve"> </w:t>
      </w:r>
      <w:r>
        <w:t xml:space="preserve">no (a octubre de 2026; programa de fase 3 TRIUMPH parcialmente concluido).</w:t>
      </w:r>
    </w:p>
    <w:p>
      <w:pPr>
        <w:numPr>
          <w:ilvl w:val="0"/>
          <w:numId w:val="1067"/>
        </w:numPr>
        <w:pStyle w:val="Compact"/>
      </w:pPr>
      <w:r>
        <w:rPr>
          <w:bCs/>
          <w:b/>
        </w:rPr>
        <w:t xml:space="preserve">Autorización EE. UU.:</w:t>
      </w:r>
      <w:r>
        <w:t xml:space="preserve"> </w:t>
      </w:r>
      <w:r>
        <w:t xml:space="preserve">no (a octubre de 2026, compruébalo en su versión actual).</w:t>
      </w:r>
    </w:p>
    <w:p>
      <w:pPr>
        <w:numPr>
          <w:ilvl w:val="0"/>
          <w:numId w:val="1067"/>
        </w:numPr>
        <w:pStyle w:val="Compact"/>
      </w:pPr>
      <w:r>
        <w:rPr>
          <w:bCs/>
          <w:b/>
        </w:rPr>
        <w:t xml:space="preserve">AMA (WADA):</w:t>
      </w:r>
      <w:r>
        <w:t xml:space="preserve"> </w:t>
      </w:r>
      <w:r>
        <w:t xml:space="preserve">no figura por su nombre; sin embargo, como principio activo no autorizado en ningún país, la retatrutida entra en la clase S0 «Sustancias no aprobadas» y, por tanto, está prohibida en el deporte en todo momento.</w:t>
      </w:r>
    </w:p>
    <w:p>
      <w:pPr>
        <w:numPr>
          <w:ilvl w:val="0"/>
          <w:numId w:val="1067"/>
        </w:numPr>
        <w:pStyle w:val="Compact"/>
      </w:pPr>
      <w:r>
        <w:rPr>
          <w:bCs/>
          <w:b/>
        </w:rPr>
        <w:t xml:space="preserve">Nivel de evidencia:</w:t>
      </w:r>
      <w:r>
        <w:t xml:space="preserve"> </w:t>
      </w:r>
      <w:r>
        <w:rPr>
          <w:bCs/>
          <w:b/>
        </w:rPr>
        <w:t xml:space="preserve">B</w:t>
      </w:r>
      <w:r>
        <w:t xml:space="preserve"> </w:t>
      </w:r>
      <w:r>
        <w:t xml:space="preserve">– varios grandes estudios de fase 3 publicados, pero todavía sin autorización y sin datos de criterios de valoración clínicos sobre corazón y riñón. Con una autorización se alcanzaría el nivel A.</w:t>
      </w:r>
    </w:p>
    <w:bookmarkEnd w:id="538"/>
    <w:bookmarkStart w:id="542" w:name="cómo-se-supone-que-actúa-5"/>
    <w:p>
      <w:pPr>
        <w:pStyle w:val="Heading3"/>
      </w:pPr>
      <w:r>
        <w:t xml:space="preserve">Cómo se supone que actúa</w:t>
      </w:r>
    </w:p>
    <w:p>
      <w:pPr>
        <w:pStyle w:val="FirstParagraph"/>
      </w:pPr>
      <w:r>
        <w:t xml:space="preserve">La retatrutida se basa en el principio de la tirzepatida (véase ese capítulo) y añade una tercera diana: el receptor del glucagón. A primera vista parece contradictorio, ya que el glucagón es la «hormona antagonista» de la insulina: hace que el hígado libere azúcar y eleva la glucemia. Pero el glucagón tiene otros efectos: aumenta el gasto energético, favorece la degradación de grasa en el hígado y contribuye a la saciedad. La idea detrás de la retatrutida es aprovechar estos efectos favorables, mientras que el componente GLP-1 y GIP compensa el efecto hiperglucemiante.</w:t>
      </w:r>
    </w:p>
    <w:p>
      <w:pPr>
        <w:pStyle w:val="BodyText"/>
      </w:pPr>
      <w:r>
        <w:t xml:space="preserve">En ensayos celulares, la retatrutida actúa con una potencia aproximadamente igual sobre los receptores de glucagón y de GLP-1, y con mayor potencia sobre el receptor de GIP. En ratones con sobrepeso, el componente de glucagón potenció la pérdida de peso a través de un mayor gasto energético, mientras que el GIP y el GLP-1 redujeron la ingesta calórica</w:t>
      </w:r>
      <w:r>
        <w:rPr>
          <w:rStyle w:val="FootnoteReference"/>
        </w:rPr>
        <w:footnoteReference w:id="539"/>
      </w:r>
      <w:r>
        <w:t xml:space="preserve">. Todavía no se ha estudiado suficientemente si el gasto energético también aumenta de forma apreciable en el ser humano; hay registrado un estudio de fase 1 al respecto</w:t>
      </w:r>
      <w:r>
        <w:rPr>
          <w:rStyle w:val="FootnoteReference"/>
        </w:rPr>
        <w:footnoteReference w:id="540"/>
      </w:r>
      <w:r>
        <w:t xml:space="preserve">.</w:t>
      </w:r>
    </w:p>
    <w:p>
      <w:pPr>
        <w:pStyle w:val="BodyText"/>
      </w:pPr>
      <w:r>
        <w:t xml:space="preserve">En humanos, los participantes de un estudio de fase 2 refirieron con las dosis más altas menos hambre y menos tendencia a la «pérdida de control» al comer; estos cambios se relacionaban con la pérdida de peso</w:t>
      </w:r>
      <w:r>
        <w:rPr>
          <w:rStyle w:val="FootnoteReference"/>
        </w:rPr>
        <w:footnoteReference w:id="541"/>
      </w:r>
      <w:r>
        <w:t xml:space="preserve">.</w:t>
      </w:r>
    </w:p>
    <w:bookmarkEnd w:id="542"/>
    <w:bookmarkStart w:id="557" w:name="estudios-en-humanos-5"/>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10 estudios en humanos, completados con la búsqueda específica de las publicaciones de fase 1 y fase 3. En ClinicalTrials.gov había 32 estudios registrados (sin contar una entrada de ejemplo claramente ficticia), entre ellos el programa de registro TRIUMPH (obesidad) y TRANSCEND (diabetes tipo 2). Para un principio activo sin autorización, se trata de una base de datos inusualmente sólida, aunque procede casi por completo de estudios financiados por el fabricante.</w:t>
      </w:r>
    </w:p>
    <w:bookmarkStart w:id="545" w:name="estudios-iniciales"/>
    <w:p>
      <w:pPr>
        <w:pStyle w:val="Heading4"/>
      </w:pPr>
      <w:r>
        <w:t xml:space="preserve">Estudios iniciales</w:t>
      </w:r>
    </w:p>
    <w:p>
      <w:pPr>
        <w:pStyle w:val="FirstParagraph"/>
      </w:pPr>
      <w:r>
        <w:t xml:space="preserve">Tras un estudio de dosis única en personas sanas, en el que el peso corporal se mantuvo reducido hasta 43 días después de una sola inyección</w:t>
      </w:r>
      <w:r>
        <w:rPr>
          <w:rStyle w:val="FootnoteReference"/>
        </w:rPr>
        <w:footnoteReference w:id="543"/>
      </w:r>
      <w:r>
        <w:t xml:space="preserve">, se realizó un estudio de fase 1b de doce semanas con 72 personas con diabetes tipo 2. La semivida fue de unos seis días, lo que permite la administración semanal. En el grupo de dosis más alta, la pérdida de peso frente a placebo llegó a casi 9 kg</w:t>
      </w:r>
      <w:r>
        <w:rPr>
          <w:rStyle w:val="FootnoteReference"/>
        </w:rPr>
        <w:footnoteReference w:id="544"/>
      </w:r>
      <w:r>
        <w:t xml:space="preserve">.</w:t>
      </w:r>
    </w:p>
    <w:bookmarkEnd w:id="545"/>
    <w:bookmarkStart w:id="551" w:name="fase-2-obesidad-y-diabetes-tipo-2"/>
    <w:p>
      <w:pPr>
        <w:pStyle w:val="Heading4"/>
      </w:pPr>
      <w:r>
        <w:t xml:space="preserve">Fase 2: obesidad y diabetes tipo 2</w:t>
      </w:r>
    </w:p>
    <w:p>
      <w:pPr>
        <w:pStyle w:val="FirstParagraph"/>
      </w:pPr>
      <w:r>
        <w:t xml:space="preserve">El estudio de fase 2 en obesidad acaparó titulares en 2023</w:t>
      </w:r>
      <w:r>
        <w:rPr>
          <w:rStyle w:val="FootnoteReference"/>
        </w:rPr>
        <w:footnoteReference w:id="546"/>
      </w:r>
      <w:r>
        <w:t xml:space="preserve">. 338 adultos recibieron durante 48 semanas distintas dosis o placebo. En el grupo de dosis más alta, el peso corporal se redujo en promedio un 24,2 % (placebo: −2,1 %); el 83 % de este grupo perdió al menos un 15 %. Eran los valores más altos medidos hasta entonces en un estudio farmacológico sobre obesidad. Los efectos secundarios gastrointestinales aumentaron con la dosis y fueron menores con un escalado de dosis más lento. La frecuencia cardíaca aumentó de forma dependiente de la dosis, alcanzó su valor máximo a las 24 semanas y después disminuyó.</w:t>
      </w:r>
    </w:p>
    <w:p>
      <w:pPr>
        <w:pStyle w:val="BodyText"/>
      </w:pPr>
      <w:r>
        <w:t xml:space="preserve">El estudio paralelo de fase 2 en 281 personas con diabetes tipo 2 mostró a las 24 semanas reducciones de HbA1c de hasta 2,02 puntos porcentuales (dulaglutida: −1,41) y a las 36 semanas una pérdida de peso de hasta el 16,94 %</w:t>
      </w:r>
      <w:r>
        <w:rPr>
          <w:rStyle w:val="FootnoteReference"/>
        </w:rPr>
        <w:footnoteReference w:id="547"/>
      </w:r>
      <w:r>
        <w:t xml:space="preserve">. En un subestudio con medición de la composición corporal (DXA), la masa grasa disminuyó un 23–26 % con las dosis más altas</w:t>
      </w:r>
      <w:r>
        <w:rPr>
          <w:rStyle w:val="FootnoteReference"/>
        </w:rPr>
        <w:footnoteReference w:id="548"/>
      </w:r>
      <w:r>
        <w:t xml:space="preserve">.</w:t>
      </w:r>
    </w:p>
    <w:p>
      <w:pPr>
        <w:pStyle w:val="BodyText"/>
      </w:pPr>
      <w:r>
        <w:t xml:space="preserve">Un subestudio con 98 participantes con hígado graso (al menos un 10 % de grasa hepática) observó a las 24 semanas una reducción relativa de la grasa hepática de hasta el 82,4 %; con la dosis más alta, el 86 % presentaba después valores normales de grasa hepática, y con placebo nadie</w:t>
      </w:r>
      <w:r>
        <w:rPr>
          <w:rStyle w:val="FootnoteReference"/>
        </w:rPr>
        <w:footnoteReference w:id="549"/>
      </w:r>
      <w:r>
        <w:t xml:space="preserve">. El contenido de grasa hepática es un parámetro subrogado: aún no se ha demostrado que con ello disminuyan la inflamación hepática, la fibrosis y la cirrosis.</w:t>
      </w:r>
    </w:p>
    <w:p>
      <w:pPr>
        <w:pStyle w:val="BodyText"/>
      </w:pPr>
      <w:r>
        <w:t xml:space="preserve">Los análisis posteriores de los estudios de fase 2 mostraron mejoras en los lípidos sanguíneos y en los marcadores de inflamación, por ejemplo un colesterol no HDL hasta un 26,9 % más bajo y un valor de PCR un 54,8 % más bajo en el estudio de obesidad</w:t>
      </w:r>
      <w:r>
        <w:rPr>
          <w:rStyle w:val="FootnoteReference"/>
        </w:rPr>
        <w:footnoteReference w:id="550"/>
      </w:r>
      <w:r>
        <w:t xml:space="preserve">. También estos son valores de laboratorio, no criterios de valoración clínicos duros.</w:t>
      </w:r>
    </w:p>
    <w:bookmarkEnd w:id="551"/>
    <w:bookmarkStart w:id="556" w:name="fase-3-los-programas-triumph-y-transcend"/>
    <w:p>
      <w:pPr>
        <w:pStyle w:val="Heading4"/>
      </w:pPr>
      <w:r>
        <w:t xml:space="preserve">Fase 3: los programas TRIUMPH y TRANSCEND</w:t>
      </w:r>
    </w:p>
    <w:p>
      <w:pPr>
        <w:pStyle w:val="FirstParagraph"/>
      </w:pPr>
      <w:r>
        <w:t xml:space="preserve">El programa de registro para la obesidad, TRIUMPH, comprende cuatro estudios con más de 5800 participantes en total. Una particularidad es el diseño «basket» (en cesta): dentro de los grandes estudios de peso se evaluaron subgrupos con artrosis de rodilla o apnea del sueño con sus propios criterios de valoración principales</w:t>
      </w:r>
      <w:r>
        <w:rPr>
          <w:rStyle w:val="FootnoteReference"/>
        </w:rPr>
        <w:footnoteReference w:id="55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obesidad (Jastreboff 2023), PMID 37366315</w:t>
            </w:r>
          </w:p>
        </w:tc>
        <w:tc>
          <w:tcPr/>
          <w:p>
            <w:pPr>
              <w:pStyle w:val="Compact"/>
              <w:jc w:val="left"/>
            </w:pPr>
            <w:r>
              <w:t xml:space="preserve">338 adultos sin diabetes, frente a placebo</w:t>
            </w:r>
          </w:p>
        </w:tc>
        <w:tc>
          <w:tcPr/>
          <w:p>
            <w:pPr>
              <w:pStyle w:val="Compact"/>
              <w:jc w:val="left"/>
            </w:pPr>
            <w:r>
              <w:t xml:space="preserve">48 semanas</w:t>
            </w:r>
          </w:p>
        </w:tc>
        <w:tc>
          <w:tcPr/>
          <w:p>
            <w:pPr>
              <w:pStyle w:val="Compact"/>
              <w:jc w:val="left"/>
            </w:pPr>
            <w:r>
              <w:t xml:space="preserve">hasta −24,2 % de peso frente a −2,1 %</w:t>
            </w:r>
          </w:p>
        </w:tc>
      </w:tr>
      <w:tr>
        <w:tc>
          <w:tcPr/>
          <w:p>
            <w:pPr>
              <w:pStyle w:val="Compact"/>
              <w:jc w:val="left"/>
            </w:pPr>
            <w:r>
              <w:t xml:space="preserve">Fase 2 diabetes tipo 2 (Rosenstock 2023), PMID 37385280</w:t>
            </w:r>
          </w:p>
        </w:tc>
        <w:tc>
          <w:tcPr/>
          <w:p>
            <w:pPr>
              <w:pStyle w:val="Compact"/>
              <w:jc w:val="left"/>
            </w:pPr>
            <w:r>
              <w:t xml:space="preserve">281 adultos, frente a placebo y dulaglutida</w:t>
            </w:r>
          </w:p>
        </w:tc>
        <w:tc>
          <w:tcPr/>
          <w:p>
            <w:pPr>
              <w:pStyle w:val="Compact"/>
              <w:jc w:val="left"/>
            </w:pPr>
            <w:r>
              <w:t xml:space="preserve">36 semanas</w:t>
            </w:r>
          </w:p>
        </w:tc>
        <w:tc>
          <w:tcPr/>
          <w:p>
            <w:pPr>
              <w:pStyle w:val="Compact"/>
              <w:jc w:val="left"/>
            </w:pPr>
            <w:r>
              <w:t xml:space="preserve">HbA1c hasta −2,02 puntos; peso hasta −16,94 %</w:t>
            </w:r>
          </w:p>
        </w:tc>
      </w:tr>
      <w:tr>
        <w:tc>
          <w:tcPr/>
          <w:p>
            <w:pPr>
              <w:pStyle w:val="Compact"/>
              <w:jc w:val="left"/>
            </w:pPr>
            <w:r>
              <w:t xml:space="preserve">TRIUMPH-1 (Jastreboff 2026), PMID 42814954</w:t>
            </w:r>
          </w:p>
        </w:tc>
        <w:tc>
          <w:tcPr/>
          <w:p>
            <w:pPr>
              <w:pStyle w:val="Compact"/>
              <w:jc w:val="left"/>
            </w:pPr>
            <w:r>
              <w:t xml:space="preserve">2339 adultos con obesidad sin diabetes, frente a placebo</w:t>
            </w:r>
          </w:p>
        </w:tc>
        <w:tc>
          <w:tcPr/>
          <w:p>
            <w:pPr>
              <w:pStyle w:val="Compact"/>
              <w:jc w:val="left"/>
            </w:pPr>
            <w:r>
              <w:t xml:space="preserve">80 semanas</w:t>
            </w:r>
          </w:p>
        </w:tc>
        <w:tc>
          <w:tcPr/>
          <w:p>
            <w:pPr>
              <w:pStyle w:val="Compact"/>
              <w:jc w:val="left"/>
            </w:pPr>
            <w:r>
              <w:t xml:space="preserve">−17,6 / −23,7 / −25,0 % (4/9/12 mg) frente a −3,9 %</w:t>
            </w:r>
          </w:p>
        </w:tc>
      </w:tr>
      <w:tr>
        <w:tc>
          <w:tcPr/>
          <w:p>
            <w:pPr>
              <w:pStyle w:val="Compact"/>
              <w:jc w:val="left"/>
            </w:pPr>
            <w:r>
              <w:t xml:space="preserve">TRIUMPH-2 (Bellido 2026), PMID 42810372</w:t>
            </w:r>
          </w:p>
        </w:tc>
        <w:tc>
          <w:tcPr/>
          <w:p>
            <w:pPr>
              <w:pStyle w:val="Compact"/>
              <w:jc w:val="left"/>
            </w:pPr>
            <w:r>
              <w:t xml:space="preserve">1152 adultos con obesidad y diabetes tipo 2, frente a placebo</w:t>
            </w:r>
          </w:p>
        </w:tc>
        <w:tc>
          <w:tcPr/>
          <w:p>
            <w:pPr>
              <w:pStyle w:val="Compact"/>
              <w:jc w:val="left"/>
            </w:pPr>
            <w:r>
              <w:t xml:space="preserve">80 semanas</w:t>
            </w:r>
          </w:p>
        </w:tc>
        <w:tc>
          <w:tcPr/>
          <w:p>
            <w:pPr>
              <w:pStyle w:val="Compact"/>
              <w:jc w:val="left"/>
            </w:pPr>
            <w:r>
              <w:t xml:space="preserve">−11,9 / −16,8 / −18,8 % frente a −5,1 %</w:t>
            </w:r>
          </w:p>
        </w:tc>
      </w:tr>
      <w:tr>
        <w:tc>
          <w:tcPr/>
          <w:p>
            <w:pPr>
              <w:pStyle w:val="Compact"/>
              <w:jc w:val="left"/>
            </w:pPr>
            <w:r>
              <w:t xml:space="preserve">TRANSCEND-T2D-1 (Bajaj 2026), PMID 42250575</w:t>
            </w:r>
          </w:p>
        </w:tc>
        <w:tc>
          <w:tcPr/>
          <w:p>
            <w:pPr>
              <w:pStyle w:val="Compact"/>
              <w:jc w:val="left"/>
            </w:pPr>
            <w:r>
              <w:t xml:space="preserve">537 adultos con diabetes tipo 2 sin medicación, frente a placebo</w:t>
            </w:r>
          </w:p>
        </w:tc>
        <w:tc>
          <w:tcPr/>
          <w:p>
            <w:pPr>
              <w:pStyle w:val="Compact"/>
              <w:jc w:val="left"/>
            </w:pPr>
            <w:r>
              <w:t xml:space="preserve">40 semanas</w:t>
            </w:r>
          </w:p>
        </w:tc>
        <w:tc>
          <w:tcPr/>
          <w:p>
            <w:pPr>
              <w:pStyle w:val="Compact"/>
              <w:jc w:val="left"/>
            </w:pPr>
            <w:r>
              <w:t xml:space="preserve">HbA1c −1,69 a −1,94 frente a −0,81; peso hasta −15,3 %</w:t>
            </w:r>
          </w:p>
        </w:tc>
      </w:tr>
    </w:tbl>
    <w:p>
      <w:pPr>
        <w:pStyle w:val="BodyText"/>
      </w:pPr>
      <w:r>
        <w:rPr>
          <w:bCs/>
          <w:b/>
        </w:rPr>
        <w:t xml:space="preserve">TRIUMPH-1</w:t>
      </w:r>
      <w:r>
        <w:rPr>
          <w:rStyle w:val="FootnoteReference"/>
        </w:rPr>
        <w:footnoteReference w:id="553"/>
      </w:r>
      <w:r>
        <w:t xml:space="preserve"> </w:t>
      </w:r>
      <w:r>
        <w:t xml:space="preserve">es el estudio principal. En 2339 adultos con obesidad sin diabetes, el peso corporal se redujo a las 80 semanas con la dosis más alta un 25,0 % en promedio. A modo de comparación: en SURMOUNT-1, la tirzepatida alcanzó con la dosis más alta un 20,9 % a las 72 semanas. No obstante, una comparación cruzada de este tipo entre estudios con distinta duración y población solo ofrece una orientación aproximada; la comparación directa la aportará un estudio en curso (véase Perspectivas).</w:t>
      </w:r>
    </w:p>
    <w:p>
      <w:pPr>
        <w:pStyle w:val="BodyText"/>
      </w:pPr>
      <w:r>
        <w:t xml:space="preserve">En los subestudios integrados:</w:t>
      </w:r>
    </w:p>
    <w:p>
      <w:pPr>
        <w:numPr>
          <w:ilvl w:val="0"/>
          <w:numId w:val="1068"/>
        </w:numPr>
        <w:pStyle w:val="Compact"/>
      </w:pPr>
      <w:r>
        <w:rPr>
          <w:bCs/>
          <w:b/>
        </w:rPr>
        <w:t xml:space="preserve">Artrosis de rodilla</w:t>
      </w:r>
      <w:r>
        <w:t xml:space="preserve"> </w:t>
      </w:r>
      <w:r>
        <w:t xml:space="preserve">(574 participantes): la puntuación de dolor (WOMAC, escala de 1 a 10) disminuyó 3,5 y 3,6 puntos con 9 y 12 mg, respectivamente, frente a 1,9 puntos con placebo.</w:t>
      </w:r>
    </w:p>
    <w:p>
      <w:pPr>
        <w:numPr>
          <w:ilvl w:val="0"/>
          <w:numId w:val="1068"/>
        </w:numPr>
        <w:pStyle w:val="Compact"/>
      </w:pPr>
      <w:r>
        <w:rPr>
          <w:bCs/>
          <w:b/>
        </w:rPr>
        <w:t xml:space="preserve">Apnea del sueño</w:t>
      </w:r>
      <w:r>
        <w:t xml:space="preserve"> </w:t>
      </w:r>
      <w:r>
        <w:t xml:space="preserve">(243 participantes): el índice de apnea-hipopnea se redujo en unos 32 a 34 eventos por hora, y con placebo en casi 10.</w:t>
      </w:r>
    </w:p>
    <w:p>
      <w:pPr>
        <w:pStyle w:val="FirstParagraph"/>
      </w:pPr>
      <w:r>
        <w:rPr>
          <w:bCs/>
          <w:b/>
        </w:rPr>
        <w:t xml:space="preserve">TRIUMPH-2</w:t>
      </w:r>
      <w:r>
        <w:rPr>
          <w:rStyle w:val="FootnoteReference"/>
        </w:rPr>
        <w:footnoteReference w:id="554"/>
      </w:r>
      <w:r>
        <w:t xml:space="preserve"> </w:t>
      </w:r>
      <w:r>
        <w:t xml:space="preserve">confirmó el patrón conocido de que las personas con diabetes tipo 2 pierden menos peso: −18,8 % con la dosis más alta frente a −5,1 % con placebo. Este estudio aportó también los datos de seguridad más precisos hasta la fecha (véase más abajo).</w:t>
      </w:r>
    </w:p>
    <w:p>
      <w:pPr>
        <w:pStyle w:val="BodyText"/>
      </w:pPr>
      <w:r>
        <w:rPr>
          <w:bCs/>
          <w:b/>
        </w:rPr>
        <w:t xml:space="preserve">TRANSCEND-T2D-1</w:t>
      </w:r>
      <w:r>
        <w:rPr>
          <w:rStyle w:val="FootnoteReference"/>
        </w:rPr>
        <w:footnoteReference w:id="555"/>
      </w:r>
      <w:r>
        <w:t xml:space="preserve"> </w:t>
      </w:r>
      <w:r>
        <w:t xml:space="preserve">evaluó la retatrutida como único tratamiento de la diabetes en personas con diabetes de corta evolución. La HbA1c disminuyó hasta 1,94 puntos porcentuales y el peso hasta un 15,3 %; no se produjeron hipoglucemias graves.</w:t>
      </w:r>
    </w:p>
    <w:p>
      <w:pPr>
        <w:pStyle w:val="BodyText"/>
      </w:pPr>
      <w:r>
        <w:t xml:space="preserve">Según el registro, TRIUMPH-3 (obesidad con enfermedad cardiovascular, NCT05882045) y TRIUMPH-4 (artrosis de rodilla, NCT05931367) han concluido; al cierre de la redacción de este capítulo todavía no existía una publicación revisada por pares.</w:t>
      </w:r>
    </w:p>
    <w:bookmarkEnd w:id="556"/>
    <w:bookmarkEnd w:id="557"/>
    <w:bookmarkStart w:id="561" w:name="estudios-en-animales-y-de-laboratorio-5"/>
    <w:p>
      <w:pPr>
        <w:pStyle w:val="Heading3"/>
      </w:pPr>
      <w:r>
        <w:t xml:space="preserve">Estudios en animales y de laboratorio</w:t>
      </w:r>
    </w:p>
    <w:p>
      <w:pPr>
        <w:pStyle w:val="FirstParagraph"/>
      </w:pPr>
      <w:r>
        <w:t xml:space="preserve">Las bases preclínicas proceden en su mayoría del fabricante. En cultivos celulares, la retatrutida activa los tres receptores; en ratones con sobrepeso redujo el peso y la glucemia, y el componente de glucagón aumentó el gasto energético</w:t>
      </w:r>
      <w:r>
        <w:rPr>
          <w:rStyle w:val="FootnoteReference"/>
        </w:rPr>
        <w:footnoteReference w:id="558"/>
      </w:r>
      <w:r>
        <w:t xml:space="preserve">. Un trabajo en ratones con sobrepeso describe que, con retatrutida, los tumores pancreáticos y pulmonares trasplantados prendieron con menos frecuencia y crecieron más despacio</w:t>
      </w:r>
      <w:r>
        <w:rPr>
          <w:rStyle w:val="FootnoteReference"/>
        </w:rPr>
        <w:footnoteReference w:id="559"/>
      </w:r>
      <w:r>
        <w:t xml:space="preserve">, un hallazgo en animales del que no se puede deducir nada para los seres humanos.</w:t>
      </w:r>
    </w:p>
    <w:p>
      <w:pPr>
        <w:pStyle w:val="BodyText"/>
      </w:pPr>
      <w:r>
        <w:t xml:space="preserve">Para el análisis antidopaje se desarrolló en 2026 un método de detección. Para ello se analizaron muestras de sangre y orina de cuatro personas que se habían inyectado retatrutida por su cuenta fuera de estudios. En la orina no se encontró retatrutida intacta; en la sangre era detectable hasta unos 56 días después de la primera inyección</w:t>
      </w:r>
      <w:r>
        <w:rPr>
          <w:rStyle w:val="FootnoteReference"/>
        </w:rPr>
        <w:footnoteReference w:id="560"/>
      </w:r>
      <w:r>
        <w:t xml:space="preserve">. Los autores mencionan informes sobre su uso entre deportistas aficionados.</w:t>
      </w:r>
    </w:p>
    <w:bookmarkEnd w:id="561"/>
    <w:bookmarkStart w:id="565" w:name="riesgos-y-efectos-adversos-5"/>
    <w:p>
      <w:pPr>
        <w:pStyle w:val="Heading3"/>
      </w:pPr>
      <w:r>
        <w:t xml:space="preserve">Riesgos y efectos adversos</w:t>
      </w:r>
    </w:p>
    <w:p>
      <w:pPr>
        <w:pStyle w:val="FirstParagraph"/>
      </w:pPr>
      <w:r>
        <w:rPr>
          <w:bCs/>
          <w:b/>
        </w:rPr>
        <w:t xml:space="preserve">Demostrado en estudios:</w:t>
      </w:r>
    </w:p>
    <w:p>
      <w:pPr>
        <w:numPr>
          <w:ilvl w:val="0"/>
          <w:numId w:val="1069"/>
        </w:numPr>
        <w:pStyle w:val="Compact"/>
      </w:pPr>
      <w:r>
        <w:t xml:space="preserve">Las</w:t>
      </w:r>
      <w:r>
        <w:t xml:space="preserve"> </w:t>
      </w:r>
      <w:r>
        <w:rPr>
          <w:bCs/>
          <w:b/>
        </w:rPr>
        <w:t xml:space="preserve">molestias gastrointestinales</w:t>
      </w:r>
      <w:r>
        <w:t xml:space="preserve"> </w:t>
      </w:r>
      <w:r>
        <w:t xml:space="preserve">son los efectos secundarios más frecuentes y dependen claramente de la dosis. En TRIUMPH-2, se produjo diarrea en el 27–34 % (placebo 13 %) y náuseas en el 14–28 % (placebo 8 %)</w:t>
      </w:r>
      <w:r>
        <w:rPr>
          <w:rStyle w:val="FootnoteReference"/>
        </w:rPr>
        <w:footnoteReference w:id="562"/>
      </w:r>
      <w:r>
        <w:t xml:space="preserve">.</w:t>
      </w:r>
    </w:p>
    <w:p>
      <w:pPr>
        <w:numPr>
          <w:ilvl w:val="0"/>
          <w:numId w:val="1069"/>
        </w:numPr>
        <w:pStyle w:val="Compact"/>
      </w:pPr>
      <w:r>
        <w:rPr>
          <w:bCs/>
          <w:b/>
        </w:rPr>
        <w:t xml:space="preserve">Abandonos del tratamiento:</w:t>
      </w:r>
      <w:r>
        <w:t xml:space="preserve"> </w:t>
      </w:r>
      <w:r>
        <w:t xml:space="preserve">en TRIUMPH-2, el 12 % (9 mg) y el 8 % (12 mg) interrumpieron el tratamiento por efectos secundarios o muerte; con 4 mg, el 4 %, y con placebo, el 5 %.</w:t>
      </w:r>
    </w:p>
    <w:p>
      <w:pPr>
        <w:numPr>
          <w:ilvl w:val="0"/>
          <w:numId w:val="1069"/>
        </w:numPr>
        <w:pStyle w:val="Compact"/>
      </w:pPr>
      <w:r>
        <w:t xml:space="preserve">La</w:t>
      </w:r>
      <w:r>
        <w:t xml:space="preserve"> </w:t>
      </w:r>
      <w:r>
        <w:rPr>
          <w:bCs/>
          <w:b/>
        </w:rPr>
        <w:t xml:space="preserve">disestesia</w:t>
      </w:r>
      <w:r>
        <w:t xml:space="preserve"> </w:t>
      </w:r>
      <w:r>
        <w:t xml:space="preserve">–sensaciones cutáneas anómalas desagradables como hormigueo, ardor o sensibilidad al tacto– apareció en TRIUMPH-2 de forma dependiente de la dosis en el 4–7 %, frente al 1 % con placebo. Esta señal es relativamente nueva para la retatrutida; su causa no está aclarada.</w:t>
      </w:r>
    </w:p>
    <w:p>
      <w:pPr>
        <w:numPr>
          <w:ilvl w:val="0"/>
          <w:numId w:val="1069"/>
        </w:numPr>
        <w:pStyle w:val="Compact"/>
      </w:pPr>
      <w:r>
        <w:rPr>
          <w:bCs/>
          <w:b/>
        </w:rPr>
        <w:t xml:space="preserve">Presión arterial baja</w:t>
      </w:r>
      <w:r>
        <w:t xml:space="preserve"> </w:t>
      </w:r>
      <w:r>
        <w:t xml:space="preserve">(hipotensión): 1–6 % frente a menos del 1 % con placebo (TRIUMPH-2).</w:t>
      </w:r>
    </w:p>
    <w:p>
      <w:pPr>
        <w:numPr>
          <w:ilvl w:val="0"/>
          <w:numId w:val="1069"/>
        </w:numPr>
        <w:pStyle w:val="Compact"/>
      </w:pPr>
      <w:r>
        <w:rPr>
          <w:bCs/>
          <w:b/>
        </w:rPr>
        <w:t xml:space="preserve">Frecuencia cardíaca:</w:t>
      </w:r>
      <w:r>
        <w:t xml:space="preserve"> </w:t>
      </w:r>
      <w:r>
        <w:t xml:space="preserve">en el estudio de fase 2, el pulso aumentó de forma dependiente de la dosis y volvió a disminuir después de 24 semanas</w:t>
      </w:r>
      <w:r>
        <w:rPr>
          <w:rStyle w:val="FootnoteReference"/>
        </w:rPr>
        <w:footnoteReference w:id="563"/>
      </w:r>
      <w:r>
        <w:t xml:space="preserve">. Una frecuencia cardíaca en reposo más alta es conocida en todos los fármacos GLP-1; los estudios de criterios de valoración deberán aclarar si es clínicamente relevante con el agonista triple.</w:t>
      </w:r>
    </w:p>
    <w:p>
      <w:pPr>
        <w:numPr>
          <w:ilvl w:val="0"/>
          <w:numId w:val="1069"/>
        </w:numPr>
        <w:pStyle w:val="Compact"/>
      </w:pPr>
      <w:r>
        <w:rPr>
          <w:bCs/>
          <w:b/>
        </w:rPr>
        <w:t xml:space="preserve">Pérdida de masa magra:</w:t>
      </w:r>
      <w:r>
        <w:t xml:space="preserve"> </w:t>
      </w:r>
      <w:r>
        <w:t xml:space="preserve">como en cualquier pérdida de peso importante (véase tirzepatida).</w:t>
      </w:r>
    </w:p>
    <w:p>
      <w:pPr>
        <w:pStyle w:val="FirstParagraph"/>
      </w:pPr>
      <w:r>
        <w:rPr>
          <w:bCs/>
          <w:b/>
        </w:rPr>
        <w:t xml:space="preserve">Teórico o aún insuficientemente estudiado:</w:t>
      </w:r>
      <w:r>
        <w:t xml:space="preserve"> </w:t>
      </w:r>
      <w:r>
        <w:t xml:space="preserve">el componente de glucagón podría tener a largo plazo efectos sobre el metabolismo de los aminoácidos, el ritmo cardíaco y los huesos; no existen datos sólidos a largo plazo al respecto. Para los riesgos de clase de los fármacos GLP-1 (vesícula biliar, páncreas, células C tiroideas en experimentación animal), todavía hay demasiados pocos años-paciente con retatrutida como para hacer afirmaciones propias.</w:t>
      </w:r>
    </w:p>
    <w:p>
      <w:pPr>
        <w:pStyle w:val="BodyText"/>
      </w:pPr>
      <w:r>
        <w:rPr>
          <w:bCs/>
          <w:b/>
        </w:rPr>
        <w:t xml:space="preserve">Mercado gris:</w:t>
      </w:r>
      <w:r>
        <w:t xml:space="preserve"> </w:t>
      </w:r>
      <w:r>
        <w:t xml:space="preserve">desde la publicación de la fase 2, la retatrutida se ofrece en internet como «Research Peptide»; la revista JAMA informó en 2026 sobre un creciente mercado negro de retatrutida y zenagamtida</w:t>
      </w:r>
      <w:r>
        <w:rPr>
          <w:rStyle w:val="FootnoteReference"/>
        </w:rPr>
        <w:footnoteReference w:id="564"/>
      </w:r>
      <w:r>
        <w:t xml:space="preserve">. Estos productos no son medicamentos, su contenido no está controlado y con ellos no es posible reproducir de forma fiable los esquemas de escalado de dosis utilizados en los estudios. La acumulación de efectos secundarios con un aumento rápido de la dosis en los estudios muestra que precisamente este punto es decisivo para la tolerabilidad. Véanse al respecto la Parte I y la Parte IV.</w:t>
      </w:r>
    </w:p>
    <w:bookmarkEnd w:id="565"/>
    <w:bookmarkStart w:id="567" w:name="situación-legal-5"/>
    <w:p>
      <w:pPr>
        <w:pStyle w:val="Heading3"/>
      </w:pPr>
      <w:r>
        <w:t xml:space="preserve">Situación legal</w:t>
      </w:r>
    </w:p>
    <w:p>
      <w:pPr>
        <w:numPr>
          <w:ilvl w:val="0"/>
          <w:numId w:val="1070"/>
        </w:numPr>
        <w:pStyle w:val="Compact"/>
      </w:pPr>
      <w:r>
        <w:rPr>
          <w:bCs/>
          <w:b/>
        </w:rPr>
        <w:t xml:space="preserve">UE / Austria / Alemania:</w:t>
      </w:r>
      <w:r>
        <w:t xml:space="preserve"> </w:t>
      </w:r>
      <w:r>
        <w:t xml:space="preserve">no autorizada. La retatrutida solo puede utilizarse en el marco de ensayos clínicos. Su venta como «sustancia química de investigación» para uso en humanos es ilegal según la legislación farmacéutica.</w:t>
      </w:r>
    </w:p>
    <w:p>
      <w:pPr>
        <w:numPr>
          <w:ilvl w:val="0"/>
          <w:numId w:val="1070"/>
        </w:numPr>
        <w:pStyle w:val="Compact"/>
      </w:pPr>
      <w:r>
        <w:rPr>
          <w:bCs/>
          <w:b/>
        </w:rPr>
        <w:t xml:space="preserve">EE. UU.:</w:t>
      </w:r>
      <w:r>
        <w:t xml:space="preserve"> </w:t>
      </w:r>
      <w:r>
        <w:t xml:space="preserve">no autorizada (a octubre de 2026). En el registro figura un programa de acceso ampliado antes de la autorización («Expanded Access»)</w:t>
      </w:r>
      <w:r>
        <w:rPr>
          <w:rStyle w:val="FootnoteReference"/>
        </w:rPr>
        <w:footnoteReference w:id="566"/>
      </w:r>
      <w:r>
        <w:t xml:space="preserve">. Si se presentará o se ha presentado una solicitud de autorización, y cuándo, compruébalo en su versión actual.</w:t>
      </w:r>
    </w:p>
    <w:p>
      <w:pPr>
        <w:numPr>
          <w:ilvl w:val="0"/>
          <w:numId w:val="1070"/>
        </w:numPr>
        <w:pStyle w:val="Compact"/>
      </w:pPr>
      <w:r>
        <w:rPr>
          <w:bCs/>
          <w:b/>
        </w:rPr>
        <w:t xml:space="preserve">Deporte:</w:t>
      </w:r>
      <w:r>
        <w:t xml:space="preserve"> </w:t>
      </w:r>
      <w:r>
        <w:t xml:space="preserve">como principio activo no autorizado, la retatrutida entra en la clase S0 de la AMA (situación en 2026, compruébalo en su versión actual). Se ha descrito un método de detección específico en sangre.</w:t>
      </w:r>
    </w:p>
    <w:bookmarkEnd w:id="567"/>
    <w:bookmarkStart w:id="575" w:name="estudios-en-curso-y-perspectivas-5"/>
    <w:p>
      <w:pPr>
        <w:pStyle w:val="Heading3"/>
      </w:pPr>
      <w:r>
        <w:t xml:space="preserve">Estudios en curso y perspectivas</w:t>
      </w:r>
    </w:p>
    <w:p>
      <w:pPr>
        <w:pStyle w:val="FirstParagraph"/>
      </w:pPr>
      <w:r>
        <w:rPr>
          <w:bCs/>
          <w:b/>
        </w:rPr>
        <w:t xml:space="preserve">Confirmado (estudios registrados, a octubre de 2026):</w:t>
      </w:r>
    </w:p>
    <w:p>
      <w:pPr>
        <w:numPr>
          <w:ilvl w:val="0"/>
          <w:numId w:val="1071"/>
        </w:numPr>
        <w:pStyle w:val="Compact"/>
      </w:pPr>
      <w:r>
        <w:rPr>
          <w:bCs/>
          <w:b/>
        </w:rPr>
        <w:t xml:space="preserve">TRIUMPH-Outcomes</w:t>
      </w:r>
      <w:r>
        <w:rPr>
          <w:rStyle w:val="FootnoteReference"/>
        </w:rPr>
        <w:footnoteReference w:id="568"/>
      </w:r>
      <w:r>
        <w:t xml:space="preserve">: estudio de criterios de valoración sobre eventos cardiovasculares y renales con unos 10.000 participantes con obesidad, finalización prevista en 2029.</w:t>
      </w:r>
    </w:p>
    <w:p>
      <w:pPr>
        <w:numPr>
          <w:ilvl w:val="0"/>
          <w:numId w:val="1071"/>
        </w:numPr>
        <w:pStyle w:val="Compact"/>
      </w:pPr>
      <w:r>
        <w:rPr>
          <w:bCs/>
          <w:b/>
        </w:rPr>
        <w:t xml:space="preserve">Retatrutida frente a tirzepatida</w:t>
      </w:r>
      <w:r>
        <w:rPr>
          <w:rStyle w:val="FootnoteReference"/>
        </w:rPr>
        <w:footnoteReference w:id="569"/>
      </w:r>
      <w:r>
        <w:t xml:space="preserve">: comparación directa en 800 adultos con obesidad, finalización prevista en diciembre de 2026.</w:t>
      </w:r>
    </w:p>
    <w:p>
      <w:pPr>
        <w:numPr>
          <w:ilvl w:val="0"/>
          <w:numId w:val="1071"/>
        </w:numPr>
        <w:pStyle w:val="Compact"/>
      </w:pPr>
      <w:r>
        <w:rPr>
          <w:bCs/>
          <w:b/>
        </w:rPr>
        <w:t xml:space="preserve">Retatrutida frente a semaglutida</w:t>
      </w:r>
      <w:r>
        <w:t xml:space="preserve"> </w:t>
      </w:r>
      <w:r>
        <w:t xml:space="preserve">en diabetes tipo 2</w:t>
      </w:r>
      <w:r>
        <w:rPr>
          <w:rStyle w:val="FootnoteReference"/>
        </w:rPr>
        <w:footnoteReference w:id="570"/>
      </w:r>
      <w:r>
        <w:t xml:space="preserve">.</w:t>
      </w:r>
    </w:p>
    <w:p>
      <w:pPr>
        <w:numPr>
          <w:ilvl w:val="0"/>
          <w:numId w:val="1071"/>
        </w:numPr>
        <w:pStyle w:val="Compact"/>
      </w:pPr>
      <w:r>
        <w:rPr>
          <w:bCs/>
          <w:b/>
        </w:rPr>
        <w:t xml:space="preserve">Mantenimiento del peso</w:t>
      </w:r>
      <w:r>
        <w:t xml:space="preserve"> </w:t>
      </w:r>
      <w:r>
        <w:t xml:space="preserve">tras la pérdida</w:t>
      </w:r>
      <w:r>
        <w:rPr>
          <w:rStyle w:val="FootnoteReference"/>
        </w:rPr>
        <w:footnoteReference w:id="571"/>
      </w:r>
      <w:r>
        <w:t xml:space="preserve">,</w:t>
      </w:r>
      <w:r>
        <w:t xml:space="preserve"> </w:t>
      </w:r>
      <w:r>
        <w:rPr>
          <w:bCs/>
          <w:b/>
        </w:rPr>
        <w:t xml:space="preserve">función renal</w:t>
      </w:r>
      <w:r>
        <w:t xml:space="preserve"> </w:t>
      </w:r>
      <w:r>
        <w:t xml:space="preserve">en diabetes tipo 2 con insuficiencia renal</w:t>
      </w:r>
      <w:r>
        <w:rPr>
          <w:rStyle w:val="FootnoteReference"/>
        </w:rPr>
        <w:footnoteReference w:id="572"/>
      </w:r>
      <w:r>
        <w:t xml:space="preserve">,</w:t>
      </w:r>
      <w:r>
        <w:t xml:space="preserve"> </w:t>
      </w:r>
      <w:r>
        <w:rPr>
          <w:bCs/>
          <w:b/>
        </w:rPr>
        <w:t xml:space="preserve">dolor lumbar crónico</w:t>
      </w:r>
      <w:r>
        <w:t xml:space="preserve"> </w:t>
      </w:r>
      <w:r>
        <w:t xml:space="preserve">en obesidad</w:t>
      </w:r>
      <w:r>
        <w:rPr>
          <w:rStyle w:val="FootnoteReference"/>
        </w:rPr>
        <w:footnoteReference w:id="573"/>
      </w:r>
      <w:r>
        <w:t xml:space="preserve">.</w:t>
      </w:r>
    </w:p>
    <w:p>
      <w:pPr>
        <w:numPr>
          <w:ilvl w:val="0"/>
          <w:numId w:val="1071"/>
        </w:numPr>
        <w:pStyle w:val="Compact"/>
      </w:pPr>
      <w:r>
        <w:t xml:space="preserve">Además, la retatrutida forma parte de un protocolo maestro de fase 3 sobre la enfermedad del hígado graso</w:t>
      </w:r>
      <w:r>
        <w:rPr>
          <w:rStyle w:val="FootnoteReference"/>
        </w:rPr>
        <w:footnoteReference w:id="574"/>
      </w:r>
      <w:r>
        <w:t xml:space="preserve">.</w:t>
      </w:r>
    </w:p>
    <w:p>
      <w:pPr>
        <w:pStyle w:val="FirstParagraph"/>
      </w:pPr>
      <w:r>
        <w:rPr>
          <w:bCs/>
          <w:b/>
        </w:rPr>
        <w:t xml:space="preserve">Valoración:</w:t>
      </w:r>
      <w:r>
        <w:t xml:space="preserve"> </w:t>
      </w:r>
      <w:r>
        <w:t xml:space="preserve">tras los datos de TRIUMPH-1 y TRIUMPH-2, cabe esperar solicitudes de autorización en EE. UU. y la UE; una comercialización en 2027 o 2028 parece plausible, pero no está garantizada. La comparación directa mostrará si una pérdida de peso adicional frente a la tirzepatida compensa las tasas de abandono algo más altas y la nueva señal de disestesia. Para muchas personas, una pérdida de peso moderada y bien tolerada es más importante que un valor récord.</w:t>
      </w:r>
    </w:p>
    <w:bookmarkEnd w:id="575"/>
    <w:bookmarkStart w:id="576" w:name="conclusión-5"/>
    <w:p>
      <w:pPr>
        <w:pStyle w:val="Heading3"/>
      </w:pPr>
      <w:r>
        <w:t xml:space="preserve">Conclusión</w:t>
      </w:r>
    </w:p>
    <w:p>
      <w:pPr>
        <w:pStyle w:val="FirstParagraph"/>
      </w:pPr>
      <w:r>
        <w:t xml:space="preserve">La retatrutida es un agonista triple de los receptores de GIP, GLP-1 y glucagón y, en el estudio de fase 3 TRIUMPH-1, logró una pérdida de peso media del 25,0 % a las 80 semanas, el valor más alto medido hasta ahora en un gran estudio farmacológico. También se observaron efectos claros en la diabetes tipo 2, la artrosis de rodilla y la apnea del sueño. Los efectos secundarios afectan sobre todo al tracto gastrointestinal; son nuevas las sensaciones cutáneas anómalas, y las tasas de abandono aumentan con dosis altas. Aún faltan datos sobre eventos cardiovasculares y una autorización. Los productos del mercado gris con la etiqueta «Retatrutide» no son un atajo seguro hacia este medicamento.</w:t>
      </w:r>
    </w:p>
    <w:bookmarkEnd w:id="576"/>
    <w:bookmarkEnd w:id="577"/>
    <w:bookmarkStart w:id="613" w:name="survodutida"/>
    <w:p>
      <w:pPr>
        <w:pStyle w:val="Heading2"/>
      </w:pPr>
      <w:r>
        <w:t xml:space="preserve">Survodutida</w:t>
      </w:r>
    </w:p>
    <w:bookmarkStart w:id="578" w:name="ficha-6"/>
    <w:p>
      <w:pPr>
        <w:pStyle w:val="Heading3"/>
      </w:pPr>
      <w:r>
        <w:t xml:space="preserve">Ficha</w:t>
      </w:r>
    </w:p>
    <w:p>
      <w:pPr>
        <w:numPr>
          <w:ilvl w:val="0"/>
          <w:numId w:val="1072"/>
        </w:numPr>
        <w:pStyle w:val="Compact"/>
      </w:pPr>
      <w:r>
        <w:rPr>
          <w:bCs/>
          <w:b/>
        </w:rPr>
        <w:t xml:space="preserve">Tipo/estructura:</w:t>
      </w:r>
      <w:r>
        <w:t xml:space="preserve"> </w:t>
      </w:r>
      <w:r>
        <w:t xml:space="preserve">péptido sintético modificado con ácido graso para administración subcutánea una vez por semana; código de desarrollo BI 456906.</w:t>
      </w:r>
    </w:p>
    <w:p>
      <w:pPr>
        <w:numPr>
          <w:ilvl w:val="0"/>
          <w:numId w:val="1072"/>
        </w:numPr>
        <w:pStyle w:val="Compact"/>
      </w:pPr>
      <w:r>
        <w:rPr>
          <w:bCs/>
          <w:b/>
        </w:rPr>
        <w:t xml:space="preserve">Origen:</w:t>
      </w:r>
      <w:r>
        <w:t xml:space="preserve"> </w:t>
      </w:r>
      <w:r>
        <w:t xml:space="preserve">desarrollada por Boehringer Ingelheim en colaboración con la empresa danesa Zealand Pharma.</w:t>
      </w:r>
    </w:p>
    <w:p>
      <w:pPr>
        <w:numPr>
          <w:ilvl w:val="0"/>
          <w:numId w:val="1072"/>
        </w:numPr>
        <w:pStyle w:val="Compact"/>
      </w:pPr>
      <w:r>
        <w:rPr>
          <w:bCs/>
          <w:b/>
        </w:rPr>
        <w:t xml:space="preserve">Mecanismo de acción:</w:t>
      </w:r>
      <w:r>
        <w:t xml:space="preserve"> </w:t>
      </w:r>
      <w:r>
        <w:t xml:space="preserve">agonista doble de los receptores de glucagón y de GLP-1 (sin componente GIP).</w:t>
      </w:r>
    </w:p>
    <w:p>
      <w:pPr>
        <w:numPr>
          <w:ilvl w:val="0"/>
          <w:numId w:val="1072"/>
        </w:numPr>
        <w:pStyle w:val="Compact"/>
      </w:pPr>
      <w:r>
        <w:rPr>
          <w:bCs/>
          <w:b/>
        </w:rPr>
        <w:t xml:space="preserve">Autorización UE:</w:t>
      </w:r>
      <w:r>
        <w:t xml:space="preserve"> </w:t>
      </w:r>
      <w:r>
        <w:t xml:space="preserve">no (a octubre de 2026).</w:t>
      </w:r>
    </w:p>
    <w:p>
      <w:pPr>
        <w:numPr>
          <w:ilvl w:val="0"/>
          <w:numId w:val="1072"/>
        </w:numPr>
        <w:pStyle w:val="Compact"/>
      </w:pPr>
      <w:r>
        <w:rPr>
          <w:bCs/>
          <w:b/>
        </w:rPr>
        <w:t xml:space="preserve">Autorización EE. UU.:</w:t>
      </w:r>
      <w:r>
        <w:t xml:space="preserve"> </w:t>
      </w:r>
      <w:r>
        <w:t xml:space="preserve">no (a octubre de 2026).</w:t>
      </w:r>
    </w:p>
    <w:p>
      <w:pPr>
        <w:numPr>
          <w:ilvl w:val="0"/>
          <w:numId w:val="1072"/>
        </w:numPr>
        <w:pStyle w:val="Compact"/>
      </w:pPr>
      <w:r>
        <w:rPr>
          <w:bCs/>
          <w:b/>
        </w:rPr>
        <w:t xml:space="preserve">AMA (WADA):</w:t>
      </w:r>
      <w:r>
        <w:t xml:space="preserve"> </w:t>
      </w:r>
      <w:r>
        <w:t xml:space="preserve">como principio activo no autorizado en ningún país, prohibida en la clase S0 «Sustancias no aprobadas».</w:t>
      </w:r>
    </w:p>
    <w:p>
      <w:pPr>
        <w:numPr>
          <w:ilvl w:val="0"/>
          <w:numId w:val="1072"/>
        </w:numPr>
        <w:pStyle w:val="Compact"/>
      </w:pPr>
      <w:r>
        <w:rPr>
          <w:bCs/>
          <w:b/>
        </w:rPr>
        <w:t xml:space="preserve">Nivel de evidencia:</w:t>
      </w:r>
      <w:r>
        <w:t xml:space="preserve"> </w:t>
      </w:r>
      <w:r>
        <w:rPr>
          <w:bCs/>
          <w:b/>
        </w:rPr>
        <w:t xml:space="preserve">B</w:t>
      </w:r>
      <w:r>
        <w:t xml:space="preserve"> </w:t>
      </w:r>
      <w:r>
        <w:t xml:space="preserve">– estudios aleatorizados de fase 2 y primeros estudios de fase 3 publicados, sin autorización.</w:t>
      </w:r>
    </w:p>
    <w:bookmarkEnd w:id="578"/>
    <w:bookmarkStart w:id="582" w:name="cómo-se-supone-que-actúa-6"/>
    <w:p>
      <w:pPr>
        <w:pStyle w:val="Heading3"/>
      </w:pPr>
      <w:r>
        <w:t xml:space="preserve">Cómo se supone que actúa</w:t>
      </w:r>
    </w:p>
    <w:p>
      <w:pPr>
        <w:pStyle w:val="FirstParagraph"/>
      </w:pPr>
      <w:r>
        <w:t xml:space="preserve">La survodutida combina dos hormonas intestinales o pancreáticas: el GLP-1, que favorece la saciedad y potencia la secreción de insulina, y el glucagón, que aumenta el gasto energético y estimula al hígado a degradar grasa. Mientras que la tirzepatida apuesta por GIP más GLP-1 y la retatrutida reúne las tres señales, la survodutida prescinde del componente GIP y, en su lugar, refuerza el efecto del glucagón. El fabricante apunta así especialmente al hígado: la enfermedad del hígado graso MASH es, junto con la obesidad, el segundo gran campo de desarrollo.</w:t>
      </w:r>
    </w:p>
    <w:p>
      <w:pPr>
        <w:pStyle w:val="BodyText"/>
      </w:pPr>
      <w:r>
        <w:t xml:space="preserve">La survodutida se seleccionó entre 19 candidatos similares porque en experimentos con animales actuaba de forma equilibrada sobre ambos receptores. En ratones con sobrepeso, el peso corporal se redujo aproximadamente en una cuarta parte</w:t>
      </w:r>
      <w:r>
        <w:rPr>
          <w:rStyle w:val="FootnoteReference"/>
        </w:rPr>
        <w:footnoteReference w:id="579"/>
      </w:r>
      <w:r>
        <w:t xml:space="preserve">. Los estudios en ratones indican que el efecto supresor del apetito en el cerebro se produce sobre todo a través del receptor de GLP-1; el componente de glucagón actúa más bien en el resto del organismo, por ejemplo en el hígado</w:t>
      </w:r>
      <w:r>
        <w:rPr>
          <w:rStyle w:val="FootnoteReference"/>
        </w:rPr>
        <w:footnoteReference w:id="580"/>
      </w:r>
      <w:r>
        <w:t xml:space="preserve">. Son hallazgos en animales; en humanos, el efecto sobre el gasto energético se está midiendo actualmente en un estudio propio</w:t>
      </w:r>
      <w:r>
        <w:rPr>
          <w:rStyle w:val="FootnoteReference"/>
        </w:rPr>
        <w:footnoteReference w:id="581"/>
      </w:r>
      <w:r>
        <w:t xml:space="preserve">.</w:t>
      </w:r>
    </w:p>
    <w:bookmarkEnd w:id="582"/>
    <w:bookmarkStart w:id="592" w:name="estudios-en-humanos-6"/>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10 estudios en humanos; a ellos se suma la publicación del estudio de fase 3 SYNCHRONIZE-2, localizada mediante una búsqueda específica adicional. En ClinicalTrials.gov había 29 estudios registrados, entre ellos el programa de fase 3 SYNCHRONIZE (obesidad) y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diabetes tipo 2 (Blüher 2024), PMID 38095657</w:t>
            </w:r>
          </w:p>
        </w:tc>
        <w:tc>
          <w:tcPr/>
          <w:p>
            <w:pPr>
              <w:pStyle w:val="Compact"/>
              <w:jc w:val="left"/>
            </w:pPr>
            <w:r>
              <w:t xml:space="preserve">413 adultos con metformina, frente a placebo y semaglutida abierta</w:t>
            </w:r>
          </w:p>
        </w:tc>
        <w:tc>
          <w:tcPr/>
          <w:p>
            <w:pPr>
              <w:pStyle w:val="Compact"/>
              <w:jc w:val="left"/>
            </w:pPr>
            <w:r>
              <w:t xml:space="preserve">16 semanas</w:t>
            </w:r>
          </w:p>
        </w:tc>
        <w:tc>
          <w:tcPr/>
          <w:p>
            <w:pPr>
              <w:pStyle w:val="Compact"/>
              <w:jc w:val="left"/>
            </w:pPr>
            <w:r>
              <w:t xml:space="preserve">HbA1c hasta −1,71 puntos; peso hasta −8,7 % (semaglutida −5,3 %)</w:t>
            </w:r>
          </w:p>
        </w:tc>
      </w:tr>
      <w:tr>
        <w:tc>
          <w:tcPr/>
          <w:p>
            <w:pPr>
              <w:pStyle w:val="Compact"/>
              <w:jc w:val="left"/>
            </w:pPr>
            <w:r>
              <w:t xml:space="preserve">Fase 2 obesidad (le Roux 2024), PMID 38330987</w:t>
            </w:r>
          </w:p>
        </w:tc>
        <w:tc>
          <w:tcPr/>
          <w:p>
            <w:pPr>
              <w:pStyle w:val="Compact"/>
              <w:jc w:val="left"/>
            </w:pPr>
            <w:r>
              <w:t xml:space="preserve">387 adultos sin diabetes, frente a placebo</w:t>
            </w:r>
          </w:p>
        </w:tc>
        <w:tc>
          <w:tcPr/>
          <w:p>
            <w:pPr>
              <w:pStyle w:val="Compact"/>
              <w:jc w:val="left"/>
            </w:pPr>
            <w:r>
              <w:t xml:space="preserve">46 semanas</w:t>
            </w:r>
          </w:p>
        </w:tc>
        <w:tc>
          <w:tcPr/>
          <w:p>
            <w:pPr>
              <w:pStyle w:val="Compact"/>
              <w:jc w:val="left"/>
            </w:pPr>
            <w:r>
              <w:t xml:space="preserve">−6,2 a −14,9 % de peso frente a −2,8 %</w:t>
            </w:r>
          </w:p>
        </w:tc>
      </w:tr>
      <w:tr>
        <w:tc>
          <w:tcPr/>
          <w:p>
            <w:pPr>
              <w:pStyle w:val="Compact"/>
              <w:jc w:val="left"/>
            </w:pPr>
            <w:r>
              <w:t xml:space="preserve">Fase 2 MASH (Sanyal 2024), PMID 38847460</w:t>
            </w:r>
          </w:p>
        </w:tc>
        <w:tc>
          <w:tcPr/>
          <w:p>
            <w:pPr>
              <w:pStyle w:val="Compact"/>
              <w:jc w:val="left"/>
            </w:pPr>
            <w:r>
              <w:t xml:space="preserve">293 adultos con MASH confirmada por biopsia y fibrosis F1–F3</w:t>
            </w:r>
          </w:p>
        </w:tc>
        <w:tc>
          <w:tcPr/>
          <w:p>
            <w:pPr>
              <w:pStyle w:val="Compact"/>
              <w:jc w:val="left"/>
            </w:pPr>
            <w:r>
              <w:t xml:space="preserve">48 semanas</w:t>
            </w:r>
          </w:p>
        </w:tc>
        <w:tc>
          <w:tcPr/>
          <w:p>
            <w:pPr>
              <w:pStyle w:val="Compact"/>
              <w:jc w:val="left"/>
            </w:pPr>
            <w:r>
              <w:t xml:space="preserve">mejoría de la MASH en el 43–62 % frente al 14 %</w:t>
            </w:r>
          </w:p>
        </w:tc>
      </w:tr>
      <w:tr>
        <w:tc>
          <w:tcPr/>
          <w:p>
            <w:pPr>
              <w:pStyle w:val="Compact"/>
              <w:jc w:val="left"/>
            </w:pPr>
            <w:r>
              <w:t xml:space="preserve">SYNCHRONIZE-1 (le Roux 2026), PMID 42253238</w:t>
            </w:r>
          </w:p>
        </w:tc>
        <w:tc>
          <w:tcPr/>
          <w:p>
            <w:pPr>
              <w:pStyle w:val="Compact"/>
              <w:jc w:val="left"/>
            </w:pPr>
            <w:r>
              <w:t xml:space="preserve">725 adultos con obesidad sin diabetes, frente a placebo</w:t>
            </w:r>
          </w:p>
        </w:tc>
        <w:tc>
          <w:tcPr/>
          <w:p>
            <w:pPr>
              <w:pStyle w:val="Compact"/>
              <w:jc w:val="left"/>
            </w:pPr>
            <w:r>
              <w:t xml:space="preserve">76 semanas</w:t>
            </w:r>
          </w:p>
        </w:tc>
        <w:tc>
          <w:tcPr/>
          <w:p>
            <w:pPr>
              <w:pStyle w:val="Compact"/>
              <w:jc w:val="left"/>
            </w:pPr>
            <w:r>
              <w:t xml:space="preserve">−12,2 / −13,0 % (3,6/6,0 mg) frente a −5,4 %</w:t>
            </w:r>
          </w:p>
        </w:tc>
      </w:tr>
      <w:tr>
        <w:tc>
          <w:tcPr/>
          <w:p>
            <w:pPr>
              <w:pStyle w:val="Compact"/>
              <w:jc w:val="left"/>
            </w:pPr>
            <w:r>
              <w:t xml:space="preserve">SYNCHRONIZE-2 (Wharton 2026), PMID 42820639</w:t>
            </w:r>
          </w:p>
        </w:tc>
        <w:tc>
          <w:tcPr/>
          <w:p>
            <w:pPr>
              <w:pStyle w:val="Compact"/>
              <w:jc w:val="left"/>
            </w:pPr>
            <w:r>
              <w:t xml:space="preserve">752 adultos con obesidad y diabetes tipo 2, frente a placebo</w:t>
            </w:r>
          </w:p>
        </w:tc>
        <w:tc>
          <w:tcPr/>
          <w:p>
            <w:pPr>
              <w:pStyle w:val="Compact"/>
              <w:jc w:val="left"/>
            </w:pPr>
            <w:r>
              <w:t xml:space="preserve">76 semanas</w:t>
            </w:r>
          </w:p>
        </w:tc>
        <w:tc>
          <w:tcPr/>
          <w:p>
            <w:pPr>
              <w:pStyle w:val="Compact"/>
              <w:jc w:val="left"/>
            </w:pPr>
            <w:r>
              <w:t xml:space="preserve">−8,2 / −9,8 % frente a −3,9 %</w:t>
            </w:r>
          </w:p>
        </w:tc>
      </w:tr>
      <w:tr>
        <w:tc>
          <w:tcPr/>
          <w:p>
            <w:pPr>
              <w:pStyle w:val="Compact"/>
              <w:jc w:val="left"/>
            </w:pPr>
            <w:r>
              <w:t xml:space="preserve">SYNCHRONIZE-MASLD (Kaplan 2026), PMID 42252333</w:t>
            </w:r>
          </w:p>
        </w:tc>
        <w:tc>
          <w:tcPr/>
          <w:p>
            <w:pPr>
              <w:pStyle w:val="Compact"/>
              <w:jc w:val="left"/>
            </w:pPr>
            <w:r>
              <w:t xml:space="preserve">216 adultos con obesidad e hígado graso con signos de riesgo</w:t>
            </w:r>
          </w:p>
        </w:tc>
        <w:tc>
          <w:tcPr/>
          <w:p>
            <w:pPr>
              <w:pStyle w:val="Compact"/>
              <w:jc w:val="left"/>
            </w:pPr>
            <w:r>
              <w:t xml:space="preserve">48 semanas</w:t>
            </w:r>
          </w:p>
        </w:tc>
        <w:tc>
          <w:tcPr/>
          <w:p>
            <w:pPr>
              <w:pStyle w:val="Compact"/>
              <w:jc w:val="left"/>
            </w:pPr>
            <w:r>
              <w:t xml:space="preserve">grasa hepática −30 % o más en el 84,2 % frente al 24,3 %</w:t>
            </w:r>
          </w:p>
        </w:tc>
      </w:tr>
    </w:tbl>
    <w:bookmarkStart w:id="587" w:name="obesidad-y-diabetes-tipo-2"/>
    <w:p>
      <w:pPr>
        <w:pStyle w:val="Heading4"/>
      </w:pPr>
      <w:r>
        <w:t xml:space="preserve">Obesidad y diabetes tipo 2</w:t>
      </w:r>
    </w:p>
    <w:p>
      <w:pPr>
        <w:pStyle w:val="FirstParagraph"/>
      </w:pPr>
      <w:r>
        <w:t xml:space="preserve">El estudio de fase 2 en obesidad</w:t>
      </w:r>
      <w:r>
        <w:rPr>
          <w:rStyle w:val="FootnoteReference"/>
        </w:rPr>
        <w:footnoteReference w:id="583"/>
      </w:r>
      <w:r>
        <w:t xml:space="preserve"> </w:t>
      </w:r>
      <w:r>
        <w:t xml:space="preserve">mostró a las 46 semanas una pérdida de peso dependiente de la dosis de hasta el 14,9 %. Llamó la atención la elevada tasa de abandono: solo el 61 % de los participantes con survodutida completó las 46 semanas de tratamiento, aunque también solo el 60 % con placebo. Se produjeron efectos secundarios gastrointestinales en el 75 % con survodutida y en el 42 % con placebo. En este estudio, el escalado de dosis fue relativamente rápido.</w:t>
      </w:r>
    </w:p>
    <w:p>
      <w:pPr>
        <w:pStyle w:val="BodyText"/>
      </w:pPr>
      <w:r>
        <w:t xml:space="preserve">En el estudio de fase 3</w:t>
      </w:r>
      <w:r>
        <w:t xml:space="preserve"> </w:t>
      </w:r>
      <w:r>
        <w:rPr>
          <w:bCs/>
          <w:b/>
        </w:rPr>
        <w:t xml:space="preserve">SYNCHRONIZE-1</w:t>
      </w:r>
      <w:r>
        <w:rPr>
          <w:rStyle w:val="FootnoteReference"/>
        </w:rPr>
        <w:footnoteReference w:id="584"/>
      </w:r>
      <w:r>
        <w:t xml:space="preserve">, el escalado fue más lento. A las 76 semanas, los participantes con la dosis más alta perdieron el 13,0 % de su peso corporal, y con placebo el 5,4 %. Esto está por debajo de los valores que alcanzaron la tirzepatida o la retatrutida en estudios de diseño similar. Hay que tener en cuenta que el análisis principal incluyó a todas las personas, también a las que abandonaron el tratamiento o en las que se prolongó el escalado de dosis. Las molestias gastrointestinales afectaron al 80,9 % y al 89,7 %, respectivamente, frente al 47,9 % con placebo; no se produjeron muertes.</w:t>
      </w:r>
    </w:p>
    <w:p>
      <w:pPr>
        <w:pStyle w:val="BodyText"/>
      </w:pPr>
      <w:r>
        <w:rPr>
          <w:bCs/>
          <w:b/>
        </w:rPr>
        <w:t xml:space="preserve">SYNCHRONIZE-2</w:t>
      </w:r>
      <w:r>
        <w:rPr>
          <w:rStyle w:val="FootnoteReference"/>
        </w:rPr>
        <w:footnoteReference w:id="585"/>
      </w:r>
      <w:r>
        <w:t xml:space="preserve"> </w:t>
      </w:r>
      <w:r>
        <w:t xml:space="preserve">estudió a 752 personas con obesidad y diabetes tipo 2. La pérdida de peso a las 76 semanas fue del 8,2 % y del 9,8 %, respectivamente, frente al 3,9 % con placebo; la HbA1c disminuyó desde el 7,4 % en 0,8 a 0,9 puntos porcentuales.</w:t>
      </w:r>
    </w:p>
    <w:p>
      <w:pPr>
        <w:pStyle w:val="BodyText"/>
      </w:pPr>
      <w:r>
        <w:t xml:space="preserve">En el estudio de fase 2 en diabetes tipo 2, la survodutida redujo la HbA1c a las 16 semanas con dosis bajas de forma similar a la semaglutida 1 mg (unos −1,46 y −1,47 puntos, respectivamente); las dosis más altas produjeron más pérdida de peso que la semaglutida</w:t>
      </w:r>
      <w:r>
        <w:rPr>
          <w:rStyle w:val="FootnoteReference"/>
        </w:rPr>
        <w:footnoteReference w:id="586"/>
      </w:r>
      <w:r>
        <w:t xml:space="preserve">. No obstante, el brazo de semaglutida era abierto y el estudio, corto.</w:t>
      </w:r>
    </w:p>
    <w:bookmarkEnd w:id="587"/>
    <w:bookmarkStart w:id="591" w:name="hígado-graso-masld-y-mash"/>
    <w:p>
      <w:pPr>
        <w:pStyle w:val="Heading4"/>
      </w:pPr>
      <w:r>
        <w:t xml:space="preserve">Hígado graso (MASLD y MASH)</w:t>
      </w:r>
    </w:p>
    <w:p>
      <w:pPr>
        <w:pStyle w:val="FirstParagraph"/>
      </w:pPr>
      <w:r>
        <w:t xml:space="preserve">Aquí reside la verdadera fortaleza de los datos disponibles hasta ahora. En el estudio de fase 2 en MASH con fibrosis confirmada por biopsia</w:t>
      </w:r>
      <w:r>
        <w:rPr>
          <w:rStyle w:val="FootnoteReference"/>
        </w:rPr>
        <w:footnoteReference w:id="588"/>
      </w:r>
      <w:r>
        <w:t xml:space="preserve">, la inflamación hepática mejoró sin empeoramiento de la fibrosis en el 47 %, el 62 % y el 43 % de los tres grupos de dosis, frente al 14 % con placebo. Una mejoría de la fibrosis de al menos un estadio se observó en el 34–36 % frente al 22 %. La curva dosis-respuesta no fue lineal: la dosis intermedia obtuvo los mejores resultados.</w:t>
      </w:r>
    </w:p>
    <w:p>
      <w:pPr>
        <w:pStyle w:val="BodyText"/>
      </w:pPr>
      <w:r>
        <w:t xml:space="preserve">El estudio de fase 3</w:t>
      </w:r>
      <w:r>
        <w:t xml:space="preserve"> </w:t>
      </w:r>
      <w:r>
        <w:rPr>
          <w:bCs/>
          <w:b/>
        </w:rPr>
        <w:t xml:space="preserve">SYNCHRONIZE-MASLD</w:t>
      </w:r>
      <w:r>
        <w:rPr>
          <w:rStyle w:val="FootnoteReference"/>
        </w:rPr>
        <w:footnoteReference w:id="589"/>
      </w:r>
      <w:r>
        <w:t xml:space="preserve">, con 216 adultos, mostró a las 48 semanas una reducción de la grasa hepática de al menos el 30 % en el 84,2 % con survodutida (placebo 24,3 %), medida por RM. Según el análisis más estricto, que también tiene en cuenta los abandonos del tratamiento, fueron el 68,5 % frente al 28,6 %. Los propios autores señalan como limitaciones la corta duración y el reclutamiento solo en EE. UU. y España.</w:t>
      </w:r>
    </w:p>
    <w:p>
      <w:pPr>
        <w:pStyle w:val="BodyText"/>
      </w:pPr>
      <w:r>
        <w:t xml:space="preserve">En un estudio abierto de fase 1, la survodutida se estudió también en personas con cirrosis hepática, incluidos estadios avanzados. Las concentraciones sanguíneas no difirieron sustancialmente de las de personas con hígado sano; la grasa hepática, la rigidez hepática y el peso corporal disminuyeron a lo largo de 28 semanas</w:t>
      </w:r>
      <w:r>
        <w:rPr>
          <w:rStyle w:val="FootnoteReference"/>
        </w:rPr>
        <w:footnoteReference w:id="590"/>
      </w:r>
      <w:r>
        <w:t xml:space="preserve">. Este estudio era pequeño y no controlado.</w:t>
      </w:r>
    </w:p>
    <w:bookmarkEnd w:id="591"/>
    <w:bookmarkEnd w:id="592"/>
    <w:bookmarkStart w:id="595" w:name="estudios-en-animales-y-de-laboratorio-6"/>
    <w:p>
      <w:pPr>
        <w:pStyle w:val="Heading3"/>
      </w:pPr>
      <w:r>
        <w:t xml:space="preserve">Estudios en animales y de laboratorio</w:t>
      </w:r>
    </w:p>
    <w:p>
      <w:pPr>
        <w:pStyle w:val="FirstParagraph"/>
      </w:pPr>
      <w:r>
        <w:t xml:space="preserve">Los datos preclínicos proceden mayoritariamente de los laboratorios del fabricante: perfiles de receptores en líneas celulares, pérdida de peso en ratones con obesidad inducida por la dieta y reducción de la glucemia en ratones diabéticos</w:t>
      </w:r>
      <w:r>
        <w:rPr>
          <w:rStyle w:val="FootnoteReference"/>
        </w:rPr>
        <w:footnoteReference w:id="593"/>
      </w:r>
      <w:r>
        <w:t xml:space="preserve">. Sobre el lugar de acción en el cerebro existen estudios en ratones y en tejido humano</w:t>
      </w:r>
      <w:r>
        <w:rPr>
          <w:rStyle w:val="FootnoteReference"/>
        </w:rPr>
        <w:footnoteReference w:id="594"/>
      </w:r>
      <w:r>
        <w:t xml:space="preserve">. Los estudios independientes en animales son escasos.</w:t>
      </w:r>
    </w:p>
    <w:bookmarkEnd w:id="595"/>
    <w:bookmarkStart w:id="599" w:name="riesgos-y-efectos-adversos-6"/>
    <w:p>
      <w:pPr>
        <w:pStyle w:val="Heading3"/>
      </w:pPr>
      <w:r>
        <w:t xml:space="preserve">Riesgos y efectos adversos</w:t>
      </w:r>
    </w:p>
    <w:p>
      <w:pPr>
        <w:pStyle w:val="FirstParagraph"/>
      </w:pPr>
      <w:r>
        <w:rPr>
          <w:bCs/>
          <w:b/>
        </w:rPr>
        <w:t xml:space="preserve">Demostrado en estudios:</w:t>
      </w:r>
    </w:p>
    <w:p>
      <w:pPr>
        <w:numPr>
          <w:ilvl w:val="0"/>
          <w:numId w:val="1073"/>
        </w:numPr>
        <w:pStyle w:val="Compact"/>
      </w:pPr>
      <w:r>
        <w:t xml:space="preserve">Las</w:t>
      </w:r>
      <w:r>
        <w:t xml:space="preserve"> </w:t>
      </w:r>
      <w:r>
        <w:rPr>
          <w:bCs/>
          <w:b/>
        </w:rPr>
        <w:t xml:space="preserve">molestias gastrointestinales</w:t>
      </w:r>
      <w:r>
        <w:t xml:space="preserve"> </w:t>
      </w:r>
      <w:r>
        <w:t xml:space="preserve">son especialmente frecuentes con la survodutida. En el estudio de MASH se produjeron náuseas en el 66 % (placebo 23 %), diarrea en el 49 % (23 %) y vómitos en el 41 % (4 %)</w:t>
      </w:r>
      <w:r>
        <w:rPr>
          <w:rStyle w:val="FootnoteReference"/>
        </w:rPr>
        <w:footnoteReference w:id="596"/>
      </w:r>
      <w:r>
        <w:t xml:space="preserve">. En SYNCHRONIZE-1, hasta el 89,7 % refirió molestias gastrointestinales</w:t>
      </w:r>
      <w:r>
        <w:rPr>
          <w:rStyle w:val="FootnoteReference"/>
        </w:rPr>
        <w:footnoteReference w:id="597"/>
      </w:r>
      <w:r>
        <w:t xml:space="preserve">. La frecuencia es alta en comparación con otros fármacos incretínicos, aunque la mayoría de las molestias fueron leves a moderadas.</w:t>
      </w:r>
    </w:p>
    <w:p>
      <w:pPr>
        <w:numPr>
          <w:ilvl w:val="0"/>
          <w:numId w:val="1073"/>
        </w:numPr>
        <w:pStyle w:val="Compact"/>
      </w:pPr>
      <w:r>
        <w:t xml:space="preserve">Los</w:t>
      </w:r>
      <w:r>
        <w:t xml:space="preserve"> </w:t>
      </w:r>
      <w:r>
        <w:rPr>
          <w:bCs/>
          <w:b/>
        </w:rPr>
        <w:t xml:space="preserve">acontecimientos adversos graves</w:t>
      </w:r>
      <w:r>
        <w:t xml:space="preserve"> </w:t>
      </w:r>
      <w:r>
        <w:t xml:space="preserve">fueron igual de frecuentes en el estudio de MASH, con un 8 % con survodutida y un 7 % con placebo.</w:t>
      </w:r>
    </w:p>
    <w:p>
      <w:pPr>
        <w:numPr>
          <w:ilvl w:val="0"/>
          <w:numId w:val="1073"/>
        </w:numPr>
        <w:pStyle w:val="Compact"/>
      </w:pPr>
      <w:r>
        <w:rPr>
          <w:bCs/>
          <w:b/>
        </w:rPr>
        <w:t xml:space="preserve">Abandonos:</w:t>
      </w:r>
      <w:r>
        <w:t xml:space="preserve"> </w:t>
      </w:r>
      <w:r>
        <w:t xml:space="preserve">en el estudio de fase 2 en obesidad, solo alrededor del 60 % completó la fase de tratamiento, en ambos grupos.</w:t>
      </w:r>
    </w:p>
    <w:p>
      <w:pPr>
        <w:pStyle w:val="FirstParagraph"/>
      </w:pPr>
      <w:r>
        <w:rPr>
          <w:bCs/>
          <w:b/>
        </w:rPr>
        <w:t xml:space="preserve">Aún sin aclarar:</w:t>
      </w:r>
      <w:r>
        <w:t xml:space="preserve"> </w:t>
      </w:r>
      <w:r>
        <w:t xml:space="preserve">los aumentos de la frecuencia cardíaca son conocidos con los agonistas de glucagón y GLP-1; se ha realizado un estudio propio sobre la seguridad cardíaca</w:t>
      </w:r>
      <w:r>
        <w:rPr>
          <w:rStyle w:val="FootnoteReference"/>
        </w:rPr>
        <w:footnoteReference w:id="598"/>
      </w:r>
      <w:r>
        <w:t xml:space="preserve">. Según el registro, el gran estudio de seguridad cardiovascular SYNCHRONIZE-CVOT ha concluido; al cierre de la redacción, sus resultados aún no se habían publicado en una revista revisada por pares. No se han estudiado los efectos a largo plazo del componente de glucagón sobre los músculos, los huesos y el metabolismo de los aminoácidos.</w:t>
      </w:r>
    </w:p>
    <w:bookmarkEnd w:id="599"/>
    <w:bookmarkStart w:id="600" w:name="situación-legal-6"/>
    <w:p>
      <w:pPr>
        <w:pStyle w:val="Heading3"/>
      </w:pPr>
      <w:r>
        <w:t xml:space="preserve">Situación legal</w:t>
      </w:r>
    </w:p>
    <w:p>
      <w:pPr>
        <w:numPr>
          <w:ilvl w:val="0"/>
          <w:numId w:val="1074"/>
        </w:numPr>
        <w:pStyle w:val="Compact"/>
      </w:pPr>
      <w:r>
        <w:rPr>
          <w:bCs/>
          <w:b/>
        </w:rPr>
        <w:t xml:space="preserve">UE / Austria / Alemania:</w:t>
      </w:r>
      <w:r>
        <w:t xml:space="preserve"> </w:t>
      </w:r>
      <w:r>
        <w:t xml:space="preserve">no autorizada; uso solo en ensayos clínicos. Las ofertas del mercado gris no son medicamentos legales.</w:t>
      </w:r>
    </w:p>
    <w:p>
      <w:pPr>
        <w:numPr>
          <w:ilvl w:val="0"/>
          <w:numId w:val="1074"/>
        </w:numPr>
        <w:pStyle w:val="Compact"/>
      </w:pPr>
      <w:r>
        <w:rPr>
          <w:bCs/>
          <w:b/>
        </w:rPr>
        <w:t xml:space="preserve">EE. UU.:</w:t>
      </w:r>
      <w:r>
        <w:t xml:space="preserve"> </w:t>
      </w:r>
      <w:r>
        <w:t xml:space="preserve">no autorizada. La FDA ha calificado la survodutida para el tratamiento de la MASH como «Breakthrough Therapy» (terapia innovadora), lo que puede acelerar el procedimiento de evaluación.</w:t>
      </w:r>
    </w:p>
    <w:p>
      <w:pPr>
        <w:numPr>
          <w:ilvl w:val="0"/>
          <w:numId w:val="1074"/>
        </w:numPr>
        <w:pStyle w:val="Compact"/>
      </w:pPr>
      <w:r>
        <w:rPr>
          <w:bCs/>
          <w:b/>
        </w:rPr>
        <w:t xml:space="preserve">Deporte:</w:t>
      </w:r>
      <w:r>
        <w:t xml:space="preserve"> </w:t>
      </w:r>
      <w:r>
        <w:t xml:space="preserve">clase S0 de la AMA (sustancia no aprobada), situación en 2026, compruébalo en su versión actual.</w:t>
      </w:r>
    </w:p>
    <w:bookmarkEnd w:id="600"/>
    <w:bookmarkStart w:id="611" w:name="estudios-en-curso-y-perspectivas-6"/>
    <w:p>
      <w:pPr>
        <w:pStyle w:val="Heading3"/>
      </w:pPr>
      <w:r>
        <w:t xml:space="preserve">Estudios en curso y perspectivas</w:t>
      </w:r>
    </w:p>
    <w:p>
      <w:pPr>
        <w:pStyle w:val="FirstParagraph"/>
      </w:pPr>
      <w:r>
        <w:rPr>
          <w:bCs/>
          <w:b/>
        </w:rPr>
        <w:t xml:space="preserve">Confirmado (estudios registrados, a octubre de 2026):</w:t>
      </w:r>
    </w:p>
    <w:p>
      <w:pPr>
        <w:numPr>
          <w:ilvl w:val="0"/>
          <w:numId w:val="1075"/>
        </w:numPr>
        <w:pStyle w:val="Compact"/>
      </w:pPr>
      <w:r>
        <w:rPr>
          <w:bCs/>
          <w:b/>
        </w:rPr>
        <w:t xml:space="preserve">SYNCHRONIZE-CVOT</w:t>
      </w:r>
      <w:r>
        <w:rPr>
          <w:rStyle w:val="FootnoteReference"/>
        </w:rPr>
        <w:footnoteReference w:id="601"/>
      </w:r>
      <w:r>
        <w:t xml:space="preserve">: estudio de seguridad cardiovascular con 5531 participantes, concluido según el registro; diseño descrito en Kosiborod 2024</w:t>
      </w:r>
      <w:r>
        <w:rPr>
          <w:rStyle w:val="FootnoteReference"/>
        </w:rPr>
        <w:footnoteReference w:id="602"/>
      </w:r>
      <w:r>
        <w:t xml:space="preserve">.</w:t>
      </w:r>
    </w:p>
    <w:p>
      <w:pPr>
        <w:numPr>
          <w:ilvl w:val="0"/>
          <w:numId w:val="1075"/>
        </w:numPr>
        <w:pStyle w:val="Compact"/>
      </w:pPr>
      <w:r>
        <w:rPr>
          <w:bCs/>
          <w:b/>
        </w:rPr>
        <w:t xml:space="preserve">LIVERAGE</w:t>
      </w:r>
      <w:r>
        <w:rPr>
          <w:rStyle w:val="FootnoteReference"/>
        </w:rPr>
        <w:footnoteReference w:id="603"/>
      </w:r>
      <w:r>
        <w:t xml:space="preserve">, con 1800 participantes con MASH y fibrosis, y</w:t>
      </w:r>
      <w:r>
        <w:t xml:space="preserve"> </w:t>
      </w:r>
      <w:r>
        <w:rPr>
          <w:bCs/>
          <w:b/>
        </w:rPr>
        <w:t xml:space="preserve">LIVERAGE-Cirrhosis</w:t>
      </w:r>
      <w:r>
        <w:rPr>
          <w:rStyle w:val="FootnoteReference"/>
        </w:rPr>
        <w:footnoteReference w:id="604"/>
      </w:r>
      <w:r>
        <w:t xml:space="preserve">, con 1590 participantes con cirrosis por MASH: los estudios decisivos para una autorización en hepatología, con fechas de finalización previstas entre 2029 y 2031.</w:t>
      </w:r>
    </w:p>
    <w:p>
      <w:pPr>
        <w:numPr>
          <w:ilvl w:val="0"/>
          <w:numId w:val="1075"/>
        </w:numPr>
        <w:pStyle w:val="Compact"/>
      </w:pPr>
      <w:r>
        <w:t xml:space="preserve">Otros estudios de fase 3: diabetes tipo 2</w:t>
      </w:r>
      <w:r>
        <w:rPr>
          <w:rStyle w:val="FootnoteReference"/>
        </w:rPr>
        <w:footnoteReference w:id="605"/>
      </w:r>
      <w:r>
        <w:t xml:space="preserve">, mujeres con obesidad</w:t>
      </w:r>
      <w:r>
        <w:rPr>
          <w:rStyle w:val="FootnoteReference"/>
        </w:rPr>
        <w:footnoteReference w:id="606"/>
      </w:r>
      <w:r>
        <w:t xml:space="preserve">, estructura cardíaca en la obesidad</w:t>
      </w:r>
      <w:r>
        <w:rPr>
          <w:rStyle w:val="FootnoteReference"/>
        </w:rPr>
        <w:footnoteReference w:id="607"/>
      </w:r>
      <w:r>
        <w:t xml:space="preserve">, personas sin tratamiento previo</w:t>
      </w:r>
      <w:r>
        <w:rPr>
          <w:rStyle w:val="FootnoteReference"/>
        </w:rPr>
        <w:footnoteReference w:id="608"/>
      </w:r>
      <w:r>
        <w:t xml:space="preserve">.</w:t>
      </w:r>
    </w:p>
    <w:p>
      <w:pPr>
        <w:numPr>
          <w:ilvl w:val="0"/>
          <w:numId w:val="1075"/>
        </w:numPr>
        <w:pStyle w:val="Compact"/>
      </w:pPr>
      <w:r>
        <w:t xml:space="preserve">Han concluido estudios de fase 3 en China</w:t>
      </w:r>
      <w:r>
        <w:rPr>
          <w:rStyle w:val="FootnoteReference"/>
        </w:rPr>
        <w:footnoteReference w:id="609"/>
      </w:r>
      <w:r>
        <w:t xml:space="preserve"> </w:t>
      </w:r>
      <w:r>
        <w:t xml:space="preserve">y Japón</w:t>
      </w:r>
      <w:r>
        <w:rPr>
          <w:rStyle w:val="FootnoteReference"/>
        </w:rPr>
        <w:footnoteReference w:id="610"/>
      </w:r>
      <w:r>
        <w:t xml:space="preserve">.</w:t>
      </w:r>
    </w:p>
    <w:p>
      <w:pPr>
        <w:pStyle w:val="FirstParagraph"/>
      </w:pPr>
      <w:r>
        <w:rPr>
          <w:bCs/>
          <w:b/>
        </w:rPr>
        <w:t xml:space="preserve">Valoración:</w:t>
      </w:r>
      <w:r>
        <w:t xml:space="preserve"> </w:t>
      </w:r>
      <w:r>
        <w:t xml:space="preserve">como medicamento puramente para adelgazar, la survodutida probablemente lo tendrá difícil frente a la tirzepatida, la semaglutida y los próximos agonistas triples: la pérdida de peso en SYNCHRONIZE-1 fue menor y los efectos secundarios gastrointestinales, frecuentes. Su nicho podría ser la enfermedad del hígado graso, en particular los estadios avanzados hasta la cirrosis, para los que apenas existen opciones de tratamiento. Si lo consigue, lo decidirán los estudios LIVERAGE.</w:t>
      </w:r>
    </w:p>
    <w:bookmarkEnd w:id="611"/>
    <w:bookmarkStart w:id="612" w:name="conclusión-6"/>
    <w:p>
      <w:pPr>
        <w:pStyle w:val="Heading3"/>
      </w:pPr>
      <w:r>
        <w:t xml:space="preserve">Conclusión</w:t>
      </w:r>
    </w:p>
    <w:p>
      <w:pPr>
        <w:pStyle w:val="FirstParagraph"/>
      </w:pPr>
      <w:r>
        <w:t xml:space="preserve">La survodutida es un agonista doble de glucagón y GLP-1 que en estudios de fase 3 redujo el peso corporal a las 76 semanas hasta un 13,0 % (sin diabetes) y un 9,8 % (con diabetes tipo 2), respectivamente. Los efectos sobre el hígado fueron más marcados: en el estudio de fase 2, la inflamación hepática mejoró en hasta el 62 % frente al 14 % con placebo. Las molestias gastrointestinales son muy frecuentes. La survodutida no está autorizada; los estudios de fase 3 en curso mostrarán si tiene futuro como medicamento hepático.</w:t>
      </w:r>
    </w:p>
    <w:bookmarkEnd w:id="612"/>
    <w:bookmarkEnd w:id="613"/>
    <w:bookmarkStart w:id="651" w:name="mazdutida"/>
    <w:p>
      <w:pPr>
        <w:pStyle w:val="Heading2"/>
      </w:pPr>
      <w:r>
        <w:t xml:space="preserve">Mazdutida</w:t>
      </w:r>
    </w:p>
    <w:bookmarkStart w:id="614" w:name="ficha-7"/>
    <w:p>
      <w:pPr>
        <w:pStyle w:val="Heading3"/>
      </w:pPr>
      <w:r>
        <w:t xml:space="preserve">Ficha</w:t>
      </w:r>
    </w:p>
    <w:p>
      <w:pPr>
        <w:numPr>
          <w:ilvl w:val="0"/>
          <w:numId w:val="1076"/>
        </w:numPr>
        <w:pStyle w:val="Compact"/>
      </w:pPr>
      <w:r>
        <w:rPr>
          <w:bCs/>
          <w:b/>
        </w:rPr>
        <w:t xml:space="preserve">Tipo/estructura:</w:t>
      </w:r>
      <w:r>
        <w:t xml:space="preserve"> </w:t>
      </w:r>
      <w:r>
        <w:t xml:space="preserve">péptido sintético modificado con ácido graso, derivado de la hormona intestinal oxintomodulina; administración subcutánea una vez por semana. Códigos de desarrollo LY3305677 (Eli Lilly) e IBI362 (Innovent Biologics).</w:t>
      </w:r>
    </w:p>
    <w:p>
      <w:pPr>
        <w:numPr>
          <w:ilvl w:val="0"/>
          <w:numId w:val="1076"/>
        </w:numPr>
        <w:pStyle w:val="Compact"/>
      </w:pPr>
      <w:r>
        <w:rPr>
          <w:bCs/>
          <w:b/>
        </w:rPr>
        <w:t xml:space="preserve">Origen:</w:t>
      </w:r>
      <w:r>
        <w:t xml:space="preserve"> </w:t>
      </w:r>
      <w:r>
        <w:t xml:space="preserve">desarrollada originalmente por Eli Lilly; en China, Innovent Biologics la llevó hasta la autorización; fuera de China, Lilly sigue investigándola.</w:t>
      </w:r>
    </w:p>
    <w:p>
      <w:pPr>
        <w:numPr>
          <w:ilvl w:val="0"/>
          <w:numId w:val="1076"/>
        </w:numPr>
        <w:pStyle w:val="Compact"/>
      </w:pPr>
      <w:r>
        <w:rPr>
          <w:bCs/>
          <w:b/>
        </w:rPr>
        <w:t xml:space="preserve">Mecanismo de acción:</w:t>
      </w:r>
      <w:r>
        <w:t xml:space="preserve"> </w:t>
      </w:r>
      <w:r>
        <w:t xml:space="preserve">agonista doble de los receptores de GLP-1 y glucagón, como la survodutida, pero una molécula independiente.</w:t>
      </w:r>
    </w:p>
    <w:p>
      <w:pPr>
        <w:numPr>
          <w:ilvl w:val="0"/>
          <w:numId w:val="1076"/>
        </w:numPr>
        <w:pStyle w:val="Compact"/>
      </w:pPr>
      <w:r>
        <w:rPr>
          <w:bCs/>
          <w:b/>
        </w:rPr>
        <w:t xml:space="preserve">Autorización UE:</w:t>
      </w:r>
      <w:r>
        <w:t xml:space="preserve"> </w:t>
      </w:r>
      <w:r>
        <w:t xml:space="preserve">no.</w:t>
      </w:r>
    </w:p>
    <w:p>
      <w:pPr>
        <w:numPr>
          <w:ilvl w:val="0"/>
          <w:numId w:val="1076"/>
        </w:numPr>
        <w:pStyle w:val="Compact"/>
      </w:pPr>
      <w:r>
        <w:rPr>
          <w:bCs/>
          <w:b/>
        </w:rPr>
        <w:t xml:space="preserve">Autorización EE. UU.:</w:t>
      </w:r>
      <w:r>
        <w:t xml:space="preserve"> </w:t>
      </w:r>
      <w:r>
        <w:t xml:space="preserve">no.</w:t>
      </w:r>
    </w:p>
    <w:p>
      <w:pPr>
        <w:numPr>
          <w:ilvl w:val="0"/>
          <w:numId w:val="1076"/>
        </w:numPr>
        <w:pStyle w:val="Compact"/>
      </w:pPr>
      <w:r>
        <w:rPr>
          <w:bCs/>
          <w:b/>
        </w:rPr>
        <w:t xml:space="preserve">Autorización China:</w:t>
      </w:r>
      <w:r>
        <w:t xml:space="preserve"> </w:t>
      </w:r>
      <w:r>
        <w:t xml:space="preserve">sí, desde junio de 2025 para el control del peso y desde septiembre de 2025 también para la diabetes tipo 2 (nombre comercial Xinermei).</w:t>
      </w:r>
    </w:p>
    <w:p>
      <w:pPr>
        <w:numPr>
          <w:ilvl w:val="0"/>
          <w:numId w:val="1076"/>
        </w:numPr>
        <w:pStyle w:val="Compact"/>
      </w:pPr>
      <w:r>
        <w:rPr>
          <w:bCs/>
          <w:b/>
        </w:rPr>
        <w:t xml:space="preserve">AMA (WADA):</w:t>
      </w:r>
      <w:r>
        <w:t xml:space="preserve"> </w:t>
      </w:r>
      <w:r>
        <w:t xml:space="preserve">no figura por su nombre. Como la mazdutida está autorizada por una autoridad sanitaria estatal (China), según la letra de la norma ya no entra en la clase S0; aun así, su uso en el deporte sin indicación médica es problemático.</w:t>
      </w:r>
    </w:p>
    <w:p>
      <w:pPr>
        <w:numPr>
          <w:ilvl w:val="0"/>
          <w:numId w:val="1076"/>
        </w:numPr>
        <w:pStyle w:val="Compact"/>
      </w:pPr>
      <w:r>
        <w:rPr>
          <w:bCs/>
          <w:b/>
        </w:rPr>
        <w:t xml:space="preserve">Nivel de evidencia:</w:t>
      </w:r>
      <w:r>
        <w:t xml:space="preserve"> </w:t>
      </w:r>
      <w:r>
        <w:rPr>
          <w:bCs/>
          <w:b/>
        </w:rPr>
        <w:t xml:space="preserve">A</w:t>
      </w:r>
      <w:r>
        <w:t xml:space="preserve"> </w:t>
      </w:r>
      <w:r>
        <w:t xml:space="preserve">– varios grandes estudios de fase 3 y una autorización, aunque casi exclusivamente en participantes chinos.</w:t>
      </w:r>
    </w:p>
    <w:bookmarkEnd w:id="614"/>
    <w:bookmarkStart w:id="615" w:name="cómo-se-supone-que-actúa-7"/>
    <w:p>
      <w:pPr>
        <w:pStyle w:val="Heading3"/>
      </w:pPr>
      <w:r>
        <w:t xml:space="preserve">Cómo se supone que actúa</w:t>
      </w:r>
    </w:p>
    <w:p>
      <w:pPr>
        <w:pStyle w:val="FirstParagraph"/>
      </w:pPr>
      <w:r>
        <w:t xml:space="preserve">La oxintomodulina es una hormona natural del intestino que, de forma similar al GLP-1, se libera después de comer. Activa tanto el receptor de GLP-1 como el de glucagón, aunque solo débilmente y durante muy poco tiempo. La mazdutida es una versión estabilizada y de acción prolongada de este principio.</w:t>
      </w:r>
    </w:p>
    <w:p>
      <w:pPr>
        <w:pStyle w:val="BodyText"/>
      </w:pPr>
      <w:r>
        <w:t xml:space="preserve">El componente GLP-1 atenúa el apetito, ralentiza el vaciamiento gástrico y favorece la secreción de insulina dependiente de la glucemia. El componente de glucagón aumentaría el gasto energético y favorecería la degradación de grasa en el hígado (véase también el capítulo Survodutida). En el ser humano no se ha medido directamente la contribución del componente de glucagón a la pérdida de peso; la hipótesis se apoya sobre todo en datos en animales.</w:t>
      </w:r>
    </w:p>
    <w:bookmarkEnd w:id="615"/>
    <w:bookmarkStart w:id="630" w:name="estudios-en-humanos-7"/>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9 estudios en humanos, completados con un estudio de fase 1 de dosis alta y un informe de caso. En ClinicalTrials.gov había 44 estudios registrados, la mayoría en China. Los estudios de registro se denominan</w:t>
      </w:r>
      <w:r>
        <w:t xml:space="preserve"> </w:t>
      </w:r>
      <w:r>
        <w:rPr>
          <w:bCs/>
          <w:b/>
        </w:rPr>
        <w:t xml:space="preserve">GLORY</w:t>
      </w:r>
      <w:r>
        <w:t xml:space="preserve"> </w:t>
      </w:r>
      <w:r>
        <w:t xml:space="preserve">(obesidad) y</w:t>
      </w:r>
      <w:r>
        <w:t xml:space="preserve"> </w:t>
      </w:r>
      <w:r>
        <w:rPr>
          <w:bCs/>
          <w:b/>
        </w:rPr>
        <w:t xml:space="preserve">DREAMS</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obesidad (Ji 2023), PMID 38092790</w:t>
            </w:r>
          </w:p>
        </w:tc>
        <w:tc>
          <w:tcPr/>
          <w:p>
            <w:pPr>
              <w:pStyle w:val="Compact"/>
              <w:jc w:val="left"/>
            </w:pPr>
            <w:r>
              <w:t xml:space="preserve">248 adultos chinos con sobrepeso/obesidad</w:t>
            </w:r>
          </w:p>
        </w:tc>
        <w:tc>
          <w:tcPr/>
          <w:p>
            <w:pPr>
              <w:pStyle w:val="Compact"/>
              <w:jc w:val="left"/>
            </w:pPr>
            <w:r>
              <w:t xml:space="preserve">24 semanas</w:t>
            </w:r>
          </w:p>
        </w:tc>
        <w:tc>
          <w:tcPr/>
          <w:p>
            <w:pPr>
              <w:pStyle w:val="Compact"/>
              <w:jc w:val="left"/>
            </w:pPr>
            <w:r>
              <w:t xml:space="preserve">−6,7 a −11,3 % de peso frente a +1,0 %</w:t>
            </w:r>
          </w:p>
        </w:tc>
      </w:tr>
      <w:tr>
        <w:tc>
          <w:tcPr/>
          <w:p>
            <w:pPr>
              <w:pStyle w:val="Compact"/>
              <w:jc w:val="left"/>
            </w:pPr>
            <w:r>
              <w:t xml:space="preserve">Fase 2 diabetes tipo 2 (Zhang 2024), PMID 37943529</w:t>
            </w:r>
          </w:p>
        </w:tc>
        <w:tc>
          <w:tcPr/>
          <w:p>
            <w:pPr>
              <w:pStyle w:val="Compact"/>
              <w:jc w:val="left"/>
            </w:pPr>
            <w:r>
              <w:t xml:space="preserve">250 adultos chinos, frente a placebo y dulaglutida abierta</w:t>
            </w:r>
          </w:p>
        </w:tc>
        <w:tc>
          <w:tcPr/>
          <w:p>
            <w:pPr>
              <w:pStyle w:val="Compact"/>
              <w:jc w:val="left"/>
            </w:pPr>
            <w:r>
              <w:t xml:space="preserve">20 semanas</w:t>
            </w:r>
          </w:p>
        </w:tc>
        <w:tc>
          <w:tcPr/>
          <w:p>
            <w:pPr>
              <w:pStyle w:val="Compact"/>
              <w:jc w:val="left"/>
            </w:pPr>
            <w:r>
              <w:t xml:space="preserve">HbA1c −1,41 a −1,67 (dulaglutida −1,35)</w:t>
            </w:r>
          </w:p>
        </w:tc>
      </w:tr>
      <w:tr>
        <w:tc>
          <w:tcPr/>
          <w:p>
            <w:pPr>
              <w:pStyle w:val="Compact"/>
              <w:jc w:val="left"/>
            </w:pPr>
            <w:r>
              <w:t xml:space="preserve">GLORY-1 (Ji 2025), PMID 40421736</w:t>
            </w:r>
          </w:p>
        </w:tc>
        <w:tc>
          <w:tcPr/>
          <w:p>
            <w:pPr>
              <w:pStyle w:val="Compact"/>
              <w:jc w:val="left"/>
            </w:pPr>
            <w:r>
              <w:t xml:space="preserve">610 adultos chinos con sobrepeso/obesidad, frente a placebo</w:t>
            </w:r>
          </w:p>
        </w:tc>
        <w:tc>
          <w:tcPr/>
          <w:p>
            <w:pPr>
              <w:pStyle w:val="Compact"/>
              <w:jc w:val="left"/>
            </w:pPr>
            <w:r>
              <w:t xml:space="preserve">48 semanas</w:t>
            </w:r>
          </w:p>
        </w:tc>
        <w:tc>
          <w:tcPr/>
          <w:p>
            <w:pPr>
              <w:pStyle w:val="Compact"/>
              <w:jc w:val="left"/>
            </w:pPr>
            <w:r>
              <w:t xml:space="preserve">−11,00 / −14,01 % (4/6 mg) frente a +0,30 %</w:t>
            </w:r>
          </w:p>
        </w:tc>
      </w:tr>
      <w:tr>
        <w:tc>
          <w:tcPr/>
          <w:p>
            <w:pPr>
              <w:pStyle w:val="Compact"/>
              <w:jc w:val="left"/>
            </w:pPr>
            <w:r>
              <w:t xml:space="preserve">GLORY-2 (Gao 2026), PMID 42251595</w:t>
            </w:r>
          </w:p>
        </w:tc>
        <w:tc>
          <w:tcPr/>
          <w:p>
            <w:pPr>
              <w:pStyle w:val="Compact"/>
              <w:jc w:val="left"/>
            </w:pPr>
            <w:r>
              <w:t xml:space="preserve">461 adultos chinos con obesidad, dosis más alta frente a placebo</w:t>
            </w:r>
          </w:p>
        </w:tc>
        <w:tc>
          <w:tcPr/>
          <w:p>
            <w:pPr>
              <w:pStyle w:val="Compact"/>
              <w:jc w:val="left"/>
            </w:pPr>
            <w:r>
              <w:t xml:space="preserve">60 semanas</w:t>
            </w:r>
          </w:p>
        </w:tc>
        <w:tc>
          <w:tcPr/>
          <w:p>
            <w:pPr>
              <w:pStyle w:val="Compact"/>
              <w:jc w:val="left"/>
            </w:pPr>
            <w:r>
              <w:t xml:space="preserve">−16,65 % frente a −1,50 %</w:t>
            </w:r>
          </w:p>
        </w:tc>
      </w:tr>
      <w:tr>
        <w:tc>
          <w:tcPr/>
          <w:p>
            <w:pPr>
              <w:pStyle w:val="Compact"/>
              <w:jc w:val="left"/>
            </w:pPr>
            <w:r>
              <w:t xml:space="preserve">DREAMS-1 (Zhu 2026), PMID 41407859</w:t>
            </w:r>
          </w:p>
        </w:tc>
        <w:tc>
          <w:tcPr/>
          <w:p>
            <w:pPr>
              <w:pStyle w:val="Compact"/>
              <w:jc w:val="left"/>
            </w:pPr>
            <w:r>
              <w:t xml:space="preserve">320 adultos chinos con diabetes tipo 2, frente a placebo</w:t>
            </w:r>
          </w:p>
        </w:tc>
        <w:tc>
          <w:tcPr/>
          <w:p>
            <w:pPr>
              <w:pStyle w:val="Compact"/>
              <w:jc w:val="left"/>
            </w:pPr>
            <w:r>
              <w:t xml:space="preserve">24 semanas</w:t>
            </w:r>
          </w:p>
        </w:tc>
        <w:tc>
          <w:tcPr/>
          <w:p>
            <w:pPr>
              <w:pStyle w:val="Compact"/>
              <w:jc w:val="left"/>
            </w:pPr>
            <w:r>
              <w:t xml:space="preserve">HbA1c −1,57 / −2,15 frente a −0,14</w:t>
            </w:r>
          </w:p>
        </w:tc>
      </w:tr>
      <w:tr>
        <w:tc>
          <w:tcPr/>
          <w:p>
            <w:pPr>
              <w:pStyle w:val="Compact"/>
              <w:jc w:val="left"/>
            </w:pPr>
            <w:r>
              <w:t xml:space="preserve">DREAMS-2 (Guo 2026), PMID 41407860</w:t>
            </w:r>
          </w:p>
        </w:tc>
        <w:tc>
          <w:tcPr/>
          <w:p>
            <w:pPr>
              <w:pStyle w:val="Compact"/>
              <w:jc w:val="left"/>
            </w:pPr>
            <w:r>
              <w:t xml:space="preserve">731 adultos chinos con diabetes tipo 2, frente a dulaglutida</w:t>
            </w:r>
          </w:p>
        </w:tc>
        <w:tc>
          <w:tcPr/>
          <w:p>
            <w:pPr>
              <w:pStyle w:val="Compact"/>
              <w:jc w:val="left"/>
            </w:pPr>
            <w:r>
              <w:t xml:space="preserve">28 semanas</w:t>
            </w:r>
          </w:p>
        </w:tc>
        <w:tc>
          <w:tcPr/>
          <w:p>
            <w:pPr>
              <w:pStyle w:val="Compact"/>
              <w:jc w:val="left"/>
            </w:pPr>
            <w:r>
              <w:t xml:space="preserve">HbA1c adicional −0,24 / −0,30; peso adicional −3,78 / −5,76 %</w:t>
            </w:r>
          </w:p>
        </w:tc>
      </w:tr>
      <w:tr>
        <w:tc>
          <w:tcPr/>
          <w:p>
            <w:pPr>
              <w:pStyle w:val="Compact"/>
              <w:jc w:val="left"/>
            </w:pPr>
            <w:r>
              <w:t xml:space="preserve">Fase 2 EE. UU. (Hsia 2026), PMID 42628555</w:t>
            </w:r>
          </w:p>
        </w:tc>
        <w:tc>
          <w:tcPr/>
          <w:p>
            <w:pPr>
              <w:pStyle w:val="Compact"/>
              <w:jc w:val="left"/>
            </w:pPr>
            <w:r>
              <w:t xml:space="preserve">179 adultos con sobrepeso/obesidad, frente a placebo</w:t>
            </w:r>
          </w:p>
        </w:tc>
        <w:tc>
          <w:tcPr/>
          <w:p>
            <w:pPr>
              <w:pStyle w:val="Compact"/>
              <w:jc w:val="left"/>
            </w:pPr>
            <w:r>
              <w:t xml:space="preserve">48 semanas (criterio principal a las 32)</w:t>
            </w:r>
          </w:p>
        </w:tc>
        <w:tc>
          <w:tcPr/>
          <w:p>
            <w:pPr>
              <w:pStyle w:val="Compact"/>
              <w:jc w:val="left"/>
            </w:pPr>
            <w:r>
              <w:t xml:space="preserve">−7,3 a −18,1 % a las 32 semanas frente a −0,9 %</w:t>
            </w:r>
          </w:p>
        </w:tc>
      </w:tr>
    </w:tbl>
    <w:bookmarkStart w:id="618" w:name="obesidad-glory-1-y-glory-2"/>
    <w:p>
      <w:pPr>
        <w:pStyle w:val="Heading4"/>
      </w:pPr>
      <w:r>
        <w:t xml:space="preserve">Obesidad: GLORY-1 y GLORY-2</w:t>
      </w:r>
    </w:p>
    <w:p>
      <w:pPr>
        <w:pStyle w:val="FirstParagraph"/>
      </w:pPr>
      <w:r>
        <w:rPr>
          <w:bCs/>
          <w:b/>
        </w:rPr>
        <w:t xml:space="preserve">GLORY-1</w:t>
      </w:r>
      <w:r>
        <w:rPr>
          <w:rStyle w:val="FootnoteReference"/>
        </w:rPr>
        <w:footnoteReference w:id="616"/>
      </w:r>
      <w:r>
        <w:t xml:space="preserve"> </w:t>
      </w:r>
      <w:r>
        <w:t xml:space="preserve">fue el estudio de registro para China. Los criterios de inclusión se basaron en los umbrales chinos: IMC a partir de 28, o a partir de 24 con una enfermedad concomitante. Con un peso inicial de 87,2 kg, el peso se redujo a las 48 semanas un 11,0 % (4 mg) y un 14,0 % (6 mg), respectivamente; con placebo se mantuvo prácticamente igual. Perdieron al menos un 15 % el 35,7 % y el 49,5 % de los participantes, respectivamente. Los abandonos por efectos secundarios fueron muy raros, del 0,5–1,5 %.</w:t>
      </w:r>
    </w:p>
    <w:p>
      <w:pPr>
        <w:pStyle w:val="BodyText"/>
      </w:pPr>
      <w:r>
        <w:rPr>
          <w:bCs/>
          <w:b/>
        </w:rPr>
        <w:t xml:space="preserve">GLORY-2</w:t>
      </w:r>
      <w:r>
        <w:rPr>
          <w:rStyle w:val="FootnoteReference"/>
        </w:rPr>
        <w:footnoteReference w:id="617"/>
      </w:r>
      <w:r>
        <w:t xml:space="preserve"> </w:t>
      </w:r>
      <w:r>
        <w:t xml:space="preserve">evaluó una dosis más alta en personas con un IMC a partir de 30. Los participantes eran llamativamente jóvenes, con una media de 33,9 años. A las 60 semanas, la pérdida de peso fue del 16,65 % frente al 1,50 % con placebo. El precio fueron claramente más molestias gastrointestinales: vómitos en el 53,1 % (placebo 1,3 %), náuseas en el 46,9 % (3,2 %) y diarrea en el 39,4 % (6,5 %). Aun así, solo el 2,9 % abandonó el tratamiento por efectos secundarios.</w:t>
      </w:r>
    </w:p>
    <w:bookmarkEnd w:id="618"/>
    <w:bookmarkStart w:id="623" w:name="diabetes-tipo-2-dreams-1-y-dreams-2"/>
    <w:p>
      <w:pPr>
        <w:pStyle w:val="Heading4"/>
      </w:pPr>
      <w:r>
        <w:t xml:space="preserve">Diabetes tipo 2: DREAMS-1 y DREAMS-2</w:t>
      </w:r>
    </w:p>
    <w:p>
      <w:pPr>
        <w:pStyle w:val="FirstParagraph"/>
      </w:pPr>
      <w:r>
        <w:t xml:space="preserve">En</w:t>
      </w:r>
      <w:r>
        <w:t xml:space="preserve"> </w:t>
      </w:r>
      <w:r>
        <w:rPr>
          <w:bCs/>
          <w:b/>
        </w:rPr>
        <w:t xml:space="preserve">DREAMS-1</w:t>
      </w:r>
      <w:r>
        <w:rPr>
          <w:rStyle w:val="FootnoteReference"/>
        </w:rPr>
        <w:footnoteReference w:id="619"/>
      </w:r>
      <w:r>
        <w:t xml:space="preserve">, personas con diabetes tipo 2 no suficientemente controlada solo con dieta y ejercicio (duración media de la diabetes de 1,9 años) recibieron mazdutida sin otros antidiabéticos. Con la dosis más alta, la HbA1c disminuyó a las 24 semanas 2,15 puntos porcentuales (placebo −0,14), y el peso un 7,81 %.</w:t>
      </w:r>
    </w:p>
    <w:p>
      <w:pPr>
        <w:pStyle w:val="BodyText"/>
      </w:pPr>
      <w:r>
        <w:rPr>
          <w:bCs/>
          <w:b/>
        </w:rPr>
        <w:t xml:space="preserve">DREAMS-2</w:t>
      </w:r>
      <w:r>
        <w:rPr>
          <w:rStyle w:val="FootnoteReference"/>
        </w:rPr>
        <w:footnoteReference w:id="620"/>
      </w:r>
      <w:r>
        <w:t xml:space="preserve"> </w:t>
      </w:r>
      <w:r>
        <w:t xml:space="preserve">es hasta ahora el estudio comparativo más importante: frente al consolidado fármaco GLP-1 dulaglutida, la mazdutida no fue inferior y sí superior en HbA1c, aunque por un margen pequeño (−0,24 y −0,30 puntos porcentuales adicionales, respectivamente). La diferencia fue más clara en el peso (−3,78 y −5,76 % adicionales, respectivamente). Los efectos secundarios gastrointestinales fueron más frecuentes con mazdutida que con dulaglutida.</w:t>
      </w:r>
    </w:p>
    <w:p>
      <w:pPr>
        <w:pStyle w:val="BodyText"/>
      </w:pPr>
      <w:r>
        <w:t xml:space="preserve">Según el registro, ha concluido un estudio comparativo frente a semaglutida en personas con diabetes tipo 2 precoz y obesidad (DREAMS-3)</w:t>
      </w:r>
      <w:r>
        <w:rPr>
          <w:rStyle w:val="FootnoteReference"/>
        </w:rPr>
        <w:footnoteReference w:id="621"/>
      </w:r>
      <w:r>
        <w:t xml:space="preserve">; se han publicado su diseño y los datos basales de los 349 participantes</w:t>
      </w:r>
      <w:r>
        <w:rPr>
          <w:rStyle w:val="FootnoteReference"/>
        </w:rPr>
        <w:footnoteReference w:id="622"/>
      </w:r>
      <w:r>
        <w:t xml:space="preserve">, pero todavía no los resultados.</w:t>
      </w:r>
    </w:p>
    <w:bookmarkEnd w:id="623"/>
    <w:bookmarkStart w:id="626" w:name="X7276bfcb52eea03a251ec29184843fd96f8f7db"/>
    <w:p>
      <w:pPr>
        <w:pStyle w:val="Heading4"/>
      </w:pPr>
      <w:r>
        <w:t xml:space="preserve">Estudios fuera de China y dosis más altas</w:t>
      </w:r>
    </w:p>
    <w:p>
      <w:pPr>
        <w:pStyle w:val="FirstParagraph"/>
      </w:pPr>
      <w:r>
        <w:t xml:space="preserve">Fuera de China, Lilly estudia la mazdutida en dosis más altas. En un pequeño estudio de fase 1 con 32 adultos en EE. UU., el peso corporal disminuyó con la dosis más alta a las 20 semanas un 20,0 y un 21,0 % (dos esquemas de escalado), frente al 0,1 % con placebo; no se produjeron efectos secundarios graves</w:t>
      </w:r>
      <w:r>
        <w:rPr>
          <w:rStyle w:val="FootnoteReference"/>
        </w:rPr>
        <w:footnoteReference w:id="624"/>
      </w:r>
      <w:r>
        <w:t xml:space="preserve">.</w:t>
      </w:r>
    </w:p>
    <w:p>
      <w:pPr>
        <w:pStyle w:val="BodyText"/>
      </w:pPr>
      <w:r>
        <w:t xml:space="preserve">En el estudio estadounidense de fase 2 con 179 participantes</w:t>
      </w:r>
      <w:r>
        <w:rPr>
          <w:rStyle w:val="FootnoteReference"/>
        </w:rPr>
        <w:footnoteReference w:id="625"/>
      </w:r>
      <w:r>
        <w:t xml:space="preserve">, la pérdida de peso a las 32 semanas fue de hasta el 18,1 % con la dosis más alta. No obstante, allí el 20 % abandonó el tratamiento con la dosis más alta por efectos secundarios, sobre todo por molestias gastrointestinales. Además, el análisis principal utilizó el «estimador de eficacia», que deja de tener en cuenta a las personas tras un abandono y, por tanto, tiende a presentar el efecto de forma más favorable.</w:t>
      </w:r>
    </w:p>
    <w:bookmarkEnd w:id="626"/>
    <w:bookmarkStart w:id="629" w:name="informes-de-casos-aislados"/>
    <w:p>
      <w:pPr>
        <w:pStyle w:val="Heading4"/>
      </w:pPr>
      <w:r>
        <w:t xml:space="preserve">Informes de casos aislados</w:t>
      </w:r>
    </w:p>
    <w:p>
      <w:pPr>
        <w:pStyle w:val="FirstParagraph"/>
      </w:pPr>
      <w:r>
        <w:t xml:space="preserve">Un informe de caso describe a un paciente de 15 años con obesidad, diabetes tipo 2 y ácido úrico elevado que recibió mazdutida además de metformina e insulina y perdió 16,8 kg a las 36 semanas</w:t>
      </w:r>
      <w:r>
        <w:rPr>
          <w:rStyle w:val="FootnoteReference"/>
        </w:rPr>
        <w:footnoteReference w:id="627"/>
      </w:r>
      <w:r>
        <w:t xml:space="preserve">. Un caso aislado no permite ninguna afirmación sobre la eficacia o la seguridad en adolescentes; hay un estudio en curso al respecto</w:t>
      </w:r>
      <w:r>
        <w:rPr>
          <w:rStyle w:val="FootnoteReference"/>
        </w:rPr>
        <w:footnoteReference w:id="628"/>
      </w:r>
      <w:r>
        <w:t xml:space="preserve">.</w:t>
      </w:r>
    </w:p>
    <w:bookmarkEnd w:id="629"/>
    <w:bookmarkEnd w:id="630"/>
    <w:bookmarkStart w:id="634" w:name="estudios-en-animales-y-de-laboratorio-7"/>
    <w:p>
      <w:pPr>
        <w:pStyle w:val="Heading3"/>
      </w:pPr>
      <w:r>
        <w:t xml:space="preserve">Estudios en animales y de laboratorio</w:t>
      </w:r>
    </w:p>
    <w:p>
      <w:pPr>
        <w:pStyle w:val="FirstParagraph"/>
      </w:pPr>
      <w:r>
        <w:t xml:space="preserve">En ratones diabéticos (modelo db/db), la mazdutida obtuvo mejores resultados que la dulaglutida en pruebas de memoria y comportamiento; en el tejido cerebral se observaron menos daños</w:t>
      </w:r>
      <w:r>
        <w:rPr>
          <w:rStyle w:val="FootnoteReference"/>
        </w:rPr>
        <w:footnoteReference w:id="631"/>
      </w:r>
      <w:r>
        <w:t xml:space="preserve">. En ratones con hígado graso inducido por la dieta y en cultivos de células hepáticas, la mazdutida redujo la acumulación de grasa y los signos de inflamación</w:t>
      </w:r>
      <w:r>
        <w:rPr>
          <w:rStyle w:val="FootnoteReference"/>
        </w:rPr>
        <w:footnoteReference w:id="632"/>
      </w:r>
      <w:r>
        <w:t xml:space="preserve">. No está claro si de ello se derivan ventajas para el ser humano; en China hay registrado un estudio sobre diabetes tipo 2 con deterioro cognitivo incipiente</w:t>
      </w:r>
      <w:r>
        <w:rPr>
          <w:rStyle w:val="FootnoteReference"/>
        </w:rPr>
        <w:footnoteReference w:id="633"/>
      </w:r>
      <w:r>
        <w:t xml:space="preserve">.</w:t>
      </w:r>
    </w:p>
    <w:bookmarkEnd w:id="634"/>
    <w:bookmarkStart w:id="639" w:name="riesgos-y-efectos-adversos-7"/>
    <w:p>
      <w:pPr>
        <w:pStyle w:val="Heading3"/>
      </w:pPr>
      <w:r>
        <w:t xml:space="preserve">Riesgos y efectos adversos</w:t>
      </w:r>
    </w:p>
    <w:p>
      <w:pPr>
        <w:pStyle w:val="FirstParagraph"/>
      </w:pPr>
      <w:r>
        <w:rPr>
          <w:bCs/>
          <w:b/>
        </w:rPr>
        <w:t xml:space="preserve">Demostrado en estudios:</w:t>
      </w:r>
    </w:p>
    <w:p>
      <w:pPr>
        <w:numPr>
          <w:ilvl w:val="0"/>
          <w:numId w:val="1077"/>
        </w:numPr>
        <w:pStyle w:val="Compact"/>
      </w:pPr>
      <w:r>
        <w:t xml:space="preserve">Las</w:t>
      </w:r>
      <w:r>
        <w:t xml:space="preserve"> </w:t>
      </w:r>
      <w:r>
        <w:rPr>
          <w:bCs/>
          <w:b/>
        </w:rPr>
        <w:t xml:space="preserve">molestias gastrointestinales</w:t>
      </w:r>
      <w:r>
        <w:t xml:space="preserve"> </w:t>
      </w:r>
      <w:r>
        <w:t xml:space="preserve">son los efectos secundarios más frecuentes; su frecuencia aumenta con la dosis. En el estudio de fase 2 en diabetes se produjeron diarrea en el 36 %, disminución del apetito en el 29 %, náuseas en el 23 % y vómitos en el 14 %</w:t>
      </w:r>
      <w:r>
        <w:rPr>
          <w:rStyle w:val="FootnoteReference"/>
        </w:rPr>
        <w:footnoteReference w:id="635"/>
      </w:r>
      <w:r>
        <w:t xml:space="preserve">. En GLORY-2, más de la mitad de los participantes vomitó al menos una vez</w:t>
      </w:r>
      <w:r>
        <w:rPr>
          <w:rStyle w:val="FootnoteReference"/>
        </w:rPr>
        <w:footnoteReference w:id="636"/>
      </w:r>
      <w:r>
        <w:t xml:space="preserve">.</w:t>
      </w:r>
    </w:p>
    <w:p>
      <w:pPr>
        <w:numPr>
          <w:ilvl w:val="0"/>
          <w:numId w:val="1077"/>
        </w:numPr>
        <w:pStyle w:val="Compact"/>
      </w:pPr>
      <w:r>
        <w:rPr>
          <w:bCs/>
          <w:b/>
        </w:rPr>
        <w:t xml:space="preserve">Hipoglucemia:</w:t>
      </w:r>
      <w:r>
        <w:t xml:space="preserve"> </w:t>
      </w:r>
      <w:r>
        <w:t xml:space="preserve">en el estudio de fase 2 en diabetes se notificaron hipoglucemias en el 10 % con mazdutida y en el 8 % con placebo</w:t>
      </w:r>
      <w:r>
        <w:rPr>
          <w:rStyle w:val="FootnoteReference"/>
        </w:rPr>
        <w:footnoteReference w:id="637"/>
      </w:r>
      <w:r>
        <w:t xml:space="preserve">.</w:t>
      </w:r>
    </w:p>
    <w:p>
      <w:pPr>
        <w:numPr>
          <w:ilvl w:val="0"/>
          <w:numId w:val="1077"/>
        </w:numPr>
        <w:pStyle w:val="Compact"/>
      </w:pPr>
      <w:r>
        <w:rPr>
          <w:bCs/>
          <w:b/>
        </w:rPr>
        <w:t xml:space="preserve">Abandonos con dosis altas:</w:t>
      </w:r>
      <w:r>
        <w:t xml:space="preserve"> </w:t>
      </w:r>
      <w:r>
        <w:t xml:space="preserve">hasta el 20 % en el estudio de fase 2 en EE. UU.</w:t>
      </w:r>
      <w:r>
        <w:rPr>
          <w:rStyle w:val="FootnoteReference"/>
        </w:rPr>
        <w:footnoteReference w:id="638"/>
      </w:r>
      <w:r>
        <w:t xml:space="preserve">.</w:t>
      </w:r>
    </w:p>
    <w:p>
      <w:pPr>
        <w:pStyle w:val="FirstParagraph"/>
      </w:pPr>
      <w:r>
        <w:rPr>
          <w:bCs/>
          <w:b/>
        </w:rPr>
        <w:t xml:space="preserve">Aún sin aclarar:</w:t>
      </w:r>
      <w:r>
        <w:t xml:space="preserve"> </w:t>
      </w:r>
      <w:r>
        <w:t xml:space="preserve">no existe ningún estudio de criterios de valoración cardiovasculares. Faltan datos a largo plazo de más de 60 semanas. Los estudios incluyeron casi exclusivamente a personas de origen chino, que con la misma pérdida de peso tenían valores iniciales distintos (menor peso corporal) que las poblaciones de estudio europeas. Los riesgos de clase conocidos de los fármacos GLP-1 (vesícula biliar, páncreas, células C tiroideas en experimentación animal) todavía no se han evaluado de forma independiente para la mazdutida, por falta de años-paciente.</w:t>
      </w:r>
    </w:p>
    <w:bookmarkEnd w:id="639"/>
    <w:bookmarkStart w:id="641" w:name="situación-legal-7"/>
    <w:p>
      <w:pPr>
        <w:pStyle w:val="Heading3"/>
      </w:pPr>
      <w:r>
        <w:t xml:space="preserve">Situación legal</w:t>
      </w:r>
    </w:p>
    <w:p>
      <w:pPr>
        <w:numPr>
          <w:ilvl w:val="0"/>
          <w:numId w:val="1078"/>
        </w:numPr>
        <w:pStyle w:val="Compact"/>
      </w:pPr>
      <w:r>
        <w:rPr>
          <w:bCs/>
          <w:b/>
        </w:rPr>
        <w:t xml:space="preserve">China:</w:t>
      </w:r>
      <w:r>
        <w:t xml:space="preserve"> </w:t>
      </w:r>
      <w:r>
        <w:t xml:space="preserve">autorizada (junio de 2025 para el control del peso, septiembre de 2025 para la diabetes tipo 2)</w:t>
      </w:r>
      <w:r>
        <w:rPr>
          <w:rStyle w:val="FootnoteReference"/>
        </w:rPr>
        <w:footnoteReference w:id="640"/>
      </w:r>
      <w:r>
        <w:t xml:space="preserve">.</w:t>
      </w:r>
    </w:p>
    <w:p>
      <w:pPr>
        <w:numPr>
          <w:ilvl w:val="0"/>
          <w:numId w:val="1078"/>
        </w:numPr>
        <w:pStyle w:val="Compact"/>
      </w:pPr>
      <w:r>
        <w:rPr>
          <w:bCs/>
          <w:b/>
        </w:rPr>
        <w:t xml:space="preserve">UE / Austria / Alemania:</w:t>
      </w:r>
      <w:r>
        <w:t xml:space="preserve"> </w:t>
      </w:r>
      <w:r>
        <w:t xml:space="preserve">no autorizada. Su importación para uso no es legal sin autorización; los productos «Mazdutide» ofrecidos en el mercado gris no son medicamentos controlados.</w:t>
      </w:r>
    </w:p>
    <w:p>
      <w:pPr>
        <w:numPr>
          <w:ilvl w:val="0"/>
          <w:numId w:val="1078"/>
        </w:numPr>
        <w:pStyle w:val="Compact"/>
      </w:pPr>
      <w:r>
        <w:rPr>
          <w:bCs/>
          <w:b/>
        </w:rPr>
        <w:t xml:space="preserve">EE. UU.:</w:t>
      </w:r>
      <w:r>
        <w:t xml:space="preserve"> </w:t>
      </w:r>
      <w:r>
        <w:t xml:space="preserve">no autorizada; Lilly realiza sus propios estudios.</w:t>
      </w:r>
    </w:p>
    <w:p>
      <w:pPr>
        <w:numPr>
          <w:ilvl w:val="0"/>
          <w:numId w:val="1078"/>
        </w:numPr>
        <w:pStyle w:val="Compact"/>
      </w:pPr>
      <w:r>
        <w:rPr>
          <w:bCs/>
          <w:b/>
        </w:rPr>
        <w:t xml:space="preserve">Deporte:</w:t>
      </w:r>
      <w:r>
        <w:t xml:space="preserve"> </w:t>
      </w:r>
      <w:r>
        <w:t xml:space="preserve">no figura por su nombre; situación respecto a S0 poco clara debido a la autorización china. Situación en 2026, compruébalo en su versión actual.</w:t>
      </w:r>
    </w:p>
    <w:bookmarkEnd w:id="641"/>
    <w:bookmarkStart w:id="649" w:name="estudios-en-curso-y-perspectivas-7"/>
    <w:p>
      <w:pPr>
        <w:pStyle w:val="Heading3"/>
      </w:pPr>
      <w:r>
        <w:t xml:space="preserve">Estudios en curso y perspectivas</w:t>
      </w:r>
    </w:p>
    <w:p>
      <w:pPr>
        <w:pStyle w:val="FirstParagraph"/>
      </w:pPr>
      <w:r>
        <w:rPr>
          <w:bCs/>
          <w:b/>
        </w:rPr>
        <w:t xml:space="preserve">Confirmado (estudios registrados, a octubre de 2026):</w:t>
      </w:r>
    </w:p>
    <w:p>
      <w:pPr>
        <w:numPr>
          <w:ilvl w:val="0"/>
          <w:numId w:val="1079"/>
        </w:numPr>
        <w:pStyle w:val="Compact"/>
      </w:pPr>
      <w:r>
        <w:t xml:space="preserve">Comparación con semaglutida en hígado graso</w:t>
      </w:r>
      <w:r>
        <w:rPr>
          <w:rStyle w:val="FootnoteReference"/>
        </w:rPr>
        <w:footnoteReference w:id="642"/>
      </w:r>
      <w:r>
        <w:t xml:space="preserve"> </w:t>
      </w:r>
      <w:r>
        <w:t xml:space="preserve">y en diabetes tipo 2 precoz (NCT06184568, concluido).</w:t>
      </w:r>
    </w:p>
    <w:p>
      <w:pPr>
        <w:numPr>
          <w:ilvl w:val="0"/>
          <w:numId w:val="1079"/>
        </w:numPr>
        <w:pStyle w:val="Compact"/>
      </w:pPr>
      <w:r>
        <w:t xml:space="preserve">Apnea del sueño</w:t>
      </w:r>
      <w:r>
        <w:rPr>
          <w:rStyle w:val="FootnoteReference"/>
        </w:rPr>
        <w:footnoteReference w:id="643"/>
      </w:r>
      <w:r>
        <w:t xml:space="preserve">, hipertensión arterial con obesidad</w:t>
      </w:r>
      <w:r>
        <w:rPr>
          <w:rStyle w:val="FootnoteReference"/>
        </w:rPr>
        <w:footnoteReference w:id="644"/>
      </w:r>
      <w:r>
        <w:t xml:space="preserve">, adolescentes</w:t>
      </w:r>
      <w:r>
        <w:rPr>
          <w:rStyle w:val="FootnoteReference"/>
        </w:rPr>
        <w:footnoteReference w:id="645"/>
      </w:r>
      <w:r>
        <w:t xml:space="preserve">.</w:t>
      </w:r>
    </w:p>
    <w:p>
      <w:pPr>
        <w:numPr>
          <w:ilvl w:val="0"/>
          <w:numId w:val="1079"/>
        </w:numPr>
        <w:pStyle w:val="Compact"/>
      </w:pPr>
      <w:r>
        <w:t xml:space="preserve">Estudios de fase 2 sobre MASH</w:t>
      </w:r>
      <w:r>
        <w:rPr>
          <w:rStyle w:val="FootnoteReference"/>
        </w:rPr>
        <w:footnoteReference w:id="646"/>
      </w:r>
      <w:r>
        <w:t xml:space="preserve">, insuficiencia cardíaca con obesidad</w:t>
      </w:r>
      <w:r>
        <w:rPr>
          <w:rStyle w:val="FootnoteReference"/>
        </w:rPr>
        <w:footnoteReference w:id="647"/>
      </w:r>
      <w:r>
        <w:t xml:space="preserve"> </w:t>
      </w:r>
      <w:r>
        <w:t xml:space="preserve">y trastorno por consumo de alcohol (NCT06817356, concluido, promotor Lilly).</w:t>
      </w:r>
    </w:p>
    <w:p>
      <w:pPr>
        <w:numPr>
          <w:ilvl w:val="0"/>
          <w:numId w:val="1079"/>
        </w:numPr>
        <w:pStyle w:val="Compact"/>
      </w:pPr>
      <w:r>
        <w:t xml:space="preserve">Además, Lilly evalúa la mazdutida en un protocolo maestro de fase 2</w:t>
      </w:r>
      <w:r>
        <w:rPr>
          <w:rStyle w:val="FootnoteReference"/>
        </w:rPr>
        <w:footnoteReference w:id="648"/>
      </w:r>
      <w:r>
        <w:t xml:space="preserve">.</w:t>
      </w:r>
    </w:p>
    <w:p>
      <w:pPr>
        <w:pStyle w:val="FirstParagraph"/>
      </w:pPr>
      <w:r>
        <w:rPr>
          <w:bCs/>
          <w:b/>
        </w:rPr>
        <w:t xml:space="preserve">Valoración:</w:t>
      </w:r>
      <w:r>
        <w:t xml:space="preserve"> </w:t>
      </w:r>
      <w:r>
        <w:t xml:space="preserve">la mazdutida es el primer fármaco doble glucagón/GLP-1 con una autorización, aunque solo en China. Que Lilly busque una autorización en EE. UU. y Europa depende probablemente de si la molécula puede diferenciarse de la tirzepatida y la retatrutida de la misma compañía, por ejemplo en el hígado graso o en el trastorno por consumo de alcohol. Es una valoración; no se conocen solicitudes de autorización concretas fuera de China.</w:t>
      </w:r>
    </w:p>
    <w:bookmarkEnd w:id="649"/>
    <w:bookmarkStart w:id="650" w:name="conclusión-7"/>
    <w:p>
      <w:pPr>
        <w:pStyle w:val="Heading3"/>
      </w:pPr>
      <w:r>
        <w:t xml:space="preserve">Conclusión</w:t>
      </w:r>
    </w:p>
    <w:p>
      <w:pPr>
        <w:pStyle w:val="FirstParagraph"/>
      </w:pPr>
      <w:r>
        <w:t xml:space="preserve">La mazdutida es un derivado de acción prolongada de la hormona intestinal oxintomodulina que activa simultáneamente los receptores de GLP-1 y de glucagón. En estudios chinos de fase 3, el peso corporal se redujo un 11–14 % a las 48 semanas y un 16,65 % a las 60 semanas con una dosis más alta; en la diabetes tipo 2 fue ligeramente superior a la dulaglutida. Los efectos secundarios más frecuentes son las molestias gastrointestinales, que se vuelven muy frecuentes con dosis más altas. La mazdutida solo está autorizada en China; faltan en gran medida datos sobre criterios de valoración cardiovasculares y sobre poblaciones no asiáticas.</w:t>
      </w:r>
    </w:p>
    <w:bookmarkEnd w:id="650"/>
    <w:bookmarkEnd w:id="651"/>
    <w:bookmarkStart w:id="699" w:name="cagrilintida-y-cagrisema"/>
    <w:p>
      <w:pPr>
        <w:pStyle w:val="Heading2"/>
      </w:pPr>
      <w:r>
        <w:t xml:space="preserve">Cagrilintida y CagriSema</w:t>
      </w:r>
    </w:p>
    <w:bookmarkStart w:id="652" w:name="ficha-8"/>
    <w:p>
      <w:pPr>
        <w:pStyle w:val="Heading3"/>
      </w:pPr>
      <w:r>
        <w:t xml:space="preserve">Ficha</w:t>
      </w:r>
    </w:p>
    <w:p>
      <w:pPr>
        <w:numPr>
          <w:ilvl w:val="0"/>
          <w:numId w:val="1080"/>
        </w:numPr>
        <w:pStyle w:val="Compact"/>
      </w:pPr>
      <w:r>
        <w:rPr>
          <w:bCs/>
          <w:b/>
        </w:rPr>
        <w:t xml:space="preserve">Tipo/estructura:</w:t>
      </w:r>
      <w:r>
        <w:t xml:space="preserve"> </w:t>
      </w:r>
      <w:r>
        <w:t xml:space="preserve">la cagrilintida es un análogo sintético modificado con ácido graso de la hormona amilina, para administración subcutánea una vez por semana.</w:t>
      </w:r>
      <w:r>
        <w:t xml:space="preserve"> </w:t>
      </w:r>
      <w:r>
        <w:rPr>
          <w:bCs/>
          <w:b/>
        </w:rPr>
        <w:t xml:space="preserve">CagriSema</w:t>
      </w:r>
      <w:r>
        <w:t xml:space="preserve"> </w:t>
      </w:r>
      <w:r>
        <w:t xml:space="preserve">es la combinación fija de cagrilintida y semaglutida en un solo dispositivo de inyección.</w:t>
      </w:r>
    </w:p>
    <w:p>
      <w:pPr>
        <w:numPr>
          <w:ilvl w:val="0"/>
          <w:numId w:val="1080"/>
        </w:numPr>
        <w:pStyle w:val="Compact"/>
      </w:pPr>
      <w:r>
        <w:rPr>
          <w:bCs/>
          <w:b/>
        </w:rPr>
        <w:t xml:space="preserve">Origen:</w:t>
      </w:r>
      <w:r>
        <w:t xml:space="preserve"> </w:t>
      </w:r>
      <w:r>
        <w:t xml:space="preserve">desarrollada por Novo Nordisk, el fabricante de la semaglutida.</w:t>
      </w:r>
    </w:p>
    <w:p>
      <w:pPr>
        <w:numPr>
          <w:ilvl w:val="0"/>
          <w:numId w:val="1080"/>
        </w:numPr>
        <w:pStyle w:val="Compact"/>
      </w:pPr>
      <w:r>
        <w:rPr>
          <w:bCs/>
          <w:b/>
        </w:rPr>
        <w:t xml:space="preserve">Mecanismo de acción:</w:t>
      </w:r>
      <w:r>
        <w:t xml:space="preserve"> </w:t>
      </w:r>
      <w:r>
        <w:t xml:space="preserve">la cagrilintida activa los receptores de amilina y, además, el receptor de calcitonina, emparentado con ellos (un «agonista dual de los receptores de amilina y calcitonina»). En CagriSema se añade el efecto GLP-1 de la semaglutida.</w:t>
      </w:r>
    </w:p>
    <w:p>
      <w:pPr>
        <w:numPr>
          <w:ilvl w:val="0"/>
          <w:numId w:val="1080"/>
        </w:numPr>
        <w:pStyle w:val="Compact"/>
      </w:pPr>
      <w:r>
        <w:rPr>
          <w:bCs/>
          <w:b/>
        </w:rPr>
        <w:t xml:space="preserve">Autorización UE:</w:t>
      </w:r>
      <w:r>
        <w:t xml:space="preserve"> </w:t>
      </w:r>
      <w:r>
        <w:t xml:space="preserve">no (a octubre de 2026).</w:t>
      </w:r>
    </w:p>
    <w:p>
      <w:pPr>
        <w:numPr>
          <w:ilvl w:val="0"/>
          <w:numId w:val="1080"/>
        </w:numPr>
        <w:pStyle w:val="Compact"/>
      </w:pPr>
      <w:r>
        <w:rPr>
          <w:bCs/>
          <w:b/>
        </w:rPr>
        <w:t xml:space="preserve">Autorización EE. UU.:</w:t>
      </w:r>
      <w:r>
        <w:t xml:space="preserve"> </w:t>
      </w:r>
      <w:r>
        <w:t xml:space="preserve">no (a octubre de 2026; se ha anunciado un procedimiento de autorización para CagriSema, que podría estar ya en curso; compruébalo en su versión actual).</w:t>
      </w:r>
    </w:p>
    <w:p>
      <w:pPr>
        <w:numPr>
          <w:ilvl w:val="0"/>
          <w:numId w:val="1080"/>
        </w:numPr>
        <w:pStyle w:val="Compact"/>
      </w:pPr>
      <w:r>
        <w:rPr>
          <w:bCs/>
          <w:b/>
        </w:rPr>
        <w:t xml:space="preserve">AMA (WADA):</w:t>
      </w:r>
      <w:r>
        <w:t xml:space="preserve"> </w:t>
      </w:r>
      <w:r>
        <w:t xml:space="preserve">prohibida como sustancia no aprobada en la clase S0.</w:t>
      </w:r>
    </w:p>
    <w:p>
      <w:pPr>
        <w:numPr>
          <w:ilvl w:val="0"/>
          <w:numId w:val="1080"/>
        </w:numPr>
        <w:pStyle w:val="Compact"/>
      </w:pPr>
      <w:r>
        <w:rPr>
          <w:bCs/>
          <w:b/>
        </w:rPr>
        <w:t xml:space="preserve">Nivel de evidencia:</w:t>
      </w:r>
      <w:r>
        <w:t xml:space="preserve"> </w:t>
      </w:r>
      <w:r>
        <w:rPr>
          <w:bCs/>
          <w:b/>
        </w:rPr>
        <w:t xml:space="preserve">B</w:t>
      </w:r>
      <w:r>
        <w:t xml:space="preserve"> </w:t>
      </w:r>
      <w:r>
        <w:t xml:space="preserve">– varios grandes estudios de fase 3 publicados, pero todavía sin autorización. Con una autorización, CagriSema alcanzaría el nivel A.</w:t>
      </w:r>
    </w:p>
    <w:bookmarkEnd w:id="652"/>
    <w:bookmarkStart w:id="657" w:name="cómo-se-supone-que-actúa-8"/>
    <w:p>
      <w:pPr>
        <w:pStyle w:val="Heading3"/>
      </w:pPr>
      <w:r>
        <w:t xml:space="preserve">Cómo se supone que actúa</w:t>
      </w:r>
    </w:p>
    <w:p>
      <w:pPr>
        <w:pStyle w:val="FirstParagraph"/>
      </w:pPr>
      <w:r>
        <w:t xml:space="preserve">La amilina es una hormona que las células beta del páncreas liberan junto con la insulina. Actúa sobre todo en el tronco encefálico: favorece la sensación de saciedad, ralentiza el vaciamiento gástrico y frena la liberación de glucagón después de comer. A las personas con diabetes tipo 1 les falta, además de la insulina, también la amilina.</w:t>
      </w:r>
    </w:p>
    <w:p>
      <w:pPr>
        <w:pStyle w:val="BodyText"/>
      </w:pPr>
      <w:r>
        <w:t xml:space="preserve">La amilina natural no es adecuada como medicamento porque tiende a agregarse (forma las llamadas fibrillas amiloides) y solo persiste minutos en la sangre. Por eso, el primer medicamento basado en la amilina, la pramlintida (véase su propio capítulo), debe inyectarse varias veces al día. La cagrilintida se modificó deliberadamente para que se mantenga estable y, gracias a una cadena de ácido graso, actúe durante una semana</w:t>
      </w:r>
      <w:r>
        <w:rPr>
          <w:rStyle w:val="FootnoteReference"/>
        </w:rPr>
        <w:footnoteReference w:id="653"/>
      </w:r>
      <w:r>
        <w:t xml:space="preserve">. En los datos de fase 1, la semivida fue de 159 a 195 horas, es decir, alrededor de una semana</w:t>
      </w:r>
      <w:r>
        <w:rPr>
          <w:rStyle w:val="FootnoteReference"/>
        </w:rPr>
        <w:footnoteReference w:id="654"/>
      </w:r>
      <w:r>
        <w:t xml:space="preserve">.</w:t>
      </w:r>
    </w:p>
    <w:p>
      <w:pPr>
        <w:pStyle w:val="BodyText"/>
      </w:pPr>
      <w:r>
        <w:t xml:space="preserve">La combinación con semaglutida sigue una idea sencilla: la amilina y el GLP-1 actúan sobre la saciedad a través de receptores distintos y, en parte, de regiones cerebrales diferentes, por lo que sus efectos podrían sumarse. Estudios en ratones modificados genéticamente muestran que la cagrilintida necesita los subtipos 1 y 3 del receptor de amilina en el cerebro para su efecto reductor del peso</w:t>
      </w:r>
      <w:r>
        <w:rPr>
          <w:rStyle w:val="FootnoteReference"/>
        </w:rPr>
        <w:footnoteReference w:id="655"/>
      </w:r>
      <w:r>
        <w:t xml:space="preserve">. En ratas, CagriSema redujo sobre todo la ingesta energética, mientras que el gasto energético se mantuvo en gran medida</w:t>
      </w:r>
      <w:r>
        <w:rPr>
          <w:rStyle w:val="FootnoteReference"/>
        </w:rPr>
        <w:footnoteReference w:id="656"/>
      </w:r>
      <w:r>
        <w:t xml:space="preserve">.</w:t>
      </w:r>
    </w:p>
    <w:bookmarkEnd w:id="657"/>
    <w:bookmarkStart w:id="672" w:name="estudios-en-humanos-8"/>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15 estudios en humanos sobre cagrilintida o CagriSema. En ClinicalTrials.gov había 44 estudios registrados. El programa de registro se denomina</w:t>
      </w:r>
      <w:r>
        <w:t xml:space="preserve"> </w:t>
      </w:r>
      <w:r>
        <w:rPr>
          <w:bCs/>
          <w:b/>
        </w:rPr>
        <w:t xml:space="preserve">REDEFINE</w:t>
      </w:r>
      <w:r>
        <w:t xml:space="preserve"> </w:t>
      </w:r>
      <w:r>
        <w:t xml:space="preserve">(control del peso) y</w:t>
      </w:r>
      <w:r>
        <w:t xml:space="preserve"> </w:t>
      </w:r>
      <w:r>
        <w:rPr>
          <w:bCs/>
          <w:b/>
        </w:rPr>
        <w:t xml:space="preserve">REIMAGINE</w:t>
      </w:r>
      <w:r>
        <w:t xml:space="preserve"> </w:t>
      </w:r>
      <w:r>
        <w:t xml:space="preserve">(diabetes tipo 2).</w:t>
      </w:r>
    </w:p>
    <w:bookmarkStart w:id="660" w:name="cagrilintida-sola"/>
    <w:p>
      <w:pPr>
        <w:pStyle w:val="Heading4"/>
      </w:pPr>
      <w:r>
        <w:t xml:space="preserve">Cagrilintida sola</w:t>
      </w:r>
    </w:p>
    <w:p>
      <w:pPr>
        <w:pStyle w:val="FirstParagraph"/>
      </w:pPr>
      <w:r>
        <w:t xml:space="preserve">En el estudio de fase 2 de búsqueda de dosis</w:t>
      </w:r>
      <w:r>
        <w:rPr>
          <w:rStyle w:val="FootnoteReference"/>
        </w:rPr>
        <w:footnoteReference w:id="658"/>
      </w:r>
      <w:r>
        <w:t xml:space="preserve">, 706 adultos con sobrepeso u obesidad recibieron durante 26 semanas cagrilintida en cinco dosis, 99 liraglutida y 101 placebo. El peso disminuyó de forma dependiente de la dosis entre un 6,0 y un 10,8 % (placebo 3,0 %). La dosis más alta fue ligeramente superior a la liraglutida 3,0 mg (10,8 % frente a 9,0 %). Se produjeron náuseas en el 20–47 % (placebo 18 %). Así pues, la cagrilintida sola alcanza aproximadamente el orden de magnitud de los fármacos GLP-1 más antiguos, no el de la semaglutida o la tirzepatida. Entretanto, también se está evaluando en fase 3 como sustancia individual</w:t>
      </w:r>
      <w:r>
        <w:rPr>
          <w:rStyle w:val="FootnoteReference"/>
        </w:rPr>
        <w:footnoteReference w:id="659"/>
      </w:r>
      <w:r>
        <w:t xml:space="preserve">.</w:t>
      </w:r>
    </w:p>
    <w:bookmarkEnd w:id="660"/>
    <w:bookmarkStart w:id="663" w:name="cagrisema-estudios-iniciales"/>
    <w:p>
      <w:pPr>
        <w:pStyle w:val="Heading4"/>
      </w:pPr>
      <w:r>
        <w:t xml:space="preserve">CagriSema: estudios iniciales</w:t>
      </w:r>
    </w:p>
    <w:p>
      <w:pPr>
        <w:pStyle w:val="FirstParagraph"/>
      </w:pPr>
      <w:r>
        <w:t xml:space="preserve">En un estudio de fase 1b con 95 personas sanas con sobrepeso, los participantes perdieron con semaglutida más cagrilintida hasta el 17,1 % de su peso a las 20 semanas, y con semaglutida más placebo el 9,8 %</w:t>
      </w:r>
      <w:r>
        <w:rPr>
          <w:rStyle w:val="FootnoteReference"/>
        </w:rPr>
        <w:footnoteReference w:id="661"/>
      </w:r>
      <w:r>
        <w:t xml:space="preserve">. La cagrilintida no modificó las concentraciones sanguíneas de semaglutida.</w:t>
      </w:r>
    </w:p>
    <w:p>
      <w:pPr>
        <w:pStyle w:val="BodyText"/>
      </w:pPr>
      <w:r>
        <w:t xml:space="preserve">Un pequeño estudio de fase 2 en 92 personas con diabetes tipo 2 comparó CagriSema directamente con ambas sustancias por separado</w:t>
      </w:r>
      <w:r>
        <w:rPr>
          <w:rStyle w:val="FootnoteReference"/>
        </w:rPr>
        <w:footnoteReference w:id="662"/>
      </w:r>
      <w:r>
        <w:t xml:space="preserve">. A las 32 semanas, la pérdida de peso fue del 15,6 % con CagriSema, del 5,1 % con semaglutida y del 8,1 % con cagrilintida. En la HbA1c, CagriSema, con −2,2 puntos porcentuales, no fue estadísticamente superior a la semaglutida (−1,8).</w:t>
      </w:r>
    </w:p>
    <w:bookmarkEnd w:id="663"/>
    <w:bookmarkStart w:id="671" w:name="cagrisema-fase-3-redefine-y-reimagine"/>
    <w:p>
      <w:pPr>
        <w:pStyle w:val="Heading4"/>
      </w:pPr>
      <w:r>
        <w:t xml:space="preserve">CagriSema: fase 3 (REDEFINE y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REDEFINE 1 (Garvey 2025), PMID 40544433</w:t>
            </w:r>
          </w:p>
        </w:tc>
        <w:tc>
          <w:tcPr/>
          <w:p>
            <w:pPr>
              <w:pStyle w:val="Compact"/>
              <w:jc w:val="left"/>
            </w:pPr>
            <w:r>
              <w:t xml:space="preserve">3417 adultos con sobrepeso/obesidad sin diabetes; frente a placebo y sustancias individuales</w:t>
            </w:r>
          </w:p>
        </w:tc>
        <w:tc>
          <w:tcPr/>
          <w:p>
            <w:pPr>
              <w:pStyle w:val="Compact"/>
              <w:jc w:val="left"/>
            </w:pPr>
            <w:r>
              <w:t xml:space="preserve">68 semanas</w:t>
            </w:r>
          </w:p>
        </w:tc>
        <w:tc>
          <w:tcPr/>
          <w:p>
            <w:pPr>
              <w:pStyle w:val="Compact"/>
              <w:jc w:val="left"/>
            </w:pPr>
            <w:r>
              <w:t xml:space="preserve">−20,4 % de peso frente a −3,0 %</w:t>
            </w:r>
          </w:p>
        </w:tc>
      </w:tr>
      <w:tr>
        <w:tc>
          <w:tcPr/>
          <w:p>
            <w:pPr>
              <w:pStyle w:val="Compact"/>
              <w:jc w:val="left"/>
            </w:pPr>
            <w:r>
              <w:t xml:space="preserve">REDEFINE 2 (Davies 2025), PMID 40544432</w:t>
            </w:r>
          </w:p>
        </w:tc>
        <w:tc>
          <w:tcPr/>
          <w:p>
            <w:pPr>
              <w:pStyle w:val="Compact"/>
              <w:jc w:val="left"/>
            </w:pPr>
            <w:r>
              <w:t xml:space="preserve">1206 adultos con obesidad y diabetes tipo 2, frente a placebo</w:t>
            </w:r>
          </w:p>
        </w:tc>
        <w:tc>
          <w:tcPr/>
          <w:p>
            <w:pPr>
              <w:pStyle w:val="Compact"/>
              <w:jc w:val="left"/>
            </w:pPr>
            <w:r>
              <w:t xml:space="preserve">68 semanas</w:t>
            </w:r>
          </w:p>
        </w:tc>
        <w:tc>
          <w:tcPr/>
          <w:p>
            <w:pPr>
              <w:pStyle w:val="Compact"/>
              <w:jc w:val="left"/>
            </w:pPr>
            <w:r>
              <w:t xml:space="preserve">−13,7 % frente a −3,4 %</w:t>
            </w:r>
          </w:p>
        </w:tc>
      </w:tr>
      <w:tr>
        <w:tc>
          <w:tcPr/>
          <w:p>
            <w:pPr>
              <w:pStyle w:val="Compact"/>
              <w:jc w:val="left"/>
            </w:pPr>
            <w:r>
              <w:t xml:space="preserve">REDEFINE 5 (Yamauchi 2026), PMID 42009015</w:t>
            </w:r>
          </w:p>
        </w:tc>
        <w:tc>
          <w:tcPr/>
          <w:p>
            <w:pPr>
              <w:pStyle w:val="Compact"/>
              <w:jc w:val="left"/>
            </w:pPr>
            <w:r>
              <w:t xml:space="preserve">331 adultos en Japón y Taiwán, frente a semaglutida</w:t>
            </w:r>
          </w:p>
        </w:tc>
        <w:tc>
          <w:tcPr/>
          <w:p>
            <w:pPr>
              <w:pStyle w:val="Compact"/>
              <w:jc w:val="left"/>
            </w:pPr>
            <w:r>
              <w:t xml:space="preserve">68 semanas</w:t>
            </w:r>
          </w:p>
        </w:tc>
        <w:tc>
          <w:tcPr/>
          <w:p>
            <w:pPr>
              <w:pStyle w:val="Compact"/>
              <w:jc w:val="left"/>
            </w:pPr>
            <w:r>
              <w:t xml:space="preserve">−18,4 % frente a −11,9 % (semaglutida)</w:t>
            </w:r>
          </w:p>
        </w:tc>
      </w:tr>
      <w:tr>
        <w:tc>
          <w:tcPr/>
          <w:p>
            <w:pPr>
              <w:pStyle w:val="Compact"/>
              <w:jc w:val="left"/>
            </w:pPr>
            <w:r>
              <w:t xml:space="preserve">REIMAGINE 1 (Aroda 2026), PMID 42251860</w:t>
            </w:r>
          </w:p>
        </w:tc>
        <w:tc>
          <w:tcPr/>
          <w:p>
            <w:pPr>
              <w:pStyle w:val="Compact"/>
              <w:jc w:val="left"/>
            </w:pPr>
            <w:r>
              <w:t xml:space="preserve">189 adultos con diabetes tipo 2 sin medicación, frente a placebo</w:t>
            </w:r>
          </w:p>
        </w:tc>
        <w:tc>
          <w:tcPr/>
          <w:p>
            <w:pPr>
              <w:pStyle w:val="Compact"/>
              <w:jc w:val="left"/>
            </w:pPr>
            <w:r>
              <w:t xml:space="preserve">40 semanas</w:t>
            </w:r>
          </w:p>
        </w:tc>
        <w:tc>
          <w:tcPr/>
          <w:p>
            <w:pPr>
              <w:pStyle w:val="Compact"/>
              <w:jc w:val="left"/>
            </w:pPr>
            <w:r>
              <w:t xml:space="preserve">HbA1c −1,8 frente a −0,1; peso −13,8 % frente a −1,4 %</w:t>
            </w:r>
          </w:p>
        </w:tc>
      </w:tr>
      <w:tr>
        <w:tc>
          <w:tcPr/>
          <w:p>
            <w:pPr>
              <w:pStyle w:val="Compact"/>
              <w:jc w:val="left"/>
            </w:pPr>
            <w:r>
              <w:t xml:space="preserve">REIMAGINE 2 (Buse 2026), PMID 42251859</w:t>
            </w:r>
          </w:p>
        </w:tc>
        <w:tc>
          <w:tcPr/>
          <w:p>
            <w:pPr>
              <w:pStyle w:val="Compact"/>
              <w:jc w:val="left"/>
            </w:pPr>
            <w:r>
              <w:t xml:space="preserve">2713 adultos con diabetes tipo 2, frente a semaglutida, cagrilintida y placebo</w:t>
            </w:r>
          </w:p>
        </w:tc>
        <w:tc>
          <w:tcPr/>
          <w:p>
            <w:pPr>
              <w:pStyle w:val="Compact"/>
              <w:jc w:val="left"/>
            </w:pPr>
            <w:r>
              <w:t xml:space="preserve">68 semanas</w:t>
            </w:r>
          </w:p>
        </w:tc>
        <w:tc>
          <w:tcPr/>
          <w:p>
            <w:pPr>
              <w:pStyle w:val="Compact"/>
              <w:jc w:val="left"/>
            </w:pPr>
            <w:r>
              <w:t xml:space="preserve">HbA1c −1,91 frente a −1,75 (semaglutida 2,4 mg)</w:t>
            </w:r>
          </w:p>
        </w:tc>
      </w:tr>
      <w:tr>
        <w:tc>
          <w:tcPr/>
          <w:p>
            <w:pPr>
              <w:pStyle w:val="Compact"/>
              <w:jc w:val="left"/>
            </w:pPr>
            <w:r>
              <w:t xml:space="preserve">REIMAGINE 3 (Rosenstock 2026), PMID 42251856</w:t>
            </w:r>
          </w:p>
        </w:tc>
        <w:tc>
          <w:tcPr/>
          <w:p>
            <w:pPr>
              <w:pStyle w:val="Compact"/>
              <w:jc w:val="left"/>
            </w:pPr>
            <w:r>
              <w:t xml:space="preserve">274 adultos con diabetes tipo 2 e insulina basal, frente a placebo</w:t>
            </w:r>
          </w:p>
        </w:tc>
        <w:tc>
          <w:tcPr/>
          <w:p>
            <w:pPr>
              <w:pStyle w:val="Compact"/>
              <w:jc w:val="left"/>
            </w:pPr>
            <w:r>
              <w:t xml:space="preserve">40 semanas</w:t>
            </w:r>
          </w:p>
        </w:tc>
        <w:tc>
          <w:tcPr/>
          <w:p>
            <w:pPr>
              <w:pStyle w:val="Compact"/>
              <w:jc w:val="left"/>
            </w:pPr>
            <w:r>
              <w:t xml:space="preserve">HbA1c −2,33 frente a −0,66; peso −10 a −12 %</w:t>
            </w:r>
          </w:p>
        </w:tc>
      </w:tr>
    </w:tbl>
    <w:p>
      <w:pPr>
        <w:pStyle w:val="BodyText"/>
      </w:pPr>
      <w:r>
        <w:rPr>
          <w:bCs/>
          <w:b/>
        </w:rPr>
        <w:t xml:space="preserve">REDEFINE 1</w:t>
      </w:r>
      <w:r>
        <w:rPr>
          <w:rStyle w:val="FootnoteReference"/>
        </w:rPr>
        <w:footnoteReference w:id="664"/>
      </w:r>
      <w:r>
        <w:t xml:space="preserve"> </w:t>
      </w:r>
      <w:r>
        <w:t xml:space="preserve">es el estudio principal. En 3417 adultos sin diabetes, el peso corporal se redujo a las 68 semanas un 20,4 % en promedio, frente al 3,0 % con placebo. El estudio incluía también grupos más pequeños con semaglutida sola y cagrilintida sola. En un análisis posterior, el 30,3 % con CagriSema, el 19,1 % con semaglutida, el 9,0 % con cagrilintida y el 3,3 % con placebo alcanzaron tanto un IMC inferior a 27 como una relación favorable entre cintura y estatura</w:t>
      </w:r>
      <w:r>
        <w:rPr>
          <w:rStyle w:val="FootnoteReference"/>
        </w:rPr>
        <w:footnoteReference w:id="665"/>
      </w:r>
      <w:r>
        <w:t xml:space="preserve">. La presión arterial sistólica disminuyó con CagriSema 10,9 mmHg (placebo −2,8)</w:t>
      </w:r>
      <w:r>
        <w:rPr>
          <w:rStyle w:val="FootnoteReference"/>
        </w:rPr>
        <w:footnoteReference w:id="666"/>
      </w:r>
      <w:r>
        <w:t xml:space="preserve">.</w:t>
      </w:r>
    </w:p>
    <w:p>
      <w:pPr>
        <w:pStyle w:val="BodyText"/>
      </w:pPr>
      <w:r>
        <w:t xml:space="preserve">Para situarlo en contexto: el 20,4 % alcanzado está en el orden de magnitud de la tirzepatida en SURMOUNT-1 (20,9 % a las 72 semanas con la dosis más alta). Una comparación cruzada de este tipo entre estudios distintos solo ofrece una orientación aproximada; la comparación directa aún está pendiente (véase más abajo).</w:t>
      </w:r>
    </w:p>
    <w:p>
      <w:pPr>
        <w:pStyle w:val="BodyText"/>
      </w:pPr>
      <w:r>
        <w:rPr>
          <w:bCs/>
          <w:b/>
        </w:rPr>
        <w:t xml:space="preserve">REDEFINE 2</w:t>
      </w:r>
      <w:r>
        <w:rPr>
          <w:rStyle w:val="FootnoteReference"/>
        </w:rPr>
        <w:footnoteReference w:id="667"/>
      </w:r>
      <w:r>
        <w:t xml:space="preserve"> </w:t>
      </w:r>
      <w:r>
        <w:t xml:space="preserve">confirmó el patrón en personas con diabetes tipo 2: −13,7 % frente a −3,4 %. El 73,5 % alcanzó una HbA1c de como máximo el 6,5 % (placebo 15,9 %).</w:t>
      </w:r>
    </w:p>
    <w:p>
      <w:pPr>
        <w:pStyle w:val="BodyText"/>
      </w:pPr>
      <w:r>
        <w:rPr>
          <w:bCs/>
          <w:b/>
        </w:rPr>
        <w:t xml:space="preserve">REDEFINE 5</w:t>
      </w:r>
      <w:r>
        <w:rPr>
          <w:rStyle w:val="FootnoteReference"/>
        </w:rPr>
        <w:footnoteReference w:id="668"/>
      </w:r>
      <w:r>
        <w:t xml:space="preserve"> </w:t>
      </w:r>
      <w:r>
        <w:t xml:space="preserve">es el primer estudio de fase 3 cegado publicado en comparación directa con la semaglutida 2,4 mg: en Japón y Taiwán, los participantes perdieron el 18,4 % con CagriSema frente al 11,9 % con semaglutida sola. Las molestias gastrointestinales fueron igual de frecuentes, con un 53 % frente a un 51 %.</w:t>
      </w:r>
    </w:p>
    <w:p>
      <w:pPr>
        <w:pStyle w:val="BodyText"/>
      </w:pPr>
      <w:r>
        <w:rPr>
          <w:bCs/>
          <w:b/>
        </w:rPr>
        <w:t xml:space="preserve">REIMAGINE 2</w:t>
      </w:r>
      <w:r>
        <w:rPr>
          <w:rStyle w:val="FootnoteReference"/>
        </w:rPr>
        <w:footnoteReference w:id="669"/>
      </w:r>
      <w:r>
        <w:t xml:space="preserve"> </w:t>
      </w:r>
      <w:r>
        <w:t xml:space="preserve">mostró en la diabetes tipo 2 que CagriSema reduce la HbA1c solo ligeramente más que la semaglutida 2,4 mg sola (−1,91 frente a −1,75 puntos porcentuales). Por tanto, el beneficio adicional de la cagrilintida se encuentra sobre todo en el peso, apenas en la glucemia.</w:t>
      </w:r>
    </w:p>
    <w:p>
      <w:pPr>
        <w:pStyle w:val="BodyText"/>
      </w:pPr>
      <w:r>
        <w:t xml:space="preserve">Según el registro, han concluido el estudio comparativo directo frente a tirzepatida en obesidad (REDEFINE 4, NCT06131437) y dos estudios comparativos frente a tirzepatida en diabetes tipo 2</w:t>
      </w:r>
      <w:r>
        <w:rPr>
          <w:rStyle w:val="FootnoteReference"/>
        </w:rPr>
        <w:footnoteReference w:id="670"/>
      </w:r>
      <w:r>
        <w:t xml:space="preserve">; en el momento de la búsqueda todavía no había publicaciones revisadas por pares.</w:t>
      </w:r>
    </w:p>
    <w:bookmarkEnd w:id="671"/>
    <w:bookmarkEnd w:id="672"/>
    <w:bookmarkStart w:id="677" w:name="estudios-en-animales-y-de-laboratorio-8"/>
    <w:p>
      <w:pPr>
        <w:pStyle w:val="Heading3"/>
      </w:pPr>
      <w:r>
        <w:t xml:space="preserve">Estudios en animales y de laboratorio</w:t>
      </w:r>
    </w:p>
    <w:p>
      <w:pPr>
        <w:pStyle w:val="FirstParagraph"/>
      </w:pPr>
      <w:r>
        <w:t xml:space="preserve">Los estudios de biología estructural muestran cómo se une la cagrilintida a los receptores de amilina y de calcitonina</w:t>
      </w:r>
      <w:r>
        <w:rPr>
          <w:rStyle w:val="FootnoteReference"/>
        </w:rPr>
        <w:footnoteReference w:id="673"/>
      </w:r>
      <w:r>
        <w:t xml:space="preserve">. En ratones sin los subtipos 1 y 3 del receptor de amilina, el efecto se vio muy atenuado</w:t>
      </w:r>
      <w:r>
        <w:rPr>
          <w:rStyle w:val="FootnoteReference"/>
        </w:rPr>
        <w:footnoteReference w:id="674"/>
      </w:r>
      <w:r>
        <w:t xml:space="preserve">. En ratas, CagriSema redujo la ingesta de alimentos un 39 %; según los cálculos de los autores, aproximadamente un tercio de la pérdida de peso se debió a que el gasto energético no disminuyó en la medida habitual</w:t>
      </w:r>
      <w:r>
        <w:rPr>
          <w:rStyle w:val="FootnoteReference"/>
        </w:rPr>
        <w:footnoteReference w:id="675"/>
      </w:r>
      <w:r>
        <w:t xml:space="preserve">. En otro estudio en ratas, la combinación de cagrilintida con retatrutida potenció la pérdida de peso</w:t>
      </w:r>
      <w:r>
        <w:rPr>
          <w:rStyle w:val="FootnoteReference"/>
        </w:rPr>
        <w:footnoteReference w:id="676"/>
      </w:r>
      <w:r>
        <w:t xml:space="preserve">, un indicio de que en el futuro los principios activos de amilina podrían combinarse también con otros fármacos incretínicos. Todos estos resultados proceden de experimentos con animales.</w:t>
      </w:r>
    </w:p>
    <w:bookmarkEnd w:id="677"/>
    <w:bookmarkStart w:id="685" w:name="riesgos-y-efectos-adversos-8"/>
    <w:p>
      <w:pPr>
        <w:pStyle w:val="Heading3"/>
      </w:pPr>
      <w:r>
        <w:t xml:space="preserve">Riesgos y efectos adversos</w:t>
      </w:r>
    </w:p>
    <w:p>
      <w:pPr>
        <w:pStyle w:val="FirstParagraph"/>
      </w:pPr>
      <w:r>
        <w:rPr>
          <w:bCs/>
          <w:b/>
        </w:rPr>
        <w:t xml:space="preserve">Demostrado en estudios:</w:t>
      </w:r>
    </w:p>
    <w:p>
      <w:pPr>
        <w:numPr>
          <w:ilvl w:val="0"/>
          <w:numId w:val="1081"/>
        </w:numPr>
        <w:pStyle w:val="Compact"/>
      </w:pPr>
      <w:r>
        <w:t xml:space="preserve">Las</w:t>
      </w:r>
      <w:r>
        <w:t xml:space="preserve"> </w:t>
      </w:r>
      <w:r>
        <w:rPr>
          <w:bCs/>
          <w:b/>
        </w:rPr>
        <w:t xml:space="preserve">molestias gastrointestinales</w:t>
      </w:r>
      <w:r>
        <w:t xml:space="preserve"> </w:t>
      </w:r>
      <w:r>
        <w:t xml:space="preserve">–náuseas, vómitos, diarrea, estreñimiento, dolor abdominal– afectaron en REDEFINE 1 al 79,6 % con CagriSema frente al 39,9 % con placebo; en general fueron transitorias y de leves a moderadas</w:t>
      </w:r>
      <w:r>
        <w:rPr>
          <w:rStyle w:val="FootnoteReference"/>
        </w:rPr>
        <w:footnoteReference w:id="678"/>
      </w:r>
      <w:r>
        <w:t xml:space="preserve">. En REDEFINE 2 fueron el 72,5 % frente al 34,4 %</w:t>
      </w:r>
      <w:r>
        <w:rPr>
          <w:rStyle w:val="FootnoteReference"/>
        </w:rPr>
        <w:footnoteReference w:id="679"/>
      </w:r>
      <w:r>
        <w:t xml:space="preserve">.</w:t>
      </w:r>
    </w:p>
    <w:p>
      <w:pPr>
        <w:numPr>
          <w:ilvl w:val="0"/>
          <w:numId w:val="1081"/>
        </w:numPr>
        <w:pStyle w:val="Compact"/>
      </w:pPr>
      <w:r>
        <w:rPr>
          <w:bCs/>
          <w:b/>
        </w:rPr>
        <w:t xml:space="preserve">Hipoglucemia:</w:t>
      </w:r>
      <w:r>
        <w:t xml:space="preserve"> </w:t>
      </w:r>
      <w:r>
        <w:t xml:space="preserve">en REIMAGINE 3 no se produjeron hipoglucemias graves pese al tratamiento simultáneo con insulina</w:t>
      </w:r>
      <w:r>
        <w:rPr>
          <w:rStyle w:val="FootnoteReference"/>
        </w:rPr>
        <w:footnoteReference w:id="680"/>
      </w:r>
      <w:r>
        <w:t xml:space="preserve">. No obstante, en combinación con insulina o sulfonilureas el riesgo persiste en principio.</w:t>
      </w:r>
    </w:p>
    <w:p>
      <w:pPr>
        <w:numPr>
          <w:ilvl w:val="0"/>
          <w:numId w:val="1081"/>
        </w:numPr>
        <w:pStyle w:val="Compact"/>
      </w:pPr>
      <w:r>
        <w:rPr>
          <w:bCs/>
          <w:b/>
        </w:rPr>
        <w:t xml:space="preserve">Ritmo cardíaco:</w:t>
      </w:r>
      <w:r>
        <w:t xml:space="preserve"> </w:t>
      </w:r>
      <w:r>
        <w:t xml:space="preserve">en un estudio propio con 105 personas sanas, la cagrilintida no prolongó el intervalo QT en el ECG en una medida clínicamente relevante</w:t>
      </w:r>
      <w:r>
        <w:rPr>
          <w:rStyle w:val="FootnoteReference"/>
        </w:rPr>
        <w:footnoteReference w:id="681"/>
      </w:r>
      <w:r>
        <w:t xml:space="preserve">.</w:t>
      </w:r>
    </w:p>
    <w:p>
      <w:pPr>
        <w:numPr>
          <w:ilvl w:val="0"/>
          <w:numId w:val="1081"/>
        </w:numPr>
        <w:pStyle w:val="Compact"/>
      </w:pPr>
      <w:r>
        <w:rPr>
          <w:bCs/>
          <w:b/>
        </w:rPr>
        <w:t xml:space="preserve">Función renal y hepática:</w:t>
      </w:r>
      <w:r>
        <w:t xml:space="preserve"> </w:t>
      </w:r>
      <w:r>
        <w:t xml:space="preserve">las concentraciones sanguíneas de cagrilintida no se modificaron sustancialmente con una función renal o hepática reducida</w:t>
      </w:r>
      <w:r>
        <w:rPr>
          <w:rStyle w:val="FootnoteReference"/>
        </w:rPr>
        <w:footnoteReference w:id="682"/>
      </w:r>
      <w:r>
        <w:t xml:space="preserve">.</w:t>
      </w:r>
    </w:p>
    <w:p>
      <w:pPr>
        <w:pStyle w:val="FirstParagraph"/>
      </w:pPr>
      <w:r>
        <w:rPr>
          <w:bCs/>
          <w:b/>
        </w:rPr>
        <w:t xml:space="preserve">Teórico o aún insuficientemente estudiado:</w:t>
      </w:r>
      <w:r>
        <w:t xml:space="preserve"> </w:t>
      </w:r>
      <w:r>
        <w:t xml:space="preserve">el receptor de calcitonina también está presente en el hueso; actualmente se está estudiando cómo afecta la estimulación continuada al metabolismo óseo</w:t>
      </w:r>
      <w:r>
        <w:rPr>
          <w:rStyle w:val="FootnoteReference"/>
        </w:rPr>
        <w:footnoteReference w:id="683"/>
      </w:r>
      <w:r>
        <w:t xml:space="preserve">. Tampoco está claro si la combinación influye en la pérdida de masa muscular</w:t>
      </w:r>
      <w:r>
        <w:rPr>
          <w:rStyle w:val="FootnoteReference"/>
        </w:rPr>
        <w:footnoteReference w:id="684"/>
      </w:r>
      <w:r>
        <w:t xml:space="preserve">. Sobre los riesgos de clase de la semaglutida (vesícula biliar, páncreas, células C tiroideas en experimentación animal), véase el capítulo Semaglutida.</w:t>
      </w:r>
    </w:p>
    <w:bookmarkEnd w:id="685"/>
    <w:bookmarkStart w:id="686" w:name="situación-legal-8"/>
    <w:p>
      <w:pPr>
        <w:pStyle w:val="Heading3"/>
      </w:pPr>
      <w:r>
        <w:t xml:space="preserve">Situación legal</w:t>
      </w:r>
    </w:p>
    <w:p>
      <w:pPr>
        <w:numPr>
          <w:ilvl w:val="0"/>
          <w:numId w:val="1082"/>
        </w:numPr>
        <w:pStyle w:val="Compact"/>
      </w:pPr>
      <w:r>
        <w:rPr>
          <w:bCs/>
          <w:b/>
        </w:rPr>
        <w:t xml:space="preserve">UE / Austria / Alemania:</w:t>
      </w:r>
      <w:r>
        <w:t xml:space="preserve"> </w:t>
      </w:r>
      <w:r>
        <w:t xml:space="preserve">ni la cagrilintida ni CagriSema están autorizadas; uso solo en estudios. Las ofertas de «Cagrilintide» en el mercado gris no son medicamentos y no están controladas.</w:t>
      </w:r>
    </w:p>
    <w:p>
      <w:pPr>
        <w:numPr>
          <w:ilvl w:val="0"/>
          <w:numId w:val="1082"/>
        </w:numPr>
        <w:pStyle w:val="Compact"/>
      </w:pPr>
      <w:r>
        <w:rPr>
          <w:bCs/>
          <w:b/>
        </w:rPr>
        <w:t xml:space="preserve">EE. UU.:</w:t>
      </w:r>
      <w:r>
        <w:t xml:space="preserve"> </w:t>
      </w:r>
      <w:r>
        <w:t xml:space="preserve">no autorizadas (a octubre de 2026, compruébalo en su versión actual).</w:t>
      </w:r>
    </w:p>
    <w:p>
      <w:pPr>
        <w:numPr>
          <w:ilvl w:val="0"/>
          <w:numId w:val="1082"/>
        </w:numPr>
        <w:pStyle w:val="Compact"/>
      </w:pPr>
      <w:r>
        <w:rPr>
          <w:bCs/>
          <w:b/>
        </w:rPr>
        <w:t xml:space="preserve">Deporte:</w:t>
      </w:r>
      <w:r>
        <w:t xml:space="preserve"> </w:t>
      </w:r>
      <w:r>
        <w:t xml:space="preserve">clase S0 de la AMA (no aprobada), situación en 2026, compruébalo en su versión actual.</w:t>
      </w:r>
    </w:p>
    <w:bookmarkEnd w:id="686"/>
    <w:bookmarkStart w:id="697" w:name="estudios-en-curso-y-perspectivas-8"/>
    <w:p>
      <w:pPr>
        <w:pStyle w:val="Heading3"/>
      </w:pPr>
      <w:r>
        <w:t xml:space="preserve">Estudios en curso y perspectivas</w:t>
      </w:r>
    </w:p>
    <w:p>
      <w:pPr>
        <w:pStyle w:val="FirstParagraph"/>
      </w:pPr>
      <w:r>
        <w:rPr>
          <w:bCs/>
          <w:b/>
        </w:rPr>
        <w:t xml:space="preserve">Confirmado (estudios registrados, a octubre de 2026):</w:t>
      </w:r>
    </w:p>
    <w:p>
      <w:pPr>
        <w:numPr>
          <w:ilvl w:val="0"/>
          <w:numId w:val="1083"/>
        </w:numPr>
        <w:pStyle w:val="Compact"/>
      </w:pPr>
      <w:r>
        <w:rPr>
          <w:bCs/>
          <w:b/>
        </w:rPr>
        <w:t xml:space="preserve">REDEFINE 3</w:t>
      </w:r>
      <w:r>
        <w:rPr>
          <w:rStyle w:val="FootnoteReference"/>
        </w:rPr>
        <w:footnoteReference w:id="687"/>
      </w:r>
      <w:r>
        <w:t xml:space="preserve">: estudio de criterios de valoración cardiovasculares con 7076 personas aleatorizadas con enfermedad cardiovascular establecida y sobrepeso; finalización prevista en 2027. Se han publicado el diseño y los datos basales</w:t>
      </w:r>
      <w:r>
        <w:rPr>
          <w:rStyle w:val="FootnoteReference"/>
        </w:rPr>
        <w:footnoteReference w:id="688"/>
      </w:r>
      <w:r>
        <w:t xml:space="preserve">.</w:t>
      </w:r>
    </w:p>
    <w:p>
      <w:pPr>
        <w:numPr>
          <w:ilvl w:val="0"/>
          <w:numId w:val="1083"/>
        </w:numPr>
        <w:pStyle w:val="Compact"/>
      </w:pPr>
      <w:r>
        <w:rPr>
          <w:bCs/>
          <w:b/>
        </w:rPr>
        <w:t xml:space="preserve">Comparaciones frente a tirzepatida</w:t>
      </w:r>
      <w:r>
        <w:rPr>
          <w:rStyle w:val="FootnoteReference"/>
        </w:rPr>
        <w:footnoteReference w:id="689"/>
      </w:r>
      <w:r>
        <w:t xml:space="preserve">: concluidas, publicación pendiente.</w:t>
      </w:r>
    </w:p>
    <w:p>
      <w:pPr>
        <w:numPr>
          <w:ilvl w:val="0"/>
          <w:numId w:val="1083"/>
        </w:numPr>
        <w:pStyle w:val="Compact"/>
      </w:pPr>
      <w:r>
        <w:rPr>
          <w:bCs/>
          <w:b/>
        </w:rPr>
        <w:t xml:space="preserve">Dosis más altas de CagriSema</w:t>
      </w:r>
      <w:r>
        <w:t xml:space="preserve"> </w:t>
      </w:r>
      <w:r>
        <w:t xml:space="preserve">frente a semaglutida</w:t>
      </w:r>
      <w:r>
        <w:rPr>
          <w:rStyle w:val="FootnoteReference"/>
        </w:rPr>
        <w:footnoteReference w:id="690"/>
      </w:r>
      <w:r>
        <w:t xml:space="preserve"> </w:t>
      </w:r>
      <w:r>
        <w:t xml:space="preserve">y estudio a largo plazo sobre el mantenimiento del peso</w:t>
      </w:r>
      <w:r>
        <w:rPr>
          <w:rStyle w:val="FootnoteReference"/>
        </w:rPr>
        <w:footnoteReference w:id="691"/>
      </w:r>
      <w:r>
        <w:t xml:space="preserve">.</w:t>
      </w:r>
    </w:p>
    <w:p>
      <w:pPr>
        <w:numPr>
          <w:ilvl w:val="0"/>
          <w:numId w:val="1083"/>
        </w:numPr>
        <w:pStyle w:val="Compact"/>
      </w:pPr>
      <w:r>
        <w:rPr>
          <w:bCs/>
          <w:b/>
        </w:rPr>
        <w:t xml:space="preserve">Niños y adolescentes</w:t>
      </w:r>
      <w:r>
        <w:rPr>
          <w:rStyle w:val="FootnoteReference"/>
        </w:rPr>
        <w:footnoteReference w:id="692"/>
      </w:r>
      <w:r>
        <w:t xml:space="preserve">, así como cagrilintida sola</w:t>
      </w:r>
      <w:r>
        <w:rPr>
          <w:rStyle w:val="FootnoteReference"/>
        </w:rPr>
        <w:footnoteReference w:id="693"/>
      </w:r>
      <w:r>
        <w:t xml:space="preserve">.</w:t>
      </w:r>
    </w:p>
    <w:p>
      <w:pPr>
        <w:numPr>
          <w:ilvl w:val="0"/>
          <w:numId w:val="1083"/>
        </w:numPr>
        <w:pStyle w:val="Compact"/>
      </w:pPr>
      <w:r>
        <w:t xml:space="preserve">Estudios más pequeños sobre huesos</w:t>
      </w:r>
      <w:r>
        <w:rPr>
          <w:rStyle w:val="FootnoteReference"/>
        </w:rPr>
        <w:footnoteReference w:id="694"/>
      </w:r>
      <w:r>
        <w:t xml:space="preserve">, músculos</w:t>
      </w:r>
      <w:r>
        <w:rPr>
          <w:rStyle w:val="FootnoteReference"/>
        </w:rPr>
        <w:footnoteReference w:id="695"/>
      </w:r>
      <w:r>
        <w:t xml:space="preserve"> </w:t>
      </w:r>
      <w:r>
        <w:t xml:space="preserve">y personas que no toleran los fármacos GLP-1</w:t>
      </w:r>
      <w:r>
        <w:rPr>
          <w:rStyle w:val="FootnoteReference"/>
        </w:rPr>
        <w:footnoteReference w:id="696"/>
      </w:r>
      <w:r>
        <w:t xml:space="preserve">.</w:t>
      </w:r>
    </w:p>
    <w:p>
      <w:pPr>
        <w:pStyle w:val="FirstParagraph"/>
      </w:pPr>
      <w:r>
        <w:rPr>
          <w:bCs/>
          <w:b/>
        </w:rPr>
        <w:t xml:space="preserve">Valoración:</w:t>
      </w:r>
      <w:r>
        <w:t xml:space="preserve"> </w:t>
      </w:r>
      <w:r>
        <w:t xml:space="preserve">CagriSema probablemente llegará al mercado como la primera combinación de amilina y GLP-1. Que se imponga frente a la tirzepatida y los próximos agonistas triples dependerá de los estudios comparativos y de la tolerabilidad. El aspecto científicamente más interesante es la ampliación de la caja de herramientas: la amilina es, después del GLP-1, el GIP y el glucagón, la cuarta vía hormonal que se abre para el tratamiento de la obesidad (véase también Amicretina).</w:t>
      </w:r>
    </w:p>
    <w:bookmarkEnd w:id="697"/>
    <w:bookmarkStart w:id="698" w:name="conclusión-8"/>
    <w:p>
      <w:pPr>
        <w:pStyle w:val="Heading3"/>
      </w:pPr>
      <w:r>
        <w:t xml:space="preserve">Conclusión</w:t>
      </w:r>
    </w:p>
    <w:p>
      <w:pPr>
        <w:pStyle w:val="FirstParagraph"/>
      </w:pPr>
      <w:r>
        <w:t xml:space="preserve">La cagrilintida es un análogo de la amilina de acción prolongada que, por sí sola, redujo el peso en fase 2 hasta un 10,8 %. En combinación con semaglutida (CagriSema) logró en REDEFINE 1 una pérdida de peso del 20,4 % a las 68 semanas y fue claramente superior a la semaglutida sola en Asia oriental (18,4 % frente a 11,9 %). Las molestias gastrointestinales afectan a unas cuatro de cada cinco personas tratadas. CagriSema aún no está autorizada; faltan datos sobre eventos cardiovasculares y sobre la comparación directa con la tirzepatida.</w:t>
      </w:r>
    </w:p>
    <w:bookmarkEnd w:id="698"/>
    <w:bookmarkEnd w:id="699"/>
    <w:bookmarkStart w:id="728" w:name="amicretina-zenagamtida"/>
    <w:p>
      <w:pPr>
        <w:pStyle w:val="Heading2"/>
      </w:pPr>
      <w:r>
        <w:t xml:space="preserve">Amicretina (zenagamtida)</w:t>
      </w:r>
    </w:p>
    <w:bookmarkStart w:id="700" w:name="ficha-9"/>
    <w:p>
      <w:pPr>
        <w:pStyle w:val="Heading3"/>
      </w:pPr>
      <w:r>
        <w:t xml:space="preserve">Ficha</w:t>
      </w:r>
    </w:p>
    <w:p>
      <w:pPr>
        <w:numPr>
          <w:ilvl w:val="0"/>
          <w:numId w:val="1084"/>
        </w:numPr>
        <w:pStyle w:val="Compact"/>
      </w:pPr>
      <w:r>
        <w:rPr>
          <w:bCs/>
          <w:b/>
        </w:rPr>
        <w:t xml:space="preserve">Tipo/estructura:</w:t>
      </w:r>
      <w:r>
        <w:t xml:space="preserve"> </w:t>
      </w:r>
      <w:r>
        <w:t xml:space="preserve">péptido sintético que reúne en una sola molécula el efecto GLP-1 y el de la amilina («unimolecular»). Desde 2026 lleva la denominación común internacional</w:t>
      </w:r>
      <w:r>
        <w:t xml:space="preserve"> </w:t>
      </w:r>
      <w:r>
        <w:rPr>
          <w:bCs/>
          <w:b/>
        </w:rPr>
        <w:t xml:space="preserve">zenagamtida</w:t>
      </w:r>
      <w:r>
        <w:t xml:space="preserve"> </w:t>
      </w:r>
      <w:r>
        <w:t xml:space="preserve">(en inglés, zenagamtide); código de desarrollo NNC0487-0111. Se desarrolla en dos formas: como inyección semanal y como comprimido diario.</w:t>
      </w:r>
    </w:p>
    <w:p>
      <w:pPr>
        <w:numPr>
          <w:ilvl w:val="0"/>
          <w:numId w:val="1084"/>
        </w:numPr>
        <w:pStyle w:val="Compact"/>
      </w:pPr>
      <w:r>
        <w:rPr>
          <w:bCs/>
          <w:b/>
        </w:rPr>
        <w:t xml:space="preserve">Origen:</w:t>
      </w:r>
      <w:r>
        <w:t xml:space="preserve"> </w:t>
      </w:r>
      <w:r>
        <w:t xml:space="preserve">desarrollada por Novo Nordisk.</w:t>
      </w:r>
    </w:p>
    <w:p>
      <w:pPr>
        <w:numPr>
          <w:ilvl w:val="0"/>
          <w:numId w:val="1084"/>
        </w:numPr>
        <w:pStyle w:val="Compact"/>
      </w:pPr>
      <w:r>
        <w:rPr>
          <w:bCs/>
          <w:b/>
        </w:rPr>
        <w:t xml:space="preserve">Mecanismo de acción:</w:t>
      </w:r>
      <w:r>
        <w:t xml:space="preserve"> </w:t>
      </w:r>
      <w:r>
        <w:t xml:space="preserve">agonista de los receptores de GLP-1, amilina y calcitonina.</w:t>
      </w:r>
    </w:p>
    <w:p>
      <w:pPr>
        <w:numPr>
          <w:ilvl w:val="0"/>
          <w:numId w:val="1084"/>
        </w:numPr>
        <w:pStyle w:val="Compact"/>
      </w:pPr>
      <w:r>
        <w:rPr>
          <w:bCs/>
          <w:b/>
        </w:rPr>
        <w:t xml:space="preserve">Autorización UE:</w:t>
      </w:r>
      <w:r>
        <w:t xml:space="preserve"> </w:t>
      </w:r>
      <w:r>
        <w:t xml:space="preserve">no.</w:t>
      </w:r>
    </w:p>
    <w:p>
      <w:pPr>
        <w:numPr>
          <w:ilvl w:val="0"/>
          <w:numId w:val="1084"/>
        </w:numPr>
        <w:pStyle w:val="Compact"/>
      </w:pPr>
      <w:r>
        <w:rPr>
          <w:bCs/>
          <w:b/>
        </w:rPr>
        <w:t xml:space="preserve">Autorización EE. UU.:</w:t>
      </w:r>
      <w:r>
        <w:t xml:space="preserve"> </w:t>
      </w:r>
      <w:r>
        <w:t xml:space="preserve">no.</w:t>
      </w:r>
    </w:p>
    <w:p>
      <w:pPr>
        <w:numPr>
          <w:ilvl w:val="0"/>
          <w:numId w:val="1084"/>
        </w:numPr>
        <w:pStyle w:val="Compact"/>
      </w:pPr>
      <w:r>
        <w:rPr>
          <w:bCs/>
          <w:b/>
        </w:rPr>
        <w:t xml:space="preserve">AMA (WADA):</w:t>
      </w:r>
      <w:r>
        <w:t xml:space="preserve"> </w:t>
      </w:r>
      <w:r>
        <w:t xml:space="preserve">prohibida como sustancia no aprobada en la clase S0.</w:t>
      </w:r>
    </w:p>
    <w:p>
      <w:pPr>
        <w:numPr>
          <w:ilvl w:val="0"/>
          <w:numId w:val="1084"/>
        </w:numPr>
        <w:pStyle w:val="Compact"/>
      </w:pPr>
      <w:r>
        <w:rPr>
          <w:bCs/>
          <w:b/>
        </w:rPr>
        <w:t xml:space="preserve">Nivel de evidencia:</w:t>
      </w:r>
      <w:r>
        <w:t xml:space="preserve"> </w:t>
      </w:r>
      <w:r>
        <w:rPr>
          <w:bCs/>
          <w:b/>
        </w:rPr>
        <w:t xml:space="preserve">B</w:t>
      </w:r>
      <w:r>
        <w:t xml:space="preserve"> </w:t>
      </w:r>
      <w:r>
        <w:t xml:space="preserve">– estudios aleatorizados de fase 1 y fase 2 publicados; la fase 3 comenzó en 2026.</w:t>
      </w:r>
    </w:p>
    <w:bookmarkEnd w:id="700"/>
    <w:bookmarkStart w:id="702" w:name="cómo-se-supone-que-actúa-9"/>
    <w:p>
      <w:pPr>
        <w:pStyle w:val="Heading3"/>
      </w:pPr>
      <w:r>
        <w:t xml:space="preserve">Cómo se supone que actúa</w:t>
      </w:r>
    </w:p>
    <w:p>
      <w:pPr>
        <w:pStyle w:val="FirstParagraph"/>
      </w:pPr>
      <w:r>
        <w:t xml:space="preserve">CagriSema (véase el capítulo anterior) combina dos principios activos separados –el análogo de la amilina cagrilintida y el agonista de GLP-1 semaglutida– en una sola inyección. La amicretina va un paso más allá: un único péptido activa ambos sistemas de receptores. Esto simplifica la fabricación y la dosificación y, en principio, permite una forma en comprimidos, como la que ya existe con la semaglutida oral.</w:t>
      </w:r>
    </w:p>
    <w:p>
      <w:pPr>
        <w:pStyle w:val="BodyText"/>
      </w:pPr>
      <w:r>
        <w:t xml:space="preserve">El GLP-1 y la amilina favorecen ambos la sensación de saciedad, ralentizan el vaciamiento gástrico y atenúan la liberación de glucagón, pero actúan a través de receptores y vías nerviosas diferentes en el tronco encefálico. En ensayos celulares, la amicretina activó los receptores humanos, de ratón y de rata para GLP-1, amilina y calcitonina. En ratas con obesidad inducida por la dieta redujo a lo largo de 21 días la ingesta energética un 47 % y el peso corporal un 18 %, mientras que el gasto energético se mantuvo; la sensibilidad a la insulina mejoró y el hígado graso disminuyó</w:t>
      </w:r>
      <w:r>
        <w:rPr>
          <w:rStyle w:val="FootnoteReference"/>
        </w:rPr>
        <w:footnoteReference w:id="701"/>
      </w:r>
      <w:r>
        <w:t xml:space="preserve">. Son datos en animales.</w:t>
      </w:r>
    </w:p>
    <w:bookmarkEnd w:id="702"/>
    <w:bookmarkStart w:id="710" w:name="estudios-en-humanos-9"/>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4 estudios en humanos. La búsqueda automática en el registro con el nombre «amycretin» solo encontró una entrada; sin embargo, con el nuevo nombre zenagamtida y el código de desarrollo NNC0487-0111 hay registrados en ClinicalTrials.gov unos 30 estudios, entre ellos el programa de fase 3 iniciado en 2026</w:t>
      </w:r>
      <w:r>
        <w:t xml:space="preserve"> </w:t>
      </w:r>
      <w:r>
        <w:rPr>
          <w:bCs/>
          <w:b/>
        </w:rPr>
        <w:t xml:space="preserve">AMAZE</w:t>
      </w:r>
      <w:r>
        <w:t xml:space="preserve"> </w:t>
      </w:r>
      <w:r>
        <w:t xml:space="preserve">(peso) y</w:t>
      </w:r>
      <w:r>
        <w:t xml:space="preserve"> </w:t>
      </w:r>
      <w:r>
        <w:rPr>
          <w:bCs/>
          <w:b/>
        </w:rPr>
        <w:t xml:space="preserve">AMBITION</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1, comprimido (Gasiorek 2025), PMID 40550229</w:t>
            </w:r>
          </w:p>
        </w:tc>
        <w:tc>
          <w:tcPr/>
          <w:p>
            <w:pPr>
              <w:pStyle w:val="Compact"/>
              <w:jc w:val="left"/>
            </w:pPr>
            <w:r>
              <w:t xml:space="preserve">144 adultos con sobrepeso/obesidad, frente a placebo</w:t>
            </w:r>
          </w:p>
        </w:tc>
        <w:tc>
          <w:tcPr/>
          <w:p>
            <w:pPr>
              <w:pStyle w:val="Compact"/>
              <w:jc w:val="left"/>
            </w:pPr>
            <w:r>
              <w:t xml:space="preserve">hasta 12 semanas</w:t>
            </w:r>
          </w:p>
        </w:tc>
        <w:tc>
          <w:tcPr/>
          <w:p>
            <w:pPr>
              <w:pStyle w:val="Compact"/>
              <w:jc w:val="left"/>
            </w:pPr>
            <w:r>
              <w:t xml:space="preserve">seguridad; efectos secundarios dependientes de la dosis, todos de leves a moderados</w:t>
            </w:r>
          </w:p>
        </w:tc>
      </w:tr>
      <w:tr>
        <w:tc>
          <w:tcPr/>
          <w:p>
            <w:pPr>
              <w:pStyle w:val="Compact"/>
              <w:jc w:val="left"/>
            </w:pPr>
            <w:r>
              <w:t xml:space="preserve">Fase 1b/2a, inyección (Dahl 2025), PMID 40550231</w:t>
            </w:r>
          </w:p>
        </w:tc>
        <w:tc>
          <w:tcPr/>
          <w:p>
            <w:pPr>
              <w:pStyle w:val="Compact"/>
              <w:jc w:val="left"/>
            </w:pPr>
            <w:r>
              <w:t xml:space="preserve">125 adultos con sobrepeso/obesidad, frente a placebo</w:t>
            </w:r>
          </w:p>
        </w:tc>
        <w:tc>
          <w:tcPr/>
          <w:p>
            <w:pPr>
              <w:pStyle w:val="Compact"/>
              <w:jc w:val="left"/>
            </w:pPr>
            <w:r>
              <w:t xml:space="preserve">hasta 36 semanas</w:t>
            </w:r>
          </w:p>
        </w:tc>
        <w:tc>
          <w:tcPr/>
          <w:p>
            <w:pPr>
              <w:pStyle w:val="Compact"/>
              <w:jc w:val="left"/>
            </w:pPr>
            <w:r>
              <w:t xml:space="preserve">hasta −24,3 % de peso frente a −1,1 %</w:t>
            </w:r>
          </w:p>
        </w:tc>
      </w:tr>
      <w:tr>
        <w:tc>
          <w:tcPr/>
          <w:p>
            <w:pPr>
              <w:pStyle w:val="Compact"/>
              <w:jc w:val="left"/>
            </w:pPr>
            <w:r>
              <w:t xml:space="preserve">Fase 2, comprimido (Mora 2026), PMID 42532079</w:t>
            </w:r>
          </w:p>
        </w:tc>
        <w:tc>
          <w:tcPr/>
          <w:p>
            <w:pPr>
              <w:pStyle w:val="Compact"/>
              <w:jc w:val="left"/>
            </w:pPr>
            <w:r>
              <w:t xml:space="preserve">186 adultos con diabetes tipo 2, frente a placebo</w:t>
            </w:r>
          </w:p>
        </w:tc>
        <w:tc>
          <w:tcPr/>
          <w:p>
            <w:pPr>
              <w:pStyle w:val="Compact"/>
              <w:jc w:val="left"/>
            </w:pPr>
            <w:r>
              <w:t xml:space="preserve">36 semanas</w:t>
            </w:r>
          </w:p>
        </w:tc>
        <w:tc>
          <w:tcPr/>
          <w:p>
            <w:pPr>
              <w:pStyle w:val="Compact"/>
              <w:jc w:val="left"/>
            </w:pPr>
            <w:r>
              <w:t xml:space="preserve">HbA1c −0,9 a −1,4</w:t>
            </w:r>
          </w:p>
        </w:tc>
      </w:tr>
      <w:tr>
        <w:tc>
          <w:tcPr/>
          <w:p>
            <w:pPr>
              <w:pStyle w:val="Compact"/>
              <w:jc w:val="left"/>
            </w:pPr>
            <w:r>
              <w:t xml:space="preserve">Fase 2, inyección (Mora 2026), PMID 42532080</w:t>
            </w:r>
          </w:p>
        </w:tc>
        <w:tc>
          <w:tcPr/>
          <w:p>
            <w:pPr>
              <w:pStyle w:val="Compact"/>
              <w:jc w:val="left"/>
            </w:pPr>
            <w:r>
              <w:t xml:space="preserve">262 adultos con diabetes tipo 2, frente a placebo</w:t>
            </w:r>
          </w:p>
        </w:tc>
        <w:tc>
          <w:tcPr/>
          <w:p>
            <w:pPr>
              <w:pStyle w:val="Compact"/>
              <w:jc w:val="left"/>
            </w:pPr>
            <w:r>
              <w:t xml:space="preserve">36 semanas</w:t>
            </w:r>
          </w:p>
        </w:tc>
        <w:tc>
          <w:tcPr/>
          <w:p>
            <w:pPr>
              <w:pStyle w:val="Compact"/>
              <w:jc w:val="left"/>
            </w:pPr>
            <w:r>
              <w:t xml:space="preserve">HbA1c −0,9 a −1,7</w:t>
            </w:r>
          </w:p>
        </w:tc>
      </w:tr>
    </w:tbl>
    <w:bookmarkStart w:id="704" w:name="X825861629055fc533a3e18c30509f83114a2263"/>
    <w:p>
      <w:pPr>
        <w:pStyle w:val="Heading4"/>
      </w:pPr>
      <w:r>
        <w:t xml:space="preserve">Forma en comprimidos: primer estudio en humanos</w:t>
      </w:r>
    </w:p>
    <w:p>
      <w:pPr>
        <w:pStyle w:val="FirstParagraph"/>
      </w:pPr>
      <w:r>
        <w:t xml:space="preserve">El primer estudio en humanos evaluó la amicretina en comprimidos</w:t>
      </w:r>
      <w:r>
        <w:rPr>
          <w:rStyle w:val="FootnoteReference"/>
        </w:rPr>
        <w:footnoteReference w:id="703"/>
      </w:r>
      <w:r>
        <w:t xml:space="preserve">. 144 adultos con sobrepeso u obesidad recibieron dosis únicas o múltiples durante hasta doce semanas. El 62 % refirió al menos un acontecimiento adverso; todos fueron leves o moderados y aumentaron con la dosis. Aproximadamente la mitad de los acontecimientos afectó al tracto gastrointestinal. Las concentraciones sanguíneas aumentaron de forma proporcional a la dosis. Los datos de peso eran solo un criterio de valoración secundario y exploratorio de este estudio de seguridad.</w:t>
      </w:r>
    </w:p>
    <w:bookmarkEnd w:id="704"/>
    <w:bookmarkStart w:id="706" w:name="forma-inyectable-fase-1b2a"/>
    <w:p>
      <w:pPr>
        <w:pStyle w:val="Heading4"/>
      </w:pPr>
      <w:r>
        <w:t xml:space="preserve">Forma inyectable: fase 1b/2a</w:t>
      </w:r>
    </w:p>
    <w:p>
      <w:pPr>
        <w:pStyle w:val="FirstParagraph"/>
      </w:pPr>
      <w:r>
        <w:t xml:space="preserve">En el estudio con la inyección semanal</w:t>
      </w:r>
      <w:r>
        <w:rPr>
          <w:rStyle w:val="FootnoteReference"/>
        </w:rPr>
        <w:footnoteReference w:id="705"/>
      </w:r>
      <w:r>
        <w:t xml:space="preserve">, 125 personas recibieron amicretina o placebo en varias partes del estudio con distintas dosis objetivo y duraciones de tratamiento. La pérdida de peso fue notable para un estudio temprano:</w:t>
      </w:r>
    </w:p>
    <w:p>
      <w:pPr>
        <w:numPr>
          <w:ilvl w:val="0"/>
          <w:numId w:val="1085"/>
        </w:numPr>
        <w:pStyle w:val="Compact"/>
      </w:pPr>
      <w:r>
        <w:t xml:space="preserve">dosis más alta, 36 semanas: −24,3 % frente a −1,1 % con placebo</w:t>
      </w:r>
    </w:p>
    <w:p>
      <w:pPr>
        <w:numPr>
          <w:ilvl w:val="0"/>
          <w:numId w:val="1085"/>
        </w:numPr>
        <w:pStyle w:val="Compact"/>
      </w:pPr>
      <w:r>
        <w:t xml:space="preserve">segunda dosis más alta, 36 semanas: −22,0 % frente a +1,9 %</w:t>
      </w:r>
    </w:p>
    <w:p>
      <w:pPr>
        <w:numPr>
          <w:ilvl w:val="0"/>
          <w:numId w:val="1085"/>
        </w:numPr>
        <w:pStyle w:val="Compact"/>
      </w:pPr>
      <w:r>
        <w:t xml:space="preserve">dosis intermedia, 28 semanas: −16,2 % frente a +2,3 %</w:t>
      </w:r>
    </w:p>
    <w:p>
      <w:pPr>
        <w:numPr>
          <w:ilvl w:val="0"/>
          <w:numId w:val="1085"/>
        </w:numPr>
        <w:pStyle w:val="Compact"/>
      </w:pPr>
      <w:r>
        <w:t xml:space="preserve">dosis baja, 20 semanas: −9,7 % frente a +2,0 %</w:t>
      </w:r>
    </w:p>
    <w:p>
      <w:pPr>
        <w:pStyle w:val="FirstParagraph"/>
      </w:pPr>
      <w:r>
        <w:t xml:space="preserve">Estas cifras deben leerse con cautela: los grupos eran pequeños, el estudio se realizó en un único centro y los propios autores informan de que muchos participantes abandonaron el estudio de forma prematura, en gran parte por motivos no relacionados con efectos secundarios. Una pérdida de peso de más del 20 % a las 36 semanas es una señal potente, pero todavía no una estimación sólida para el uso generalizado.</w:t>
      </w:r>
    </w:p>
    <w:bookmarkEnd w:id="706"/>
    <w:bookmarkStart w:id="709" w:name="diabetes-tipo-2-dos-estudios-de-fase-2"/>
    <w:p>
      <w:pPr>
        <w:pStyle w:val="Heading4"/>
      </w:pPr>
      <w:r>
        <w:t xml:space="preserve">Diabetes tipo 2: dos estudios de fase 2</w:t>
      </w:r>
    </w:p>
    <w:p>
      <w:pPr>
        <w:pStyle w:val="FirstParagraph"/>
      </w:pPr>
      <w:r>
        <w:t xml:space="preserve">En 2026 se publicaron dos estudios paralelos de búsqueda de dosis en personas con diabetes tipo 2 que tomaban metformina (con o sin inhibidores de SGLT2):</w:t>
      </w:r>
    </w:p>
    <w:p>
      <w:pPr>
        <w:numPr>
          <w:ilvl w:val="0"/>
          <w:numId w:val="1086"/>
        </w:numPr>
        <w:pStyle w:val="Compact"/>
      </w:pPr>
      <w:r>
        <w:rPr>
          <w:bCs/>
          <w:b/>
        </w:rPr>
        <w:t xml:space="preserve">Comprimido</w:t>
      </w:r>
      <w:r>
        <w:rPr>
          <w:rStyle w:val="FootnoteReference"/>
        </w:rPr>
        <w:footnoteReference w:id="707"/>
      </w:r>
      <w:r>
        <w:t xml:space="preserve">: a las 36 semanas, la HbA1c disminuyó entre 0,9 y 1,4 puntos porcentuales (valor inicial en torno al 8 %). Se produjeron molestias gastrointestinales en el 26–47 % (placebo 23 %). Los acontecimientos adversos graves afectaron al 4 % con zenagamtida y a nadie con placebo.</w:t>
      </w:r>
    </w:p>
    <w:p>
      <w:pPr>
        <w:numPr>
          <w:ilvl w:val="0"/>
          <w:numId w:val="1086"/>
        </w:numPr>
        <w:pStyle w:val="Compact"/>
      </w:pPr>
      <w:r>
        <w:rPr>
          <w:bCs/>
          <w:b/>
        </w:rPr>
        <w:t xml:space="preserve">Inyección</w:t>
      </w:r>
      <w:r>
        <w:rPr>
          <w:rStyle w:val="FootnoteReference"/>
        </w:rPr>
        <w:footnoteReference w:id="708"/>
      </w:r>
      <w:r>
        <w:t xml:space="preserve">: la HbA1c disminuyó, según la dosis, entre 0,9 y 1,7 puntos porcentuales. Se produjeron acontecimientos adversos graves en el 8 % de los participantes, repartidos entre todos los grupos de dosis y el placebo.</w:t>
      </w:r>
    </w:p>
    <w:p>
      <w:pPr>
        <w:pStyle w:val="FirstParagraph"/>
      </w:pPr>
      <w:r>
        <w:t xml:space="preserve">Los resultados de peso de estos estudios en diabetes no se cuantifican en los resúmenes y, por tanto, no se mencionan aquí.</w:t>
      </w:r>
    </w:p>
    <w:bookmarkEnd w:id="709"/>
    <w:bookmarkEnd w:id="710"/>
    <w:bookmarkStart w:id="712" w:name="estudios-en-animales-y-de-laboratorio-9"/>
    <w:p>
      <w:pPr>
        <w:pStyle w:val="Heading3"/>
      </w:pPr>
      <w:r>
        <w:t xml:space="preserve">Estudios en animales y de laboratorio</w:t>
      </w:r>
    </w:p>
    <w:p>
      <w:pPr>
        <w:pStyle w:val="FirstParagraph"/>
      </w:pPr>
      <w:r>
        <w:t xml:space="preserve">Los datos preclínicos proceden del fabricante</w:t>
      </w:r>
      <w:r>
        <w:rPr>
          <w:rStyle w:val="FootnoteReference"/>
        </w:rPr>
        <w:footnoteReference w:id="711"/>
      </w:r>
      <w:r>
        <w:t xml:space="preserve">: activación de receptores en cultivos celulares, pérdida de peso y mejora de la sensibilidad a la insulina en ratas con sobrepeso, menos hígado graso y acumulación en regiones cerebrales reguladoras del apetito en ratones. Apenas existen estudios independientes en animales.</w:t>
      </w:r>
    </w:p>
    <w:bookmarkEnd w:id="712"/>
    <w:bookmarkStart w:id="717" w:name="riesgos-y-efectos-adversos-9"/>
    <w:p>
      <w:pPr>
        <w:pStyle w:val="Heading3"/>
      </w:pPr>
      <w:r>
        <w:t xml:space="preserve">Riesgos y efectos adversos</w:t>
      </w:r>
    </w:p>
    <w:p>
      <w:pPr>
        <w:pStyle w:val="FirstParagraph"/>
      </w:pPr>
      <w:r>
        <w:rPr>
          <w:bCs/>
          <w:b/>
        </w:rPr>
        <w:t xml:space="preserve">Demostrado en estudios:</w:t>
      </w:r>
    </w:p>
    <w:p>
      <w:pPr>
        <w:numPr>
          <w:ilvl w:val="0"/>
          <w:numId w:val="1087"/>
        </w:numPr>
        <w:pStyle w:val="Compact"/>
      </w:pPr>
      <w:r>
        <w:t xml:space="preserve">Las</w:t>
      </w:r>
      <w:r>
        <w:t xml:space="preserve"> </w:t>
      </w:r>
      <w:r>
        <w:rPr>
          <w:bCs/>
          <w:b/>
        </w:rPr>
        <w:t xml:space="preserve">molestias gastrointestinales</w:t>
      </w:r>
      <w:r>
        <w:t xml:space="preserve"> </w:t>
      </w:r>
      <w:r>
        <w:t xml:space="preserve">son los efectos secundarios más frecuentes y, en los estudios iniciales, afectaron a la mayoría de las personas tratadas; en general fueron de leves a moderadas y dependientes de la dosis</w:t>
      </w:r>
      <w:r>
        <w:rPr>
          <w:rStyle w:val="FootnoteReference"/>
        </w:rPr>
        <w:footnoteReference w:id="713"/>
      </w:r>
      <w:r>
        <w:t xml:space="preserve">.</w:t>
      </w:r>
    </w:p>
    <w:p>
      <w:pPr>
        <w:numPr>
          <w:ilvl w:val="0"/>
          <w:numId w:val="1087"/>
        </w:numPr>
        <w:pStyle w:val="Compact"/>
      </w:pPr>
      <w:r>
        <w:t xml:space="preserve">Los</w:t>
      </w:r>
      <w:r>
        <w:t xml:space="preserve"> </w:t>
      </w:r>
      <w:r>
        <w:rPr>
          <w:bCs/>
          <w:b/>
        </w:rPr>
        <w:t xml:space="preserve">acontecimientos adversos graves</w:t>
      </w:r>
      <w:r>
        <w:t xml:space="preserve"> </w:t>
      </w:r>
      <w:r>
        <w:t xml:space="preserve">fueron raros en los estudios de fase 2; en el estudio con comprimidos solo se produjeron con zenagamtida (4 % frente a 0 %), y en el estudio con inyección se repartieron de forma uniforme</w:t>
      </w:r>
      <w:r>
        <w:rPr>
          <w:rStyle w:val="FootnoteReference"/>
        </w:rPr>
        <w:footnoteReference w:id="714"/>
      </w:r>
      <w:r>
        <w:t xml:space="preserve">.</w:t>
      </w:r>
    </w:p>
    <w:p>
      <w:pPr>
        <w:numPr>
          <w:ilvl w:val="0"/>
          <w:numId w:val="1087"/>
        </w:numPr>
        <w:pStyle w:val="Compact"/>
      </w:pPr>
      <w:r>
        <w:rPr>
          <w:bCs/>
          <w:b/>
        </w:rPr>
        <w:t xml:space="preserve">Función renal:</w:t>
      </w:r>
      <w:r>
        <w:t xml:space="preserve"> </w:t>
      </w:r>
      <w:r>
        <w:t xml:space="preserve">con una función renal reducida, hasta la insuficiencia renal terminal, las concentraciones sanguíneas tras una dosis única no se modificaron de forma clínicamente relevante</w:t>
      </w:r>
      <w:r>
        <w:rPr>
          <w:rStyle w:val="FootnoteReference"/>
        </w:rPr>
        <w:footnoteReference w:id="715"/>
      </w:r>
      <w:r>
        <w:t xml:space="preserve">.</w:t>
      </w:r>
    </w:p>
    <w:p>
      <w:pPr>
        <w:pStyle w:val="FirstParagraph"/>
      </w:pPr>
      <w:r>
        <w:rPr>
          <w:bCs/>
          <w:b/>
        </w:rPr>
        <w:t xml:space="preserve">Aún sin aclarar:</w:t>
      </w:r>
      <w:r>
        <w:t xml:space="preserve"> </w:t>
      </w:r>
      <w:r>
        <w:t xml:space="preserve">seguridad a largo plazo, efectos sobre los huesos (receptor de calcitonina), la masa muscular y el sistema cardiovascular. Para los riesgos de clase de los fármacos GLP-1 (vesícula biliar, páncreas) todavía hay demasiados pocos años de tratamiento.</w:t>
      </w:r>
    </w:p>
    <w:p>
      <w:pPr>
        <w:pStyle w:val="BodyText"/>
      </w:pPr>
      <w:r>
        <w:rPr>
          <w:bCs/>
          <w:b/>
        </w:rPr>
        <w:t xml:space="preserve">Mercado gris:</w:t>
      </w:r>
      <w:r>
        <w:t xml:space="preserve"> </w:t>
      </w:r>
      <w:r>
        <w:t xml:space="preserve">ya antes del inicio de la fase 3, la zenagamtida se ofrece en internet como «Research Peptide». Un informe en la revista JAMA describe un creciente mercado negro de los dos principios activos no autorizados retatrutida y zenagamtida y los riesgos asociados</w:t>
      </w:r>
      <w:r>
        <w:rPr>
          <w:rStyle w:val="FootnoteReference"/>
        </w:rPr>
        <w:footnoteReference w:id="716"/>
      </w:r>
      <w:r>
        <w:t xml:space="preserve">. Quien utiliza estos productos no conoce ni su contenido, ni su pureza, ni una dosificación probada (véanse la Parte I y la Parte IV).</w:t>
      </w:r>
    </w:p>
    <w:bookmarkEnd w:id="717"/>
    <w:bookmarkStart w:id="718" w:name="situación-legal-9"/>
    <w:p>
      <w:pPr>
        <w:pStyle w:val="Heading3"/>
      </w:pPr>
      <w:r>
        <w:t xml:space="preserve">Situación legal</w:t>
      </w:r>
    </w:p>
    <w:p>
      <w:pPr>
        <w:numPr>
          <w:ilvl w:val="0"/>
          <w:numId w:val="1088"/>
        </w:numPr>
        <w:pStyle w:val="Compact"/>
      </w:pPr>
      <w:r>
        <w:rPr>
          <w:bCs/>
          <w:b/>
        </w:rPr>
        <w:t xml:space="preserve">UE / Austria / Alemania:</w:t>
      </w:r>
      <w:r>
        <w:t xml:space="preserve"> </w:t>
      </w:r>
      <w:r>
        <w:t xml:space="preserve">no autorizada; uso solo en ensayos clínicos.</w:t>
      </w:r>
    </w:p>
    <w:p>
      <w:pPr>
        <w:numPr>
          <w:ilvl w:val="0"/>
          <w:numId w:val="1088"/>
        </w:numPr>
        <w:pStyle w:val="Compact"/>
      </w:pPr>
      <w:r>
        <w:rPr>
          <w:bCs/>
          <w:b/>
        </w:rPr>
        <w:t xml:space="preserve">EE. UU.:</w:t>
      </w:r>
      <w:r>
        <w:t xml:space="preserve"> </w:t>
      </w:r>
      <w:r>
        <w:t xml:space="preserve">no autorizada.</w:t>
      </w:r>
    </w:p>
    <w:p>
      <w:pPr>
        <w:numPr>
          <w:ilvl w:val="0"/>
          <w:numId w:val="1088"/>
        </w:numPr>
        <w:pStyle w:val="Compact"/>
      </w:pPr>
      <w:r>
        <w:rPr>
          <w:bCs/>
          <w:b/>
        </w:rPr>
        <w:t xml:space="preserve">Deporte:</w:t>
      </w:r>
      <w:r>
        <w:t xml:space="preserve"> </w:t>
      </w:r>
      <w:r>
        <w:t xml:space="preserve">clase S0 de la AMA (sustancia no aprobada), situación en 2026, compruébalo en su versión actual.</w:t>
      </w:r>
    </w:p>
    <w:bookmarkEnd w:id="718"/>
    <w:bookmarkStart w:id="726" w:name="estudios-en-curso-y-perspectivas-9"/>
    <w:p>
      <w:pPr>
        <w:pStyle w:val="Heading3"/>
      </w:pPr>
      <w:r>
        <w:t xml:space="preserve">Estudios en curso y perspectivas</w:t>
      </w:r>
    </w:p>
    <w:p>
      <w:pPr>
        <w:pStyle w:val="FirstParagraph"/>
      </w:pPr>
      <w:r>
        <w:rPr>
          <w:bCs/>
          <w:b/>
        </w:rPr>
        <w:t xml:space="preserve">Confirmado (estudios registrados, a octubre de 2026):</w:t>
      </w:r>
    </w:p>
    <w:p>
      <w:pPr>
        <w:numPr>
          <w:ilvl w:val="0"/>
          <w:numId w:val="1089"/>
        </w:numPr>
        <w:pStyle w:val="Compact"/>
      </w:pPr>
      <w:r>
        <w:rPr>
          <w:bCs/>
          <w:b/>
        </w:rPr>
        <w:t xml:space="preserve">AMAZE 1</w:t>
      </w:r>
      <w:r>
        <w:rPr>
          <w:rStyle w:val="FootnoteReference"/>
        </w:rPr>
        <w:footnoteReference w:id="719"/>
      </w:r>
      <w:r>
        <w:t xml:space="preserve">: fase 3 con 1150 adultos con sobrepeso/obesidad, forma inyectable.</w:t>
      </w:r>
    </w:p>
    <w:p>
      <w:pPr>
        <w:numPr>
          <w:ilvl w:val="0"/>
          <w:numId w:val="1089"/>
        </w:numPr>
        <w:pStyle w:val="Compact"/>
      </w:pPr>
      <w:r>
        <w:rPr>
          <w:bCs/>
          <w:b/>
        </w:rPr>
        <w:t xml:space="preserve">AMAZE 2</w:t>
      </w:r>
      <w:r>
        <w:rPr>
          <w:rStyle w:val="FootnoteReference"/>
        </w:rPr>
        <w:footnoteReference w:id="720"/>
      </w:r>
      <w:r>
        <w:t xml:space="preserve">: sobrepeso con diabetes tipo 2.</w:t>
      </w:r>
    </w:p>
    <w:p>
      <w:pPr>
        <w:numPr>
          <w:ilvl w:val="0"/>
          <w:numId w:val="1089"/>
        </w:numPr>
        <w:pStyle w:val="Compact"/>
      </w:pPr>
      <w:r>
        <w:rPr>
          <w:bCs/>
          <w:b/>
        </w:rPr>
        <w:t xml:space="preserve">AMAZE 3 y 4</w:t>
      </w:r>
      <w:r>
        <w:rPr>
          <w:rStyle w:val="FootnoteReference"/>
        </w:rPr>
        <w:footnoteReference w:id="721"/>
      </w:r>
      <w:r>
        <w:t xml:space="preserve">: apnea del sueño sin y con terapia con mascarilla respiratoria, respectivamente.</w:t>
      </w:r>
    </w:p>
    <w:p>
      <w:pPr>
        <w:numPr>
          <w:ilvl w:val="0"/>
          <w:numId w:val="1089"/>
        </w:numPr>
        <w:pStyle w:val="Compact"/>
      </w:pPr>
      <w:r>
        <w:rPr>
          <w:bCs/>
          <w:b/>
        </w:rPr>
        <w:t xml:space="preserve">AMAZE 6</w:t>
      </w:r>
      <w:r>
        <w:rPr>
          <w:rStyle w:val="FootnoteReference"/>
        </w:rPr>
        <w:footnoteReference w:id="722"/>
      </w:r>
      <w:r>
        <w:t xml:space="preserve"> </w:t>
      </w:r>
      <w:r>
        <w:t xml:space="preserve">y otro estudio</w:t>
      </w:r>
      <w:r>
        <w:rPr>
          <w:rStyle w:val="FootnoteReference"/>
        </w:rPr>
        <w:footnoteReference w:id="723"/>
      </w:r>
      <w:r>
        <w:t xml:space="preserve">: artrosis de rodilla.</w:t>
      </w:r>
    </w:p>
    <w:p>
      <w:pPr>
        <w:numPr>
          <w:ilvl w:val="0"/>
          <w:numId w:val="1089"/>
        </w:numPr>
        <w:pStyle w:val="Compact"/>
      </w:pPr>
      <w:r>
        <w:rPr>
          <w:bCs/>
          <w:b/>
        </w:rPr>
        <w:t xml:space="preserve">AMAZE 9</w:t>
      </w:r>
      <w:r>
        <w:rPr>
          <w:rStyle w:val="FootnoteReference"/>
        </w:rPr>
        <w:footnoteReference w:id="724"/>
      </w:r>
      <w:r>
        <w:t xml:space="preserve">: forma en comprimidos en el sobrepeso.</w:t>
      </w:r>
    </w:p>
    <w:p>
      <w:pPr>
        <w:numPr>
          <w:ilvl w:val="0"/>
          <w:numId w:val="1089"/>
        </w:numPr>
        <w:pStyle w:val="Compact"/>
      </w:pPr>
      <w:r>
        <w:rPr>
          <w:bCs/>
          <w:b/>
        </w:rPr>
        <w:t xml:space="preserve">AMAZE 12</w:t>
      </w:r>
      <w:r>
        <w:rPr>
          <w:rStyle w:val="FootnoteReference"/>
        </w:rPr>
        <w:footnoteReference w:id="725"/>
      </w:r>
      <w:r>
        <w:t xml:space="preserve">: mantenimiento del peso tras la pérdida.</w:t>
      </w:r>
    </w:p>
    <w:p>
      <w:pPr>
        <w:numPr>
          <w:ilvl w:val="0"/>
          <w:numId w:val="1089"/>
        </w:numPr>
        <w:pStyle w:val="Compact"/>
      </w:pPr>
      <w:r>
        <w:t xml:space="preserve">Comparación con semaglutida (NCT07668414; en diabetes tipo 2, NCT07400107) y con insulina glargina en diabetes tipo 2 (NCT07797335, AMBITION 7).</w:t>
      </w:r>
    </w:p>
    <w:p>
      <w:pPr>
        <w:numPr>
          <w:ilvl w:val="0"/>
          <w:numId w:val="1089"/>
        </w:numPr>
        <w:pStyle w:val="Compact"/>
      </w:pPr>
      <w:r>
        <w:t xml:space="preserve">Estudios de criterios de valoración: insuficiencia cardíaca con obesidad (NCT07567001, 5610 participantes) y eventos cardiovasculares en arteriosclerosis (NCT07861100, 8500 participantes previstos).</w:t>
      </w:r>
    </w:p>
    <w:p>
      <w:pPr>
        <w:pStyle w:val="FirstParagraph"/>
      </w:pPr>
      <w:r>
        <w:rPr>
          <w:bCs/>
          <w:b/>
        </w:rPr>
        <w:t xml:space="preserve">Valoración:</w:t>
      </w:r>
      <w:r>
        <w:t xml:space="preserve"> </w:t>
      </w:r>
      <w:r>
        <w:t xml:space="preserve">con este amplio programa de fase 3, Novo Nordisk apuesta claramente por convertir la amicretina/zenagamtida en la sucesora de la semaglutida. Los resultados de los primeros estudios de fase 3 no se esperan antes de 2027, y una autorización difícilmente antes de 2028. No está claro si las impresionantes cifras del pequeño estudio de fase 1b/2a se mantendrán en estudios grandes.</w:t>
      </w:r>
    </w:p>
    <w:bookmarkEnd w:id="726"/>
    <w:bookmarkStart w:id="727" w:name="conclusión-9"/>
    <w:p>
      <w:pPr>
        <w:pStyle w:val="Heading3"/>
      </w:pPr>
      <w:r>
        <w:t xml:space="preserve">Conclusión</w:t>
      </w:r>
    </w:p>
    <w:p>
      <w:pPr>
        <w:pStyle w:val="FirstParagraph"/>
      </w:pPr>
      <w:r>
        <w:t xml:space="preserve">La amicretina –desde 2026, zenagamtida– es un único péptido que activa simultáneamente los receptores de GLP-1 y de amilina, y se está desarrollando como inyección y como comprimido. En un pequeño estudio de fase 1b/2a, el peso disminuyó hasta un 24,3 % a las 36 semanas; en estudios de fase 2 en diabetes tipo 2, la HbA1c disminuyó hasta 1,7 puntos porcentuales. Los efectos secundarios más frecuentes afectan al tracto gastrointestinal. Los estudios de fase 3 comenzaron en 2026; hasta una posible autorización, la zenagamtida es un mero producto en investigación, y la mercancía del mercado gris no es un sustituto.</w:t>
      </w:r>
    </w:p>
    <w:bookmarkEnd w:id="727"/>
    <w:bookmarkEnd w:id="728"/>
    <w:bookmarkStart w:id="760" w:name="maridebart-cafraglutida-maritide"/>
    <w:p>
      <w:pPr>
        <w:pStyle w:val="Heading2"/>
      </w:pPr>
      <w:r>
        <w:t xml:space="preserve">Maridebart cafraglutida (MariTide)</w:t>
      </w:r>
    </w:p>
    <w:bookmarkStart w:id="729" w:name="ficha-10"/>
    <w:p>
      <w:pPr>
        <w:pStyle w:val="Heading3"/>
      </w:pPr>
      <w:r>
        <w:t xml:space="preserve">Ficha</w:t>
      </w:r>
    </w:p>
    <w:p>
      <w:pPr>
        <w:numPr>
          <w:ilvl w:val="0"/>
          <w:numId w:val="1090"/>
        </w:numPr>
        <w:pStyle w:val="Compact"/>
      </w:pPr>
      <w:r>
        <w:rPr>
          <w:bCs/>
          <w:b/>
        </w:rPr>
        <w:t xml:space="preserve">Tipo/estructura:</w:t>
      </w:r>
      <w:r>
        <w:t xml:space="preserve"> </w:t>
      </w:r>
      <w:r>
        <w:t xml:space="preserve">un llamado conjugado anticuerpo-péptido. Un anticuerpo monoclonal totalmente humano está unido mediante cortos conectores de aminoácidos a dos péptidos similares al GLP-1. En sentido estricto, MariTide no es, por tanto, un péptido puro, sino un híbrido de anticuerpo y péptido. Código de desarrollo AMG 133, nombre abreviado MariTide.</w:t>
      </w:r>
    </w:p>
    <w:p>
      <w:pPr>
        <w:numPr>
          <w:ilvl w:val="0"/>
          <w:numId w:val="1090"/>
        </w:numPr>
        <w:pStyle w:val="Compact"/>
      </w:pPr>
      <w:r>
        <w:rPr>
          <w:bCs/>
          <w:b/>
        </w:rPr>
        <w:t xml:space="preserve">Origen:</w:t>
      </w:r>
      <w:r>
        <w:t xml:space="preserve"> </w:t>
      </w:r>
      <w:r>
        <w:t xml:space="preserve">desarrollado por Amgen.</w:t>
      </w:r>
    </w:p>
    <w:p>
      <w:pPr>
        <w:numPr>
          <w:ilvl w:val="0"/>
          <w:numId w:val="1090"/>
        </w:numPr>
        <w:pStyle w:val="Compact"/>
      </w:pPr>
      <w:r>
        <w:rPr>
          <w:bCs/>
          <w:b/>
        </w:rPr>
        <w:t xml:space="preserve">Mecanismo de acción:</w:t>
      </w:r>
      <w:r>
        <w:t xml:space="preserve"> </w:t>
      </w:r>
      <w:r>
        <w:t xml:space="preserve">el componente GLP-1</w:t>
      </w:r>
      <w:r>
        <w:t xml:space="preserve"> </w:t>
      </w:r>
      <w:r>
        <w:rPr>
          <w:bCs/>
          <w:b/>
        </w:rPr>
        <w:t xml:space="preserve">activa</w:t>
      </w:r>
      <w:r>
        <w:t xml:space="preserve"> </w:t>
      </w:r>
      <w:r>
        <w:t xml:space="preserve">el receptor de GLP-1, y el anticuerpo</w:t>
      </w:r>
      <w:r>
        <w:t xml:space="preserve"> </w:t>
      </w:r>
      <w:r>
        <w:rPr>
          <w:bCs/>
          <w:b/>
        </w:rPr>
        <w:t xml:space="preserve">bloquea</w:t>
      </w:r>
      <w:r>
        <w:t xml:space="preserve"> </w:t>
      </w:r>
      <w:r>
        <w:t xml:space="preserve">el receptor de GIP (antagonista de GIPR). Es lo contrario de la tirzepatida, que activa el receptor de GIP.</w:t>
      </w:r>
    </w:p>
    <w:p>
      <w:pPr>
        <w:numPr>
          <w:ilvl w:val="0"/>
          <w:numId w:val="1090"/>
        </w:numPr>
        <w:pStyle w:val="Compact"/>
      </w:pPr>
      <w:r>
        <w:rPr>
          <w:bCs/>
          <w:b/>
        </w:rPr>
        <w:t xml:space="preserve">Particularidad:</w:t>
      </w:r>
      <w:r>
        <w:t xml:space="preserve"> </w:t>
      </w:r>
      <w:r>
        <w:t xml:space="preserve">gracias al componente de anticuerpo, MariTide actúa durante mucho tiempo; se está estudiando una administración cada cuatro semanas o con menor frecuencia.</w:t>
      </w:r>
    </w:p>
    <w:p>
      <w:pPr>
        <w:numPr>
          <w:ilvl w:val="0"/>
          <w:numId w:val="1090"/>
        </w:numPr>
        <w:pStyle w:val="Compact"/>
      </w:pPr>
      <w:r>
        <w:rPr>
          <w:bCs/>
          <w:b/>
        </w:rPr>
        <w:t xml:space="preserve">Autorización UE / EE. UU.:</w:t>
      </w:r>
      <w:r>
        <w:t xml:space="preserve"> </w:t>
      </w:r>
      <w:r>
        <w:t xml:space="preserve">no (a octubre de 2026).</w:t>
      </w:r>
    </w:p>
    <w:p>
      <w:pPr>
        <w:numPr>
          <w:ilvl w:val="0"/>
          <w:numId w:val="1090"/>
        </w:numPr>
        <w:pStyle w:val="Compact"/>
      </w:pPr>
      <w:r>
        <w:rPr>
          <w:bCs/>
          <w:b/>
        </w:rPr>
        <w:t xml:space="preserve">AMA (WADA):</w:t>
      </w:r>
      <w:r>
        <w:t xml:space="preserve"> </w:t>
      </w:r>
      <w:r>
        <w:t xml:space="preserve">prohibido como sustancia no aprobada en la clase S0.</w:t>
      </w:r>
    </w:p>
    <w:p>
      <w:pPr>
        <w:numPr>
          <w:ilvl w:val="0"/>
          <w:numId w:val="1090"/>
        </w:numPr>
        <w:pStyle w:val="Compact"/>
      </w:pPr>
      <w:r>
        <w:rPr>
          <w:bCs/>
          <w:b/>
        </w:rPr>
        <w:t xml:space="preserve">Nivel de evidencia:</w:t>
      </w:r>
      <w:r>
        <w:t xml:space="preserve"> </w:t>
      </w:r>
      <w:r>
        <w:rPr>
          <w:bCs/>
          <w:b/>
        </w:rPr>
        <w:t xml:space="preserve">B</w:t>
      </w:r>
      <w:r>
        <w:t xml:space="preserve"> </w:t>
      </w:r>
      <w:r>
        <w:t xml:space="preserve">– un gran estudio aleatorizado de fase 2; la fase 3 está en curso.</w:t>
      </w:r>
    </w:p>
    <w:bookmarkEnd w:id="729"/>
    <w:bookmarkStart w:id="733" w:name="cómo-se-supone-que-actúa-10"/>
    <w:p>
      <w:pPr>
        <w:pStyle w:val="Heading3"/>
      </w:pPr>
      <w:r>
        <w:t xml:space="preserve">Cómo se supone que actúa</w:t>
      </w:r>
    </w:p>
    <w:p>
      <w:pPr>
        <w:pStyle w:val="FirstParagraph"/>
      </w:pPr>
      <w:r>
        <w:t xml:space="preserve">Con el GIP existe una paradoja notable. La tirzepatida</w:t>
      </w:r>
      <w:r>
        <w:t xml:space="preserve"> </w:t>
      </w:r>
      <w:r>
        <w:rPr>
          <w:iCs/>
          <w:i/>
        </w:rPr>
        <w:t xml:space="preserve">activa</w:t>
      </w:r>
      <w:r>
        <w:t xml:space="preserve"> </w:t>
      </w:r>
      <w:r>
        <w:t xml:space="preserve">el receptor de GIP y, junto con el GLP-1, logra así una gran pérdida de peso. Al mismo tiempo, estudios genéticos y experimentos en ratones han mostrado que también</w:t>
      </w:r>
      <w:r>
        <w:t xml:space="preserve"> </w:t>
      </w:r>
      <w:r>
        <w:rPr>
          <w:iCs/>
          <w:i/>
        </w:rPr>
        <w:t xml:space="preserve">bloquear</w:t>
      </w:r>
      <w:r>
        <w:t xml:space="preserve"> </w:t>
      </w:r>
      <w:r>
        <w:t xml:space="preserve">el receptor de GIP puede proteger frente al sobrepeso. Una posible explicación: una activación continuada del receptor hace que la célula lo desactive, de modo que, en la práctica, se asemeja a un bloqueo. Esto no está definitivamente aclarado; un estudio comparativo en ratones encontró que ambos enfoques redujeron la ingesta de alimentos y el peso en el sobrepeso, pero se diferenciaban en sus efectos metabólicos: el agonista de GIP mejoró la tolerancia a la glucosa, mientras que el antagonista tendió más bien a reducir la sensibilidad a la insulina</w:t>
      </w:r>
      <w:r>
        <w:rPr>
          <w:rStyle w:val="FootnoteReference"/>
        </w:rPr>
        <w:footnoteReference w:id="730"/>
      </w:r>
      <w:r>
        <w:t xml:space="preserve">.</w:t>
      </w:r>
    </w:p>
    <w:p>
      <w:pPr>
        <w:pStyle w:val="BodyText"/>
      </w:pPr>
      <w:r>
        <w:t xml:space="preserve">Amgen apuesta por el bloqueo. El anticuerpo contra el receptor de GIP hace al mismo tiempo que la molécula permanezca mucho tiempo en la sangre, ya que los anticuerpos se degradan lentamente. En ratones y monos con sobrepeso, AMG 133 redujo el peso corporal y mejoró los valores metabólicos</w:t>
      </w:r>
      <w:r>
        <w:rPr>
          <w:rStyle w:val="FootnoteReference"/>
        </w:rPr>
        <w:footnoteReference w:id="731"/>
      </w:r>
      <w:r>
        <w:t xml:space="preserve">. El desarrollo químico hasta la molécula final se describió en 2026</w:t>
      </w:r>
      <w:r>
        <w:rPr>
          <w:rStyle w:val="FootnoteReference"/>
        </w:rPr>
        <w:footnoteReference w:id="732"/>
      </w:r>
      <w:r>
        <w:t xml:space="preserve">.</w:t>
      </w:r>
    </w:p>
    <w:bookmarkEnd w:id="733"/>
    <w:bookmarkStart w:id="738" w:name="estudios-en-humanos-10"/>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2 estudios en humanos: uno de fase 1 y uno de fase 2. En ClinicalTrials.gov había 28 estudios registrados, entre ellos el programa de fase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1 (Véniant 2024), PMID 38316982</w:t>
            </w:r>
          </w:p>
        </w:tc>
        <w:tc>
          <w:tcPr/>
          <w:p>
            <w:pPr>
              <w:pStyle w:val="Compact"/>
              <w:jc w:val="left"/>
            </w:pPr>
            <w:r>
              <w:t xml:space="preserve">adultos con obesidad, dosis únicas y múltiples frente a placebo</w:t>
            </w:r>
          </w:p>
        </w:tc>
        <w:tc>
          <w:tcPr/>
          <w:p>
            <w:pPr>
              <w:pStyle w:val="Compact"/>
              <w:jc w:val="left"/>
            </w:pPr>
            <w:r>
              <w:t xml:space="preserve">administración única y múltiple con seguimiento</w:t>
            </w:r>
          </w:p>
        </w:tc>
        <w:tc>
          <w:tcPr/>
          <w:p>
            <w:pPr>
              <w:pStyle w:val="Compact"/>
              <w:jc w:val="left"/>
            </w:pPr>
            <w:r>
              <w:t xml:space="preserve">pérdida de peso dependiente de la dosis, mantenida hasta 150 días después de la última dosis</w:t>
            </w:r>
          </w:p>
        </w:tc>
      </w:tr>
      <w:tr>
        <w:tc>
          <w:tcPr/>
          <w:p>
            <w:pPr>
              <w:pStyle w:val="Compact"/>
              <w:jc w:val="left"/>
            </w:pPr>
            <w:r>
              <w:t xml:space="preserve">Fase 2 (Jastreboff 2025), PMID 40549887</w:t>
            </w:r>
          </w:p>
        </w:tc>
        <w:tc>
          <w:tcPr/>
          <w:p>
            <w:pPr>
              <w:pStyle w:val="Compact"/>
              <w:jc w:val="left"/>
            </w:pPr>
            <w:r>
              <w:t xml:space="preserve">592 adultos con obesidad, con o sin diabetes tipo 2; frente a placebo</w:t>
            </w:r>
          </w:p>
        </w:tc>
        <w:tc>
          <w:tcPr/>
          <w:p>
            <w:pPr>
              <w:pStyle w:val="Compact"/>
              <w:jc w:val="left"/>
            </w:pPr>
            <w:r>
              <w:t xml:space="preserve">52 semanas</w:t>
            </w:r>
          </w:p>
        </w:tc>
        <w:tc>
          <w:tcPr/>
          <w:p>
            <w:pPr>
              <w:pStyle w:val="Compact"/>
              <w:jc w:val="left"/>
            </w:pPr>
            <w:r>
              <w:t xml:space="preserve">sin diabetes −12,3 a −16,2 % frente a −2,5 %; con diabetes −8,4 a −12,3 % frente a −1,7 %</w:t>
            </w:r>
          </w:p>
        </w:tc>
      </w:tr>
    </w:tbl>
    <w:bookmarkStart w:id="735" w:name="fase-1"/>
    <w:p>
      <w:pPr>
        <w:pStyle w:val="Heading4"/>
      </w:pPr>
      <w:r>
        <w:t xml:space="preserve">Fase 1</w:t>
      </w:r>
    </w:p>
    <w:p>
      <w:pPr>
        <w:pStyle w:val="FirstParagraph"/>
      </w:pPr>
      <w:r>
        <w:t xml:space="preserve">En el primer estudio en humanos</w:t>
      </w:r>
      <w:r>
        <w:rPr>
          <w:rStyle w:val="FootnoteReference"/>
        </w:rPr>
        <w:footnoteReference w:id="734"/>
      </w:r>
      <w:r>
        <w:t xml:space="preserve">, AMG 133 mostró una pérdida de peso dependiente de la dosis con una tolerabilidad aceptable. Llamó la atención la larga duración del efecto: en los grupos con administración múltiple, la pérdida de peso se mantuvo hasta 150 días después de la última dosis.</w:t>
      </w:r>
    </w:p>
    <w:bookmarkEnd w:id="735"/>
    <w:bookmarkStart w:id="737" w:name="fase-2"/>
    <w:p>
      <w:pPr>
        <w:pStyle w:val="Heading4"/>
      </w:pPr>
      <w:r>
        <w:t xml:space="preserve">Fase 2</w:t>
      </w:r>
    </w:p>
    <w:p>
      <w:pPr>
        <w:pStyle w:val="FirstParagraph"/>
      </w:pPr>
      <w:r>
        <w:t xml:space="preserve">El estudio de fase 2</w:t>
      </w:r>
      <w:r>
        <w:rPr>
          <w:rStyle w:val="FootnoteReference"/>
        </w:rPr>
        <w:footnoteReference w:id="736"/>
      </w:r>
      <w:r>
        <w:t xml:space="preserve"> </w:t>
      </w:r>
      <w:r>
        <w:t xml:space="preserve">tuvo un planteamiento amplio: once grupos en dos cohortes con distintas dosis, intervalos de administración (cada cuatro u ocho semanas) y con o sin escalado lento de la dosis.</w:t>
      </w:r>
    </w:p>
    <w:p>
      <w:pPr>
        <w:numPr>
          <w:ilvl w:val="0"/>
          <w:numId w:val="1091"/>
        </w:numPr>
        <w:pStyle w:val="Compact"/>
      </w:pPr>
      <w:r>
        <w:rPr>
          <w:bCs/>
          <w:b/>
        </w:rPr>
        <w:t xml:space="preserve">Sin diabetes</w:t>
      </w:r>
      <w:r>
        <w:t xml:space="preserve"> </w:t>
      </w:r>
      <w:r>
        <w:t xml:space="preserve">(465 participantes, IMC medio de 37,9): a las 52 semanas, la pérdida de peso fue, según el grupo, del 12,3 al 16,2 %, y con placebo del 2,5 %. Este análisis tiene en cuenta a todos los participantes, independientemente de los abandonos del tratamiento.</w:t>
      </w:r>
    </w:p>
    <w:p>
      <w:pPr>
        <w:numPr>
          <w:ilvl w:val="0"/>
          <w:numId w:val="1091"/>
        </w:numPr>
        <w:pStyle w:val="Compact"/>
      </w:pPr>
      <w:r>
        <w:rPr>
          <w:bCs/>
          <w:b/>
        </w:rPr>
        <w:t xml:space="preserve">Con diabetes tipo 2</w:t>
      </w:r>
      <w:r>
        <w:t xml:space="preserve"> </w:t>
      </w:r>
      <w:r>
        <w:t xml:space="preserve">(127 participantes): pérdida de peso del 8,4 al 12,3 % frente al 1,7 %; la HbA1c disminuyó entre 1,2 y 1,6 puntos porcentuales (placebo +0,1).</w:t>
      </w:r>
    </w:p>
    <w:p>
      <w:pPr>
        <w:pStyle w:val="FirstParagraph"/>
      </w:pPr>
      <w:r>
        <w:t xml:space="preserve">Los efectos secundarios gastrointestinales fueron frecuentes, pero menos cuando se empezaba con una dosis más baja y se aumentaba lentamente. Según los autores, no aparecieron señales de seguridad inesperadas. Una pérdida de peso de alrededor del 16 % al cabo de un año está en el rango de la semaglutida, pero por debajo de la tirzepatida. Por ello, la posible ventaja de MariTide no es tanto la magnitud de la pérdida como la administración poco frecuente.</w:t>
      </w:r>
    </w:p>
    <w:bookmarkEnd w:id="737"/>
    <w:bookmarkEnd w:id="738"/>
    <w:bookmarkStart w:id="741" w:name="estudios-en-animales-y-de-laboratorio-10"/>
    <w:p>
      <w:pPr>
        <w:pStyle w:val="Heading3"/>
      </w:pPr>
      <w:r>
        <w:t xml:space="preserve">Estudios en animales y de laboratorio</w:t>
      </w:r>
    </w:p>
    <w:p>
      <w:pPr>
        <w:pStyle w:val="FirstParagraph"/>
      </w:pPr>
      <w:r>
        <w:t xml:space="preserve">En sistemas celulares se confirmó que AMG 133 bloquea el receptor de GIP y activa el receptor de GLP-1. En ratones y macacos cangrejeros con sobrepeso redujo el peso corporal y mejoró los marcadores metabólicos</w:t>
      </w:r>
      <w:r>
        <w:rPr>
          <w:rStyle w:val="FootnoteReference"/>
        </w:rPr>
        <w:footnoteReference w:id="739"/>
      </w:r>
      <w:r>
        <w:t xml:space="preserve">. Estudios comparativos en ratones sobre el bloqueo frente a la activación del GIP muestran efectos diferentes sobre la sensibilidad a la insulina y el tejido adiposo</w:t>
      </w:r>
      <w:r>
        <w:rPr>
          <w:rStyle w:val="FootnoteReference"/>
        </w:rPr>
        <w:footnoteReference w:id="740"/>
      </w:r>
      <w:r>
        <w:t xml:space="preserve">. Todos estos hallazgos proceden de experimentos con animales.</w:t>
      </w:r>
    </w:p>
    <w:bookmarkEnd w:id="741"/>
    <w:bookmarkStart w:id="745" w:name="riesgos-y-efectos-adversos-10"/>
    <w:p>
      <w:pPr>
        <w:pStyle w:val="Heading3"/>
      </w:pPr>
      <w:r>
        <w:t xml:space="preserve">Riesgos y efectos adversos</w:t>
      </w:r>
    </w:p>
    <w:p>
      <w:pPr>
        <w:pStyle w:val="FirstParagraph"/>
      </w:pPr>
      <w:r>
        <w:rPr>
          <w:bCs/>
          <w:b/>
        </w:rPr>
        <w:t xml:space="preserve">Demostrado en estudios:</w:t>
      </w:r>
    </w:p>
    <w:p>
      <w:pPr>
        <w:numPr>
          <w:ilvl w:val="0"/>
          <w:numId w:val="1092"/>
        </w:numPr>
        <w:pStyle w:val="Compact"/>
      </w:pPr>
      <w:r>
        <w:t xml:space="preserve">Las</w:t>
      </w:r>
      <w:r>
        <w:t xml:space="preserve"> </w:t>
      </w:r>
      <w:r>
        <w:rPr>
          <w:bCs/>
          <w:b/>
        </w:rPr>
        <w:t xml:space="preserve">molestias gastrointestinales</w:t>
      </w:r>
      <w:r>
        <w:t xml:space="preserve"> </w:t>
      </w:r>
      <w:r>
        <w:t xml:space="preserve">(náuseas, vómitos) fueron frecuentes en el estudio de fase 2, sobre todo con una dosis inicial alta sin escalado</w:t>
      </w:r>
      <w:r>
        <w:rPr>
          <w:rStyle w:val="FootnoteReference"/>
        </w:rPr>
        <w:footnoteReference w:id="742"/>
      </w:r>
      <w:r>
        <w:t xml:space="preserve">. El resumen no incluye porcentajes exactos.</w:t>
      </w:r>
    </w:p>
    <w:p>
      <w:pPr>
        <w:pStyle w:val="FirstParagraph"/>
      </w:pPr>
      <w:r>
        <w:rPr>
          <w:bCs/>
          <w:b/>
        </w:rPr>
        <w:t xml:space="preserve">Cuestiones específicas aún abiertas:</w:t>
      </w:r>
    </w:p>
    <w:p>
      <w:pPr>
        <w:numPr>
          <w:ilvl w:val="0"/>
          <w:numId w:val="1093"/>
        </w:numPr>
        <w:pStyle w:val="Compact"/>
      </w:pPr>
      <w:r>
        <w:rPr>
          <w:bCs/>
          <w:b/>
        </w:rPr>
        <w:t xml:space="preserve">Larga duración del efecto:</w:t>
      </w:r>
      <w:r>
        <w:t xml:space="preserve"> </w:t>
      </w:r>
      <w:r>
        <w:t xml:space="preserve">lo que para muchos pacientes se considera una ventaja es un inconveniente en caso de efectos secundarios: un medicamento que permanece meses en el organismo no puede retirarse rápidamente. En el estudio de fase 1, el efecto se mantuvo hasta 150 días después de la última dosis</w:t>
      </w:r>
      <w:r>
        <w:rPr>
          <w:rStyle w:val="FootnoteReference"/>
        </w:rPr>
        <w:footnoteReference w:id="743"/>
      </w:r>
      <w:r>
        <w:t xml:space="preserve">. Esto es relevante, por ejemplo, en un embarazo no planificado o antes de una operación.</w:t>
      </w:r>
    </w:p>
    <w:p>
      <w:pPr>
        <w:numPr>
          <w:ilvl w:val="0"/>
          <w:numId w:val="1093"/>
        </w:numPr>
        <w:pStyle w:val="Compact"/>
      </w:pPr>
      <w:r>
        <w:rPr>
          <w:bCs/>
          <w:b/>
        </w:rPr>
        <w:t xml:space="preserve">Bloqueo del GIP:</w:t>
      </w:r>
      <w:r>
        <w:t xml:space="preserve"> </w:t>
      </w:r>
      <w:r>
        <w:t xml:space="preserve">se desconoce en el ser humano qué consecuencias a largo plazo tiene un bloqueo permanente del receptor de GIP, por ejemplo sobre los huesos, el tejido adiposo o la sensibilidad a la insulina. En estudios en ratones, un antagonista de GIP redujo la sensibilidad a la insulina en comparación con animales de control con la misma cantidad de alimento</w:t>
      </w:r>
      <w:r>
        <w:rPr>
          <w:rStyle w:val="FootnoteReference"/>
        </w:rPr>
        <w:footnoteReference w:id="744"/>
      </w:r>
      <w:r>
        <w:t xml:space="preserve">.</w:t>
      </w:r>
    </w:p>
    <w:p>
      <w:pPr>
        <w:numPr>
          <w:ilvl w:val="0"/>
          <w:numId w:val="1093"/>
        </w:numPr>
        <w:pStyle w:val="Compact"/>
      </w:pPr>
      <w:r>
        <w:rPr>
          <w:bCs/>
          <w:b/>
        </w:rPr>
        <w:t xml:space="preserve">Formación de anticuerpos:</w:t>
      </w:r>
      <w:r>
        <w:t xml:space="preserve"> </w:t>
      </w:r>
      <w:r>
        <w:t xml:space="preserve">con los medicamentos basados en anticuerpos, el sistema inmunitario puede formar anticuerpos contra el medicamento. Aún faltan datos al respecto procedentes de grandes estudios.</w:t>
      </w:r>
    </w:p>
    <w:p>
      <w:pPr>
        <w:numPr>
          <w:ilvl w:val="0"/>
          <w:numId w:val="1093"/>
        </w:numPr>
        <w:pStyle w:val="Compact"/>
      </w:pPr>
      <w:r>
        <w:t xml:space="preserve">Los riesgos de clase conocidos de los fármacos GLP-1 (vesícula biliar, páncreas) todavía no se han estudiado suficientemente para MariTide.</w:t>
      </w:r>
    </w:p>
    <w:bookmarkEnd w:id="745"/>
    <w:bookmarkStart w:id="746" w:name="situación-legal-10"/>
    <w:p>
      <w:pPr>
        <w:pStyle w:val="Heading3"/>
      </w:pPr>
      <w:r>
        <w:t xml:space="preserve">Situación legal</w:t>
      </w:r>
    </w:p>
    <w:p>
      <w:pPr>
        <w:numPr>
          <w:ilvl w:val="0"/>
          <w:numId w:val="1094"/>
        </w:numPr>
        <w:pStyle w:val="Compact"/>
      </w:pPr>
      <w:r>
        <w:rPr>
          <w:bCs/>
          <w:b/>
        </w:rPr>
        <w:t xml:space="preserve">UE / Austria / Alemania:</w:t>
      </w:r>
      <w:r>
        <w:t xml:space="preserve"> </w:t>
      </w:r>
      <w:r>
        <w:t xml:space="preserve">no autorizado; uso solo en ensayos clínicos. Al tratarse de un producto biotecnológico complejo, su imitación en el mercado gris es bastante más difícil que la de los péptidos pequeños.</w:t>
      </w:r>
    </w:p>
    <w:p>
      <w:pPr>
        <w:numPr>
          <w:ilvl w:val="0"/>
          <w:numId w:val="1094"/>
        </w:numPr>
        <w:pStyle w:val="Compact"/>
      </w:pPr>
      <w:r>
        <w:rPr>
          <w:bCs/>
          <w:b/>
        </w:rPr>
        <w:t xml:space="preserve">EE. UU.:</w:t>
      </w:r>
      <w:r>
        <w:t xml:space="preserve"> </w:t>
      </w:r>
      <w:r>
        <w:t xml:space="preserve">no autorizado.</w:t>
      </w:r>
    </w:p>
    <w:p>
      <w:pPr>
        <w:numPr>
          <w:ilvl w:val="0"/>
          <w:numId w:val="1094"/>
        </w:numPr>
        <w:pStyle w:val="Compact"/>
      </w:pPr>
      <w:r>
        <w:rPr>
          <w:bCs/>
          <w:b/>
        </w:rPr>
        <w:t xml:space="preserve">Deporte:</w:t>
      </w:r>
      <w:r>
        <w:t xml:space="preserve"> </w:t>
      </w:r>
      <w:r>
        <w:t xml:space="preserve">clase S0 de la AMA (sustancia no aprobada), situación en 2026, compruébalo en su versión actual.</w:t>
      </w:r>
    </w:p>
    <w:bookmarkEnd w:id="746"/>
    <w:bookmarkStart w:id="758" w:name="estudios-en-curso-y-perspectivas-10"/>
    <w:p>
      <w:pPr>
        <w:pStyle w:val="Heading3"/>
      </w:pPr>
      <w:r>
        <w:t xml:space="preserve">Estudios en curso y perspectivas</w:t>
      </w:r>
    </w:p>
    <w:p>
      <w:pPr>
        <w:pStyle w:val="FirstParagraph"/>
      </w:pPr>
      <w:r>
        <w:rPr>
          <w:bCs/>
          <w:b/>
        </w:rPr>
        <w:t xml:space="preserve">Confirmado (estudios registrados, a octubre de 2026):</w:t>
      </w:r>
    </w:p>
    <w:p>
      <w:pPr>
        <w:numPr>
          <w:ilvl w:val="0"/>
          <w:numId w:val="1095"/>
        </w:numPr>
        <w:pStyle w:val="Compact"/>
      </w:pPr>
      <w:r>
        <w:rPr>
          <w:bCs/>
          <w:b/>
        </w:rPr>
        <w:t xml:space="preserve">Control del peso sin diabetes</w:t>
      </w:r>
      <w:r>
        <w:rPr>
          <w:rStyle w:val="FootnoteReference"/>
        </w:rPr>
        <w:footnoteReference w:id="747"/>
      </w:r>
      <w:r>
        <w:t xml:space="preserve">: fase 3 con 3853 participantes, finalización prevista en 2027.</w:t>
      </w:r>
    </w:p>
    <w:p>
      <w:pPr>
        <w:numPr>
          <w:ilvl w:val="0"/>
          <w:numId w:val="1095"/>
        </w:numPr>
        <w:pStyle w:val="Compact"/>
      </w:pPr>
      <w:r>
        <w:rPr>
          <w:bCs/>
          <w:b/>
        </w:rPr>
        <w:t xml:space="preserve">Control del peso con diabetes tipo 2</w:t>
      </w:r>
      <w:r>
        <w:rPr>
          <w:rStyle w:val="FootnoteReference"/>
        </w:rPr>
        <w:footnoteReference w:id="748"/>
      </w:r>
      <w:r>
        <w:t xml:space="preserve">: fase 3 con 1105 participantes.</w:t>
      </w:r>
    </w:p>
    <w:p>
      <w:pPr>
        <w:numPr>
          <w:ilvl w:val="0"/>
          <w:numId w:val="1095"/>
        </w:numPr>
        <w:pStyle w:val="Compact"/>
      </w:pPr>
      <w:r>
        <w:rPr>
          <w:bCs/>
          <w:b/>
        </w:rPr>
        <w:t xml:space="preserve">Estudio de criterios de valoración cardiovasculares</w:t>
      </w:r>
      <w:r>
        <w:rPr>
          <w:rStyle w:val="FootnoteReference"/>
        </w:rPr>
        <w:footnoteReference w:id="749"/>
      </w:r>
      <w:r>
        <w:t xml:space="preserve"> </w:t>
      </w:r>
      <w:r>
        <w:t xml:space="preserve">con 12.800 participantes y</w:t>
      </w:r>
      <w:r>
        <w:t xml:space="preserve"> </w:t>
      </w:r>
      <w:r>
        <w:rPr>
          <w:bCs/>
          <w:b/>
        </w:rPr>
        <w:t xml:space="preserve">estudio de insuficiencia cardíaca</w:t>
      </w:r>
      <w:r>
        <w:rPr>
          <w:rStyle w:val="FootnoteReference"/>
        </w:rPr>
        <w:footnoteReference w:id="750"/>
      </w:r>
      <w:r>
        <w:t xml:space="preserve"> </w:t>
      </w:r>
      <w:r>
        <w:t xml:space="preserve">con 5056 participantes, ambos hasta 2030.</w:t>
      </w:r>
    </w:p>
    <w:p>
      <w:pPr>
        <w:numPr>
          <w:ilvl w:val="0"/>
          <w:numId w:val="1095"/>
        </w:numPr>
        <w:pStyle w:val="Compact"/>
      </w:pPr>
      <w:r>
        <w:rPr>
          <w:bCs/>
          <w:b/>
        </w:rPr>
        <w:t xml:space="preserve">Apnea del sueño</w:t>
      </w:r>
      <w:r>
        <w:t xml:space="preserve"> </w:t>
      </w:r>
      <w:r>
        <w:t xml:space="preserve">sin y con mascarilla respiratoria</w:t>
      </w:r>
      <w:r>
        <w:rPr>
          <w:rStyle w:val="FootnoteReference"/>
        </w:rPr>
        <w:footnoteReference w:id="751"/>
      </w:r>
      <w:r>
        <w:t xml:space="preserve">.</w:t>
      </w:r>
    </w:p>
    <w:p>
      <w:pPr>
        <w:numPr>
          <w:ilvl w:val="0"/>
          <w:numId w:val="1095"/>
        </w:numPr>
        <w:pStyle w:val="Compact"/>
      </w:pPr>
      <w:r>
        <w:rPr>
          <w:bCs/>
          <w:b/>
        </w:rPr>
        <w:t xml:space="preserve">Comparación con semaglutida</w:t>
      </w:r>
      <w:r>
        <w:t xml:space="preserve"> </w:t>
      </w:r>
      <w:r>
        <w:t xml:space="preserve">en diabetes tipo 2</w:t>
      </w:r>
      <w:r>
        <w:rPr>
          <w:rStyle w:val="FootnoteReference"/>
        </w:rPr>
        <w:footnoteReference w:id="752"/>
      </w:r>
      <w:r>
        <w:t xml:space="preserve">, cambio desde otros fármacos GLP-1</w:t>
      </w:r>
      <w:r>
        <w:rPr>
          <w:rStyle w:val="FootnoteReference"/>
        </w:rPr>
        <w:footnoteReference w:id="753"/>
      </w:r>
      <w:r>
        <w:t xml:space="preserve">, Japón</w:t>
      </w:r>
      <w:r>
        <w:rPr>
          <w:rStyle w:val="FootnoteReference"/>
        </w:rPr>
        <w:footnoteReference w:id="754"/>
      </w:r>
      <w:r>
        <w:t xml:space="preserve">, hígado graso (NCT07441252, fase 2).</w:t>
      </w:r>
    </w:p>
    <w:p>
      <w:pPr>
        <w:numPr>
          <w:ilvl w:val="0"/>
          <w:numId w:val="1095"/>
        </w:numPr>
        <w:pStyle w:val="Compact"/>
      </w:pPr>
      <w:r>
        <w:t xml:space="preserve">Estudios de fase 1 sobre vaciamiento gástrico</w:t>
      </w:r>
      <w:r>
        <w:rPr>
          <w:rStyle w:val="FootnoteReference"/>
        </w:rPr>
        <w:footnoteReference w:id="755"/>
      </w:r>
      <w:r>
        <w:t xml:space="preserve">, ritmo cardíaco</w:t>
      </w:r>
      <w:r>
        <w:rPr>
          <w:rStyle w:val="FootnoteReference"/>
        </w:rPr>
        <w:footnoteReference w:id="756"/>
      </w:r>
      <w:r>
        <w:t xml:space="preserve"> </w:t>
      </w:r>
      <w:r>
        <w:t xml:space="preserve">e interacciones con la píldora anticonceptiva</w:t>
      </w:r>
      <w:r>
        <w:rPr>
          <w:rStyle w:val="FootnoteReference"/>
        </w:rPr>
        <w:footnoteReference w:id="757"/>
      </w:r>
      <w:r>
        <w:t xml:space="preserve">.</w:t>
      </w:r>
    </w:p>
    <w:p>
      <w:pPr>
        <w:pStyle w:val="FirstParagraph"/>
      </w:pPr>
      <w:r>
        <w:rPr>
          <w:bCs/>
          <w:b/>
        </w:rPr>
        <w:t xml:space="preserve">Valoración:</w:t>
      </w:r>
      <w:r>
        <w:t xml:space="preserve"> </w:t>
      </w:r>
      <w:r>
        <w:t xml:space="preserve">MariTide representa un concepto distinto al de la familia de la tirzepatida: menos inyecciones en lugar de la máxima pérdida de peso. Para las personas que necesitan un tratamiento continuado, una administración mensual o aún menos frecuente podría mejorar la adherencia terapéutica. Los grandes estudios de fase 3 deberán mostrar si el concepto del bloqueo del GIP es seguro a largo plazo. Una autorización es realista como muy pronto a partir de 2028.</w:t>
      </w:r>
    </w:p>
    <w:bookmarkEnd w:id="758"/>
    <w:bookmarkStart w:id="759" w:name="conclusión-10"/>
    <w:p>
      <w:pPr>
        <w:pStyle w:val="Heading3"/>
      </w:pPr>
      <w:r>
        <w:t xml:space="preserve">Conclusión</w:t>
      </w:r>
    </w:p>
    <w:p>
      <w:pPr>
        <w:pStyle w:val="FirstParagraph"/>
      </w:pPr>
      <w:r>
        <w:t xml:space="preserve">La maridebart cafraglutida es un conjugado anticuerpo-péptido que activa el receptor de GLP-1 y bloquea el receptor de GIP, y se administra solo una vez al mes o con menor frecuencia. En el estudio de fase 2, el peso corporal disminuyó a las 52 semanas hasta un 16,2 % sin diabetes tipo 2 y hasta un 12,3 % con ella. Las molestias gastrointestinales son frecuentes y dependen mucho del escalado de dosis; la larga duración del efecto es a la vez ventaja y riesgo. Está en curso el programa de fase 3, con estudios de criterios de valoración sobre enfermedades cardiovasculares e insuficiencia cardíaca.</w:t>
      </w:r>
    </w:p>
    <w:bookmarkEnd w:id="759"/>
    <w:bookmarkEnd w:id="760"/>
    <w:bookmarkStart w:id="793" w:name="pramlintida"/>
    <w:p>
      <w:pPr>
        <w:pStyle w:val="Heading2"/>
      </w:pPr>
      <w:r>
        <w:t xml:space="preserve">Pramlintida</w:t>
      </w:r>
    </w:p>
    <w:bookmarkStart w:id="761" w:name="ficha-11"/>
    <w:p>
      <w:pPr>
        <w:pStyle w:val="Heading3"/>
      </w:pPr>
      <w:r>
        <w:t xml:space="preserve">Ficha</w:t>
      </w:r>
    </w:p>
    <w:p>
      <w:pPr>
        <w:numPr>
          <w:ilvl w:val="0"/>
          <w:numId w:val="1096"/>
        </w:numPr>
        <w:pStyle w:val="Compact"/>
      </w:pPr>
      <w:r>
        <w:rPr>
          <w:bCs/>
          <w:b/>
        </w:rPr>
        <w:t xml:space="preserve">Tipo/estructura:</w:t>
      </w:r>
      <w:r>
        <w:t xml:space="preserve"> </w:t>
      </w:r>
      <w:r>
        <w:t xml:space="preserve">análogo sintético de la hormona humana amilina, de 37 aminoácidos. En tres posiciones se sustituyeron aminoácidos (siguiendo el modelo de la amilina de rata) para que la molécula no se agregue como la amilina humana natural. Actúa durante poco tiempo y se inyecta antes de las comidas principales.</w:t>
      </w:r>
    </w:p>
    <w:p>
      <w:pPr>
        <w:numPr>
          <w:ilvl w:val="0"/>
          <w:numId w:val="1096"/>
        </w:numPr>
        <w:pStyle w:val="Compact"/>
      </w:pPr>
      <w:r>
        <w:rPr>
          <w:bCs/>
          <w:b/>
        </w:rPr>
        <w:t xml:space="preserve">Origen:</w:t>
      </w:r>
      <w:r>
        <w:t xml:space="preserve"> </w:t>
      </w:r>
      <w:r>
        <w:t xml:space="preserve">desarrollada por Amylin Pharmaceuticals; hoy forma parte de la cartera de AstraZeneca. Nombre comercial en EE. UU.: Symlin.</w:t>
      </w:r>
    </w:p>
    <w:p>
      <w:pPr>
        <w:numPr>
          <w:ilvl w:val="0"/>
          <w:numId w:val="1096"/>
        </w:numPr>
        <w:pStyle w:val="Compact"/>
      </w:pPr>
      <w:r>
        <w:rPr>
          <w:bCs/>
          <w:b/>
        </w:rPr>
        <w:t xml:space="preserve">Mecanismo de acción:</w:t>
      </w:r>
      <w:r>
        <w:t xml:space="preserve"> </w:t>
      </w:r>
      <w:r>
        <w:t xml:space="preserve">agonista de los receptores de amilina; ralentiza el vaciamiento gástrico, atenúa la liberación de glucagón después de comer y favorece la sensación de saciedad.</w:t>
      </w:r>
    </w:p>
    <w:p>
      <w:pPr>
        <w:numPr>
          <w:ilvl w:val="0"/>
          <w:numId w:val="1096"/>
        </w:numPr>
        <w:pStyle w:val="Compact"/>
      </w:pPr>
      <w:r>
        <w:rPr>
          <w:bCs/>
          <w:b/>
        </w:rPr>
        <w:t xml:space="preserve">Autorización UE:</w:t>
      </w:r>
      <w:r>
        <w:t xml:space="preserve"> </w:t>
      </w:r>
      <w:r>
        <w:t xml:space="preserve">no; la pramlintida nunca se ha autorizado en la UE.</w:t>
      </w:r>
    </w:p>
    <w:p>
      <w:pPr>
        <w:numPr>
          <w:ilvl w:val="0"/>
          <w:numId w:val="1096"/>
        </w:numPr>
        <w:pStyle w:val="Compact"/>
      </w:pPr>
      <w:r>
        <w:rPr>
          <w:bCs/>
          <w:b/>
        </w:rPr>
        <w:t xml:space="preserve">Autorización EE. UU.:</w:t>
      </w:r>
      <w:r>
        <w:t xml:space="preserve"> </w:t>
      </w:r>
      <w:r>
        <w:t xml:space="preserve">sí, desde 2005, como complemento de la insulina prandial en la diabetes tipo 1 y tipo 2.</w:t>
      </w:r>
    </w:p>
    <w:p>
      <w:pPr>
        <w:numPr>
          <w:ilvl w:val="0"/>
          <w:numId w:val="1096"/>
        </w:numPr>
        <w:pStyle w:val="Compact"/>
      </w:pPr>
      <w:r>
        <w:rPr>
          <w:bCs/>
          <w:b/>
        </w:rPr>
        <w:t xml:space="preserve">AMA (WADA):</w:t>
      </w:r>
      <w:r>
        <w:t xml:space="preserve"> </w:t>
      </w:r>
      <w:r>
        <w:t xml:space="preserve">no figura por su nombre; debido a la autorización en EE. UU., no entra en la clase S0.</w:t>
      </w:r>
    </w:p>
    <w:p>
      <w:pPr>
        <w:numPr>
          <w:ilvl w:val="0"/>
          <w:numId w:val="1096"/>
        </w:numPr>
        <w:pStyle w:val="Compact"/>
      </w:pPr>
      <w:r>
        <w:rPr>
          <w:bCs/>
          <w:b/>
        </w:rPr>
        <w:t xml:space="preserve">Nivel de evidencia:</w:t>
      </w:r>
      <w:r>
        <w:t xml:space="preserve"> </w:t>
      </w:r>
      <w:r>
        <w:rPr>
          <w:bCs/>
          <w:b/>
        </w:rPr>
        <w:t xml:space="preserve">A</w:t>
      </w:r>
      <w:r>
        <w:t xml:space="preserve"> </w:t>
      </w:r>
      <w:r>
        <w:t xml:space="preserve">– varios grandes estudios aleatorizados, autorización en EE. UU.</w:t>
      </w:r>
    </w:p>
    <w:bookmarkEnd w:id="761"/>
    <w:bookmarkStart w:id="763" w:name="cómo-se-supone-que-actúa-11"/>
    <w:p>
      <w:pPr>
        <w:pStyle w:val="Heading3"/>
      </w:pPr>
      <w:r>
        <w:t xml:space="preserve">Cómo se supone que actúa</w:t>
      </w:r>
    </w:p>
    <w:p>
      <w:pPr>
        <w:pStyle w:val="FirstParagraph"/>
      </w:pPr>
      <w:r>
        <w:t xml:space="preserve">Las células beta del páncreas no solo liberan insulina, sino también, al mismo ritmo, amilina. En la diabetes tipo 1, las células beta están destruidas, por lo que faltan ambas hormonas, aunque por lo general solo se sustituye la insulina. También en la diabetes tipo 2 avanzada la liberación de amilina está reducida.</w:t>
      </w:r>
    </w:p>
    <w:p>
      <w:pPr>
        <w:pStyle w:val="BodyText"/>
      </w:pPr>
      <w:r>
        <w:t xml:space="preserve">Después de comer, la amilina actúa en tres direcciones: ralentiza el vaciamiento gástrico, de modo que el azúcar llega más despacio a la sangre; atenúa la liberación de glucagón, que en la diabetes suele ser inadecuadamente alta tras las comidas; y favorece la sensación de saciedad a través del tronco encefálico. La pramlintida debía sustituir este efecto ausente y suavizar así los picos de glucemia después de comer. Que retrasa el vaciamiento gástrico se demostró, entre otros, en un pequeño estudio con doce personas con diabetes tipo 1 y tipo 2: el tiempo hasta que la mitad de una comida sólida había salido del estómago se prolongó de 91 a 268–329 minutos</w:t>
      </w:r>
      <w:r>
        <w:rPr>
          <w:rStyle w:val="FootnoteReference"/>
        </w:rPr>
        <w:footnoteReference w:id="762"/>
      </w:r>
      <w:r>
        <w:t xml:space="preserve">.</w:t>
      </w:r>
    </w:p>
    <w:p>
      <w:pPr>
        <w:pStyle w:val="BodyText"/>
      </w:pPr>
      <w:r>
        <w:t xml:space="preserve">La pramlintida tiene importancia histórica: fue el primer medicamento basado en la amilina y se considera precursora de los actuales principios activos de amilina de acción prolongada, como la cagrilintida y la amicretina (véanse sus capítulos). Su gran inconveniente práctico es la corta duración del efecto, que exige varias inyecciones al día.</w:t>
      </w:r>
    </w:p>
    <w:bookmarkEnd w:id="763"/>
    <w:bookmarkStart w:id="778" w:name="estudios-en-humanos-11"/>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76 estudios en humanos, la mayoría de los años 1996 a 2010, así como algunos metaanálisis. En ClinicalTrials.gov había 64 estudios registrados, casi todos concluidos; los nuevos estudios se refieren sobre todo a los «páncreas artificiales» y a la investigación de la migraña.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Whitehouse 2002, PMID 11919132</w:t>
            </w:r>
          </w:p>
        </w:tc>
        <w:tc>
          <w:tcPr/>
          <w:p>
            <w:pPr>
              <w:pStyle w:val="Compact"/>
              <w:jc w:val="left"/>
            </w:pPr>
            <w:r>
              <w:t xml:space="preserve">480 adultos con diabetes tipo 1, frente a placebo</w:t>
            </w:r>
          </w:p>
        </w:tc>
        <w:tc>
          <w:tcPr/>
          <w:p>
            <w:pPr>
              <w:pStyle w:val="Compact"/>
              <w:jc w:val="left"/>
            </w:pPr>
            <w:r>
              <w:t xml:space="preserve">52 semanas (+1 año abierto)</w:t>
            </w:r>
          </w:p>
        </w:tc>
        <w:tc>
          <w:tcPr/>
          <w:p>
            <w:pPr>
              <w:pStyle w:val="Compact"/>
              <w:jc w:val="left"/>
            </w:pPr>
            <w:r>
              <w:t xml:space="preserve">HbA1c −0,67 frente a −0,16 a las 13 semanas; pérdida de peso en lugar de aumento</w:t>
            </w:r>
          </w:p>
        </w:tc>
      </w:tr>
      <w:tr>
        <w:tc>
          <w:tcPr/>
          <w:p>
            <w:pPr>
              <w:pStyle w:val="Compact"/>
              <w:jc w:val="left"/>
            </w:pPr>
            <w:r>
              <w:t xml:space="preserve">Ratner 2004, PMID 15498087</w:t>
            </w:r>
          </w:p>
        </w:tc>
        <w:tc>
          <w:tcPr/>
          <w:p>
            <w:pPr>
              <w:pStyle w:val="Compact"/>
              <w:jc w:val="left"/>
            </w:pPr>
            <w:r>
              <w:t xml:space="preserve">651 adultos con diabetes tipo 1, frente a placebo</w:t>
            </w:r>
          </w:p>
        </w:tc>
        <w:tc>
          <w:tcPr/>
          <w:p>
            <w:pPr>
              <w:pStyle w:val="Compact"/>
              <w:jc w:val="left"/>
            </w:pPr>
            <w:r>
              <w:t xml:space="preserve">52 semanas</w:t>
            </w:r>
          </w:p>
        </w:tc>
        <w:tc>
          <w:tcPr/>
          <w:p>
            <w:pPr>
              <w:pStyle w:val="Compact"/>
              <w:jc w:val="left"/>
            </w:pPr>
            <w:r>
              <w:t xml:space="preserve">HbA1c −0,29 a −0,34 frente a −0,04; peso −0,4 kg frente a +0,8 kg</w:t>
            </w:r>
          </w:p>
        </w:tc>
      </w:tr>
      <w:tr>
        <w:tc>
          <w:tcPr/>
          <w:p>
            <w:pPr>
              <w:pStyle w:val="Compact"/>
              <w:jc w:val="left"/>
            </w:pPr>
            <w:r>
              <w:t xml:space="preserve">Hollander 2003, PMID 12610038</w:t>
            </w:r>
          </w:p>
        </w:tc>
        <w:tc>
          <w:tcPr/>
          <w:p>
            <w:pPr>
              <w:pStyle w:val="Compact"/>
              <w:jc w:val="left"/>
            </w:pPr>
            <w:r>
              <w:t xml:space="preserve">656 adultos con diabetes tipo 2 tratada con insulina, frente a placebo</w:t>
            </w:r>
          </w:p>
        </w:tc>
        <w:tc>
          <w:tcPr/>
          <w:p>
            <w:pPr>
              <w:pStyle w:val="Compact"/>
              <w:jc w:val="left"/>
            </w:pPr>
            <w:r>
              <w:t xml:space="preserve">52 semanas</w:t>
            </w:r>
          </w:p>
        </w:tc>
        <w:tc>
          <w:tcPr/>
          <w:p>
            <w:pPr>
              <w:pStyle w:val="Compact"/>
              <w:jc w:val="left"/>
            </w:pPr>
            <w:r>
              <w:t xml:space="preserve">HbA1c −0,62 (semana 52); peso −1,4 kg frente a +0,7 kg</w:t>
            </w:r>
          </w:p>
        </w:tc>
      </w:tr>
      <w:tr>
        <w:tc>
          <w:tcPr/>
          <w:p>
            <w:pPr>
              <w:pStyle w:val="Compact"/>
              <w:jc w:val="left"/>
            </w:pPr>
            <w:r>
              <w:t xml:space="preserve">Edelman 2006, PMID 17003291</w:t>
            </w:r>
          </w:p>
        </w:tc>
        <w:tc>
          <w:tcPr/>
          <w:p>
            <w:pPr>
              <w:pStyle w:val="Compact"/>
              <w:jc w:val="left"/>
            </w:pPr>
            <w:r>
              <w:t xml:space="preserve">296 adultos con diabetes tipo 1, insulinoterapia intensiva</w:t>
            </w:r>
          </w:p>
        </w:tc>
        <w:tc>
          <w:tcPr/>
          <w:p>
            <w:pPr>
              <w:pStyle w:val="Compact"/>
              <w:jc w:val="left"/>
            </w:pPr>
            <w:r>
              <w:t xml:space="preserve">29 semanas</w:t>
            </w:r>
          </w:p>
        </w:tc>
        <w:tc>
          <w:tcPr/>
          <w:p>
            <w:pPr>
              <w:pStyle w:val="Compact"/>
              <w:jc w:val="left"/>
            </w:pPr>
            <w:r>
              <w:t xml:space="preserve">HbA1c igual (−0,5 ambos); peso −1,3 frente a +1,2 kg; insulina −28 %</w:t>
            </w:r>
          </w:p>
        </w:tc>
      </w:tr>
      <w:tr>
        <w:tc>
          <w:tcPr/>
          <w:p>
            <w:pPr>
              <w:pStyle w:val="Compact"/>
              <w:jc w:val="left"/>
            </w:pPr>
            <w:r>
              <w:t xml:space="preserve">Riddle 2007, PMID 17698615</w:t>
            </w:r>
          </w:p>
        </w:tc>
        <w:tc>
          <w:tcPr/>
          <w:p>
            <w:pPr>
              <w:pStyle w:val="Compact"/>
              <w:jc w:val="left"/>
            </w:pPr>
            <w:r>
              <w:t xml:space="preserve">212 adultos con diabetes tipo 2 e insulina basal, frente a placebo</w:t>
            </w:r>
          </w:p>
        </w:tc>
        <w:tc>
          <w:tcPr/>
          <w:p>
            <w:pPr>
              <w:pStyle w:val="Compact"/>
              <w:jc w:val="left"/>
            </w:pPr>
            <w:r>
              <w:t xml:space="preserve">16 semanas</w:t>
            </w:r>
          </w:p>
        </w:tc>
        <w:tc>
          <w:tcPr/>
          <w:p>
            <w:pPr>
              <w:pStyle w:val="Compact"/>
              <w:jc w:val="left"/>
            </w:pPr>
            <w:r>
              <w:t xml:space="preserve">HbA1c −0,70 frente a −0,36; peso −1,6 frente a +0,7 kg</w:t>
            </w:r>
          </w:p>
        </w:tc>
      </w:tr>
      <w:tr>
        <w:tc>
          <w:tcPr/>
          <w:p>
            <w:pPr>
              <w:pStyle w:val="Compact"/>
              <w:jc w:val="left"/>
            </w:pPr>
            <w:r>
              <w:t xml:space="preserve">Smith 2008, PMID 18753666</w:t>
            </w:r>
          </w:p>
        </w:tc>
        <w:tc>
          <w:tcPr/>
          <w:p>
            <w:pPr>
              <w:pStyle w:val="Compact"/>
              <w:jc w:val="left"/>
            </w:pPr>
            <w:r>
              <w:t xml:space="preserve">411 adultos con obesidad, con programa de estilo de vida</w:t>
            </w:r>
          </w:p>
        </w:tc>
        <w:tc>
          <w:tcPr/>
          <w:p>
            <w:pPr>
              <w:pStyle w:val="Compact"/>
              <w:jc w:val="left"/>
            </w:pPr>
            <w:r>
              <w:t xml:space="preserve">4 meses (+8 meses)</w:t>
            </w:r>
          </w:p>
        </w:tc>
        <w:tc>
          <w:tcPr/>
          <w:p>
            <w:pPr>
              <w:pStyle w:val="Compact"/>
              <w:jc w:val="left"/>
            </w:pPr>
            <w:r>
              <w:t xml:space="preserve">a los 12 meses, ajustado por placebo, hasta −7,2 kg</w:t>
            </w:r>
          </w:p>
        </w:tc>
      </w:tr>
    </w:tbl>
    <w:bookmarkStart w:id="765" w:name="diabetes-tipo-1"/>
    <w:p>
      <w:pPr>
        <w:pStyle w:val="Heading4"/>
      </w:pPr>
      <w:r>
        <w:t xml:space="preserve">Diabetes tipo 1</w:t>
      </w:r>
    </w:p>
    <w:p>
      <w:pPr>
        <w:pStyle w:val="FirstParagraph"/>
      </w:pPr>
      <w:r>
        <w:t xml:space="preserve">Los grandes estudios de registro duraron un año. En el estudio de Whitehouse (2002, PMID 11919132) con 480 personas con diabetes tipo 1, la HbA1c disminuyó a las 13 semanas 0,67 puntos porcentuales, frente a 0,16 con placebo; la diferencia siguió siendo estadísticamente significativa hasta la semana 52. Los participantes perdieron peso en promedio en lugar de ganarlo, y la tasa global de hipoglucemias graves no aumentó. En el estudio de Ratner (2004, PMID 15498087) con 651 participantes, el efecto fue menor: −0,29 y −0,34 puntos porcentuales, respectivamente, frente a −0,04.</w:t>
      </w:r>
    </w:p>
    <w:p>
      <w:pPr>
        <w:pStyle w:val="BodyText"/>
      </w:pPr>
      <w:r>
        <w:t xml:space="preserve">Estos efectos son modestos. Un metaanálisis en red de todos los fármacos complementarios en la diabetes tipo 1, con 58 estudios, calificó la fiabilidad de la evidencia en su mayoría de moderada a muy baja y constató que la pramlintida, al igual que los agonistas de GLP-1 y la metformina, hace más frecuentes las náuseas</w:t>
      </w:r>
      <w:r>
        <w:rPr>
          <w:rStyle w:val="FootnoteReference"/>
        </w:rPr>
        <w:footnoteReference w:id="764"/>
      </w:r>
      <w:r>
        <w:t xml:space="preserve">.</w:t>
      </w:r>
    </w:p>
    <w:p>
      <w:pPr>
        <w:pStyle w:val="BodyText"/>
      </w:pPr>
      <w:r>
        <w:t xml:space="preserve">El estudio de Edelman (2006, PMID 17003291) aportó una lección importante: cuando al inicio del tratamiento con pramlintida se reducía preventivamente la dosis de insulina prandial entre un 30 y un 50 %, la HbA1c había disminuido por igual en ambos grupos a las 29 semanas (−0,5 en cada uno). Sin embargo, con pramlintida los picos de glucemia después de comer fueron menores, el peso disminuyó 1,3 kg (placebo +1,2 kg) y se necesitó un 28 % menos de insulina. Se produjeron náuseas en el 63 % (placebo 36 %).</w:t>
      </w:r>
    </w:p>
    <w:bookmarkEnd w:id="765"/>
    <w:bookmarkStart w:id="769" w:name="diabetes-tipo-2"/>
    <w:p>
      <w:pPr>
        <w:pStyle w:val="Heading4"/>
      </w:pPr>
      <w:r>
        <w:t xml:space="preserve">Diabetes tipo 2</w:t>
      </w:r>
    </w:p>
    <w:p>
      <w:pPr>
        <w:pStyle w:val="FirstParagraph"/>
      </w:pPr>
      <w:r>
        <w:t xml:space="preserve">En la diabetes tipo 2 tratada con insulina, la pramlintida redujo la HbA1c al cabo de un año 0,62 puntos porcentuales, con una pérdida de peso de 1,4 kg frente a un aumento de 0,7 kg con placebo</w:t>
      </w:r>
      <w:r>
        <w:rPr>
          <w:rStyle w:val="FootnoteReference"/>
        </w:rPr>
        <w:footnoteReference w:id="766"/>
      </w:r>
      <w:r>
        <w:t xml:space="preserve">. Como complemento de la insulina basal, en un estudio abierto con 113 participantes fue igual de eficaz que una insulina prandial de acción rápida, pero no provocó aumento de peso (0,0 kg frente a +4,7 kg) y causó menos hipoglucemias leves a moderadas; a cambio, el 21 % se quejó de náuseas</w:t>
      </w:r>
      <w:r>
        <w:rPr>
          <w:rStyle w:val="FootnoteReference"/>
        </w:rPr>
        <w:footnoteReference w:id="767"/>
      </w:r>
      <w:r>
        <w:t xml:space="preserve">.</w:t>
      </w:r>
    </w:p>
    <w:p>
      <w:pPr>
        <w:pStyle w:val="BodyText"/>
      </w:pPr>
      <w:r>
        <w:t xml:space="preserve">Un metaanálisis de ocho estudios aleatorizados mostró en la diabetes tipo 2 una reducción de la HbA1c de 0,33 puntos porcentuales y una pérdida de peso de 2,57 kg frente al control; las náuseas fueron 1,8 veces más frecuentes</w:t>
      </w:r>
      <w:r>
        <w:rPr>
          <w:rStyle w:val="FootnoteReference"/>
        </w:rPr>
        <w:footnoteReference w:id="768"/>
      </w:r>
      <w:r>
        <w:t xml:space="preserve">.</w:t>
      </w:r>
    </w:p>
    <w:bookmarkEnd w:id="769"/>
    <w:bookmarkStart w:id="773" w:name="obesidad"/>
    <w:p>
      <w:pPr>
        <w:pStyle w:val="Heading4"/>
      </w:pPr>
      <w:r>
        <w:t xml:space="preserve">Obesidad</w:t>
      </w:r>
    </w:p>
    <w:p>
      <w:pPr>
        <w:pStyle w:val="FirstParagraph"/>
      </w:pPr>
      <w:r>
        <w:t xml:space="preserve">Entre 2005 y 2010, la pramlintida se evaluó también como medicamento para adelgazar. En un estudio de 16 semanas con 204 personas con obesidad, la pérdida de peso ajustada por placebo fue del 3,7 %</w:t>
      </w:r>
      <w:r>
        <w:rPr>
          <w:rStyle w:val="FootnoteReference"/>
        </w:rPr>
        <w:footnoteReference w:id="770"/>
      </w:r>
      <w:r>
        <w:t xml:space="preserve">. Combinada con un programa de estilo de vida, casi todos los grupos de dosis mantuvieron su pérdida de peso durante doce meses; ajustada por placebo, fue de hasta 7,2 kg o el 6,8 %</w:t>
      </w:r>
      <w:r>
        <w:rPr>
          <w:rStyle w:val="FootnoteReference"/>
        </w:rPr>
        <w:footnoteReference w:id="771"/>
      </w:r>
      <w:r>
        <w:t xml:space="preserve">. Una combinación con metreleptina (un análogo de la leptina) alcanzó a las 20 semanas una pérdida de peso del 12,7 % frente al 8,4 % con pramlintida sola</w:t>
      </w:r>
      <w:r>
        <w:rPr>
          <w:rStyle w:val="FootnoteReference"/>
        </w:rPr>
        <w:footnoteReference w:id="772"/>
      </w:r>
      <w:r>
        <w:t xml:space="preserve">. Este desarrollo no se continuó hasta la autorización.</w:t>
      </w:r>
    </w:p>
    <w:bookmarkEnd w:id="773"/>
    <w:bookmarkStart w:id="777" w:name="Xab762de5fb377690f6dcbeb362bf74a757287d9"/>
    <w:p>
      <w:pPr>
        <w:pStyle w:val="Heading4"/>
      </w:pPr>
      <w:r>
        <w:t xml:space="preserve">Aplicaciones más recientes: páncreas artificial</w:t>
      </w:r>
    </w:p>
    <w:p>
      <w:pPr>
        <w:pStyle w:val="FirstParagraph"/>
      </w:pPr>
      <w:r>
        <w:t xml:space="preserve">Desde aproximadamente 2015, la pramlintida vive un pequeño renacimiento en la investigación sobre sistemas automatizados de bomba de insulina. En un estudio cruzado aleatorizado, el tiempo en rango objetivo aumentó del 74 % al 84 % con un sistema que, además de insulina de acción rápida, administra también pramlintida</w:t>
      </w:r>
      <w:r>
        <w:rPr>
          <w:rStyle w:val="FootnoteReference"/>
        </w:rPr>
        <w:footnoteReference w:id="774"/>
      </w:r>
      <w:r>
        <w:t xml:space="preserve">. Un pequeño estudio piloto investigó si un sistema así puede hacer innecesario el recuento de hidratos de carbono; las diferencias con el tratamiento estándar no fueron estadísticamente significativas</w:t>
      </w:r>
      <w:r>
        <w:rPr>
          <w:rStyle w:val="FootnoteReference"/>
        </w:rPr>
        <w:footnoteReference w:id="775"/>
      </w:r>
      <w:r>
        <w:t xml:space="preserve">. Una mezcla fija de pramlintida y una insulina (ADO09) produjo, en un estudio de 16 semanas con 80 personas con diabetes tipo 1, 2,1 kg más de pérdida de peso que la insulina lispro, con una HbA1c sin cambios</w:t>
      </w:r>
      <w:r>
        <w:rPr>
          <w:rStyle w:val="FootnoteReference"/>
        </w:rPr>
        <w:footnoteReference w:id="776"/>
      </w:r>
      <w:r>
        <w:t xml:space="preserve">.</w:t>
      </w:r>
    </w:p>
    <w:bookmarkEnd w:id="777"/>
    <w:bookmarkEnd w:id="778"/>
    <w:bookmarkStart w:id="781" w:name="estudios-en-animales-y-de-laboratorio-11"/>
    <w:p>
      <w:pPr>
        <w:pStyle w:val="Heading3"/>
      </w:pPr>
      <w:r>
        <w:t xml:space="preserve">Estudios en animales y de laboratorio</w:t>
      </w:r>
    </w:p>
    <w:p>
      <w:pPr>
        <w:pStyle w:val="FirstParagraph"/>
      </w:pPr>
      <w:r>
        <w:t xml:space="preserve">Las bases de la investigación sobre la amilina proceden de estudios en animales y de laboratorio que no se exponen aquí en detalle. En roedores, la combinación de amilina y leptina produjo una pérdida de peso más que aditiva</w:t>
      </w:r>
      <w:r>
        <w:rPr>
          <w:rStyle w:val="FootnoteReference"/>
        </w:rPr>
        <w:footnoteReference w:id="779"/>
      </w:r>
      <w:r>
        <w:t xml:space="preserve">. En modelos de ratón, la amilina, de forma similar al péptido mensajero de la migraña CGRP, desencadenó hipersensibilidad y fotofobia</w:t>
      </w:r>
      <w:r>
        <w:rPr>
          <w:rStyle w:val="FootnoteReference"/>
        </w:rPr>
        <w:footnoteReference w:id="780"/>
      </w:r>
      <w:r>
        <w:t xml:space="preserve">.</w:t>
      </w:r>
    </w:p>
    <w:bookmarkEnd w:id="781"/>
    <w:bookmarkStart w:id="785" w:name="riesgos-y-efectos-adversos-11"/>
    <w:p>
      <w:pPr>
        <w:pStyle w:val="Heading3"/>
      </w:pPr>
      <w:r>
        <w:t xml:space="preserve">Riesgos y efectos adversos</w:t>
      </w:r>
    </w:p>
    <w:p>
      <w:pPr>
        <w:pStyle w:val="FirstParagraph"/>
      </w:pPr>
      <w:r>
        <w:rPr>
          <w:bCs/>
          <w:b/>
        </w:rPr>
        <w:t xml:space="preserve">Demostrado en estudios:</w:t>
      </w:r>
    </w:p>
    <w:p>
      <w:pPr>
        <w:numPr>
          <w:ilvl w:val="0"/>
          <w:numId w:val="1097"/>
        </w:numPr>
        <w:pStyle w:val="Compact"/>
      </w:pPr>
      <w:r>
        <w:t xml:space="preserve">Las</w:t>
      </w:r>
      <w:r>
        <w:t xml:space="preserve"> </w:t>
      </w:r>
      <w:r>
        <w:rPr>
          <w:bCs/>
          <w:b/>
        </w:rPr>
        <w:t xml:space="preserve">náuseas</w:t>
      </w:r>
      <w:r>
        <w:t xml:space="preserve"> </w:t>
      </w:r>
      <w:r>
        <w:t xml:space="preserve">son el efecto secundario más frecuente, sobre todo en las primeras semanas; según el estudio, entre el 9 % y el 63 %</w:t>
      </w:r>
      <w:r>
        <w:rPr>
          <w:rStyle w:val="FootnoteReference"/>
        </w:rPr>
        <w:footnoteReference w:id="782"/>
      </w:r>
      <w:r>
        <w:t xml:space="preserve">.</w:t>
      </w:r>
    </w:p>
    <w:p>
      <w:pPr>
        <w:numPr>
          <w:ilvl w:val="0"/>
          <w:numId w:val="1097"/>
        </w:numPr>
        <w:pStyle w:val="Compact"/>
      </w:pPr>
      <w:r>
        <w:t xml:space="preserve">La</w:t>
      </w:r>
      <w:r>
        <w:t xml:space="preserve"> </w:t>
      </w:r>
      <w:r>
        <w:rPr>
          <w:bCs/>
          <w:b/>
        </w:rPr>
        <w:t xml:space="preserve">hipoglucemia grave</w:t>
      </w:r>
      <w:r>
        <w:t xml:space="preserve"> </w:t>
      </w:r>
      <w:r>
        <w:t xml:space="preserve">es el riesgo más importante. La pramlintida por sí misma apenas reduce la glucemia, pero potencia el efecto de la insulina inyectada simultáneamente, porque el azúcar de la comida llega con retraso. En el estudio de Edelman, las hipoglucemias graves fueron más frecuentes con pramlintida que con placebo (0,57 frente a 0,30 episodios por paciente-año), en particular en los participantes que se mantuvieron con una dosis baja</w:t>
      </w:r>
      <w:r>
        <w:rPr>
          <w:rStyle w:val="FootnoteReference"/>
        </w:rPr>
        <w:footnoteReference w:id="783"/>
      </w:r>
      <w:r>
        <w:t xml:space="preserve">. Por ello, en EE. UU. el medicamento lleva una advertencia destacada; antes de iniciar el tratamiento está prevista una reducción de la dosis de insulina prandial: los detalles los regula la ficha técnica, y su aplicación corresponde al médico.</w:t>
      </w:r>
    </w:p>
    <w:p>
      <w:pPr>
        <w:numPr>
          <w:ilvl w:val="0"/>
          <w:numId w:val="1097"/>
        </w:numPr>
        <w:pStyle w:val="Compact"/>
      </w:pPr>
      <w:r>
        <w:rPr>
          <w:bCs/>
          <w:b/>
        </w:rPr>
        <w:t xml:space="preserve">Cefalea y migraña:</w:t>
      </w:r>
      <w:r>
        <w:t xml:space="preserve"> </w:t>
      </w:r>
      <w:r>
        <w:t xml:space="preserve">en un estudio experimental con 36 personas con migraña, tras una infusión de pramlintida el 88 % sufrió cefalea y el 41 % una crisis similar a la migraña</w:t>
      </w:r>
      <w:r>
        <w:rPr>
          <w:rStyle w:val="FootnoteReference"/>
        </w:rPr>
        <w:footnoteReference w:id="784"/>
      </w:r>
      <w:r>
        <w:t xml:space="preserve">. Este estudio utilizó una infusión con fines de investigación, pero muestra que los receptores de amilina desempeñan un papel en la migraña. Este hallazgo también es relevante para los nuevos medicamentos de amilina de acción prolongada.</w:t>
      </w:r>
    </w:p>
    <w:p>
      <w:pPr>
        <w:numPr>
          <w:ilvl w:val="0"/>
          <w:numId w:val="1097"/>
        </w:numPr>
        <w:pStyle w:val="Compact"/>
      </w:pPr>
      <w:r>
        <w:rPr>
          <w:bCs/>
          <w:b/>
        </w:rPr>
        <w:t xml:space="preserve">Interacciones:</w:t>
      </w:r>
      <w:r>
        <w:t xml:space="preserve"> </w:t>
      </w:r>
      <w:r>
        <w:t xml:space="preserve">como la pramlintida retrasa el vaciamiento gástrico, los comprimidos cuyo rápido inicio de acción es importante pueden absorberse con retraso (ficha técnica).</w:t>
      </w:r>
    </w:p>
    <w:bookmarkEnd w:id="785"/>
    <w:bookmarkStart w:id="786" w:name="situación-legal-11"/>
    <w:p>
      <w:pPr>
        <w:pStyle w:val="Heading3"/>
      </w:pPr>
      <w:r>
        <w:t xml:space="preserve">Situación legal</w:t>
      </w:r>
    </w:p>
    <w:p>
      <w:pPr>
        <w:numPr>
          <w:ilvl w:val="0"/>
          <w:numId w:val="1098"/>
        </w:numPr>
        <w:pStyle w:val="Compact"/>
      </w:pPr>
      <w:r>
        <w:rPr>
          <w:bCs/>
          <w:b/>
        </w:rPr>
        <w:t xml:space="preserve">UE / Austria / Alemania:</w:t>
      </w:r>
      <w:r>
        <w:t xml:space="preserve"> </w:t>
      </w:r>
      <w:r>
        <w:t xml:space="preserve">no autorizada. En Europa, la pramlintida solo sería concebible mediante importación individual para determinados pacientes y en la práctica no desempeña ningún papel.</w:t>
      </w:r>
    </w:p>
    <w:p>
      <w:pPr>
        <w:numPr>
          <w:ilvl w:val="0"/>
          <w:numId w:val="1098"/>
        </w:numPr>
        <w:pStyle w:val="Compact"/>
      </w:pPr>
      <w:r>
        <w:rPr>
          <w:bCs/>
          <w:b/>
        </w:rPr>
        <w:t xml:space="preserve">EE. UU.:</w:t>
      </w:r>
      <w:r>
        <w:t xml:space="preserve"> </w:t>
      </w:r>
      <w:r>
        <w:t xml:space="preserve">autorizada desde 2005 (Symlin) como complemento de la insulina prandial en la diabetes tipo 1 y tipo 2; sujeta a prescripción médica. No está autorizada para la obesidad sin diabetes.</w:t>
      </w:r>
    </w:p>
    <w:p>
      <w:pPr>
        <w:numPr>
          <w:ilvl w:val="0"/>
          <w:numId w:val="1098"/>
        </w:numPr>
        <w:pStyle w:val="Compact"/>
      </w:pPr>
      <w:r>
        <w:rPr>
          <w:bCs/>
          <w:b/>
        </w:rPr>
        <w:t xml:space="preserve">Deporte:</w:t>
      </w:r>
      <w:r>
        <w:t xml:space="preserve"> </w:t>
      </w:r>
      <w:r>
        <w:t xml:space="preserve">no figura en la lista de la AMA (situación en 2026, compruébalo en su versión actual).</w:t>
      </w:r>
    </w:p>
    <w:bookmarkEnd w:id="786"/>
    <w:bookmarkStart w:id="791" w:name="estudios-en-curso-y-perspectivas-11"/>
    <w:p>
      <w:pPr>
        <w:pStyle w:val="Heading3"/>
      </w:pPr>
      <w:r>
        <w:t xml:space="preserve">Estudios en curso y perspectivas</w:t>
      </w:r>
    </w:p>
    <w:p>
      <w:pPr>
        <w:pStyle w:val="FirstParagraph"/>
      </w:pPr>
      <w:r>
        <w:rPr>
          <w:bCs/>
          <w:b/>
        </w:rPr>
        <w:t xml:space="preserve">Confirmado (estudios registrados, a octubre de 2026):</w:t>
      </w:r>
      <w:r>
        <w:t xml:space="preserve"> </w:t>
      </w:r>
      <w:r>
        <w:t xml:space="preserve">los nuevos estudios con pramlintida son en su mayoría pequeños estudios básicos, por ejemplo sobre el papel de la amilina en la migraña sin aura</w:t>
      </w:r>
      <w:r>
        <w:rPr>
          <w:rStyle w:val="FootnoteReference"/>
        </w:rPr>
        <w:footnoteReference w:id="787"/>
      </w:r>
      <w:r>
        <w:t xml:space="preserve">, en la cefalea tras lesiones craneales</w:t>
      </w:r>
      <w:r>
        <w:rPr>
          <w:rStyle w:val="FootnoteReference"/>
        </w:rPr>
        <w:footnoteReference w:id="788"/>
      </w:r>
      <w:r>
        <w:t xml:space="preserve"> </w:t>
      </w:r>
      <w:r>
        <w:t xml:space="preserve">y sobre la saciedad</w:t>
      </w:r>
      <w:r>
        <w:rPr>
          <w:rStyle w:val="FootnoteReference"/>
        </w:rPr>
        <w:footnoteReference w:id="789"/>
      </w:r>
      <w:r>
        <w:t xml:space="preserve">. Los autores del estudio piloto sobre la bomba de insulina con pramlintida anuncian un estudio más amplio</w:t>
      </w:r>
      <w:r>
        <w:rPr>
          <w:rStyle w:val="FootnoteReference"/>
        </w:rPr>
        <w:footnoteReference w:id="790"/>
      </w:r>
      <w:r>
        <w:t xml:space="preserve">.</w:t>
      </w:r>
    </w:p>
    <w:p>
      <w:pPr>
        <w:pStyle w:val="BodyText"/>
      </w:pPr>
      <w:r>
        <w:rPr>
          <w:bCs/>
          <w:b/>
        </w:rPr>
        <w:t xml:space="preserve">Valoración:</w:t>
      </w:r>
      <w:r>
        <w:t xml:space="preserve"> </w:t>
      </w:r>
      <w:r>
        <w:t xml:space="preserve">como medicamento, la pramlintida se ha quedado en un producto de nicho: demasiadas inyecciones, demasiadas náuseas, un efecto demasiado pequeño sobre la HbA1c. Su papel más importante probablemente sea el de precursora: los análogos de la amilina de acción prolongada de la nueva generación (cagrilintida, amicretina, eloralintida y otros) se basan en su experiencia. En la investigación sobre sistemas de dos hormonas en la diabetes tipo 1 podría conservar un pequeño papel.</w:t>
      </w:r>
    </w:p>
    <w:bookmarkEnd w:id="791"/>
    <w:bookmarkStart w:id="792" w:name="conclusión-11"/>
    <w:p>
      <w:pPr>
        <w:pStyle w:val="Heading3"/>
      </w:pPr>
      <w:r>
        <w:t xml:space="preserve">Conclusión</w:t>
      </w:r>
    </w:p>
    <w:p>
      <w:pPr>
        <w:pStyle w:val="FirstParagraph"/>
      </w:pPr>
      <w:r>
        <w:t xml:space="preserve">La pramlintida es el primer medicamento basado en la amilina y está autorizada desde 2005 en EE. UU., pero no en la UE, como complemento de la insulina. En grandes estudios solo redujo la HbA1c entre 0,3 y 0,7 puntos porcentuales aproximadamente, pero evitó el aumento de peso típico de la insulina y suavizó los picos de glucemia tras las comidas. Las náuseas son frecuentes y, en combinación con insulina, existe un riesgo relevante de hipoglucemias graves. Hoy, la pramlintida tiene importancia sobre todo como precursora de los nuevos medicamentos de amilina de acción prolongada.</w:t>
      </w:r>
    </w:p>
    <w:bookmarkEnd w:id="792"/>
    <w:bookmarkEnd w:id="793"/>
    <w:bookmarkStart w:id="830" w:name="setmelanotida"/>
    <w:p>
      <w:pPr>
        <w:pStyle w:val="Heading2"/>
      </w:pPr>
      <w:r>
        <w:t xml:space="preserve">Setmelanotida</w:t>
      </w:r>
    </w:p>
    <w:bookmarkStart w:id="795" w:name="ficha-12"/>
    <w:p>
      <w:pPr>
        <w:pStyle w:val="Heading3"/>
      </w:pPr>
      <w:r>
        <w:t xml:space="preserve">Ficha</w:t>
      </w:r>
    </w:p>
    <w:p>
      <w:pPr>
        <w:numPr>
          <w:ilvl w:val="0"/>
          <w:numId w:val="1099"/>
        </w:numPr>
        <w:pStyle w:val="Compact"/>
      </w:pPr>
      <w:r>
        <w:rPr>
          <w:bCs/>
          <w:b/>
        </w:rPr>
        <w:t xml:space="preserve">Tipo/estructura:</w:t>
      </w:r>
      <w:r>
        <w:t xml:space="preserve"> </w:t>
      </w:r>
      <w:r>
        <w:t xml:space="preserve">pequeño péptido sintético cerrado en forma de anillo (cíclico) que imita al mensajero endógeno alfa-MSH. Administración subcutánea una vez al día. Antiguo código de desarrollo RM-493.</w:t>
      </w:r>
    </w:p>
    <w:p>
      <w:pPr>
        <w:numPr>
          <w:ilvl w:val="0"/>
          <w:numId w:val="1099"/>
        </w:numPr>
        <w:pStyle w:val="Compact"/>
      </w:pPr>
      <w:r>
        <w:rPr>
          <w:bCs/>
          <w:b/>
        </w:rPr>
        <w:t xml:space="preserve">Origen:</w:t>
      </w:r>
      <w:r>
        <w:t xml:space="preserve"> </w:t>
      </w:r>
      <w:r>
        <w:t xml:space="preserve">desarrollada por Rhythm Pharmaceuticals; nombre comercial Imcivree.</w:t>
      </w:r>
    </w:p>
    <w:p>
      <w:pPr>
        <w:numPr>
          <w:ilvl w:val="0"/>
          <w:numId w:val="1099"/>
        </w:numPr>
        <w:pStyle w:val="Compact"/>
      </w:pPr>
      <w:r>
        <w:rPr>
          <w:bCs/>
          <w:b/>
        </w:rPr>
        <w:t xml:space="preserve">Mecanismo de acción:</w:t>
      </w:r>
      <w:r>
        <w:t xml:space="preserve"> </w:t>
      </w:r>
      <w:r>
        <w:t xml:space="preserve">agonista del receptor de melanocortina 4 (MC4R) en el hipotálamo, un centro de control clave del hambre y la saciedad.</w:t>
      </w:r>
    </w:p>
    <w:p>
      <w:pPr>
        <w:numPr>
          <w:ilvl w:val="0"/>
          <w:numId w:val="1099"/>
        </w:numPr>
        <w:pStyle w:val="Compact"/>
      </w:pPr>
      <w:r>
        <w:rPr>
          <w:bCs/>
          <w:b/>
        </w:rPr>
        <w:t xml:space="preserve">Autorización UE:</w:t>
      </w:r>
      <w:r>
        <w:t xml:space="preserve"> </w:t>
      </w:r>
      <w:r>
        <w:t xml:space="preserve">sí (Imcivree), para la obesidad por déficit confirmado genéticamente de POMC, PCSK1 o del receptor de leptina, así como en el síndrome de Bardet-Biedl.</w:t>
      </w:r>
    </w:p>
    <w:p>
      <w:pPr>
        <w:numPr>
          <w:ilvl w:val="0"/>
          <w:numId w:val="1099"/>
        </w:numPr>
        <w:pStyle w:val="Compact"/>
      </w:pPr>
      <w:r>
        <w:rPr>
          <w:bCs/>
          <w:b/>
        </w:rPr>
        <w:t xml:space="preserve">Autorización EE. UU.:</w:t>
      </w:r>
      <w:r>
        <w:t xml:space="preserve"> </w:t>
      </w:r>
      <w:r>
        <w:t xml:space="preserve">sí (Imcivree), por primera vez en 2020, para las mismas formas genéticas raras</w:t>
      </w:r>
      <w:r>
        <w:rPr>
          <w:rStyle w:val="FootnoteReference"/>
        </w:rPr>
        <w:footnoteReference w:id="794"/>
      </w:r>
      <w:r>
        <w:t xml:space="preserve">.</w:t>
      </w:r>
    </w:p>
    <w:p>
      <w:pPr>
        <w:numPr>
          <w:ilvl w:val="0"/>
          <w:numId w:val="1099"/>
        </w:numPr>
        <w:pStyle w:val="Compact"/>
      </w:pPr>
      <w:r>
        <w:rPr>
          <w:bCs/>
          <w:b/>
        </w:rPr>
        <w:t xml:space="preserve">AMA (WADA):</w:t>
      </w:r>
      <w:r>
        <w:t xml:space="preserve"> </w:t>
      </w:r>
      <w:r>
        <w:t xml:space="preserve">no figura por su nombre; como medicamento autorizado no entra en la clase S0.</w:t>
      </w:r>
    </w:p>
    <w:p>
      <w:pPr>
        <w:numPr>
          <w:ilvl w:val="0"/>
          <w:numId w:val="1099"/>
        </w:numPr>
        <w:pStyle w:val="Compact"/>
      </w:pPr>
      <w:r>
        <w:rPr>
          <w:bCs/>
          <w:b/>
        </w:rPr>
        <w:t xml:space="preserve">Nivel de evidencia:</w:t>
      </w:r>
      <w:r>
        <w:t xml:space="preserve"> </w:t>
      </w:r>
      <w:r>
        <w:rPr>
          <w:bCs/>
          <w:b/>
        </w:rPr>
        <w:t xml:space="preserve">A</w:t>
      </w:r>
      <w:r>
        <w:t xml:space="preserve"> </w:t>
      </w:r>
      <w:r>
        <w:t xml:space="preserve">– autorización basada en estudios de fase 3; sin embargo, debido a la rareza de las enfermedades, los estudios son pequeños y en parte no controlados.</w:t>
      </w:r>
    </w:p>
    <w:bookmarkEnd w:id="795"/>
    <w:bookmarkStart w:id="796" w:name="cómo-se-supone-que-actúa-12"/>
    <w:p>
      <w:pPr>
        <w:pStyle w:val="Heading3"/>
      </w:pPr>
      <w:r>
        <w:t xml:space="preserve">Cómo se supone que actúa</w:t>
      </w:r>
    </w:p>
    <w:p>
      <w:pPr>
        <w:pStyle w:val="FirstParagraph"/>
      </w:pPr>
      <w:r>
        <w:t xml:space="preserve">La setmelanotida se diferencia de forma fundamental de todos los demás principios activos de esta parte. No es un medicamento general para adelgazar, sino un tratamiento dirigido para personas en las que una determinada cadena de señalización del cerebro es defectuosa.</w:t>
      </w:r>
    </w:p>
    <w:p>
      <w:pPr>
        <w:pStyle w:val="BodyText"/>
      </w:pPr>
      <w:r>
        <w:t xml:space="preserve">Esta cadena se llama vía de señalización leptina-melanocortina. De forma simplificada: el tejido adiposo libera la hormona leptina. La leptina actúa en el hipotálamo sobre neuronas que, a partir de una molécula precursora llamada POMC, fabrican el mensajero alfa-MSH. Para esta fabricación se necesita una enzima llamada PCSK1. Por último, la alfa-MSH activa el receptor MC4, y la señal es: «Ya he comido suficiente».</w:t>
      </w:r>
    </w:p>
    <w:p>
      <w:pPr>
        <w:pStyle w:val="BodyText"/>
      </w:pPr>
      <w:r>
        <w:t xml:space="preserve">Si uno de estos eslabones falla por una alteración genética congénita, se produce un hambre angustiosa e insaciable (hiperfagia) que ya en la primera infancia conduce a una obesidad grave. La dieta y el ejercicio por sí solos poco pueden hacer contra ella. La setmelanotida actúa al final de la cadena y activa directamente el receptor MC4: por así decirlo, puentea los eslabones defectuosos anteriores.</w:t>
      </w:r>
    </w:p>
    <w:p>
      <w:pPr>
        <w:pStyle w:val="BodyText"/>
      </w:pPr>
      <w:r>
        <w:t xml:space="preserve">La setmelanotida actúa además sobre el receptor de melanocortina 1, estrechamente emparentado, en la piel. Esto explica el efecto secundario más frecuente: un bronceado de la piel (véase más abajo), y vincula la setmelanotida con los péptidos bronceadores como el melanotán II y el afamelanotida (Parte II, grupo E).</w:t>
      </w:r>
    </w:p>
    <w:bookmarkEnd w:id="796"/>
    <w:bookmarkStart w:id="812" w:name="estudios-en-humanos-12"/>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15 estudios en humanos. En ClinicalTrials.gov había 27 estudios registrados. Debido a la rareza de las enfermedades diana, los estudios suelen incluir solo entre 10 y 40 participantes; el mayor estudio aleatorizado publicado (sobre la obesidad hipotalámica) incluyó a 120 personas.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Kühnen 2016, PMID 27468060</w:t>
            </w:r>
          </w:p>
        </w:tc>
        <w:tc>
          <w:tcPr/>
          <w:p>
            <w:pPr>
              <w:pStyle w:val="Compact"/>
              <w:jc w:val="left"/>
            </w:pPr>
            <w:r>
              <w:t xml:space="preserve">2 personas con déficit de POMC, abierto</w:t>
            </w:r>
          </w:p>
        </w:tc>
        <w:tc>
          <w:tcPr/>
          <w:p>
            <w:pPr>
              <w:pStyle w:val="Compact"/>
              <w:jc w:val="left"/>
            </w:pPr>
            <w:r>
              <w:t xml:space="preserve">12 y 42 semanas</w:t>
            </w:r>
          </w:p>
        </w:tc>
        <w:tc>
          <w:tcPr/>
          <w:p>
            <w:pPr>
              <w:pStyle w:val="Compact"/>
              <w:jc w:val="left"/>
            </w:pPr>
            <w:r>
              <w:t xml:space="preserve">−20,5 kg y −51,0 kg; menos hambre</w:t>
            </w:r>
          </w:p>
        </w:tc>
      </w:tr>
      <w:tr>
        <w:tc>
          <w:tcPr/>
          <w:p>
            <w:pPr>
              <w:pStyle w:val="Compact"/>
              <w:jc w:val="left"/>
            </w:pPr>
            <w:r>
              <w:t xml:space="preserve">Clément 2020 (POMC/LEPR), PMID 33137293</w:t>
            </w:r>
          </w:p>
        </w:tc>
        <w:tc>
          <w:tcPr/>
          <w:p>
            <w:pPr>
              <w:pStyle w:val="Compact"/>
              <w:jc w:val="left"/>
            </w:pPr>
            <w:r>
              <w:t xml:space="preserve">10 personas con déficit de POMC y 11 con déficit de LEPR; de un solo brazo, con fase de retirada</w:t>
            </w:r>
          </w:p>
        </w:tc>
        <w:tc>
          <w:tcPr/>
          <w:p>
            <w:pPr>
              <w:pStyle w:val="Compact"/>
              <w:jc w:val="left"/>
            </w:pPr>
            <w:r>
              <w:t xml:space="preserve">aprox. 1 año</w:t>
            </w:r>
          </w:p>
        </w:tc>
        <w:tc>
          <w:tcPr/>
          <w:p>
            <w:pPr>
              <w:pStyle w:val="Compact"/>
              <w:jc w:val="left"/>
            </w:pPr>
            <w:r>
              <w:t xml:space="preserve">pérdida de peso ≥10 % en el 80 % (POMC) y el 45 % (LEPR)</w:t>
            </w:r>
          </w:p>
        </w:tc>
      </w:tr>
      <w:tr>
        <w:tc>
          <w:tcPr/>
          <w:p>
            <w:pPr>
              <w:pStyle w:val="Compact"/>
              <w:jc w:val="left"/>
            </w:pPr>
            <w:r>
              <w:t xml:space="preserve">Haqq 2022 (BBS/Alström), PMID 36356613</w:t>
            </w:r>
          </w:p>
        </w:tc>
        <w:tc>
          <w:tcPr/>
          <w:p>
            <w:pPr>
              <w:pStyle w:val="Compact"/>
              <w:jc w:val="left"/>
            </w:pPr>
            <w:r>
              <w:t xml:space="preserve">38 personas con síndrome de Bardet-Biedl o de Alström; 14 semanas frente a placebo, después abierto</w:t>
            </w:r>
          </w:p>
        </w:tc>
        <w:tc>
          <w:tcPr/>
          <w:p>
            <w:pPr>
              <w:pStyle w:val="Compact"/>
              <w:jc w:val="left"/>
            </w:pPr>
            <w:r>
              <w:t xml:space="preserve">66 semanas</w:t>
            </w:r>
          </w:p>
        </w:tc>
        <w:tc>
          <w:tcPr/>
          <w:p>
            <w:pPr>
              <w:pStyle w:val="Compact"/>
              <w:jc w:val="left"/>
            </w:pPr>
            <w:r>
              <w:t xml:space="preserve">pérdida de peso ≥10 % en el 32,3 % de los pacientes con BBS a partir de 12 años</w:t>
            </w:r>
          </w:p>
        </w:tc>
      </w:tr>
      <w:tr>
        <w:tc>
          <w:tcPr/>
          <w:p>
            <w:pPr>
              <w:pStyle w:val="Compact"/>
              <w:jc w:val="left"/>
            </w:pPr>
            <w:r>
              <w:t xml:space="preserve">VENTURE (Argente 2025), PMID 39549719</w:t>
            </w:r>
          </w:p>
        </w:tc>
        <w:tc>
          <w:tcPr/>
          <w:p>
            <w:pPr>
              <w:pStyle w:val="Compact"/>
              <w:jc w:val="left"/>
            </w:pPr>
            <w:r>
              <w:t xml:space="preserve">12 niños de 2 a 5 años, abierto</w:t>
            </w:r>
          </w:p>
        </w:tc>
        <w:tc>
          <w:tcPr/>
          <w:p>
            <w:pPr>
              <w:pStyle w:val="Compact"/>
              <w:jc w:val="left"/>
            </w:pPr>
            <w:r>
              <w:t xml:space="preserve">52 semanas</w:t>
            </w:r>
          </w:p>
        </w:tc>
        <w:tc>
          <w:tcPr/>
          <w:p>
            <w:pPr>
              <w:pStyle w:val="Compact"/>
              <w:jc w:val="left"/>
            </w:pPr>
            <w:r>
              <w:t xml:space="preserve">IMC −18 % de media</w:t>
            </w:r>
          </w:p>
        </w:tc>
      </w:tr>
      <w:tr>
        <w:tc>
          <w:tcPr/>
          <w:p>
            <w:pPr>
              <w:pStyle w:val="Compact"/>
              <w:jc w:val="left"/>
            </w:pPr>
            <w:r>
              <w:t xml:space="preserve">Roth 2024 (obesidad hipotalámica), PMID 38697184</w:t>
            </w:r>
          </w:p>
        </w:tc>
        <w:tc>
          <w:tcPr/>
          <w:p>
            <w:pPr>
              <w:pStyle w:val="Compact"/>
              <w:jc w:val="left"/>
            </w:pPr>
            <w:r>
              <w:t xml:space="preserve">18 personas, abierto</w:t>
            </w:r>
          </w:p>
        </w:tc>
        <w:tc>
          <w:tcPr/>
          <w:p>
            <w:pPr>
              <w:pStyle w:val="Compact"/>
              <w:jc w:val="left"/>
            </w:pPr>
            <w:r>
              <w:t xml:space="preserve">16 semanas</w:t>
            </w:r>
          </w:p>
        </w:tc>
        <w:tc>
          <w:tcPr/>
          <w:p>
            <w:pPr>
              <w:pStyle w:val="Compact"/>
              <w:jc w:val="left"/>
            </w:pPr>
            <w:r>
              <w:t xml:space="preserve">IMC −15 % de media</w:t>
            </w:r>
          </w:p>
        </w:tc>
      </w:tr>
      <w:tr>
        <w:tc>
          <w:tcPr/>
          <w:p>
            <w:pPr>
              <w:pStyle w:val="Compact"/>
              <w:jc w:val="left"/>
            </w:pPr>
            <w:r>
              <w:t xml:space="preserve">TRANSCEND (Miller 2026), PMID 42418774</w:t>
            </w:r>
          </w:p>
        </w:tc>
        <w:tc>
          <w:tcPr/>
          <w:p>
            <w:pPr>
              <w:pStyle w:val="Compact"/>
              <w:jc w:val="left"/>
            </w:pPr>
            <w:r>
              <w:t xml:space="preserve">120 personas con obesidad hipotalámica adquirida, frente a placebo</w:t>
            </w:r>
          </w:p>
        </w:tc>
        <w:tc>
          <w:tcPr/>
          <w:p>
            <w:pPr>
              <w:pStyle w:val="Compact"/>
              <w:jc w:val="left"/>
            </w:pPr>
            <w:r>
              <w:t xml:space="preserve">52 semanas</w:t>
            </w:r>
          </w:p>
        </w:tc>
        <w:tc>
          <w:tcPr/>
          <w:p>
            <w:pPr>
              <w:pStyle w:val="Compact"/>
              <w:jc w:val="left"/>
            </w:pPr>
            <w:r>
              <w:t xml:space="preserve">IMC −16,5 % frente a +3,3 %</w:t>
            </w:r>
          </w:p>
        </w:tc>
      </w:tr>
    </w:tbl>
    <w:bookmarkStart w:id="800" w:name="X00381b750b3604f63fc8dea9a8c496142aef72e"/>
    <w:p>
      <w:pPr>
        <w:pStyle w:val="Heading4"/>
      </w:pPr>
      <w:r>
        <w:t xml:space="preserve">Déficit de POMC, PCSK1 y del receptor de leptina</w:t>
      </w:r>
    </w:p>
    <w:p>
      <w:pPr>
        <w:pStyle w:val="FirstParagraph"/>
      </w:pPr>
      <w:r>
        <w:t xml:space="preserve">Los primeros informes fueron casos aislados: dos pacientes con déficit de POMC perdieron, en un estudio iniciado por médicos, 51,0 kg a las 42 semanas y 20,5 kg a las 12 semanas, respectivamente, y su hambre disminuyó de forma duradera</w:t>
      </w:r>
      <w:r>
        <w:rPr>
          <w:rStyle w:val="FootnoteReference"/>
        </w:rPr>
        <w:footnoteReference w:id="797"/>
      </w:r>
      <w:r>
        <w:t xml:space="preserve">. Algo similar se describió en tres personas con déficit del receptor de leptina</w:t>
      </w:r>
      <w:r>
        <w:rPr>
          <w:rStyle w:val="FootnoteReference"/>
        </w:rPr>
        <w:footnoteReference w:id="798"/>
      </w:r>
      <w:r>
        <w:t xml:space="preserve">.</w:t>
      </w:r>
    </w:p>
    <w:p>
      <w:pPr>
        <w:pStyle w:val="BodyText"/>
      </w:pPr>
      <w:r>
        <w:t xml:space="preserve">Los estudios de registro</w:t>
      </w:r>
      <w:r>
        <w:rPr>
          <w:rStyle w:val="FootnoteReference"/>
        </w:rPr>
        <w:footnoteReference w:id="799"/>
      </w:r>
      <w:r>
        <w:t xml:space="preserve"> </w:t>
      </w:r>
      <w:r>
        <w:t xml:space="preserve">fueron de un solo brazo –es decir, no hubo un grupo placebo durante todo el estudio–, pero incluyeron una breve fase de retirada cegada. Al cabo de aproximadamente un año, 8 de 10 personas con déficit de POMC y 5 de 11 con déficit del receptor de leptina habían perdido al menos un 10 % de su peso. El hambre, en una escala de 0 a 10, disminuyó un 27,1 % y un 43,7 %, respectivamente. En enfermedades tan raras, los estudios pequeños y no controlados suelen ser lo único factible. Aun así, en una enfermedad en la que sin tratamiento prácticamente no cabe esperar pérdida de peso, los resultados son significativos.</w:t>
      </w:r>
    </w:p>
    <w:bookmarkEnd w:id="800"/>
    <w:bookmarkStart w:id="803" w:name="síndrome-de-bardet-biedl"/>
    <w:p>
      <w:pPr>
        <w:pStyle w:val="Heading4"/>
      </w:pPr>
      <w:r>
        <w:t xml:space="preserve">Síndrome de Bardet-Biedl</w:t>
      </w:r>
    </w:p>
    <w:p>
      <w:pPr>
        <w:pStyle w:val="FirstParagraph"/>
      </w:pPr>
      <w:r>
        <w:t xml:space="preserve">El síndrome de Bardet-Biedl (BBS) es una enfermedad hereditaria rara en la que las finas prolongaciones celulares (cilios) están alteradas; además de lesiones retinianas, problemas renales y dedos de manos o pies supernumerarios, forman parte de él un hambre intensa y la obesidad. En el estudio de fase 3</w:t>
      </w:r>
      <w:r>
        <w:rPr>
          <w:rStyle w:val="FootnoteReference"/>
        </w:rPr>
        <w:footnoteReference w:id="801"/>
      </w:r>
      <w:r>
        <w:t xml:space="preserve">, a las 52 semanas el 32,3 % de las personas con BBS a partir de 12 años alcanzaron una pérdida de peso de al menos el 10 %. En el síndrome de Alström, emparentado con el anterior, los resultados no fueron concluyentes. Una comparación con un grupo de control adecuado procedente de un registro de BBS mostró que el 58,6 % de los pacientes tratados frente al 6,9 % de los no tratados alcanzaron el respectivo criterio de éxito</w:t>
      </w:r>
      <w:r>
        <w:rPr>
          <w:rStyle w:val="FootnoteReference"/>
        </w:rPr>
        <w:footnoteReference w:id="802"/>
      </w:r>
      <w:r>
        <w:t xml:space="preserve">, una contextualización indirecta, pero útil.</w:t>
      </w:r>
    </w:p>
    <w:bookmarkEnd w:id="803"/>
    <w:bookmarkStart w:id="805" w:name="niños-pequeños"/>
    <w:p>
      <w:pPr>
        <w:pStyle w:val="Heading4"/>
      </w:pPr>
      <w:r>
        <w:t xml:space="preserve">Niños pequeños</w:t>
      </w:r>
    </w:p>
    <w:p>
      <w:pPr>
        <w:pStyle w:val="FirstParagraph"/>
      </w:pPr>
      <w:r>
        <w:t xml:space="preserve">En el estudio abierto VENTURE, con 12 niños de entre 2 y 5 años, el IMC disminuyó al cabo de un año un 18 % de media: un 26 % en el déficit de POMC o del receptor de leptina y un 10 % en el BBS. El 91 % de los cuidadores refirió que los niños tenían menos hambre</w:t>
      </w:r>
      <w:r>
        <w:rPr>
          <w:rStyle w:val="FootnoteReference"/>
        </w:rPr>
        <w:footnoteReference w:id="804"/>
      </w:r>
      <w:r>
        <w:t xml:space="preserve">.</w:t>
      </w:r>
    </w:p>
    <w:bookmarkEnd w:id="805"/>
    <w:bookmarkStart w:id="808" w:name="obesidad-hipotalámica"/>
    <w:p>
      <w:pPr>
        <w:pStyle w:val="Heading4"/>
      </w:pPr>
      <w:r>
        <w:t xml:space="preserve">Obesidad hipotalámica</w:t>
      </w:r>
    </w:p>
    <w:p>
      <w:pPr>
        <w:pStyle w:val="FirstParagraph"/>
      </w:pPr>
      <w:r>
        <w:t xml:space="preserve">Un segundo grupo diana, más frecuente, son las personas cuyo hipotálamo ha resultado dañado por un tumor (a menudo un craneofaringioma), una operación o radioterapia. Con frecuencia desarrollan una obesidad difícil de tratar. Tras un estudio abierto de fase 2 con 18 personas, en el que el IMC disminuyó a las 16 semanas un 15 % de media</w:t>
      </w:r>
      <w:r>
        <w:rPr>
          <w:rStyle w:val="FootnoteReference"/>
        </w:rPr>
        <w:footnoteReference w:id="806"/>
      </w:r>
      <w:r>
        <w:t xml:space="preserve">, se realizó el estudio aleatorizado de fase 3 TRANSCEND</w:t>
      </w:r>
      <w:r>
        <w:rPr>
          <w:rStyle w:val="FootnoteReference"/>
        </w:rPr>
        <w:footnoteReference w:id="807"/>
      </w:r>
      <w:r>
        <w:t xml:space="preserve">:</w:t>
      </w:r>
    </w:p>
    <w:p>
      <w:pPr>
        <w:numPr>
          <w:ilvl w:val="0"/>
          <w:numId w:val="1100"/>
        </w:numPr>
        <w:pStyle w:val="Compact"/>
      </w:pPr>
      <w:r>
        <w:t xml:space="preserve">120 personas de entre 4 y 66 años, proporción 2:1 setmelanotida frente a placebo.</w:t>
      </w:r>
    </w:p>
    <w:p>
      <w:pPr>
        <w:numPr>
          <w:ilvl w:val="0"/>
          <w:numId w:val="1100"/>
        </w:numPr>
        <w:pStyle w:val="Compact"/>
      </w:pPr>
      <w:r>
        <w:t xml:space="preserve">A las 52 semanas: IMC −16,5 % con setmelanotida, +3,3 % con placebo.</w:t>
      </w:r>
    </w:p>
    <w:p>
      <w:pPr>
        <w:numPr>
          <w:ilvl w:val="0"/>
          <w:numId w:val="1100"/>
        </w:numPr>
        <w:pStyle w:val="Compact"/>
      </w:pPr>
      <w:r>
        <w:t xml:space="preserve">Puntuación de hambre: −2,73 frente a −1,45 puntos.</w:t>
      </w:r>
    </w:p>
    <w:p>
      <w:pPr>
        <w:numPr>
          <w:ilvl w:val="0"/>
          <w:numId w:val="1100"/>
        </w:numPr>
        <w:pStyle w:val="Compact"/>
      </w:pPr>
      <w:r>
        <w:t xml:space="preserve">Acontecimientos adversos graves: 28 % frente a 8 %.</w:t>
      </w:r>
    </w:p>
    <w:bookmarkEnd w:id="808"/>
    <w:bookmarkStart w:id="811" w:name="variantes-genéticas-más-frecuentes"/>
    <w:p>
      <w:pPr>
        <w:pStyle w:val="Heading4"/>
      </w:pPr>
      <w:r>
        <w:t xml:space="preserve">Variantes genéticas más frecuentes</w:t>
      </w:r>
    </w:p>
    <w:p>
      <w:pPr>
        <w:pStyle w:val="FirstParagraph"/>
      </w:pPr>
      <w:r>
        <w:t xml:space="preserve">Los datos son menos convincentes en personas con una sola copia alterada del gen MC4R, una de las causas genéticas más frecuentes de obesidad grave. En un pequeño estudio de 28 días, estas personas sí perdieron peso, pero claramente menos que las personas con defectos de POMC</w:t>
      </w:r>
      <w:r>
        <w:rPr>
          <w:rStyle w:val="FootnoteReference"/>
        </w:rPr>
        <w:footnoteReference w:id="809"/>
      </w:r>
      <w:r>
        <w:t xml:space="preserve">. Según el registro, ha concluido el estudio de fase 3 más amplio EMANATE sobre distintas variantes de la vía de señalización de MC4R</w:t>
      </w:r>
      <w:r>
        <w:rPr>
          <w:rStyle w:val="FootnoteReference"/>
        </w:rPr>
        <w:footnoteReference w:id="810"/>
      </w:r>
      <w:r>
        <w:t xml:space="preserve">; en el momento de la búsqueda todavía no había una publicación revisada por pares.</w:t>
      </w:r>
    </w:p>
    <w:bookmarkEnd w:id="811"/>
    <w:bookmarkEnd w:id="812"/>
    <w:bookmarkStart w:id="814" w:name="estudios-en-animales-y-de-laboratorio-12"/>
    <w:p>
      <w:pPr>
        <w:pStyle w:val="Heading3"/>
      </w:pPr>
      <w:r>
        <w:t xml:space="preserve">Estudios en animales y de laboratorio</w:t>
      </w:r>
    </w:p>
    <w:p>
      <w:pPr>
        <w:pStyle w:val="FirstParagraph"/>
      </w:pPr>
      <w:r>
        <w:t xml:space="preserve">En ensayos celulares, la setmelanotida es claramente más potente sobre el receptor MC4 que la alfa-MSH endógena y puede reactivar parcialmente una parte de las variantes defectuosas del receptor. En roedores normales provocó pérdida de peso, pero no en ratones sin receptor MC4</w:t>
      </w:r>
      <w:r>
        <w:rPr>
          <w:rStyle w:val="FootnoteReference"/>
        </w:rPr>
        <w:footnoteReference w:id="813"/>
      </w:r>
      <w:r>
        <w:t xml:space="preserve">. Esto confirma que el efecto se produce realmente a través de este receptor.</w:t>
      </w:r>
    </w:p>
    <w:bookmarkEnd w:id="814"/>
    <w:bookmarkStart w:id="820" w:name="riesgos-y-efectos-adversos-12"/>
    <w:p>
      <w:pPr>
        <w:pStyle w:val="Heading3"/>
      </w:pPr>
      <w:r>
        <w:t xml:space="preserve">Riesgos y efectos adversos</w:t>
      </w:r>
    </w:p>
    <w:p>
      <w:pPr>
        <w:pStyle w:val="FirstParagraph"/>
      </w:pPr>
      <w:r>
        <w:rPr>
          <w:bCs/>
          <w:b/>
        </w:rPr>
        <w:t xml:space="preserve">Demostrado en estudios:</w:t>
      </w:r>
    </w:p>
    <w:p>
      <w:pPr>
        <w:numPr>
          <w:ilvl w:val="0"/>
          <w:numId w:val="1101"/>
        </w:numPr>
        <w:pStyle w:val="Compact"/>
      </w:pPr>
      <w:r>
        <w:rPr>
          <w:bCs/>
          <w:b/>
        </w:rPr>
        <w:t xml:space="preserve">Reacciones cutáneas en el lugar de inyección</w:t>
      </w:r>
      <w:r>
        <w:t xml:space="preserve"> </w:t>
      </w:r>
      <w:r>
        <w:t xml:space="preserve">(enrojecimiento, hinchazón): en un metaanálisis de siete estudios con 185 personas, en el 96 %</w:t>
      </w:r>
      <w:r>
        <w:rPr>
          <w:rStyle w:val="FootnoteReference"/>
        </w:rPr>
        <w:footnoteReference w:id="815"/>
      </w:r>
      <w:r>
        <w:t xml:space="preserve">.</w:t>
      </w:r>
    </w:p>
    <w:p>
      <w:pPr>
        <w:numPr>
          <w:ilvl w:val="0"/>
          <w:numId w:val="1101"/>
        </w:numPr>
        <w:pStyle w:val="Compact"/>
      </w:pPr>
      <w:r>
        <w:rPr>
          <w:bCs/>
          <w:b/>
        </w:rPr>
        <w:t xml:space="preserve">Oscurecimiento de la piel (hiperpigmentación):</w:t>
      </w:r>
      <w:r>
        <w:t xml:space="preserve"> </w:t>
      </w:r>
      <w:r>
        <w:t xml:space="preserve">en el 62 % en el mismo metaanálisis. A través del efecto sobre el receptor de melanocortina 1, la piel se broncea, los labios y los lunares se oscurecen y el pelo pelirrojo puede volverse castaño. En una observación de hasta 46 meses, el bronceado se estabilizó con el tiempo; no aparecieron lesiones cutáneas malignas</w:t>
      </w:r>
      <w:r>
        <w:rPr>
          <w:rStyle w:val="FootnoteReference"/>
        </w:rPr>
        <w:footnoteReference w:id="816"/>
      </w:r>
      <w:r>
        <w:t xml:space="preserve">. Los especialistas recomiendan revisiones dermatológicas periódicas.</w:t>
      </w:r>
    </w:p>
    <w:p>
      <w:pPr>
        <w:numPr>
          <w:ilvl w:val="0"/>
          <w:numId w:val="1101"/>
        </w:numPr>
        <w:pStyle w:val="Compact"/>
      </w:pPr>
      <w:r>
        <w:rPr>
          <w:bCs/>
          <w:b/>
        </w:rPr>
        <w:t xml:space="preserve">Náuseas y vómitos:</w:t>
      </w:r>
      <w:r>
        <w:t xml:space="preserve"> </w:t>
      </w:r>
      <w:r>
        <w:t xml:space="preserve">en el 36 % y el 26 %, respectivamente; diarrea en el 21 %</w:t>
      </w:r>
      <w:r>
        <w:rPr>
          <w:rStyle w:val="FootnoteReference"/>
        </w:rPr>
        <w:footnoteReference w:id="817"/>
      </w:r>
      <w:r>
        <w:t xml:space="preserve">.</w:t>
      </w:r>
    </w:p>
    <w:p>
      <w:pPr>
        <w:numPr>
          <w:ilvl w:val="0"/>
          <w:numId w:val="1101"/>
        </w:numPr>
        <w:pStyle w:val="Compact"/>
      </w:pPr>
      <w:r>
        <w:rPr>
          <w:bCs/>
          <w:b/>
        </w:rPr>
        <w:t xml:space="preserve">Acontecimientos adversos graves:</w:t>
      </w:r>
      <w:r>
        <w:t xml:space="preserve"> </w:t>
      </w:r>
      <w:r>
        <w:t xml:space="preserve">en TRANSCEND, más frecuentes con setmelanotida (28 % frente a 8 %)</w:t>
      </w:r>
      <w:r>
        <w:rPr>
          <w:rStyle w:val="FootnoteReference"/>
        </w:rPr>
        <w:footnoteReference w:id="818"/>
      </w:r>
      <w:r>
        <w:t xml:space="preserve">; el resumen no los desglosa en detalle.</w:t>
      </w:r>
    </w:p>
    <w:p>
      <w:pPr>
        <w:numPr>
          <w:ilvl w:val="0"/>
          <w:numId w:val="1101"/>
        </w:numPr>
        <w:pStyle w:val="Compact"/>
      </w:pPr>
      <w:r>
        <w:t xml:space="preserve">En el estudio de BBS se notificaron como acontecimientos graves, entre otros, ideas suicidas, que no se consideraron relacionadas con el tratamiento</w:t>
      </w:r>
      <w:r>
        <w:rPr>
          <w:rStyle w:val="FootnoteReference"/>
        </w:rPr>
        <w:footnoteReference w:id="819"/>
      </w:r>
      <w:r>
        <w:t xml:space="preserve">. La ficha técnica contiene advertencias sobre depresión e ideas suicidas, así como sobre erecciones espontáneas en hombres.</w:t>
      </w:r>
    </w:p>
    <w:p>
      <w:pPr>
        <w:pStyle w:val="FirstParagraph"/>
      </w:pPr>
      <w:r>
        <w:rPr>
          <w:bCs/>
          <w:b/>
        </w:rPr>
        <w:t xml:space="preserve">Teórico:</w:t>
      </w:r>
      <w:r>
        <w:t xml:space="preserve"> </w:t>
      </w:r>
      <w:r>
        <w:t xml:space="preserve">no está aclarado si la estimulación continuada de las células pigmentarias influye a largo plazo en el riesgo de cáncer de piel; las observaciones disponibles a lo largo de algunos años no muestran ninguna señal.</w:t>
      </w:r>
    </w:p>
    <w:p>
      <w:pPr>
        <w:pStyle w:val="BodyText"/>
      </w:pPr>
      <w:r>
        <w:rPr>
          <w:bCs/>
          <w:b/>
        </w:rPr>
        <w:t xml:space="preserve">Potencial de abuso:</w:t>
      </w:r>
      <w:r>
        <w:t xml:space="preserve"> </w:t>
      </w:r>
      <w:r>
        <w:t xml:space="preserve">debido a su efecto bronceador, en foros de internet la setmelanotida se relaciona ocasionalmente con el melanotán II. No es un producto adecuado para adelgazar en personas sin un defecto genético demostrado y no se ha estudiado para ese fin.</w:t>
      </w:r>
    </w:p>
    <w:bookmarkEnd w:id="820"/>
    <w:bookmarkStart w:id="821" w:name="situación-legal-12"/>
    <w:p>
      <w:pPr>
        <w:pStyle w:val="Heading3"/>
      </w:pPr>
      <w:r>
        <w:t xml:space="preserve">Situación legal</w:t>
      </w:r>
    </w:p>
    <w:p>
      <w:pPr>
        <w:numPr>
          <w:ilvl w:val="0"/>
          <w:numId w:val="1102"/>
        </w:numPr>
        <w:pStyle w:val="Compact"/>
      </w:pPr>
      <w:r>
        <w:rPr>
          <w:bCs/>
          <w:b/>
        </w:rPr>
        <w:t xml:space="preserve">UE / Austria / Alemania:</w:t>
      </w:r>
      <w:r>
        <w:t xml:space="preserve"> </w:t>
      </w:r>
      <w:r>
        <w:t xml:space="preserve">autorizada (Imcivree), sujeta a prescripción médica, solo para formas confirmadas genéticamente (déficit de POMC, PCSK1 o del receptor de leptina, síndrome de Bardet-Biedl). El diagnóstico requiere un estudio genético; el inicio y el seguimiento corresponden a centros especializados. Detalles sobre la ampliación a la obesidad hipotalámica:</w:t>
      </w:r>
    </w:p>
    <w:p>
      <w:pPr>
        <w:numPr>
          <w:ilvl w:val="0"/>
          <w:numId w:val="1102"/>
        </w:numPr>
        <w:pStyle w:val="Compact"/>
      </w:pPr>
      <w:r>
        <w:rPr>
          <w:bCs/>
          <w:b/>
        </w:rPr>
        <w:t xml:space="preserve">EE. UU.:</w:t>
      </w:r>
      <w:r>
        <w:t xml:space="preserve"> </w:t>
      </w:r>
      <w:r>
        <w:t xml:space="preserve">autorizada desde 2020 (POMC, PCSK1, LEPR), ampliada posteriormente al síndrome de Bardet-Biedl y a niños más pequeños; sobre la base de TRANSCEND se ha presentado una solicitud para la obesidad hipotalámica.</w:t>
      </w:r>
    </w:p>
    <w:p>
      <w:pPr>
        <w:numPr>
          <w:ilvl w:val="0"/>
          <w:numId w:val="1102"/>
        </w:numPr>
        <w:pStyle w:val="Compact"/>
      </w:pPr>
      <w:r>
        <w:rPr>
          <w:bCs/>
          <w:b/>
        </w:rPr>
        <w:t xml:space="preserve">Deporte:</w:t>
      </w:r>
      <w:r>
        <w:t xml:space="preserve"> </w:t>
      </w:r>
      <w:r>
        <w:t xml:space="preserve">no figura en la lista de la AMA (situación en 2026, compruébalo en su versión actual).</w:t>
      </w:r>
    </w:p>
    <w:bookmarkEnd w:id="821"/>
    <w:bookmarkStart w:id="828" w:name="estudios-en-curso-y-perspectivas-12"/>
    <w:p>
      <w:pPr>
        <w:pStyle w:val="Heading3"/>
      </w:pPr>
      <w:r>
        <w:t xml:space="preserve">Estudios en curso y perspectivas</w:t>
      </w:r>
    </w:p>
    <w:p>
      <w:pPr>
        <w:pStyle w:val="FirstParagraph"/>
      </w:pPr>
      <w:r>
        <w:rPr>
          <w:bCs/>
          <w:b/>
        </w:rPr>
        <w:t xml:space="preserve">Confirmado (estudios registrados, a octubre de 2026):</w:t>
      </w:r>
    </w:p>
    <w:p>
      <w:pPr>
        <w:numPr>
          <w:ilvl w:val="0"/>
          <w:numId w:val="1103"/>
        </w:numPr>
        <w:pStyle w:val="Compact"/>
      </w:pPr>
      <w:r>
        <w:rPr>
          <w:bCs/>
          <w:b/>
        </w:rPr>
        <w:t xml:space="preserve">TRANSCEND</w:t>
      </w:r>
      <w:r>
        <w:rPr>
          <w:rStyle w:val="FootnoteReference"/>
        </w:rPr>
        <w:footnoteReference w:id="822"/>
      </w:r>
      <w:r>
        <w:t xml:space="preserve"> </w:t>
      </w:r>
      <w:r>
        <w:t xml:space="preserve">continúa en una extensión; un subestudio investiga la obesidad hipotalámica congénita</w:t>
      </w:r>
      <w:r>
        <w:rPr>
          <w:rStyle w:val="FootnoteReference"/>
        </w:rPr>
        <w:footnoteReference w:id="823"/>
      </w:r>
      <w:r>
        <w:t xml:space="preserve">.</w:t>
      </w:r>
    </w:p>
    <w:p>
      <w:pPr>
        <w:numPr>
          <w:ilvl w:val="0"/>
          <w:numId w:val="1103"/>
        </w:numPr>
        <w:pStyle w:val="Compact"/>
      </w:pPr>
      <w:r>
        <w:rPr>
          <w:bCs/>
          <w:b/>
        </w:rPr>
        <w:t xml:space="preserve">Síndrome de Prader-Willi</w:t>
      </w:r>
      <w:r>
        <w:rPr>
          <w:rStyle w:val="FootnoteReference"/>
        </w:rPr>
        <w:footnoteReference w:id="824"/>
      </w:r>
      <w:r>
        <w:t xml:space="preserve">: fase 2 con 18 participantes.</w:t>
      </w:r>
    </w:p>
    <w:p>
      <w:pPr>
        <w:numPr>
          <w:ilvl w:val="0"/>
          <w:numId w:val="1103"/>
        </w:numPr>
        <w:pStyle w:val="Compact"/>
      </w:pPr>
      <w:r>
        <w:rPr>
          <w:bCs/>
          <w:b/>
        </w:rPr>
        <w:t xml:space="preserve">Observación a largo plazo</w:t>
      </w:r>
      <w:r>
        <w:t xml:space="preserve"> </w:t>
      </w:r>
      <w:r>
        <w:t xml:space="preserve">en BBS y obesidad genética grave en la práctica clínica</w:t>
      </w:r>
      <w:r>
        <w:rPr>
          <w:rStyle w:val="FootnoteReference"/>
        </w:rPr>
        <w:footnoteReference w:id="825"/>
      </w:r>
      <w:r>
        <w:t xml:space="preserve">.</w:t>
      </w:r>
    </w:p>
    <w:p>
      <w:pPr>
        <w:numPr>
          <w:ilvl w:val="0"/>
          <w:numId w:val="1103"/>
        </w:numPr>
        <w:pStyle w:val="Compact"/>
      </w:pPr>
      <w:r>
        <w:rPr>
          <w:bCs/>
          <w:b/>
        </w:rPr>
        <w:t xml:space="preserve">EMANATE</w:t>
      </w:r>
      <w:r>
        <w:rPr>
          <w:rStyle w:val="FootnoteReference"/>
        </w:rPr>
        <w:footnoteReference w:id="826"/>
      </w:r>
      <w:r>
        <w:t xml:space="preserve"> </w:t>
      </w:r>
      <w:r>
        <w:t xml:space="preserve">y</w:t>
      </w:r>
      <w:r>
        <w:t xml:space="preserve"> </w:t>
      </w:r>
      <w:r>
        <w:rPr>
          <w:bCs/>
          <w:b/>
        </w:rPr>
        <w:t xml:space="preserve">DAYBREAK</w:t>
      </w:r>
      <w:r>
        <w:rPr>
          <w:rStyle w:val="FootnoteReference"/>
        </w:rPr>
        <w:footnoteReference w:id="827"/>
      </w:r>
      <w:r>
        <w:t xml:space="preserve"> </w:t>
      </w:r>
      <w:r>
        <w:t xml:space="preserve">sobre otras variantes genéticas: concluidos, publicación pendiente.</w:t>
      </w:r>
    </w:p>
    <w:p>
      <w:pPr>
        <w:pStyle w:val="FirstParagraph"/>
      </w:pPr>
      <w:r>
        <w:rPr>
          <w:bCs/>
          <w:b/>
        </w:rPr>
        <w:t xml:space="preserve">Valoración:</w:t>
      </w:r>
      <w:r>
        <w:t xml:space="preserve"> </w:t>
      </w:r>
      <w:r>
        <w:t xml:space="preserve">la setmelanotida ha demostrado que la medicina de precisión en la obesidad es posible: quien conoce la causa puede tratar de forma dirigida. El grupo diana sigue siendo pequeño, aunque con la obesidad hipotalámica podría ampliarse considerablemente. Para la gran mayoría de las personas con obesidad, en las que no existe un defecto genético de este tipo, los fármacos basados en GLP-1 son más eficaces y están mejor estudiados.</w:t>
      </w:r>
    </w:p>
    <w:bookmarkEnd w:id="828"/>
    <w:bookmarkStart w:id="829" w:name="conclusión-12"/>
    <w:p>
      <w:pPr>
        <w:pStyle w:val="Heading3"/>
      </w:pPr>
      <w:r>
        <w:t xml:space="preserve">Conclusión</w:t>
      </w:r>
    </w:p>
    <w:p>
      <w:pPr>
        <w:pStyle w:val="FirstParagraph"/>
      </w:pPr>
      <w:r>
        <w:t xml:space="preserve">La setmelanotida es un pequeño péptido cíclico que activa el receptor MC4 en el cerebro y puentea así los eslabones defectuosos de la vía de señalización leptina-melanocortina. En pequeños estudios de registro, el 80 % de las personas con déficit de POMC y el 45 % con déficit del receptor de leptina perdieron al menos un 10 % de su peso; en la obesidad hipotalámica, el IMC disminuyó al cabo de un año un 16,5 % frente a un aumento con placebo. Casi todas las personas tratadas presentan reacciones cutáneas en el lugar de inyección, y la mayoría un oscurecimiento de la piel. La setmelanotida está autorizada en la UE y en EE. UU. para formas genéticas raras de obesidad y no es un medicamento para la pérdida de peso en general.</w:t>
      </w:r>
    </w:p>
    <w:bookmarkEnd w:id="829"/>
    <w:bookmarkEnd w:id="830"/>
    <w:bookmarkStart w:id="855" w:name="aod-9604"/>
    <w:p>
      <w:pPr>
        <w:pStyle w:val="Heading2"/>
      </w:pPr>
      <w:r>
        <w:t xml:space="preserve">AOD-9604</w:t>
      </w:r>
    </w:p>
    <w:bookmarkStart w:id="832" w:name="ficha-13"/>
    <w:p>
      <w:pPr>
        <w:pStyle w:val="Heading3"/>
      </w:pPr>
      <w:r>
        <w:t xml:space="preserve">Ficha</w:t>
      </w:r>
    </w:p>
    <w:p>
      <w:pPr>
        <w:numPr>
          <w:ilvl w:val="0"/>
          <w:numId w:val="1104"/>
        </w:numPr>
        <w:pStyle w:val="Compact"/>
      </w:pPr>
      <w:r>
        <w:rPr>
          <w:bCs/>
          <w:b/>
        </w:rPr>
        <w:t xml:space="preserve">Tipo/estructura:</w:t>
      </w:r>
      <w:r>
        <w:t xml:space="preserve"> </w:t>
      </w:r>
      <w:r>
        <w:t xml:space="preserve">péptido sintético procedente del extremo final (C-terminal) de la hormona del crecimiento humana: los aminoácidos 177 a 191, completados con una tirosina adicional al principio</w:t>
      </w:r>
      <w:r>
        <w:rPr>
          <w:rStyle w:val="FootnoteReference"/>
        </w:rPr>
        <w:footnoteReference w:id="831"/>
      </w:r>
      <w:r>
        <w:t xml:space="preserve">. En internet se ofrece a menudo con denominaciones como «hGH Fragment 176-191» o «Frag 176-191». El nombre significa «Anti-Obesity Drug 9604».</w:t>
      </w:r>
    </w:p>
    <w:p>
      <w:pPr>
        <w:numPr>
          <w:ilvl w:val="0"/>
          <w:numId w:val="1104"/>
        </w:numPr>
        <w:pStyle w:val="Compact"/>
      </w:pPr>
      <w:r>
        <w:rPr>
          <w:bCs/>
          <w:b/>
        </w:rPr>
        <w:t xml:space="preserve">Origen:</w:t>
      </w:r>
      <w:r>
        <w:t xml:space="preserve"> </w:t>
      </w:r>
      <w:r>
        <w:t xml:space="preserve">desarrollado en la década de 1990 en la Universidad de Monash en Melbourne y desarrollado como medicamento para adelgazar por la empresa australiana Metabolic Pharmaceuticals.</w:t>
      </w:r>
    </w:p>
    <w:p>
      <w:pPr>
        <w:numPr>
          <w:ilvl w:val="0"/>
          <w:numId w:val="1104"/>
        </w:numPr>
        <w:pStyle w:val="Compact"/>
      </w:pPr>
      <w:r>
        <w:rPr>
          <w:bCs/>
          <w:b/>
        </w:rPr>
        <w:t xml:space="preserve">Mecanismo de acción (hipótesis):</w:t>
      </w:r>
      <w:r>
        <w:t xml:space="preserve"> </w:t>
      </w:r>
      <w:r>
        <w:t xml:space="preserve">imitaría el efecto lipolítico de la hormona del crecimiento, sin su efecto sobre la glucemia y el crecimiento.</w:t>
      </w:r>
    </w:p>
    <w:p>
      <w:pPr>
        <w:numPr>
          <w:ilvl w:val="0"/>
          <w:numId w:val="1104"/>
        </w:numPr>
        <w:pStyle w:val="Compact"/>
      </w:pPr>
      <w:r>
        <w:rPr>
          <w:bCs/>
          <w:b/>
        </w:rPr>
        <w:t xml:space="preserve">Autorización UE / EE. UU.:</w:t>
      </w:r>
      <w:r>
        <w:t xml:space="preserve"> </w:t>
      </w:r>
      <w:r>
        <w:t xml:space="preserve">no. Su desarrollo como medicamento se interrumpió tras los estudios de fase 2.</w:t>
      </w:r>
    </w:p>
    <w:p>
      <w:pPr>
        <w:numPr>
          <w:ilvl w:val="0"/>
          <w:numId w:val="1104"/>
        </w:numPr>
        <w:pStyle w:val="Compact"/>
      </w:pPr>
      <w:r>
        <w:rPr>
          <w:bCs/>
          <w:b/>
        </w:rPr>
        <w:t xml:space="preserve">AMA (WADA):</w:t>
      </w:r>
      <w:r>
        <w:t xml:space="preserve"> </w:t>
      </w:r>
      <w:r>
        <w:t xml:space="preserve">prohibido; los fragmentos de la hormona del crecimiento como el AOD-9604 se mencionan expresamente en la Lista de Prohibiciones, en la clase S2.</w:t>
      </w:r>
    </w:p>
    <w:p>
      <w:pPr>
        <w:numPr>
          <w:ilvl w:val="0"/>
          <w:numId w:val="1104"/>
        </w:numPr>
        <w:pStyle w:val="Compact"/>
      </w:pPr>
      <w:r>
        <w:rPr>
          <w:bCs/>
          <w:b/>
        </w:rPr>
        <w:t xml:space="preserve">Nivel de evidencia:</w:t>
      </w:r>
      <w:r>
        <w:t xml:space="preserve"> </w:t>
      </w:r>
      <w:r>
        <w:rPr>
          <w:bCs/>
          <w:b/>
        </w:rPr>
        <w:t xml:space="preserve">D</w:t>
      </w:r>
      <w:r>
        <w:t xml:space="preserve"> </w:t>
      </w:r>
      <w:r>
        <w:t xml:space="preserve">– no hay resultados publicados de estudios en humanos localizables en PubMed; datos de estudios en animales y de laboratorio.</w:t>
      </w:r>
    </w:p>
    <w:bookmarkEnd w:id="832"/>
    <w:bookmarkStart w:id="836" w:name="cómo-se-supone-que-actúa-13"/>
    <w:p>
      <w:pPr>
        <w:pStyle w:val="Heading3"/>
      </w:pPr>
      <w:r>
        <w:t xml:space="preserve">Cómo se supone que actúa</w:t>
      </w:r>
    </w:p>
    <w:p>
      <w:pPr>
        <w:pStyle w:val="FirstParagraph"/>
      </w:pPr>
      <w:r>
        <w:t xml:space="preserve">La hormona del crecimiento (hGH) tiene muchos efectos: favorece el crecimiento longitudinal, actúa sobre los músculos y los huesos, estimula la combustión de grasa y eleva la glucemia al debilitar el efecto de la insulina. Ya en las décadas de 1970 y 1980, los investigadores estudiaron en animales si distintos segmentos de la hormona eran responsables de efectos parciales diferentes. Es llamativo que, en un estudio en ratas, versiones modificadas químicamente precisamente de este segmento (aminoácidos 177 a 191) provocaran una glucemia elevada y resistencia a la insulina</w:t>
      </w:r>
      <w:r>
        <w:rPr>
          <w:rStyle w:val="FootnoteReference"/>
        </w:rPr>
        <w:footnoteReference w:id="833"/>
      </w:r>
      <w:r>
        <w:t xml:space="preserve">, es decir, justamente el efecto que el AOD-9604 debía evitar más tarde. Al parecer, los resultados dependen mucho de la forma química exacta del péptido.</w:t>
      </w:r>
    </w:p>
    <w:p>
      <w:pPr>
        <w:pStyle w:val="BodyText"/>
      </w:pPr>
      <w:r>
        <w:t xml:space="preserve">La idea detrás del AOD-9604: un trozo corto del extremo de la hormona conservaría solo el efecto lipolítico. Los estudios de laboratorio mostraron que el AOD-9604 no se une al receptor de la hormona del crecimiento ni estimula allí la división celular</w:t>
      </w:r>
      <w:r>
        <w:rPr>
          <w:rStyle w:val="FootnoteReference"/>
        </w:rPr>
        <w:footnoteReference w:id="834"/>
      </w:r>
      <w:r>
        <w:t xml:space="preserve">. Por tanto, no sería una «pequeña hormona del crecimiento», sino una molécula con un mecanismo de acción propio que aún no se comprende del todo. En experimentos con ratones sin adrenorreceptor beta-3 (un receptor importante para la degradación de grasa), no se produjo el efecto reductor del peso a largo plazo; los autores concluyeron que el receptor está implicado, pero no es la diana directa</w:t>
      </w:r>
      <w:r>
        <w:rPr>
          <w:rStyle w:val="FootnoteReference"/>
        </w:rPr>
        <w:footnoteReference w:id="835"/>
      </w:r>
      <w:r>
        <w:t xml:space="preserve">.</w:t>
      </w:r>
    </w:p>
    <w:bookmarkEnd w:id="836"/>
    <w:bookmarkStart w:id="838" w:name="estudios-en-humanos-13"/>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w:t>
      </w:r>
      <w:r>
        <w:t xml:space="preserve"> </w:t>
      </w:r>
      <w:r>
        <w:rPr>
          <w:bCs/>
          <w:b/>
        </w:rPr>
        <w:t xml:space="preserve">no</w:t>
      </w:r>
      <w:r>
        <w:t xml:space="preserve"> </w:t>
      </w:r>
      <w:r>
        <w:t xml:space="preserve">arrojó ningún estudio en humanos publicado. En ClinicalTrials.gov no hay ningún estudio registrado con «AOD9604» o «AOD-9604».</w:t>
      </w:r>
    </w:p>
    <w:p>
      <w:pPr>
        <w:pStyle w:val="BodyText"/>
      </w:pPr>
      <w:r>
        <w:t xml:space="preserve">Esto no significa que el AOD-9604 nunca se haya probado en humanos. Revisiones de los años 2004 a 2006 informan de que el AOD-9604 se encontraba en estudios de fase 2 para el tratamiento de la obesidad</w:t>
      </w:r>
      <w:r>
        <w:rPr>
          <w:rStyle w:val="FootnoteReference"/>
        </w:rPr>
        <w:footnoteReference w:id="837"/>
      </w:r>
      <w:r>
        <w:t xml:space="preserve">. Sin embargo, los resultados de estos estudios no se publicaron en una revista revisada por pares e indexada en PubMed. Según información de acceso público, el desarrollador interrumpió el programa para adelgazar en la segunda mitad de la década de 2000 porque no se observó un efecto suficiente. Como estos datos no proceden de una publicación de estudio verificable, este libro no menciona cifras al respecto.</w:t>
      </w:r>
    </w:p>
    <w:p>
      <w:pPr>
        <w:pStyle w:val="BodyText"/>
      </w:pPr>
      <w:r>
        <w:t xml:space="preserve">Para los lectores, esto significa: quien hoy recibe una oferta de AOD-9604 como péptido para adelgazar o «quemagrasas» no puede apoyarse en ningún estudio en humanos publicado que demuestre un efecto.</w:t>
      </w:r>
    </w:p>
    <w:bookmarkEnd w:id="838"/>
    <w:bookmarkStart w:id="843" w:name="estudios-en-animales-y-de-laboratorio-13"/>
    <w:p>
      <w:pPr>
        <w:pStyle w:val="Heading3"/>
      </w:pPr>
      <w:r>
        <w:t xml:space="preserve">Estudios en animales y de laboratorio</w:t>
      </w:r>
    </w:p>
    <w:p>
      <w:pPr>
        <w:pStyle w:val="FirstParagraph"/>
      </w:pPr>
      <w:r>
        <w:t xml:space="preserve">Todos los resultados siguientes proceden de experimentos con animales o estudios de laboratorio:</w:t>
      </w:r>
    </w:p>
    <w:p>
      <w:pPr>
        <w:numPr>
          <w:ilvl w:val="0"/>
          <w:numId w:val="1105"/>
        </w:numPr>
        <w:pStyle w:val="Compact"/>
      </w:pPr>
      <w:r>
        <w:rPr>
          <w:bCs/>
          <w:b/>
        </w:rPr>
        <w:t xml:space="preserve">En ratas con sobrepeso</w:t>
      </w:r>
      <w:r>
        <w:t xml:space="preserve"> </w:t>
      </w:r>
      <w:r>
        <w:t xml:space="preserve">(ratas Zucker), el AOD-9604, administrado con el alimento durante 19 días, redujo el aumento de peso en más de la mitad; el tejido adiposo mostró una mayor actividad lipolítica. A diferencia de lo que ocurre con la hormona del crecimiento completa, la sensibilidad a la insulina no empeoró</w:t>
      </w:r>
      <w:r>
        <w:rPr>
          <w:rStyle w:val="FootnoteReference"/>
        </w:rPr>
        <w:footnoteReference w:id="839"/>
      </w:r>
      <w:r>
        <w:t xml:space="preserve">.</w:t>
      </w:r>
    </w:p>
    <w:p>
      <w:pPr>
        <w:numPr>
          <w:ilvl w:val="0"/>
          <w:numId w:val="1105"/>
        </w:numPr>
        <w:pStyle w:val="Compact"/>
      </w:pPr>
      <w:r>
        <w:rPr>
          <w:bCs/>
          <w:b/>
        </w:rPr>
        <w:t xml:space="preserve">En ratones con sobrepeso</w:t>
      </w:r>
      <w:r>
        <w:t xml:space="preserve">, tanto la hormona del crecimiento como el AOD-9604 redujeron durante 14 días el aumento de peso e incrementaron la combustión de grasa. A diferencia de la hormona del crecimiento, el AOD-9604 no provocó una glucemia elevada</w:t>
      </w:r>
      <w:r>
        <w:rPr>
          <w:rStyle w:val="FootnoteReference"/>
        </w:rPr>
        <w:footnoteReference w:id="840"/>
      </w:r>
      <w:r>
        <w:t xml:space="preserve">.</w:t>
      </w:r>
    </w:p>
    <w:p>
      <w:pPr>
        <w:numPr>
          <w:ilvl w:val="0"/>
          <w:numId w:val="1105"/>
        </w:numPr>
        <w:pStyle w:val="Compact"/>
      </w:pPr>
      <w:r>
        <w:rPr>
          <w:bCs/>
          <w:b/>
        </w:rPr>
        <w:t xml:space="preserve">Trabajos previos más antiguos</w:t>
      </w:r>
      <w:r>
        <w:t xml:space="preserve"> </w:t>
      </w:r>
      <w:r>
        <w:t xml:space="preserve">en ratones con el péptido emparentado hGH 177–191 mostraron un menor aumento del peso corporal y del tejido adiposo</w:t>
      </w:r>
      <w:r>
        <w:rPr>
          <w:rStyle w:val="FootnoteReference"/>
        </w:rPr>
        <w:footnoteReference w:id="841"/>
      </w:r>
      <w:r>
        <w:t xml:space="preserve">.</w:t>
      </w:r>
    </w:p>
    <w:p>
      <w:pPr>
        <w:numPr>
          <w:ilvl w:val="0"/>
          <w:numId w:val="1105"/>
        </w:numPr>
        <w:pStyle w:val="Compact"/>
      </w:pPr>
      <w:r>
        <w:rPr>
          <w:bCs/>
          <w:b/>
        </w:rPr>
        <w:t xml:space="preserve">En conejos</w:t>
      </w:r>
      <w:r>
        <w:t xml:space="preserve"> </w:t>
      </w:r>
      <w:r>
        <w:t xml:space="preserve">con artrosis de rodilla inducida artificialmente, las inyecciones de AOD-9604 en la articulación –solas o junto con ácido hialurónico– mejoraron el estado del cartílago</w:t>
      </w:r>
      <w:r>
        <w:rPr>
          <w:rStyle w:val="FootnoteReference"/>
        </w:rPr>
        <w:footnoteReference w:id="842"/>
      </w:r>
      <w:r>
        <w:t xml:space="preserve">. En internet, este hallazgo se cita a menudo como prueba de un efecto «regenerador articular» en humanos; no existe ningún estudio de ese tipo en humanos.</w:t>
      </w:r>
    </w:p>
    <w:p>
      <w:pPr>
        <w:pStyle w:val="FirstParagraph"/>
      </w:pPr>
      <w:r>
        <w:t xml:space="preserve">Los estudios en animales son pequeños, en parte antiguos y proceden mayoritariamente del entorno de los desarrolladores.</w:t>
      </w:r>
    </w:p>
    <w:bookmarkEnd w:id="843"/>
    <w:bookmarkStart w:id="849" w:name="riesgos-y-efectos-adversos-13"/>
    <w:p>
      <w:pPr>
        <w:pStyle w:val="Heading3"/>
      </w:pPr>
      <w:r>
        <w:t xml:space="preserve">Riesgos y efectos adversos</w:t>
      </w:r>
    </w:p>
    <w:p>
      <w:pPr>
        <w:pStyle w:val="FirstParagraph"/>
      </w:pPr>
      <w:r>
        <w:rPr>
          <w:bCs/>
          <w:b/>
        </w:rPr>
        <w:t xml:space="preserve">Demostrado:</w:t>
      </w:r>
      <w:r>
        <w:t xml:space="preserve"> </w:t>
      </w:r>
      <w:r>
        <w:t xml:space="preserve">a falta de estudios en humanos publicados, no existen datos sólidos sobre efectos secundarios en humanos.</w:t>
      </w:r>
    </w:p>
    <w:p>
      <w:pPr>
        <w:pStyle w:val="BodyText"/>
      </w:pPr>
      <w:r>
        <w:rPr>
          <w:bCs/>
          <w:b/>
        </w:rPr>
        <w:t xml:space="preserve">A partir de análisis de productos del mercado gris y del control antidopaje:</w:t>
      </w:r>
    </w:p>
    <w:p>
      <w:pPr>
        <w:numPr>
          <w:ilvl w:val="0"/>
          <w:numId w:val="1106"/>
        </w:numPr>
        <w:pStyle w:val="Compact"/>
      </w:pPr>
      <w:r>
        <w:t xml:space="preserve">El AOD-9604 se ofrece desde hace años a través de páginas de internet y se ha encontrado en viales incautados, entre otros lugares en EE. UU.</w:t>
      </w:r>
      <w:r>
        <w:rPr>
          <w:rStyle w:val="FootnoteReference"/>
        </w:rPr>
        <w:footnoteReference w:id="844"/>
      </w:r>
      <w:r>
        <w:t xml:space="preserve"> </w:t>
      </w:r>
      <w:r>
        <w:t xml:space="preserve">y en Bélgica, donde las autoridades analizaron preparados peptídicos desconocidos</w:t>
      </w:r>
      <w:r>
        <w:rPr>
          <w:rStyle w:val="FootnoteReference"/>
        </w:rPr>
        <w:footnoteReference w:id="845"/>
      </w:r>
      <w:r>
        <w:t xml:space="preserve">.</w:t>
      </w:r>
    </w:p>
    <w:p>
      <w:pPr>
        <w:numPr>
          <w:ilvl w:val="0"/>
          <w:numId w:val="1106"/>
        </w:numPr>
        <w:pStyle w:val="Compact"/>
      </w:pPr>
      <w:r>
        <w:t xml:space="preserve">Las revisiones sobre péptidos en el deporte y en el mercado gris subrayan que para el AOD-9604 y principios activos similares apenas existen datos de seguridad sólidos en humanos y que la composición, la dosis y la pureza de los productos son inciertas</w:t>
      </w:r>
      <w:r>
        <w:rPr>
          <w:rStyle w:val="FootnoteReference"/>
        </w:rPr>
        <w:footnoteReference w:id="846"/>
      </w:r>
      <w:r>
        <w:t xml:space="preserve">. Otra revisión advierte de productos mal etiquetados o contaminados en el comercio no regulado</w:t>
      </w:r>
      <w:r>
        <w:rPr>
          <w:rStyle w:val="FootnoteReference"/>
        </w:rPr>
        <w:footnoteReference w:id="847"/>
      </w:r>
      <w:r>
        <w:t xml:space="preserve">.</w:t>
      </w:r>
    </w:p>
    <w:p>
      <w:pPr>
        <w:pStyle w:val="FirstParagraph"/>
      </w:pPr>
      <w:r>
        <w:rPr>
          <w:bCs/>
          <w:b/>
        </w:rPr>
        <w:t xml:space="preserve">Teórico:</w:t>
      </w:r>
      <w:r>
        <w:t xml:space="preserve"> </w:t>
      </w:r>
      <w:r>
        <w:t xml:space="preserve">con cualquier producto inyectable de fabricación no controlada existen riesgos por contaminantes, bacterias o ingredientes incorrectos (véanse la Parte I y la Parte IV). No se ha estudiado en humanos si el AOD-9604, como la hormona del crecimiento, influye a largo plazo en el metabolismo o en el crecimiento celular. Los datos de laboratorio hablan en contra de un efecto directo sobre el receptor de la hormona del crecimiento</w:t>
      </w:r>
      <w:r>
        <w:rPr>
          <w:rStyle w:val="FootnoteReference"/>
        </w:rPr>
        <w:footnoteReference w:id="848"/>
      </w:r>
      <w:r>
        <w:t xml:space="preserve">.</w:t>
      </w:r>
    </w:p>
    <w:bookmarkEnd w:id="849"/>
    <w:bookmarkStart w:id="852" w:name="situación-legal-13"/>
    <w:p>
      <w:pPr>
        <w:pStyle w:val="Heading3"/>
      </w:pPr>
      <w:r>
        <w:t xml:space="preserve">Situación legal</w:t>
      </w:r>
    </w:p>
    <w:p>
      <w:pPr>
        <w:numPr>
          <w:ilvl w:val="0"/>
          <w:numId w:val="1107"/>
        </w:numPr>
        <w:pStyle w:val="Compact"/>
      </w:pPr>
      <w:r>
        <w:rPr>
          <w:bCs/>
          <w:b/>
        </w:rPr>
        <w:t xml:space="preserve">UE / Austria / Alemania:</w:t>
      </w:r>
      <w:r>
        <w:t xml:space="preserve"> </w:t>
      </w:r>
      <w:r>
        <w:t xml:space="preserve">no autorizado como medicamento. Los productos que se ofrecen para uso en humanos no pueden comercializarse según la legislación farmacéutica; las indicaciones «for research use only» no cambian nada.</w:t>
      </w:r>
    </w:p>
    <w:p>
      <w:pPr>
        <w:numPr>
          <w:ilvl w:val="0"/>
          <w:numId w:val="1107"/>
        </w:numPr>
        <w:pStyle w:val="Compact"/>
      </w:pPr>
      <w:r>
        <w:rPr>
          <w:bCs/>
          <w:b/>
        </w:rPr>
        <w:t xml:space="preserve">EE. UU.:</w:t>
      </w:r>
      <w:r>
        <w:t xml:space="preserve"> </w:t>
      </w:r>
      <w:r>
        <w:t xml:space="preserve">no autorizado como medicamento. La FDA ha incluido el AOD-9604 en la lista de sustancias que, por motivos de seguridad, las farmacias no pueden utilizar sin más para elaborar medicamentos.</w:t>
      </w:r>
    </w:p>
    <w:p>
      <w:pPr>
        <w:numPr>
          <w:ilvl w:val="0"/>
          <w:numId w:val="1107"/>
        </w:numPr>
        <w:pStyle w:val="Compact"/>
      </w:pPr>
      <w:r>
        <w:rPr>
          <w:bCs/>
          <w:b/>
        </w:rPr>
        <w:t xml:space="preserve">Deporte:</w:t>
      </w:r>
      <w:r>
        <w:t xml:space="preserve"> </w:t>
      </w:r>
      <w:r>
        <w:t xml:space="preserve">expresamente prohibido (Lista de Prohibiciones de la AMA, clase S2 – hormonas peptídicas, factores de crecimiento, sustancias relacionadas; fragmentos de la hormona del crecimiento). El AOD-9604 llegó a conocimiento de un público más amplio por el escándalo de dopaje del club australiano de fútbol australiano Essendon en 2013. Para los controles antidopaje se desarrollaron métodos de detección específicos en orina</w:t>
      </w:r>
      <w:r>
        <w:rPr>
          <w:rStyle w:val="FootnoteReference"/>
        </w:rPr>
        <w:footnoteReference w:id="850"/>
      </w:r>
      <w:r>
        <w:t xml:space="preserve">. La prueba habitual de la hormona del crecimiento no se ve afectada por el AOD-9604</w:t>
      </w:r>
      <w:r>
        <w:rPr>
          <w:rStyle w:val="FootnoteReference"/>
        </w:rPr>
        <w:footnoteReference w:id="851"/>
      </w:r>
      <w:r>
        <w:t xml:space="preserve">, por lo que el fragmento debe buscarse de forma específica. Situación en 2026, compruébalo en su versión actual.</w:t>
      </w:r>
    </w:p>
    <w:bookmarkEnd w:id="852"/>
    <w:bookmarkStart w:id="853" w:name="estudios-en-curso-y-perspectivas-13"/>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en curso sobre el AOD-9604 (consulta de octubre de 2026).</w:t>
      </w:r>
    </w:p>
    <w:p>
      <w:pPr>
        <w:pStyle w:val="BodyText"/>
      </w:pPr>
      <w:r>
        <w:rPr>
          <w:bCs/>
          <w:b/>
        </w:rPr>
        <w:t xml:space="preserve">Valoración:</w:t>
      </w:r>
      <w:r>
        <w:t xml:space="preserve"> </w:t>
      </w:r>
      <w:r>
        <w:t xml:space="preserve">no se vislumbra ninguna vía por la que el AOD-9604 pueda convertirse en un medicamento autorizado en un futuro previsible. Con los principios activos basados en GLP-1 existen hoy medicamentos para adelgazar con una eficacia grande y bien documentada; un péptido cuyo propio desarrollo como producto para adelgazar no tuvo éxito difícilmente despertará un nuevo interés inversor. Por ello, el AOD-9604 seguirá siendo previsiblemente un producto del mercado gris.</w:t>
      </w:r>
    </w:p>
    <w:bookmarkEnd w:id="853"/>
    <w:bookmarkStart w:id="854" w:name="conclusión-13"/>
    <w:p>
      <w:pPr>
        <w:pStyle w:val="Heading3"/>
      </w:pPr>
      <w:r>
        <w:t xml:space="preserve">Conclusión</w:t>
      </w:r>
    </w:p>
    <w:p>
      <w:pPr>
        <w:pStyle w:val="FirstParagraph"/>
      </w:pPr>
      <w:r>
        <w:t xml:space="preserve">El AOD-9604 es un trozo corto de la hormona del crecimiento que, en ratas y ratones, estimuló la degradación de grasa sin elevar la glucemia. Aunque en la década de 2000 se realizaron estudios en humanos, sus resultados no se han publicado en revistas revisadas por pares y su desarrollo como medicamento para adelgazar se interrumpió. Por tanto, faltan por completo datos sólidos sobre la eficacia y la seguridad en humanos. El AOD-9604 no está autorizado como medicamento en ningún lugar y está expresamente prohibido en el deporte.</w:t>
      </w:r>
    </w:p>
    <w:bookmarkEnd w:id="854"/>
    <w:bookmarkEnd w:id="855"/>
    <w:bookmarkStart w:id="892" w:name="orforglipron-a-modo-de-comparación"/>
    <w:p>
      <w:pPr>
        <w:pStyle w:val="Heading2"/>
      </w:pPr>
      <w:r>
        <w:t xml:space="preserve">Orforglipron (a modo de comparación)</w:t>
      </w:r>
    </w:p>
    <w:bookmarkStart w:id="856" w:name="ficha-14"/>
    <w:p>
      <w:pPr>
        <w:pStyle w:val="Heading3"/>
      </w:pPr>
      <w:r>
        <w:t xml:space="preserve">Ficha</w:t>
      </w:r>
    </w:p>
    <w:p>
      <w:pPr>
        <w:numPr>
          <w:ilvl w:val="0"/>
          <w:numId w:val="1108"/>
        </w:numPr>
        <w:pStyle w:val="Compact"/>
      </w:pPr>
      <w:r>
        <w:rPr>
          <w:bCs/>
          <w:b/>
        </w:rPr>
        <w:t xml:space="preserve">Tipo/estructura:</w:t>
      </w:r>
      <w:r>
        <w:t xml:space="preserve"> </w:t>
      </w:r>
      <w:r>
        <w:rPr>
          <w:bCs/>
          <w:b/>
        </w:rPr>
        <w:t xml:space="preserve">no es un péptido</w:t>
      </w:r>
      <w:r>
        <w:t xml:space="preserve">, sino una molécula pequeña de síntesis química («small molecule») que actúa sobre el receptor de GLP-1 como un péptido. Código de desarrollo LY3502970. Toma una vez al día en comprimido o cápsula.</w:t>
      </w:r>
    </w:p>
    <w:p>
      <w:pPr>
        <w:numPr>
          <w:ilvl w:val="0"/>
          <w:numId w:val="1108"/>
        </w:numPr>
        <w:pStyle w:val="Compact"/>
      </w:pPr>
      <w:r>
        <w:rPr>
          <w:bCs/>
          <w:b/>
        </w:rPr>
        <w:t xml:space="preserve">Origen:</w:t>
      </w:r>
      <w:r>
        <w:t xml:space="preserve"> </w:t>
      </w:r>
      <w:r>
        <w:t xml:space="preserve">descubierto originalmente por Chugai Pharmaceutical, licenciado y desarrollado por Eli Lilly.</w:t>
      </w:r>
    </w:p>
    <w:p>
      <w:pPr>
        <w:numPr>
          <w:ilvl w:val="0"/>
          <w:numId w:val="1108"/>
        </w:numPr>
        <w:pStyle w:val="Compact"/>
      </w:pPr>
      <w:r>
        <w:rPr>
          <w:bCs/>
          <w:b/>
        </w:rPr>
        <w:t xml:space="preserve">Mecanismo de acción:</w:t>
      </w:r>
      <w:r>
        <w:t xml:space="preserve"> </w:t>
      </w:r>
      <w:r>
        <w:t xml:space="preserve">agonista del receptor de GLP-1, la misma diana que la semaglutida o la liraglutida, pero con una estructura química completamente diferente.</w:t>
      </w:r>
    </w:p>
    <w:p>
      <w:pPr>
        <w:numPr>
          <w:ilvl w:val="0"/>
          <w:numId w:val="1108"/>
        </w:numPr>
        <w:pStyle w:val="Compact"/>
      </w:pPr>
      <w:r>
        <w:rPr>
          <w:bCs/>
          <w:b/>
        </w:rPr>
        <w:t xml:space="preserve">Autorización UE / EE. UU.:</w:t>
      </w:r>
      <w:r>
        <w:t xml:space="preserve"> </w:t>
      </w:r>
      <w:r>
        <w:t xml:space="preserve">según la información recopilada para este libro (octubre de 2026), no consta como autorizado; se han presentado o anunciado solicitudes de autorización sobre la base de los estudios de fase 3; compruébalo en su versión actual.</w:t>
      </w:r>
    </w:p>
    <w:p>
      <w:pPr>
        <w:numPr>
          <w:ilvl w:val="0"/>
          <w:numId w:val="1108"/>
        </w:numPr>
        <w:pStyle w:val="Compact"/>
      </w:pPr>
      <w:r>
        <w:rPr>
          <w:bCs/>
          <w:b/>
        </w:rPr>
        <w:t xml:space="preserve">AMA (WADA):</w:t>
      </w:r>
      <w:r>
        <w:t xml:space="preserve"> </w:t>
      </w:r>
      <w:r>
        <w:t xml:space="preserve">no figura por su nombre; mientras no esté autorizado en ningún país, está prohibido en la clase S0.</w:t>
      </w:r>
    </w:p>
    <w:p>
      <w:pPr>
        <w:numPr>
          <w:ilvl w:val="0"/>
          <w:numId w:val="1108"/>
        </w:numPr>
        <w:pStyle w:val="Compact"/>
      </w:pPr>
      <w:r>
        <w:rPr>
          <w:bCs/>
          <w:b/>
        </w:rPr>
        <w:t xml:space="preserve">Nivel de evidencia:</w:t>
      </w:r>
      <w:r>
        <w:t xml:space="preserve"> </w:t>
      </w:r>
      <w:r>
        <w:rPr>
          <w:bCs/>
          <w:b/>
        </w:rPr>
        <w:t xml:space="preserve">A</w:t>
      </w:r>
      <w:r>
        <w:t xml:space="preserve"> </w:t>
      </w:r>
      <w:r>
        <w:t xml:space="preserve">según los datos disponibles (varios grandes estudios de fase 3, incluido un estudio de seguridad cardiovascular); la autorización formal aún está pendiente o debe comprobarse.</w:t>
      </w:r>
    </w:p>
    <w:bookmarkEnd w:id="856"/>
    <w:bookmarkStart w:id="858" w:name="X05eff9d45353f907606529727efb1e856867e2d"/>
    <w:p>
      <w:pPr>
        <w:pStyle w:val="Heading3"/>
      </w:pPr>
      <w:r>
        <w:t xml:space="preserve">Por qué este capítulo figura en un libro sobre péptidos</w:t>
      </w:r>
    </w:p>
    <w:p>
      <w:pPr>
        <w:pStyle w:val="FirstParagraph"/>
      </w:pPr>
      <w:r>
        <w:t xml:space="preserve">Todos los fármacos GLP-1 hasta 2025 eran péptidos. Los péptidos se digieren en gran parte en el tracto gastrointestinal y apenas se absorben; por eso deben inyectarse. La única excepción, la semaglutida en comprimidos, necesita un excipiente que facilite la absorción a través de la mucosa gástrica y unas normas de toma estrictas: en ayunas, con poca agua y con antelación al desayuno (véanse el capítulo Semaglutida y la Parte I sobre la cuestión de cómo llegan los péptidos al organismo).</w:t>
      </w:r>
    </w:p>
    <w:p>
      <w:pPr>
        <w:pStyle w:val="BodyText"/>
      </w:pPr>
      <w:r>
        <w:t xml:space="preserve">El orforglipron evita este problema por principio: como molécula pequeña, se absorbe desde el intestino como un comprimido convencional. Según los estudios, puede tomarse sin tener en cuenta las comidas ni la cantidad de agua</w:t>
      </w:r>
      <w:r>
        <w:rPr>
          <w:rStyle w:val="FootnoteReference"/>
        </w:rPr>
        <w:footnoteReference w:id="857"/>
      </w:r>
      <w:r>
        <w:t xml:space="preserve">. Por ello, el orforglipron es el caso de comparación más importante para la cuestión de si el futuro de los medicamentos para adelgazar está realmente en los péptidos (véase la Parte V).</w:t>
      </w:r>
    </w:p>
    <w:bookmarkEnd w:id="858"/>
    <w:bookmarkStart w:id="860" w:name="cómo-se-supone-que-actúa-14"/>
    <w:p>
      <w:pPr>
        <w:pStyle w:val="Heading3"/>
      </w:pPr>
      <w:r>
        <w:t xml:space="preserve">Cómo se supone que actúa</w:t>
      </w:r>
    </w:p>
    <w:p>
      <w:pPr>
        <w:pStyle w:val="FirstParagraph"/>
      </w:pPr>
      <w:r>
        <w:t xml:space="preserve">El orforglipron se une al receptor de GLP-1 y desencadena efectos similares a los de los agonistas peptídicos: menos apetito, vaciamiento gástrico retrasado y más insulina de forma dependiente de la glucemia. Solo activa el receptor de GLP-1, no los receptores de GIP ni de glucagón. Estudios en personas con diabetes tipo 2 mostraron mejoras en marcadores de la función de las células beta y de la sensibilidad a la insulina</w:t>
      </w:r>
      <w:r>
        <w:rPr>
          <w:rStyle w:val="FootnoteReference"/>
        </w:rPr>
        <w:footnoteReference w:id="859"/>
      </w:r>
      <w:r>
        <w:t xml:space="preserve">.</w:t>
      </w:r>
    </w:p>
    <w:bookmarkEnd w:id="860"/>
    <w:bookmarkStart w:id="871" w:name="estudios-en-humanos-14"/>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20 estudios en humanos. En ClinicalTrials.gov había 53 estudios registrados. Los programas de registro se denominan</w:t>
      </w:r>
      <w:r>
        <w:t xml:space="preserve"> </w:t>
      </w:r>
      <w:r>
        <w:rPr>
          <w:bCs/>
          <w:b/>
        </w:rPr>
        <w:t xml:space="preserve">ATTAIN</w:t>
      </w:r>
      <w:r>
        <w:t xml:space="preserve"> </w:t>
      </w:r>
      <w:r>
        <w:t xml:space="preserve">(obesidad) y</w:t>
      </w:r>
      <w:r>
        <w:t xml:space="preserve"> </w:t>
      </w:r>
      <w:r>
        <w:rPr>
          <w:bCs/>
          <w:b/>
        </w:rPr>
        <w:t xml:space="preserve">ACHIEVE</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obesidad (Wharton 2023), PMID 37351564</w:t>
            </w:r>
          </w:p>
        </w:tc>
        <w:tc>
          <w:tcPr/>
          <w:p>
            <w:pPr>
              <w:pStyle w:val="Compact"/>
              <w:jc w:val="left"/>
            </w:pPr>
            <w:r>
              <w:t xml:space="preserve">272 adultos sin diabetes, frente a placebo</w:t>
            </w:r>
          </w:p>
        </w:tc>
        <w:tc>
          <w:tcPr/>
          <w:p>
            <w:pPr>
              <w:pStyle w:val="Compact"/>
              <w:jc w:val="left"/>
            </w:pPr>
            <w:r>
              <w:t xml:space="preserve">36 semanas</w:t>
            </w:r>
          </w:p>
        </w:tc>
        <w:tc>
          <w:tcPr/>
          <w:p>
            <w:pPr>
              <w:pStyle w:val="Compact"/>
              <w:jc w:val="left"/>
            </w:pPr>
            <w:r>
              <w:t xml:space="preserve">−9,4 a −14,7 % de peso frente a −2,3 %</w:t>
            </w:r>
          </w:p>
        </w:tc>
      </w:tr>
      <w:tr>
        <w:tc>
          <w:tcPr/>
          <w:p>
            <w:pPr>
              <w:pStyle w:val="Compact"/>
              <w:jc w:val="left"/>
            </w:pPr>
            <w:r>
              <w:t xml:space="preserve">ATTAIN-1 (Wharton 2025), PMID 40960239</w:t>
            </w:r>
          </w:p>
        </w:tc>
        <w:tc>
          <w:tcPr/>
          <w:p>
            <w:pPr>
              <w:pStyle w:val="Compact"/>
              <w:jc w:val="left"/>
            </w:pPr>
            <w:r>
              <w:t xml:space="preserve">3127 adultos con obesidad sin diabetes, frente a placebo</w:t>
            </w:r>
          </w:p>
        </w:tc>
        <w:tc>
          <w:tcPr/>
          <w:p>
            <w:pPr>
              <w:pStyle w:val="Compact"/>
              <w:jc w:val="left"/>
            </w:pPr>
            <w:r>
              <w:t xml:space="preserve">72 semanas</w:t>
            </w:r>
          </w:p>
        </w:tc>
        <w:tc>
          <w:tcPr/>
          <w:p>
            <w:pPr>
              <w:pStyle w:val="Compact"/>
              <w:jc w:val="left"/>
            </w:pPr>
            <w:r>
              <w:t xml:space="preserve">−7,5 / −8,4 / −11,2 % frente a −2,1 %</w:t>
            </w:r>
          </w:p>
        </w:tc>
      </w:tr>
      <w:tr>
        <w:tc>
          <w:tcPr/>
          <w:p>
            <w:pPr>
              <w:pStyle w:val="Compact"/>
              <w:jc w:val="left"/>
            </w:pPr>
            <w:r>
              <w:t xml:space="preserve">ATTAIN-2 (Horn 2026), PMID 41275875</w:t>
            </w:r>
          </w:p>
        </w:tc>
        <w:tc>
          <w:tcPr/>
          <w:p>
            <w:pPr>
              <w:pStyle w:val="Compact"/>
              <w:jc w:val="left"/>
            </w:pPr>
            <w:r>
              <w:t xml:space="preserve">1613 adultos con obesidad y diabetes tipo 2</w:t>
            </w:r>
          </w:p>
        </w:tc>
        <w:tc>
          <w:tcPr/>
          <w:p>
            <w:pPr>
              <w:pStyle w:val="Compact"/>
              <w:jc w:val="left"/>
            </w:pPr>
            <w:r>
              <w:t xml:space="preserve">72 semanas</w:t>
            </w:r>
          </w:p>
        </w:tc>
        <w:tc>
          <w:tcPr/>
          <w:p>
            <w:pPr>
              <w:pStyle w:val="Compact"/>
              <w:jc w:val="left"/>
            </w:pPr>
            <w:r>
              <w:t xml:space="preserve">−5,1 / −7,0 / −9,6 % frente a −2,5 %</w:t>
            </w:r>
          </w:p>
        </w:tc>
      </w:tr>
      <w:tr>
        <w:tc>
          <w:tcPr/>
          <w:p>
            <w:pPr>
              <w:pStyle w:val="Compact"/>
              <w:jc w:val="left"/>
            </w:pPr>
            <w:r>
              <w:t xml:space="preserve">ATTAIN-MAINTAIN (Aronne 2026), PMID 42120723</w:t>
            </w:r>
          </w:p>
        </w:tc>
        <w:tc>
          <w:tcPr/>
          <w:p>
            <w:pPr>
              <w:pStyle w:val="Compact"/>
              <w:jc w:val="left"/>
            </w:pPr>
            <w:r>
              <w:t xml:space="preserve">376 adultos tras tirzepatida o semaglutida, cambio frente a placebo</w:t>
            </w:r>
          </w:p>
        </w:tc>
        <w:tc>
          <w:tcPr/>
          <w:p>
            <w:pPr>
              <w:pStyle w:val="Compact"/>
              <w:jc w:val="left"/>
            </w:pPr>
            <w:r>
              <w:t xml:space="preserve">52 semanas</w:t>
            </w:r>
          </w:p>
        </w:tc>
        <w:tc>
          <w:tcPr/>
          <w:p>
            <w:pPr>
              <w:pStyle w:val="Compact"/>
              <w:jc w:val="left"/>
            </w:pPr>
            <w:r>
              <w:t xml:space="preserve">se mantuvo el 74,7 % y el 79,3 % de la pérdida de peso (placebo 49,2 % y 37,6 %)</w:t>
            </w:r>
          </w:p>
        </w:tc>
      </w:tr>
      <w:tr>
        <w:tc>
          <w:tcPr/>
          <w:p>
            <w:pPr>
              <w:pStyle w:val="Compact"/>
              <w:jc w:val="left"/>
            </w:pPr>
            <w:r>
              <w:t xml:space="preserve">ACHIEVE-1 (Rosenstock 2025), PMID 40544435</w:t>
            </w:r>
          </w:p>
        </w:tc>
        <w:tc>
          <w:tcPr/>
          <w:p>
            <w:pPr>
              <w:pStyle w:val="Compact"/>
              <w:jc w:val="left"/>
            </w:pPr>
            <w:r>
              <w:t xml:space="preserve">559 adultos con diabetes tipo 2 precoz</w:t>
            </w:r>
          </w:p>
        </w:tc>
        <w:tc>
          <w:tcPr/>
          <w:p>
            <w:pPr>
              <w:pStyle w:val="Compact"/>
              <w:jc w:val="left"/>
            </w:pPr>
            <w:r>
              <w:t xml:space="preserve">40 semanas</w:t>
            </w:r>
          </w:p>
        </w:tc>
        <w:tc>
          <w:tcPr/>
          <w:p>
            <w:pPr>
              <w:pStyle w:val="Compact"/>
              <w:jc w:val="left"/>
            </w:pPr>
            <w:r>
              <w:t xml:space="preserve">HbA1c −1,24 a −1,48 frente a −0,41</w:t>
            </w:r>
          </w:p>
        </w:tc>
      </w:tr>
      <w:tr>
        <w:tc>
          <w:tcPr/>
          <w:p>
            <w:pPr>
              <w:pStyle w:val="Compact"/>
              <w:jc w:val="left"/>
            </w:pPr>
            <w:r>
              <w:t xml:space="preserve">ACHIEVE-3 (Rosenstock 2026), PMID 41765029</w:t>
            </w:r>
          </w:p>
        </w:tc>
        <w:tc>
          <w:tcPr/>
          <w:p>
            <w:pPr>
              <w:pStyle w:val="Compact"/>
              <w:jc w:val="left"/>
            </w:pPr>
            <w:r>
              <w:t xml:space="preserve">1698 adultos con diabetes tipo 2, abierto frente a semaglutida en comprimidos</w:t>
            </w:r>
          </w:p>
        </w:tc>
        <w:tc>
          <w:tcPr/>
          <w:p>
            <w:pPr>
              <w:pStyle w:val="Compact"/>
              <w:jc w:val="left"/>
            </w:pPr>
            <w:r>
              <w:t xml:space="preserve">52 semanas</w:t>
            </w:r>
          </w:p>
        </w:tc>
        <w:tc>
          <w:tcPr/>
          <w:p>
            <w:pPr>
              <w:pStyle w:val="Compact"/>
              <w:jc w:val="left"/>
            </w:pPr>
            <w:r>
              <w:t xml:space="preserve">HbA1c −1,71 / −1,91 frente a −1,23 / −1,47</w:t>
            </w:r>
          </w:p>
        </w:tc>
      </w:tr>
      <w:tr>
        <w:tc>
          <w:tcPr/>
          <w:p>
            <w:pPr>
              <w:pStyle w:val="Compact"/>
              <w:jc w:val="left"/>
            </w:pPr>
            <w:r>
              <w:t xml:space="preserve">ACHIEVE-4 (Klein 2026), PMID 42815506</w:t>
            </w:r>
          </w:p>
        </w:tc>
        <w:tc>
          <w:tcPr/>
          <w:p>
            <w:pPr>
              <w:pStyle w:val="Compact"/>
              <w:jc w:val="left"/>
            </w:pPr>
            <w:r>
              <w:t xml:space="preserve">2749 adultos con diabetes tipo 2 y alto riesgo cardiovascular, frente a insulina glargina</w:t>
            </w:r>
          </w:p>
        </w:tc>
        <w:tc>
          <w:tcPr/>
          <w:p>
            <w:pPr>
              <w:pStyle w:val="Compact"/>
              <w:jc w:val="left"/>
            </w:pPr>
            <w:r>
              <w:t xml:space="preserve">mediana de 2 años</w:t>
            </w:r>
          </w:p>
        </w:tc>
        <w:tc>
          <w:tcPr/>
          <w:p>
            <w:pPr>
              <w:pStyle w:val="Compact"/>
              <w:jc w:val="left"/>
            </w:pPr>
            <w:r>
              <w:t xml:space="preserve">MACE-4: 4,2 % frente a 5,0 % (no inferior)</w:t>
            </w:r>
          </w:p>
        </w:tc>
      </w:tr>
    </w:tbl>
    <w:bookmarkStart w:id="865" w:name="obesidad-attain"/>
    <w:p>
      <w:pPr>
        <w:pStyle w:val="Heading4"/>
      </w:pPr>
      <w:r>
        <w:t xml:space="preserve">Obesidad: ATTAIN</w:t>
      </w:r>
    </w:p>
    <w:p>
      <w:pPr>
        <w:pStyle w:val="FirstParagraph"/>
      </w:pPr>
      <w:r>
        <w:rPr>
          <w:bCs/>
          <w:b/>
        </w:rPr>
        <w:t xml:space="preserve">ATTAIN-1</w:t>
      </w:r>
      <w:r>
        <w:rPr>
          <w:rStyle w:val="FootnoteReference"/>
        </w:rPr>
        <w:footnoteReference w:id="861"/>
      </w:r>
      <w:r>
        <w:t xml:space="preserve"> </w:t>
      </w:r>
      <w:r>
        <w:t xml:space="preserve">es el estudio principal. A las 72 semanas, los 3127 participantes perdieron con la dosis más alta una media del 11,2 % de su peso, y con placebo el 2,1 %. Con la dosis más alta, el 54,6 % alcanzó una pérdida de peso de al menos el 10 % y el 18,4 % de al menos el 20 %. Entre el 5,3 y el 10,3 % abandonaron por efectos secundarios (placebo 2,7 %).</w:t>
      </w:r>
    </w:p>
    <w:p>
      <w:pPr>
        <w:pStyle w:val="BodyText"/>
      </w:pPr>
      <w:r>
        <w:t xml:space="preserve">Para situarlo en contexto: es claramente menos que con la semaglutida o la tirzepatida inyectadas en sus estudios de registro y menos de lo que había hecho esperar el estudio de fase 2, con hasta un 14,7 % a las 36 semanas</w:t>
      </w:r>
      <w:r>
        <w:rPr>
          <w:rStyle w:val="FootnoteReference"/>
        </w:rPr>
        <w:footnoteReference w:id="862"/>
      </w:r>
      <w:r>
        <w:t xml:space="preserve">. No obstante, las comparaciones cruzadas entre estudios solo ofrecen una orientación aproximada.</w:t>
      </w:r>
    </w:p>
    <w:p>
      <w:pPr>
        <w:pStyle w:val="BodyText"/>
      </w:pPr>
      <w:r>
        <w:rPr>
          <w:bCs/>
          <w:b/>
        </w:rPr>
        <w:t xml:space="preserve">ATTAIN-2</w:t>
      </w:r>
      <w:r>
        <w:rPr>
          <w:rStyle w:val="FootnoteReference"/>
        </w:rPr>
        <w:footnoteReference w:id="863"/>
      </w:r>
      <w:r>
        <w:t xml:space="preserve"> </w:t>
      </w:r>
      <w:r>
        <w:t xml:space="preserve">mostró en personas con diabetes tipo 2 una pérdida de peso de hasta el 9,6 % frente al 2,5 % con placebo.</w:t>
      </w:r>
    </w:p>
    <w:p>
      <w:pPr>
        <w:pStyle w:val="BodyText"/>
      </w:pPr>
      <w:r>
        <w:rPr>
          <w:bCs/>
          <w:b/>
        </w:rPr>
        <w:t xml:space="preserve">ATTAIN-MAINTAIN</w:t>
      </w:r>
      <w:r>
        <w:rPr>
          <w:rStyle w:val="FootnoteReference"/>
        </w:rPr>
        <w:footnoteReference w:id="864"/>
      </w:r>
      <w:r>
        <w:t xml:space="preserve"> </w:t>
      </w:r>
      <w:r>
        <w:t xml:space="preserve">es especialmente interesante para la práctica. Participantes que previamente habían perdido peso en el estudio SURMOUNT-5 con tirzepatida o semaglutida inyectadas cambiaron a orforglipron o placebo. A las 52 semanas, quienes habían sido tratados antes con tirzepatida mantuvieron con orforglipron el 74,7 % de su pérdida de peso (placebo 49,2 %), y quienes habían sido tratados antes con semaglutida, el 79,3 % (placebo 37,6 %). No hubo un grupo de comparación que simplemente siguiera recibiendo la inyección; los propios autores lo señalan como limitación. Con ello, el concepto «adelgazar con la inyección, mantener con el comprimido» se demuestra por primera vez, pero todavía no se ha comparado con la alternativa «continuar con la inyección».</w:t>
      </w:r>
    </w:p>
    <w:bookmarkEnd w:id="865"/>
    <w:bookmarkStart w:id="870" w:name="diabetes-tipo-2-achieve"/>
    <w:p>
      <w:pPr>
        <w:pStyle w:val="Heading4"/>
      </w:pPr>
      <w:r>
        <w:t xml:space="preserve">Diabetes tipo 2: ACHIEVE</w:t>
      </w:r>
    </w:p>
    <w:p>
      <w:pPr>
        <w:numPr>
          <w:ilvl w:val="0"/>
          <w:numId w:val="1109"/>
        </w:numPr>
        <w:pStyle w:val="Compact"/>
      </w:pPr>
      <w:r>
        <w:rPr>
          <w:bCs/>
          <w:b/>
        </w:rPr>
        <w:t xml:space="preserve">ACHIEVE-1</w:t>
      </w:r>
      <w:r>
        <w:rPr>
          <w:rStyle w:val="FootnoteReference"/>
        </w:rPr>
        <w:footnoteReference w:id="866"/>
      </w:r>
      <w:r>
        <w:t xml:space="preserve">: en la diabetes tipo 2 precoz sin otros fármacos, la HbA1c disminuyó a las 40 semanas hasta 1,48 puntos porcentuales (placebo −0,41) y el peso hasta un 7,6 %. No se produjeron hipoglucemias graves.</w:t>
      </w:r>
    </w:p>
    <w:p>
      <w:pPr>
        <w:numPr>
          <w:ilvl w:val="0"/>
          <w:numId w:val="1109"/>
        </w:numPr>
        <w:pStyle w:val="Compact"/>
      </w:pPr>
      <w:r>
        <w:rPr>
          <w:bCs/>
          <w:b/>
        </w:rPr>
        <w:t xml:space="preserve">ACHIEVE-2</w:t>
      </w:r>
      <w:r>
        <w:rPr>
          <w:rStyle w:val="FootnoteReference"/>
        </w:rPr>
        <w:footnoteReference w:id="867"/>
      </w:r>
      <w:r>
        <w:t xml:space="preserve">: frente al inhibidor de SGLT2 dapagliflozina, el orforglipron no fue inferior en HbA1c y fue más potente con todas las dosis (hasta −1,56 frente a −0,81 puntos porcentuales).</w:t>
      </w:r>
    </w:p>
    <w:p>
      <w:pPr>
        <w:numPr>
          <w:ilvl w:val="0"/>
          <w:numId w:val="1109"/>
        </w:numPr>
        <w:pStyle w:val="Compact"/>
      </w:pPr>
      <w:r>
        <w:rPr>
          <w:bCs/>
          <w:b/>
        </w:rPr>
        <w:t xml:space="preserve">ACHIEVE-3</w:t>
      </w:r>
      <w:r>
        <w:rPr>
          <w:rStyle w:val="FootnoteReference"/>
        </w:rPr>
        <w:footnoteReference w:id="868"/>
      </w:r>
      <w:r>
        <w:t xml:space="preserve">: en comparación directa con la semaglutida en comprimidos, el orforglipron redujo más la HbA1c (−1,91 frente a −1,47 puntos porcentuales con las respectivas dosis más altas). El estudio era abierto, es decir, no cegado. Las molestias gastrointestinales fueron más frecuentes con orforglipron (58–59 % frente a 37–45 %), al igual que los abandonos por efectos secundarios (9–10 % frente a 4–5 %).</w:t>
      </w:r>
    </w:p>
    <w:p>
      <w:pPr>
        <w:numPr>
          <w:ilvl w:val="0"/>
          <w:numId w:val="1109"/>
        </w:numPr>
        <w:pStyle w:val="Compact"/>
      </w:pPr>
      <w:r>
        <w:rPr>
          <w:bCs/>
          <w:b/>
        </w:rPr>
        <w:t xml:space="preserve">ACHIEVE-4</w:t>
      </w:r>
      <w:r>
        <w:rPr>
          <w:rStyle w:val="FootnoteReference"/>
        </w:rPr>
        <w:footnoteReference w:id="869"/>
      </w:r>
      <w:r>
        <w:t xml:space="preserve">: el estudio de seguridad cardiovascular (véase más abajo).</w:t>
      </w:r>
    </w:p>
    <w:bookmarkEnd w:id="870"/>
    <w:bookmarkEnd w:id="871"/>
    <w:bookmarkStart w:id="873" w:name="estudios-en-animales-y-de-laboratorio-14"/>
    <w:p>
      <w:pPr>
        <w:pStyle w:val="Heading3"/>
      </w:pPr>
      <w:r>
        <w:t xml:space="preserve">Estudios en animales y de laboratorio</w:t>
      </w:r>
    </w:p>
    <w:p>
      <w:pPr>
        <w:pStyle w:val="FirstParagraph"/>
      </w:pPr>
      <w:r>
        <w:t xml:space="preserve">Para este capítulo comparativo no se exponen en detalle los datos preclínicos. Es importante una diferencia farmacológica: como molécula pequeña, el orforglipron se degrada mediante enzimas hepáticas. Por ello se han realizado numerosos estudios sobre interacciones con otros medicamentos, por ejemplo con claritromicina, ciclosporina, carbamazepina o quinidina</w:t>
      </w:r>
      <w:r>
        <w:rPr>
          <w:rStyle w:val="FootnoteReference"/>
        </w:rPr>
        <w:footnoteReference w:id="872"/>
      </w:r>
      <w:r>
        <w:t xml:space="preserve">. Los agonistas peptídicos, en cambio, se degradan como las proteínas y apenas presentan este tipo de interacciones.</w:t>
      </w:r>
    </w:p>
    <w:bookmarkEnd w:id="873"/>
    <w:bookmarkStart w:id="881" w:name="riesgos-y-efectos-adversos-14"/>
    <w:p>
      <w:pPr>
        <w:pStyle w:val="Heading3"/>
      </w:pPr>
      <w:r>
        <w:t xml:space="preserve">Riesgos y efectos adversos</w:t>
      </w:r>
    </w:p>
    <w:p>
      <w:pPr>
        <w:pStyle w:val="FirstParagraph"/>
      </w:pPr>
      <w:r>
        <w:rPr>
          <w:bCs/>
          <w:b/>
        </w:rPr>
        <w:t xml:space="preserve">Demostrado en estudios:</w:t>
      </w:r>
    </w:p>
    <w:p>
      <w:pPr>
        <w:numPr>
          <w:ilvl w:val="0"/>
          <w:numId w:val="1110"/>
        </w:numPr>
        <w:pStyle w:val="Compact"/>
      </w:pPr>
      <w:r>
        <w:rPr>
          <w:bCs/>
          <w:b/>
        </w:rPr>
        <w:t xml:space="preserve">Molestias gastrointestinales</w:t>
      </w:r>
      <w:r>
        <w:t xml:space="preserve">, como con todos los agonistas de GLP-1, en su mayoría de leves a moderadas y durante el escalado de dosis. En ACHIEVE-4, el 62,1 % con orforglipron frente al 14,2 % con insulina glargina refirió molestias gastrointestinales</w:t>
      </w:r>
      <w:r>
        <w:rPr>
          <w:rStyle w:val="FootnoteReference"/>
        </w:rPr>
        <w:footnoteReference w:id="874"/>
      </w:r>
      <w:r>
        <w:t xml:space="preserve">.</w:t>
      </w:r>
    </w:p>
    <w:p>
      <w:pPr>
        <w:numPr>
          <w:ilvl w:val="0"/>
          <w:numId w:val="1110"/>
        </w:numPr>
        <w:pStyle w:val="Compact"/>
      </w:pPr>
      <w:r>
        <w:rPr>
          <w:bCs/>
          <w:b/>
        </w:rPr>
        <w:t xml:space="preserve">Abandonos por efectos secundarios:</w:t>
      </w:r>
      <w:r>
        <w:t xml:space="preserve"> </w:t>
      </w:r>
      <w:r>
        <w:t xml:space="preserve">en ATTAIN-1, hasta el 10,3 %</w:t>
      </w:r>
      <w:r>
        <w:rPr>
          <w:rStyle w:val="FootnoteReference"/>
        </w:rPr>
        <w:footnoteReference w:id="875"/>
      </w:r>
      <w:r>
        <w:t xml:space="preserve">; en comparación con la semaglutida en comprimidos, aproximadamente el doble de frecuentes</w:t>
      </w:r>
      <w:r>
        <w:rPr>
          <w:rStyle w:val="FootnoteReference"/>
        </w:rPr>
        <w:footnoteReference w:id="876"/>
      </w:r>
      <w:r>
        <w:t xml:space="preserve">.</w:t>
      </w:r>
    </w:p>
    <w:p>
      <w:pPr>
        <w:numPr>
          <w:ilvl w:val="0"/>
          <w:numId w:val="1110"/>
        </w:numPr>
        <w:pStyle w:val="Compact"/>
      </w:pPr>
      <w:r>
        <w:rPr>
          <w:bCs/>
          <w:b/>
        </w:rPr>
        <w:t xml:space="preserve">Pulso:</w:t>
      </w:r>
      <w:r>
        <w:t xml:space="preserve"> </w:t>
      </w:r>
      <w:r>
        <w:t xml:space="preserve">en ACHIEVE-3, la frecuencia cardíaca aumentó con orforglipron entre 3,7 y 4,7 latidos por minuto, y con semaglutida en comprimidos entre 1,0 y 1,5</w:t>
      </w:r>
      <w:r>
        <w:rPr>
          <w:rStyle w:val="FootnoteReference"/>
        </w:rPr>
        <w:footnoteReference w:id="877"/>
      </w:r>
      <w:r>
        <w:t xml:space="preserve">.</w:t>
      </w:r>
    </w:p>
    <w:p>
      <w:pPr>
        <w:numPr>
          <w:ilvl w:val="0"/>
          <w:numId w:val="1110"/>
        </w:numPr>
        <w:pStyle w:val="Compact"/>
      </w:pPr>
      <w:r>
        <w:rPr>
          <w:bCs/>
          <w:b/>
        </w:rPr>
        <w:t xml:space="preserve">Seguridad cardiovascular:</w:t>
      </w:r>
      <w:r>
        <w:t xml:space="preserve"> </w:t>
      </w:r>
      <w:r>
        <w:t xml:space="preserve">en ACHIEVE-4 se produjeron eventos cardiovasculares graves en el 4,2 % con orforglipron y en el 5,0 % con insulina glargina (hazard ratio 0,84; IC del 95 % 0,59–1,20); por tanto, el orforglipron no fue inferior. Las hipoglucemias clínicamente significativas o graves fueron menos frecuentes (6,8 % frente a 19,2 %)</w:t>
      </w:r>
      <w:r>
        <w:rPr>
          <w:rStyle w:val="FootnoteReference"/>
        </w:rPr>
        <w:footnoteReference w:id="878"/>
      </w:r>
      <w:r>
        <w:t xml:space="preserve">. Un estudio de criterios de valoración propio deberá mostrar si el orforglipron, como algunos agonistas peptídicos,</w:t>
      </w:r>
      <w:r>
        <w:t xml:space="preserve"> </w:t>
      </w:r>
      <w:r>
        <w:rPr>
          <w:iCs/>
          <w:i/>
        </w:rPr>
        <w:t xml:space="preserve">reduce</w:t>
      </w:r>
      <w:r>
        <w:t xml:space="preserve"> </w:t>
      </w:r>
      <w:r>
        <w:t xml:space="preserve">los eventos cardiovasculares</w:t>
      </w:r>
      <w:r>
        <w:rPr>
          <w:rStyle w:val="FootnoteReference"/>
        </w:rPr>
        <w:footnoteReference w:id="879"/>
      </w:r>
      <w:r>
        <w:t xml:space="preserve">.</w:t>
      </w:r>
    </w:p>
    <w:p>
      <w:pPr>
        <w:numPr>
          <w:ilvl w:val="0"/>
          <w:numId w:val="1110"/>
        </w:numPr>
        <w:pStyle w:val="Compact"/>
      </w:pPr>
      <w:r>
        <w:rPr>
          <w:bCs/>
          <w:b/>
        </w:rPr>
        <w:t xml:space="preserve">Hígado:</w:t>
      </w:r>
      <w:r>
        <w:t xml:space="preserve"> </w:t>
      </w:r>
      <w:r>
        <w:t xml:space="preserve">con moléculas pequeñas de GLP-1 de otros fabricantes, las elevaciones de las enzimas hepáticas fueron un problema. Un análisis agrupado de siete estudios de fase 3 con 11.220 participantes no encontró para el orforglipron ningún caso de daño hepático inducido por fármacos; los valores hepáticos incluso disminuyeron de media</w:t>
      </w:r>
      <w:r>
        <w:rPr>
          <w:rStyle w:val="FootnoteReference"/>
        </w:rPr>
        <w:footnoteReference w:id="880"/>
      </w:r>
      <w:r>
        <w:t xml:space="preserve">.</w:t>
      </w:r>
    </w:p>
    <w:bookmarkEnd w:id="881"/>
    <w:bookmarkStart w:id="882" w:name="situación-legal-14"/>
    <w:p>
      <w:pPr>
        <w:pStyle w:val="Heading3"/>
      </w:pPr>
      <w:r>
        <w:t xml:space="preserve">Situación legal</w:t>
      </w:r>
    </w:p>
    <w:p>
      <w:pPr>
        <w:numPr>
          <w:ilvl w:val="0"/>
          <w:numId w:val="1111"/>
        </w:numPr>
        <w:pStyle w:val="Compact"/>
      </w:pPr>
      <w:r>
        <w:rPr>
          <w:bCs/>
          <w:b/>
        </w:rPr>
        <w:t xml:space="preserve">UE / Austria / Alemania:</w:t>
      </w:r>
      <w:r>
        <w:t xml:space="preserve"> </w:t>
      </w:r>
      <w:r>
        <w:t xml:space="preserve">a octubre de 2026 consta como no autorizado; cabe esperar un procedimiento de autorización, que puede estar ya en curso; compruébalo en su versión actual.</w:t>
      </w:r>
    </w:p>
    <w:p>
      <w:pPr>
        <w:numPr>
          <w:ilvl w:val="0"/>
          <w:numId w:val="1111"/>
        </w:numPr>
        <w:pStyle w:val="Compact"/>
      </w:pPr>
      <w:r>
        <w:rPr>
          <w:bCs/>
          <w:b/>
        </w:rPr>
        <w:t xml:space="preserve">EE. UU.:</w:t>
      </w:r>
      <w:r>
        <w:t xml:space="preserve"> </w:t>
      </w:r>
      <w:r>
        <w:t xml:space="preserve">se han presentado o anunciado solicitudes de autorización para la obesidad y la diabetes tipo 2 sobre la base de los datos de ATTAIN y ACHIEVE; comprueba en su versión actual el estado de la decisión.</w:t>
      </w:r>
    </w:p>
    <w:p>
      <w:pPr>
        <w:numPr>
          <w:ilvl w:val="0"/>
          <w:numId w:val="1111"/>
        </w:numPr>
        <w:pStyle w:val="Compact"/>
      </w:pPr>
      <w:r>
        <w:rPr>
          <w:bCs/>
          <w:b/>
        </w:rPr>
        <w:t xml:space="preserve">Deporte:</w:t>
      </w:r>
      <w:r>
        <w:t xml:space="preserve"> </w:t>
      </w:r>
      <w:r>
        <w:t xml:space="preserve">mientras no esté autorizado en ningún país, clase S0 de la AMA (situación en 2026, compruébalo en su versión actual).</w:t>
      </w:r>
    </w:p>
    <w:p>
      <w:pPr>
        <w:numPr>
          <w:ilvl w:val="0"/>
          <w:numId w:val="1111"/>
        </w:numPr>
        <w:pStyle w:val="Compact"/>
      </w:pPr>
      <w:r>
        <w:t xml:space="preserve">Las ofertas de «Orforglipron» no autorizado en internet no son medicamentos controlados.</w:t>
      </w:r>
    </w:p>
    <w:bookmarkEnd w:id="882"/>
    <w:bookmarkStart w:id="890" w:name="estudios-en-curso-y-perspectivas-14"/>
    <w:p>
      <w:pPr>
        <w:pStyle w:val="Heading3"/>
      </w:pPr>
      <w:r>
        <w:t xml:space="preserve">Estudios en curso y perspectivas</w:t>
      </w:r>
    </w:p>
    <w:p>
      <w:pPr>
        <w:pStyle w:val="FirstParagraph"/>
      </w:pPr>
      <w:r>
        <w:rPr>
          <w:bCs/>
          <w:b/>
        </w:rPr>
        <w:t xml:space="preserve">Confirmado (estudios registrados, a octubre de 2026):</w:t>
      </w:r>
    </w:p>
    <w:p>
      <w:pPr>
        <w:numPr>
          <w:ilvl w:val="0"/>
          <w:numId w:val="1112"/>
        </w:numPr>
        <w:pStyle w:val="Compact"/>
      </w:pPr>
      <w:r>
        <w:rPr>
          <w:bCs/>
          <w:b/>
        </w:rPr>
        <w:t xml:space="preserve">Estudio de criterios de valoración cardiovasculares</w:t>
      </w:r>
      <w:r>
        <w:t xml:space="preserve"> </w:t>
      </w:r>
      <w:r>
        <w:t xml:space="preserve">en la arteriosclerosis (NCT07241390, 7140 participantes, hasta 2031).</w:t>
      </w:r>
    </w:p>
    <w:p>
      <w:pPr>
        <w:numPr>
          <w:ilvl w:val="0"/>
          <w:numId w:val="1112"/>
        </w:numPr>
        <w:pStyle w:val="Compact"/>
      </w:pPr>
      <w:r>
        <w:rPr>
          <w:bCs/>
          <w:b/>
        </w:rPr>
        <w:t xml:space="preserve">Enfermedad arterial periférica</w:t>
      </w:r>
      <w:r>
        <w:rPr>
          <w:rStyle w:val="FootnoteReference"/>
        </w:rPr>
        <w:footnoteReference w:id="883"/>
      </w:r>
      <w:r>
        <w:t xml:space="preserve">,</w:t>
      </w:r>
      <w:r>
        <w:t xml:space="preserve"> </w:t>
      </w:r>
      <w:r>
        <w:rPr>
          <w:bCs/>
          <w:b/>
        </w:rPr>
        <w:t xml:space="preserve">hipertensión arterial</w:t>
      </w:r>
      <w:r>
        <w:rPr>
          <w:rStyle w:val="FootnoteReference"/>
        </w:rPr>
        <w:footnoteReference w:id="884"/>
      </w:r>
      <w:r>
        <w:t xml:space="preserve">,</w:t>
      </w:r>
      <w:r>
        <w:t xml:space="preserve"> </w:t>
      </w:r>
      <w:r>
        <w:rPr>
          <w:bCs/>
          <w:b/>
        </w:rPr>
        <w:t xml:space="preserve">artrosis de rodilla</w:t>
      </w:r>
      <w:r>
        <w:rPr>
          <w:rStyle w:val="FootnoteReference"/>
        </w:rPr>
        <w:footnoteReference w:id="885"/>
      </w:r>
      <w:r>
        <w:t xml:space="preserve">,</w:t>
      </w:r>
      <w:r>
        <w:t xml:space="preserve"> </w:t>
      </w:r>
      <w:r>
        <w:rPr>
          <w:bCs/>
          <w:b/>
        </w:rPr>
        <w:t xml:space="preserve">incontinencia de esfuerzo</w:t>
      </w:r>
      <w:r>
        <w:t xml:space="preserve"> </w:t>
      </w:r>
      <w:r>
        <w:t xml:space="preserve">en mujeres con obesidad</w:t>
      </w:r>
      <w:r>
        <w:rPr>
          <w:rStyle w:val="FootnoteReference"/>
        </w:rPr>
        <w:footnoteReference w:id="886"/>
      </w:r>
      <w:r>
        <w:t xml:space="preserve">.</w:t>
      </w:r>
    </w:p>
    <w:p>
      <w:pPr>
        <w:numPr>
          <w:ilvl w:val="0"/>
          <w:numId w:val="1112"/>
        </w:numPr>
        <w:pStyle w:val="Compact"/>
      </w:pPr>
      <w:r>
        <w:rPr>
          <w:bCs/>
          <w:b/>
        </w:rPr>
        <w:t xml:space="preserve">Adolescentes</w:t>
      </w:r>
      <w:r>
        <w:rPr>
          <w:rStyle w:val="FootnoteReference"/>
        </w:rPr>
        <w:footnoteReference w:id="887"/>
      </w:r>
      <w:r>
        <w:t xml:space="preserve"> </w:t>
      </w:r>
      <w:r>
        <w:t xml:space="preserve">y</w:t>
      </w:r>
      <w:r>
        <w:t xml:space="preserve"> </w:t>
      </w:r>
      <w:r>
        <w:rPr>
          <w:bCs/>
          <w:b/>
        </w:rPr>
        <w:t xml:space="preserve">niños con diabetes tipo 2</w:t>
      </w:r>
      <w:r>
        <w:t xml:space="preserve"> </w:t>
      </w:r>
      <w:r>
        <w:t xml:space="preserve">en comparación con dulaglutida</w:t>
      </w:r>
      <w:r>
        <w:rPr>
          <w:rStyle w:val="FootnoteReference"/>
        </w:rPr>
        <w:footnoteReference w:id="888"/>
      </w:r>
      <w:r>
        <w:t xml:space="preserve">.</w:t>
      </w:r>
    </w:p>
    <w:p>
      <w:pPr>
        <w:numPr>
          <w:ilvl w:val="0"/>
          <w:numId w:val="1112"/>
        </w:numPr>
        <w:pStyle w:val="Compact"/>
      </w:pPr>
      <w:r>
        <w:t xml:space="preserve">Estudio sobre la</w:t>
      </w:r>
      <w:r>
        <w:t xml:space="preserve"> </w:t>
      </w:r>
      <w:r>
        <w:rPr>
          <w:bCs/>
          <w:b/>
        </w:rPr>
        <w:t xml:space="preserve">apnea del sueño</w:t>
      </w:r>
      <w:r>
        <w:rPr>
          <w:rStyle w:val="FootnoteReference"/>
        </w:rPr>
        <w:footnoteReference w:id="889"/>
      </w:r>
      <w:r>
        <w:t xml:space="preserve"> </w:t>
      </w:r>
      <w:r>
        <w:t xml:space="preserve">concluido, publicación pendiente.</w:t>
      </w:r>
    </w:p>
    <w:p>
      <w:pPr>
        <w:pStyle w:val="FirstParagraph"/>
      </w:pPr>
      <w:r>
        <w:rPr>
          <w:bCs/>
          <w:b/>
        </w:rPr>
        <w:t xml:space="preserve">Valoración:</w:t>
      </w:r>
      <w:r>
        <w:t xml:space="preserve"> </w:t>
      </w:r>
      <w:r>
        <w:t xml:space="preserve">previsiblemente, el orforglipron será el primer fármaco GLP-1 no peptídico ampliamente disponible. Su punto fuerte no es la máxima pérdida de peso –en eso van por delante los péptidos inyectables–, sino la toma sencilla, la fabricación probablemente más económica y su idoneidad para el tratamiento continuado tras una fase con inyecciones. Para el mercado de los péptidos, esto supone una competencia seria, sobre todo en el tratamiento a largo plazo y de mantenimiento (véase la Parte V).</w:t>
      </w:r>
    </w:p>
    <w:bookmarkEnd w:id="890"/>
    <w:bookmarkStart w:id="891" w:name="conclusión-14"/>
    <w:p>
      <w:pPr>
        <w:pStyle w:val="Heading3"/>
      </w:pPr>
      <w:r>
        <w:t xml:space="preserve">Conclusión</w:t>
      </w:r>
    </w:p>
    <w:p>
      <w:pPr>
        <w:pStyle w:val="FirstParagraph"/>
      </w:pPr>
      <w:r>
        <w:t xml:space="preserve">El orforglipron no es un péptido, sino una molécula pequeña que, en forma de comprimido, activa el receptor de GLP-1 y puede tragarse sin normas de toma. En ATTAIN-1, el peso disminuyó a las 72 semanas hasta un 11,2 % –menos que con la semaglutida o la tirzepatida inyectadas–, y tras el cambio desde una inyección, los participantes mantuvieron alrededor de tres cuartas partes de su pérdida de peso. En la diabetes tipo 2 redujo la HbA1c más que la semaglutida en comprimidos y demostró seguridad cardiovascular frente a la insulina. Las molestias gastrointestinales y los abandonos del tratamiento son algo más frecuentes que con la semaglutida en comprimidos.</w:t>
      </w:r>
    </w:p>
    <w:bookmarkEnd w:id="891"/>
    <w:bookmarkEnd w:id="892"/>
    <w:bookmarkEnd w:id="893"/>
    <w:bookmarkStart w:id="1223" w:name="Xf63fce0567bee1b32a19e886d3ccaf1eaa6ef86"/>
    <w:p>
      <w:pPr>
        <w:pStyle w:val="Heading1"/>
      </w:pPr>
      <w:r>
        <w:t xml:space="preserve">Parte II · B – Curación, regeneración y sistema inmunitario</w:t>
      </w:r>
    </w:p>
    <w:p>
      <w:pPr>
        <w:pStyle w:val="FirstParagraph"/>
      </w:pPr>
      <w:r>
        <w:t xml:space="preserve">Los péptidos de este grupo prometen lo que muchos desean: una curación más rápida de tendones y músculos, una pared intestinal más estanca, un sistema inmunitario más fuerte, menos inflamación. En tiendas en línea, foros de fitness y clínicas de longevidad, el BPC-157, el TB-500 y la timosina alfa 1 figuran entre los «péptidos de investigación» más vendidos de todos.</w:t>
      </w:r>
    </w:p>
    <w:bookmarkStart w:id="894" w:name="lo-que-une-a-estos-péptidos"/>
    <w:p>
      <w:pPr>
        <w:pStyle w:val="Heading3"/>
      </w:pPr>
      <w:r>
        <w:t xml:space="preserve">Lo que une a estos péptidos</w:t>
      </w:r>
    </w:p>
    <w:p>
      <w:pPr>
        <w:pStyle w:val="FirstParagraph"/>
      </w:pPr>
      <w:r>
        <w:t xml:space="preserve">Ninguno de los ocho principios activos pretende modificar un único objetivo claramente medible –como la glucemia o el peso corporal–, sino «estimular» o «normalizar» procesos de reparación y defensa propios del organismo. Esto tiene dos consecuencias que recorren todos los capítulos:</w:t>
      </w:r>
    </w:p>
    <w:p>
      <w:pPr>
        <w:numPr>
          <w:ilvl w:val="0"/>
          <w:numId w:val="1113"/>
        </w:numPr>
        <w:pStyle w:val="Compact"/>
      </w:pPr>
      <w:r>
        <w:rPr>
          <w:bCs/>
          <w:b/>
        </w:rPr>
        <w:t xml:space="preserve">El efecto es difícil de medir.</w:t>
      </w:r>
      <w:r>
        <w:t xml:space="preserve"> </w:t>
      </w:r>
      <w:r>
        <w:t xml:space="preserve">La curación, el dolor y la función inmunitaria fluctúan mucho, dependen de muchos factores y son propensos a los efectos placebo. Por eso, los estudios pequeños sin grupo de control tienen especialmente poco valor probatorio.</w:t>
      </w:r>
    </w:p>
    <w:p>
      <w:pPr>
        <w:numPr>
          <w:ilvl w:val="0"/>
          <w:numId w:val="1113"/>
        </w:numPr>
        <w:pStyle w:val="Compact"/>
      </w:pPr>
      <w:r>
        <w:rPr>
          <w:bCs/>
          <w:b/>
        </w:rPr>
        <w:t xml:space="preserve">La plausibilidad sustituye a menudo a las pruebas.</w:t>
      </w:r>
      <w:r>
        <w:t xml:space="preserve"> </w:t>
      </w:r>
      <w:r>
        <w:t xml:space="preserve">Casi todos los péptidos de este grupo derivan de sustancias propias del organismo: del jugo gástrico (BPC-157), del timo (timosina alfa 1, timalina), de la defensa cutánea (LL-37), de la hormona alfa-MSH (KPV) o de la eritropoyetina (ARA-290). «Propio del organismo» suena inofensivo, pero no dice nada sobre el beneficio y la seguridad de una administración externa en dosis altas.</w:t>
      </w:r>
    </w:p>
    <w:p>
      <w:pPr>
        <w:pStyle w:val="FirstParagraph"/>
      </w:pPr>
      <w:r>
        <w:t xml:space="preserve">Llama además la atención un patrón recurrente: los estudios iniciales pequeños parecen prometedores, pero los estudios más grandes y mejor cegados no los confirman. Así ocurre con la timosina alfa 1 en la sepsis, con la timosina beta 4 en colirio, con el LL-37 en las úlceras de pierna y con la larazotida en la enfermedad celíaca.</w:t>
      </w:r>
    </w:p>
    <w:bookmarkEnd w:id="894"/>
    <w:bookmarkStart w:id="895" w:name="el-grupo-de-un-vistazo"/>
    <w:p>
      <w:pPr>
        <w:pStyle w:val="Heading3"/>
      </w:pPr>
      <w:r>
        <w:t xml:space="preserve">El grupo de un vistazo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w:t>
            </w:r>
          </w:p>
        </w:tc>
        <w:tc>
          <w:tcPr/>
          <w:p>
            <w:pPr>
              <w:pStyle w:val="Compact"/>
              <w:jc w:val="left"/>
            </w:pPr>
            <w:r>
              <w:t xml:space="preserve">cientos de estudios en animales, casi todos de un mismo grupo; en humanos, tres minúsculos estudios piloto</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w:t>
            </w:r>
          </w:p>
        </w:tc>
        <w:tc>
          <w:tcPr/>
          <w:p>
            <w:pPr>
              <w:pStyle w:val="Compact"/>
              <w:jc w:val="left"/>
            </w:pPr>
            <w:r>
              <w:t xml:space="preserve">Tβ4 evaluada en ECA, grandes estudios oculares sin beneficio claro; TB-500 nunca en humanos</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China, entre otros; no UE/EE. UU.</w:t>
            </w:r>
          </w:p>
        </w:tc>
        <w:tc>
          <w:tcPr/>
          <w:p>
            <w:pPr>
              <w:pStyle w:val="Compact"/>
              <w:jc w:val="left"/>
            </w:pPr>
            <w:r>
              <w:t xml:space="preserve">muchos ECA; gran estudio en sepsis sin diferencia frente a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w:t>
            </w:r>
          </w:p>
        </w:tc>
        <w:tc>
          <w:tcPr/>
          <w:p>
            <w:pPr>
              <w:pStyle w:val="Compact"/>
              <w:jc w:val="left"/>
            </w:pPr>
            <w:r>
              <w:t xml:space="preserve">eficaz en ratones con colitis; ningún estudio en humanos</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w:t>
            </w:r>
          </w:p>
        </w:tc>
        <w:tc>
          <w:tcPr/>
          <w:p>
            <w:pPr>
              <w:pStyle w:val="Compact"/>
              <w:jc w:val="left"/>
            </w:pPr>
            <w:r>
              <w:t xml:space="preserve">péptido de defensa propio del organismo; estudio en heridas con 148 personas sin ventaja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w:t>
            </w:r>
          </w:p>
        </w:tc>
        <w:tc>
          <w:tcPr/>
          <w:p>
            <w:pPr>
              <w:pStyle w:val="Compact"/>
              <w:jc w:val="left"/>
            </w:pPr>
            <w:r>
              <w:t xml:space="preserve">pequeños ECA en lesiones nerviosas por sarcoidosis; sin nuevos estudios desde 2015</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candidata para la enfermedad celíaca; fase 3 interrumpida</w:t>
            </w:r>
          </w:p>
        </w:tc>
      </w:tr>
      <w:tr>
        <w:tc>
          <w:tcPr/>
          <w:p>
            <w:pPr>
              <w:pStyle w:val="Compact"/>
              <w:jc w:val="left"/>
            </w:pPr>
            <w:r>
              <w:t xml:space="preserve">Timalina / timógeno</w:t>
            </w:r>
          </w:p>
        </w:tc>
        <w:tc>
          <w:tcPr/>
          <w:p>
            <w:pPr>
              <w:pStyle w:val="Compact"/>
              <w:jc w:val="left"/>
            </w:pPr>
            <w:r>
              <w:t xml:space="preserve">C</w:t>
            </w:r>
          </w:p>
        </w:tc>
        <w:tc>
          <w:tcPr/>
          <w:p>
            <w:pPr>
              <w:pStyle w:val="Compact"/>
              <w:jc w:val="left"/>
            </w:pPr>
            <w:r>
              <w:t xml:space="preserve">Rusia</w:t>
            </w:r>
          </w:p>
        </w:tc>
        <w:tc>
          <w:tcPr/>
          <w:p>
            <w:pPr>
              <w:pStyle w:val="Compact"/>
              <w:jc w:val="left"/>
            </w:pPr>
            <w:r>
              <w:t xml:space="preserve">casi solo estudios rusos de una misma escuela, apenas aleatorizados</w:t>
            </w:r>
          </w:p>
        </w:tc>
      </w:tr>
    </w:tbl>
    <w:p>
      <w:pPr>
        <w:pStyle w:val="BodyText"/>
      </w:pPr>
      <w:r>
        <w:t xml:space="preserve">Niveles de evidencia:</w:t>
      </w:r>
      <w:r>
        <w:t xml:space="preserve"> </w:t>
      </w:r>
      <w:r>
        <w:rPr>
          <w:bCs/>
          <w:b/>
        </w:rPr>
        <w:t xml:space="preserve">A</w:t>
      </w:r>
      <w:r>
        <w:t xml:space="preserve"> </w:t>
      </w:r>
      <w:r>
        <w:t xml:space="preserve">varios grandes ECA o autorización ·</w:t>
      </w:r>
      <w:r>
        <w:t xml:space="preserve"> </w:t>
      </w:r>
      <w:r>
        <w:rPr>
          <w:bCs/>
          <w:b/>
        </w:rPr>
        <w:t xml:space="preserve">B</w:t>
      </w:r>
      <w:r>
        <w:t xml:space="preserve"> </w:t>
      </w:r>
      <w:r>
        <w:t xml:space="preserve">ECA aislados ·</w:t>
      </w:r>
      <w:r>
        <w:t xml:space="preserve"> </w:t>
      </w:r>
      <w:r>
        <w:rPr>
          <w:bCs/>
          <w:b/>
        </w:rPr>
        <w:t xml:space="preserve">C</w:t>
      </w:r>
      <w:r>
        <w:t xml:space="preserve"> </w:t>
      </w:r>
      <w:r>
        <w:t xml:space="preserve">solo estudios en humanos pequeños o no controlados ·</w:t>
      </w:r>
      <w:r>
        <w:t xml:space="preserve"> </w:t>
      </w:r>
      <w:r>
        <w:rPr>
          <w:bCs/>
          <w:b/>
        </w:rPr>
        <w:t xml:space="preserve">D</w:t>
      </w:r>
      <w:r>
        <w:t xml:space="preserve"> </w:t>
      </w:r>
      <w:r>
        <w:t xml:space="preserve">solo estudios en animales y de laboratorio. La autorización se refiere a la autorización como medicamento, situación en 2026.</w:t>
      </w:r>
    </w:p>
    <w:p>
      <w:pPr>
        <w:pStyle w:val="BodyText"/>
      </w:pPr>
      <w:r>
        <w:t xml:space="preserve">Ni un solo péptido de este grupo está autorizado como medicamento en la UE o en EE. UU. Los dos principios activos con autorizaciones fuera de Occidente –la timosina alfa 1 y la timalina– se autorizaron sobre la base de estudios que solo en parte resisten los criterios actuales.</w:t>
      </w:r>
    </w:p>
    <w:bookmarkEnd w:id="895"/>
    <w:bookmarkStart w:id="896" w:name="indicaciones-para-la-lectura"/>
    <w:p>
      <w:pPr>
        <w:pStyle w:val="Heading3"/>
      </w:pPr>
      <w:r>
        <w:t xml:space="preserve">Indicaciones para la lectura</w:t>
      </w:r>
    </w:p>
    <w:p>
      <w:pPr>
        <w:pStyle w:val="FirstParagraph"/>
      </w:pPr>
      <w:r>
        <w:t xml:space="preserve">Los capítulos siguen la estructura uniforme de este libro. En este grupo, presta especial atención a tres distinciones:</w:t>
      </w:r>
    </w:p>
    <w:p>
      <w:pPr>
        <w:numPr>
          <w:ilvl w:val="0"/>
          <w:numId w:val="1114"/>
        </w:numPr>
        <w:pStyle w:val="Compact"/>
      </w:pPr>
      <w:r>
        <w:rPr>
          <w:bCs/>
          <w:b/>
        </w:rPr>
        <w:t xml:space="preserve">¿Humano o animal?</w:t>
      </w:r>
      <w:r>
        <w:t xml:space="preserve"> </w:t>
      </w:r>
      <w:r>
        <w:t xml:space="preserve">En el caso del BPC-157, el KPV y el TB-500, casi todo lo que se afirma en internet se basa en experimentos con ratas, ratones o cultivos celulares. Los capítulos lo señalan expresamente en cada caso.</w:t>
      </w:r>
    </w:p>
    <w:p>
      <w:pPr>
        <w:numPr>
          <w:ilvl w:val="0"/>
          <w:numId w:val="1114"/>
        </w:numPr>
        <w:pStyle w:val="Compact"/>
      </w:pPr>
      <w:r>
        <w:rPr>
          <w:bCs/>
          <w:b/>
        </w:rPr>
        <w:t xml:space="preserve">¿Principio activo o valor medido?</w:t>
      </w:r>
      <w:r>
        <w:t xml:space="preserve"> </w:t>
      </w:r>
      <w:r>
        <w:t xml:space="preserve">Sobre el LL-37 hay muchos estudios que</w:t>
      </w:r>
      <w:r>
        <w:t xml:space="preserve"> </w:t>
      </w:r>
      <w:r>
        <w:rPr>
          <w:iCs/>
          <w:i/>
        </w:rPr>
        <w:t xml:space="preserve">miden</w:t>
      </w:r>
      <w:r>
        <w:t xml:space="preserve"> </w:t>
      </w:r>
      <w:r>
        <w:t xml:space="preserve">la sustancia en sangre, pero pocos que la</w:t>
      </w:r>
      <w:r>
        <w:t xml:space="preserve"> </w:t>
      </w:r>
      <w:r>
        <w:rPr>
          <w:iCs/>
          <w:i/>
        </w:rPr>
        <w:t xml:space="preserve">administran</w:t>
      </w:r>
      <w:r>
        <w:t xml:space="preserve"> </w:t>
      </w:r>
      <w:r>
        <w:t xml:space="preserve">como medicamento. Solo estos últimos dicen algo sobre un tratamiento.</w:t>
      </w:r>
    </w:p>
    <w:p>
      <w:pPr>
        <w:numPr>
          <w:ilvl w:val="0"/>
          <w:numId w:val="1114"/>
        </w:numPr>
        <w:pStyle w:val="Compact"/>
      </w:pPr>
      <w:r>
        <w:rPr>
          <w:bCs/>
          <w:b/>
        </w:rPr>
        <w:t xml:space="preserve">¿Original o derivado?</w:t>
      </w:r>
      <w:r>
        <w:t xml:space="preserve"> </w:t>
      </w:r>
      <w:r>
        <w:t xml:space="preserve">El TB-500 no es la timosina beta 4, el timógeno no es la timalina, y el producto que se vende en internet no es la forma farmacéutica utilizada en los estudios.</w:t>
      </w:r>
    </w:p>
    <w:p>
      <w:pPr>
        <w:pStyle w:val="FirstParagraph"/>
      </w:pPr>
      <w:r>
        <w:t xml:space="preserve">Dos capítulos contienen advertencias sobre entradas de registro cuya autenticidad es dudosa: un promotor ha inscrito en ClinicalTrials.gov tanto un estudio de fase 2 sobre el BPC-157 como un estudio sobre el TB-500, uno de los cuales se describe a sí mismo como «ejemplo ficticio». Así pues, tampoco una entrada de registro prueba que un estudio se esté realizando realmente.</w:t>
      </w:r>
    </w:p>
    <w:p>
      <w:pPr>
        <w:pStyle w:val="BodyText"/>
      </w:pPr>
      <w:r>
        <w:t xml:space="preserve">Las cuestiones sobre productos del mercado gris, contaminantes y el riesgo teórico de cáncer por señales de crecimiento y vasculares se tratan con más detalle y de forma transversal a todos los péptidos en el capítulo I.5 y en la Parte IV. Para los deportistas rige lo siguiente: el BPC-157, el TB-500 y el ARA-290 están expresamente prohibidos por la AMA; en el caso de los demás, consulta a tu agencia nacional antidopaje antes de cualquier uso.</w:t>
      </w:r>
    </w:p>
    <w:bookmarkEnd w:id="896"/>
    <w:bookmarkStart w:id="954" w:name="bpc-157"/>
    <w:p>
      <w:pPr>
        <w:pStyle w:val="Heading2"/>
      </w:pPr>
      <w:r>
        <w:t xml:space="preserve">BPC-157</w:t>
      </w:r>
    </w:p>
    <w:p>
      <w:pPr>
        <w:pStyle w:val="FirstParagraph"/>
      </w:pPr>
      <w:r>
        <w:t xml:space="preserve">Pocos péptidos se buscan, se recomiendan y se venden tanto en internet como el BPC-157. En foros y vídeos se considera un remedio milagroso para tendones, ligamentos, músculos, intestino e incluso el cerebro. Quien lee la literatura especializada encuentra, efectivamente, mucho más de doscientas publicaciones. Pero el panorama cambia en cuanto se pregunta cuántas de ellas han estudiado a seres humanos: son solo un puñado –pequeñas, no controladas y procedentes de una única consulta privada–. Este capítulo sitúa en contexto qué está demostrado, qué solo se ha mostrado en ratas y dónde están los riesgos.</w:t>
      </w:r>
    </w:p>
    <w:bookmarkStart w:id="898" w:name="ficha-15"/>
    <w:p>
      <w:pPr>
        <w:pStyle w:val="Heading3"/>
      </w:pPr>
      <w:r>
        <w:t xml:space="preserve">Ficha</w:t>
      </w:r>
    </w:p>
    <w:p>
      <w:pPr>
        <w:numPr>
          <w:ilvl w:val="0"/>
          <w:numId w:val="1115"/>
        </w:numPr>
        <w:pStyle w:val="Compact"/>
      </w:pPr>
      <w:r>
        <w:rPr>
          <w:bCs/>
          <w:b/>
        </w:rPr>
        <w:t xml:space="preserve">Tipo y estructura:</w:t>
      </w:r>
      <w:r>
        <w:t xml:space="preserve"> </w:t>
      </w:r>
      <w:r>
        <w:t xml:space="preserve">péptido sintético de 15 aminoácidos (pentadecapéptido) con la secuencia GEPPPGKPADDAGLV</w:t>
      </w:r>
      <w:r>
        <w:rPr>
          <w:rStyle w:val="FootnoteReference"/>
        </w:rPr>
        <w:footnoteReference w:id="897"/>
      </w:r>
      <w:r>
        <w:t xml:space="preserve">.</w:t>
      </w:r>
    </w:p>
    <w:p>
      <w:pPr>
        <w:numPr>
          <w:ilvl w:val="0"/>
          <w:numId w:val="1115"/>
        </w:numPr>
        <w:pStyle w:val="Compact"/>
      </w:pPr>
      <w:r>
        <w:rPr>
          <w:bCs/>
          <w:b/>
        </w:rPr>
        <w:t xml:space="preserve">Origen:</w:t>
      </w:r>
      <w:r>
        <w:t xml:space="preserve"> </w:t>
      </w:r>
      <w:r>
        <w:t xml:space="preserve">derivado de una proteína más grande que se describió en la década de 1990 a partir del jugo gástrico humano («Body Protection Compound», de ahí BPC). El BPC-157 que se vende es un producto de laboratorio; no está demostrado de forma independiente que la secuencia exista en esta forma en el organismo.</w:t>
      </w:r>
    </w:p>
    <w:p>
      <w:pPr>
        <w:numPr>
          <w:ilvl w:val="0"/>
          <w:numId w:val="1115"/>
        </w:numPr>
        <w:pStyle w:val="Compact"/>
      </w:pPr>
      <w:r>
        <w:rPr>
          <w:bCs/>
          <w:b/>
        </w:rPr>
        <w:t xml:space="preserve">Nombres de desarrollo anteriores:</w:t>
      </w:r>
      <w:r>
        <w:t xml:space="preserve"> </w:t>
      </w:r>
      <w:r>
        <w:t xml:space="preserve">PL 14736, PL-10, PLD-116 (empresa Pliva, Croacia), posteriormente «Bepecin» o PCO-02.</w:t>
      </w:r>
    </w:p>
    <w:p>
      <w:pPr>
        <w:numPr>
          <w:ilvl w:val="0"/>
          <w:numId w:val="1115"/>
        </w:numPr>
        <w:pStyle w:val="Compact"/>
      </w:pPr>
      <w:r>
        <w:rPr>
          <w:bCs/>
          <w:b/>
        </w:rPr>
        <w:t xml:space="preserve">Mecanismo de acción (supuesto, a partir de estudios en animales):</w:t>
      </w:r>
      <w:r>
        <w:t xml:space="preserve"> </w:t>
      </w:r>
      <w:r>
        <w:t xml:space="preserve">estímulo de la formación de nuevos vasos sanguíneos (angiogénesis) a través del receptor 2 de VEGF y del sistema del óxido nítrico, efecto sobre la migración de las células del tejido conjuntivo.</w:t>
      </w:r>
    </w:p>
    <w:p>
      <w:pPr>
        <w:numPr>
          <w:ilvl w:val="0"/>
          <w:numId w:val="1115"/>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 en 2023, la FDA lo clasificó como principio activo con problemas de seguridad para la elaboración de fórmulas magistrales (categoría 2).</w:t>
      </w:r>
    </w:p>
    <w:p>
      <w:pPr>
        <w:numPr>
          <w:ilvl w:val="0"/>
          <w:numId w:val="1115"/>
        </w:numPr>
        <w:pStyle w:val="Compact"/>
      </w:pPr>
      <w:r>
        <w:rPr>
          <w:bCs/>
          <w:b/>
        </w:rPr>
        <w:t xml:space="preserve">WADA:</w:t>
      </w:r>
      <w:r>
        <w:t xml:space="preserve"> </w:t>
      </w:r>
      <w:r>
        <w:t xml:space="preserve">prohibido, grupo S0 «sustancias no aprobadas» (mencionado expresamente).</w:t>
      </w:r>
    </w:p>
    <w:p>
      <w:pPr>
        <w:numPr>
          <w:ilvl w:val="0"/>
          <w:numId w:val="1115"/>
        </w:numPr>
        <w:pStyle w:val="Compact"/>
      </w:pPr>
      <w:r>
        <w:rPr>
          <w:bCs/>
          <w:b/>
        </w:rPr>
        <w:t xml:space="preserve">Nivel de evidencia: C</w:t>
      </w:r>
      <w:r>
        <w:t xml:space="preserve"> </w:t>
      </w:r>
      <w:r>
        <w:t xml:space="preserve">– solo tres estudios muy pequeños y no controlados en humanos, con unas 30 personas en total; ningún estudio aleatorizado concluido.</w:t>
      </w:r>
    </w:p>
    <w:bookmarkEnd w:id="898"/>
    <w:bookmarkStart w:id="905" w:name="cómo-se-supone-que-actúa-15"/>
    <w:p>
      <w:pPr>
        <w:pStyle w:val="Heading3"/>
      </w:pPr>
      <w:r>
        <w:t xml:space="preserve">Cómo se supone que actúa</w:t>
      </w:r>
    </w:p>
    <w:p>
      <w:pPr>
        <w:pStyle w:val="FirstParagraph"/>
      </w:pPr>
      <w:r>
        <w:t xml:space="preserve">La idea básica procede de la investigación gástrica. La mucosa del estómago está expuesta a diario a ácido, enzimas y medicamentos como los analgésicos y, aun así, se repara con asombrosa rapidez. En la década de 1990, investigadores de Zagreb supusieron que unas sustancias protectoras del jugo gástrico eran responsables de esta capacidad y aislaron un péptido al que llamaron «Body Protection Compound». El BPC-157 es un fragmento corto de este.</w:t>
      </w:r>
    </w:p>
    <w:p>
      <w:pPr>
        <w:pStyle w:val="BodyText"/>
      </w:pPr>
      <w:r>
        <w:t xml:space="preserve">Resulta inusual que el BPC-157 se mantenga estable en el jugo gástrico. La mayoría de los péptidos se descomponen allí rápidamente. Los defensores deducen de ello que también podría actuar en comprimidos; en humanos no está demostrado.</w:t>
      </w:r>
    </w:p>
    <w:p>
      <w:pPr>
        <w:pStyle w:val="BodyText"/>
      </w:pPr>
      <w:r>
        <w:t xml:space="preserve">Para el supuesto efecto se discuten sobre todo tres mecanismos, todos ellos procedentes de experimentos con animales y células:</w:t>
      </w:r>
    </w:p>
    <w:p>
      <w:pPr>
        <w:numPr>
          <w:ilvl w:val="0"/>
          <w:numId w:val="1116"/>
        </w:numPr>
        <w:pStyle w:val="Compact"/>
      </w:pPr>
      <w:r>
        <w:rPr>
          <w:bCs/>
          <w:b/>
        </w:rPr>
        <w:t xml:space="preserve">Formación de nuevos vasos:</w:t>
      </w:r>
      <w:r>
        <w:t xml:space="preserve"> </w:t>
      </w:r>
      <w:r>
        <w:t xml:space="preserve">en cultivos de células endoteliales humanas, el BPC-157 aumentó la cantidad del receptor 2 de VEGF (un interruptor central para el crecimiento de nuevos vasos sanguíneos) y activó la vía de señalización posterior Akt-eNOS; en ratas con una arteria de la pata ligada, la irrigación se recuperó más rápidamente</w:t>
      </w:r>
      <w:r>
        <w:rPr>
          <w:rStyle w:val="FootnoteReference"/>
        </w:rPr>
        <w:footnoteReference w:id="899"/>
      </w:r>
      <w:r>
        <w:t xml:space="preserve">. Un trabajo procedente de China describió en 2026, en ensayos celulares, otra vía a través de las proteínas FBXO22 y BACH1</w:t>
      </w:r>
      <w:r>
        <w:rPr>
          <w:rStyle w:val="FootnoteReference"/>
        </w:rPr>
        <w:footnoteReference w:id="900"/>
      </w:r>
      <w:r>
        <w:t xml:space="preserve">.</w:t>
      </w:r>
    </w:p>
    <w:p>
      <w:pPr>
        <w:numPr>
          <w:ilvl w:val="0"/>
          <w:numId w:val="1116"/>
        </w:numPr>
        <w:pStyle w:val="Compact"/>
      </w:pPr>
      <w:r>
        <w:rPr>
          <w:bCs/>
          <w:b/>
        </w:rPr>
        <w:t xml:space="preserve">Migración y supervivencia celular:</w:t>
      </w:r>
      <w:r>
        <w:t xml:space="preserve"> </w:t>
      </w:r>
      <w:r>
        <w:t xml:space="preserve">en cultivos de células tendinosas de rata, el BPC-157 aceleró la salida de células de fragmentos de tendón, mejoró su supervivencia bajo estrés oxidativo y favoreció su migración; la división celular en sí no aumentó directamente</w:t>
      </w:r>
      <w:r>
        <w:rPr>
          <w:rStyle w:val="FootnoteReference"/>
        </w:rPr>
        <w:footnoteReference w:id="901"/>
      </w:r>
      <w:r>
        <w:t xml:space="preserve">.</w:t>
      </w:r>
    </w:p>
    <w:p>
      <w:pPr>
        <w:numPr>
          <w:ilvl w:val="0"/>
          <w:numId w:val="1116"/>
        </w:numPr>
        <w:pStyle w:val="Compact"/>
      </w:pPr>
      <w:r>
        <w:rPr>
          <w:bCs/>
          <w:b/>
        </w:rPr>
        <w:t xml:space="preserve">Sensibilidad a la hormona del crecimiento:</w:t>
      </w:r>
      <w:r>
        <w:t xml:space="preserve"> </w:t>
      </w:r>
      <w:r>
        <w:t xml:space="preserve">en las mismas células tendinosas de rata, el BPC-157 aumentó el número de receptores de la hormona del crecimiento</w:t>
      </w:r>
      <w:r>
        <w:rPr>
          <w:rStyle w:val="FootnoteReference"/>
        </w:rPr>
        <w:footnoteReference w:id="902"/>
      </w:r>
      <w:r>
        <w:t xml:space="preserve">.</w:t>
      </w:r>
    </w:p>
    <w:p>
      <w:pPr>
        <w:pStyle w:val="FirstParagraph"/>
      </w:pPr>
      <w:r>
        <w:t xml:space="preserve">A ello se suma una gran variedad de otros efectos sobre el óxido nítrico, la coagulación sanguínea y los neurotransmisores, descritos sobre todo en revisiones del grupo de Zagreb</w:t>
      </w:r>
      <w:r>
        <w:rPr>
          <w:rStyle w:val="FootnoteReference"/>
        </w:rPr>
        <w:footnoteReference w:id="903"/>
      </w:r>
      <w:r>
        <w:t xml:space="preserve">. Hasta hoy no se conoce ningún receptor concreto al que se una el BPC-157.</w:t>
      </w:r>
    </w:p>
    <w:p>
      <w:pPr>
        <w:pStyle w:val="BodyText"/>
      </w:pPr>
      <w:r>
        <w:t xml:space="preserve">Llama la atención una contradicción que señala una revisión farmacéutica: en animales, el BPC-157 tiene una semivida de menos de 30 minutos, pero los efectos descritos se mantendrían durante horas o días</w:t>
      </w:r>
      <w:r>
        <w:rPr>
          <w:rStyle w:val="FootnoteReference"/>
        </w:rPr>
        <w:footnoteReference w:id="904"/>
      </w:r>
      <w:r>
        <w:t xml:space="preserve">. No está claro cómo encaja esto.</w:t>
      </w:r>
    </w:p>
    <w:bookmarkEnd w:id="905"/>
    <w:bookmarkStart w:id="918" w:name="estudios-en-humanos-15"/>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w:t>
      </w:r>
      <w:r>
        <w:t xml:space="preserve"> </w:t>
      </w:r>
      <w:r>
        <w:rPr>
          <w:bCs/>
          <w:b/>
        </w:rPr>
        <w:t xml:space="preserve">no</w:t>
      </w:r>
      <w:r>
        <w:t xml:space="preserve"> </w:t>
      </w:r>
      <w:r>
        <w:t xml:space="preserve">encontró en PubMed ningún estudio que cumpliera los criterios de filtro de un estudio en humanos (</w:t>
      </w:r>
      <w:r>
        <w:rPr>
          <w:rStyle w:val="VerbatimChar"/>
        </w:rPr>
        <w:t xml:space="preserve">humanstudien_alle</w:t>
      </w:r>
      <w:r>
        <w:t xml:space="preserve">: 0), y</w:t>
      </w:r>
      <w:r>
        <w:t xml:space="preserve"> </w:t>
      </w:r>
      <w:r>
        <w:rPr>
          <w:bCs/>
          <w:b/>
        </w:rPr>
        <w:t xml:space="preserve">4</w:t>
      </w:r>
      <w:r>
        <w:t xml:space="preserve"> </w:t>
      </w:r>
      <w:r>
        <w:t xml:space="preserve">entradas en el registro de estudios ClinicalTrials.gov. En total, PubMed recoge para el BPC-157 unas 230 publicaciones, casi exclusivamente experimentos con animales, trabajos de laboratorio y artículos de revisión.</w:t>
      </w:r>
    </w:p>
    <w:p>
      <w:pPr>
        <w:pStyle w:val="BodyText"/>
      </w:pPr>
      <w:r>
        <w:t xml:space="preserve">Una búsqueda adicional específica dio con tres pequeños estudios en humanos. Los tres proceden del mismo primer autor, de una consulta privada en Florida, y se publicaron en una revista de medicina alternativa. Una revisión sistemática publicada en 2026 encontró exactamente estos tres trabajos, con 30 personas en total</w:t>
      </w:r>
      <w:r>
        <w:rPr>
          <w:rStyle w:val="FootnoteReference"/>
        </w:rPr>
        <w:footnoteReference w:id="90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Rodilla (Lee 2021), PMID 34324435</w:t>
            </w:r>
          </w:p>
        </w:tc>
        <w:tc>
          <w:tcPr/>
          <w:p>
            <w:pPr>
              <w:pStyle w:val="Compact"/>
              <w:jc w:val="left"/>
            </w:pPr>
            <w:r>
              <w:t xml:space="preserve">16 personas con dolor de rodilla de diversas causas, revisión retrospectiva de historias clínicas con encuesta telefónica, sin grupo de control</w:t>
            </w:r>
          </w:p>
        </w:tc>
        <w:tc>
          <w:tcPr/>
          <w:p>
            <w:pPr>
              <w:pStyle w:val="Compact"/>
              <w:jc w:val="left"/>
            </w:pPr>
            <w:r>
              <w:t xml:space="preserve">retrospectiva de 6–12 meses</w:t>
            </w:r>
          </w:p>
        </w:tc>
        <w:tc>
          <w:tcPr/>
          <w:p>
            <w:pPr>
              <w:pStyle w:val="Compact"/>
              <w:jc w:val="left"/>
            </w:pPr>
            <w:r>
              <w:t xml:space="preserve">14 de 16 refirieron alivio del dolor; 12 recibieron solo BPC-157, 4 además timosina beta 4</w:t>
            </w:r>
          </w:p>
        </w:tc>
      </w:tr>
      <w:tr>
        <w:tc>
          <w:tcPr/>
          <w:p>
            <w:pPr>
              <w:pStyle w:val="Compact"/>
              <w:jc w:val="left"/>
            </w:pPr>
            <w:r>
              <w:t xml:space="preserve">Cistitis intersticial (Lee 2024), PMID 39325560</w:t>
            </w:r>
          </w:p>
        </w:tc>
        <w:tc>
          <w:tcPr/>
          <w:p>
            <w:pPr>
              <w:pStyle w:val="Compact"/>
              <w:jc w:val="left"/>
            </w:pPr>
            <w:r>
              <w:t xml:space="preserve">12 mujeres con enfermedad crónica de dolor vesical, inyecciones en la pared de la vejiga durante una cistoscopia, sin grupo de control</w:t>
            </w:r>
          </w:p>
        </w:tc>
        <w:tc>
          <w:tcPr/>
          <w:p>
            <w:pPr>
              <w:pStyle w:val="Compact"/>
              <w:jc w:val="left"/>
            </w:pPr>
            <w:r>
              <w:t xml:space="preserve">un tratamiento</w:t>
            </w:r>
          </w:p>
        </w:tc>
        <w:tc>
          <w:tcPr/>
          <w:p>
            <w:pPr>
              <w:pStyle w:val="Compact"/>
              <w:jc w:val="left"/>
            </w:pPr>
            <w:r>
              <w:t xml:space="preserve">10 de 12 indicaron mejoría completa y 2 mejoría predominante; no se notificaron efectos secundarios</w:t>
            </w:r>
          </w:p>
        </w:tc>
      </w:tr>
      <w:tr>
        <w:tc>
          <w:tcPr/>
          <w:p>
            <w:pPr>
              <w:pStyle w:val="Compact"/>
              <w:jc w:val="left"/>
            </w:pPr>
            <w:r>
              <w:t xml:space="preserve">Infusión intravenosa (Lee 2025), PMID 40131143</w:t>
            </w:r>
          </w:p>
        </w:tc>
        <w:tc>
          <w:tcPr/>
          <w:p>
            <w:pPr>
              <w:pStyle w:val="Compact"/>
              <w:jc w:val="left"/>
            </w:pPr>
            <w:r>
              <w:t xml:space="preserve">2 personas, prueba de seguridad en dos días</w:t>
            </w:r>
          </w:p>
        </w:tc>
        <w:tc>
          <w:tcPr/>
          <w:p>
            <w:pPr>
              <w:pStyle w:val="Compact"/>
              <w:jc w:val="left"/>
            </w:pPr>
            <w:r>
              <w:t xml:space="preserve">3 días</w:t>
            </w:r>
          </w:p>
        </w:tc>
        <w:tc>
          <w:tcPr/>
          <w:p>
            <w:pPr>
              <w:pStyle w:val="Compact"/>
              <w:jc w:val="left"/>
            </w:pPr>
            <w:r>
              <w:t xml:space="preserve">sin cambios medibles en los valores sanguíneos analizados, sin molestias</w:t>
            </w:r>
          </w:p>
        </w:tc>
      </w:tr>
    </w:tbl>
    <w:bookmarkStart w:id="913" w:name="qué-valor-tienen-estos-datos"/>
    <w:p>
      <w:pPr>
        <w:pStyle w:val="Heading4"/>
      </w:pPr>
      <w:r>
        <w:t xml:space="preserve">¿Qué valor tienen estos datos?</w:t>
      </w:r>
    </w:p>
    <w:p>
      <w:pPr>
        <w:pStyle w:val="FirstParagraph"/>
      </w:pPr>
      <w:r>
        <w:t xml:space="preserve">Escaso. El estudio de la rodilla no fue un estudio planificado, sino una encuesta telefónica a posteriori entre pacientes que ya habían pagado el tratamiento. No hubo grupo de comparación, ni cegamiento, ni instrumentos de medición de la función o la calidad de vida, ni pruebas de imagen. Las causas del dolor de rodilla iban desde la artrosis hasta las roturas de menisco. Según el resumen, no se utilizaron cuestionarios estandarizados de función</w:t>
      </w:r>
      <w:r>
        <w:rPr>
          <w:rStyle w:val="FootnoteReference"/>
        </w:rPr>
        <w:footnoteReference w:id="907"/>
      </w:r>
      <w:r>
        <w:t xml:space="preserve">.</w:t>
      </w:r>
    </w:p>
    <w:p>
      <w:pPr>
        <w:pStyle w:val="BodyText"/>
      </w:pPr>
      <w:r>
        <w:t xml:space="preserve">El trabajo sobre la cistitis registró el resultado con un único cuestionario global. Que las doce mujeres dieran la mejor valoración posible es inusual para una enfermedad crónica, a menudo difícil de tratar, y sin grupo de control no se puede distinguir de un efecto placebo o de la fluctuación natural de los síntomas. Es destacable, además, que el BPC-157 utilizado procedía de una farmacia de formulación magistral estadounidense</w:t>
      </w:r>
      <w:r>
        <w:rPr>
          <w:rStyle w:val="FootnoteReference"/>
        </w:rPr>
        <w:footnoteReference w:id="908"/>
      </w:r>
      <w:r>
        <w:t xml:space="preserve">.</w:t>
      </w:r>
    </w:p>
    <w:p>
      <w:pPr>
        <w:pStyle w:val="BodyText"/>
      </w:pPr>
      <w:r>
        <w:t xml:space="preserve">El estudio de infusión incluyó a dos personas que ya habían recibido BPC-157 anteriormente. A partir de dos personas no se puede extraer ninguna conclusión sobre la seguridad: los efectos secundarios raros o tardíos permanecen invisibles de este modo</w:t>
      </w:r>
      <w:r>
        <w:rPr>
          <w:rStyle w:val="FootnoteReference"/>
        </w:rPr>
        <w:footnoteReference w:id="909"/>
      </w:r>
      <w:r>
        <w:t xml:space="preserve">.</w:t>
      </w:r>
    </w:p>
    <w:p>
      <w:pPr>
        <w:pStyle w:val="BodyText"/>
      </w:pPr>
      <w:r>
        <w:t xml:space="preserve">La revisión sistemática calificó la calidad metodológica de los tres trabajos como deficiente y la fiabilidad de la evidencia según el sistema GRADE como «muy baja». Su conclusión: el BPC-157 no debería utilizarse en humanos fuera de ensayos clínicos de alta calidad y aprobados éticamente</w:t>
      </w:r>
      <w:r>
        <w:rPr>
          <w:rStyle w:val="FootnoteReference"/>
        </w:rPr>
        <w:footnoteReference w:id="910"/>
      </w:r>
      <w:r>
        <w:t xml:space="preserve">. Otra revisión sistemática de ortopedia deportiva, con búsqueda hasta junio de 2024, encontró entre 36 trabajos incluidos un único estudio clínico</w:t>
      </w:r>
      <w:r>
        <w:rPr>
          <w:rStyle w:val="FootnoteReference"/>
        </w:rPr>
        <w:footnoteReference w:id="911"/>
      </w:r>
      <w:r>
        <w:t xml:space="preserve">. Varias revisiones recientes de ortopedia y medicina deportiva llegan a la misma conclusión: actualmente no se puede recomendar un uso rutinario</w:t>
      </w:r>
      <w:r>
        <w:rPr>
          <w:rStyle w:val="FootnoteReference"/>
        </w:rPr>
        <w:footnoteReference w:id="912"/>
      </w:r>
      <w:r>
        <w:t xml:space="preserve">.</w:t>
      </w:r>
    </w:p>
    <w:bookmarkEnd w:id="913"/>
    <w:bookmarkStart w:id="917" w:name="X7aef6e6a46037f5c60d683342b4adbefc54f51c"/>
    <w:p>
      <w:pPr>
        <w:pStyle w:val="Heading4"/>
      </w:pPr>
      <w:r>
        <w:t xml:space="preserve">Qué fue de los estudios anteriores de la empresa</w:t>
      </w:r>
    </w:p>
    <w:p>
      <w:pPr>
        <w:pStyle w:val="FirstParagraph"/>
      </w:pPr>
      <w:r>
        <w:t xml:space="preserve">En la década de 2000, la farmacéutica croata Pliva desarrolló el BPC-157 con el código PL 14736 para las enfermedades inflamatorias intestinales crónicas. Estudios en animales de aquella época señalan que la sustancia se estaba evaluando «actualmente en ensayos clínicos»</w:t>
      </w:r>
      <w:r>
        <w:rPr>
          <w:rStyle w:val="FootnoteReference"/>
        </w:rPr>
        <w:footnoteReference w:id="914"/>
      </w:r>
      <w:r>
        <w:t xml:space="preserve">. Una revisión del grupo de Zagreb menciona estudios en colitis ulcerosa y esclerosis múltiple</w:t>
      </w:r>
      <w:r>
        <w:rPr>
          <w:rStyle w:val="FootnoteReference"/>
        </w:rPr>
        <w:footnoteReference w:id="915"/>
      </w:r>
      <w:r>
        <w:t xml:space="preserve">. Los resultados completos de estos estudios no pueden encontrarse en PubMed como trabajo original. Además, en 2015 se registró un estudio de fase 1 con comprimidos («Bepecin», PCO-02) en 42 voluntarios sanos</w:t>
      </w:r>
      <w:r>
        <w:rPr>
          <w:rStyle w:val="FootnoteReference"/>
        </w:rPr>
        <w:footnoteReference w:id="916"/>
      </w:r>
      <w:r>
        <w:t xml:space="preserve">; su estado lleva años siendo «desconocido» y no se han publicado resultados.</w:t>
      </w:r>
    </w:p>
    <w:p>
      <w:pPr>
        <w:pStyle w:val="BodyText"/>
      </w:pPr>
      <w:r>
        <w:t xml:space="preserve">Para los lectores, esto significa: cuando las páginas web afirman que el BPC-157 ha sido «seguro en ensayos clínicos», se refieren a estudios cuyos datos nadie puede verificar de forma independiente.</w:t>
      </w:r>
    </w:p>
    <w:bookmarkEnd w:id="917"/>
    <w:bookmarkEnd w:id="918"/>
    <w:bookmarkStart w:id="927" w:name="estudios-en-animales-y-de-laboratorio-15"/>
    <w:p>
      <w:pPr>
        <w:pStyle w:val="Heading3"/>
      </w:pPr>
      <w:r>
        <w:t xml:space="preserve">Estudios en animales y de laboratorio</w:t>
      </w:r>
    </w:p>
    <w:p>
      <w:pPr>
        <w:pStyle w:val="FirstParagraph"/>
      </w:pPr>
      <w:r>
        <w:t xml:space="preserve">La investigación preclínica es la razón por la que el BPC-157 se hizo tan conocido. Es amplia, pero inusualmente unilateral en su origen.</w:t>
      </w:r>
    </w:p>
    <w:bookmarkStart w:id="922" w:name="un-grupo-de-investigación-domina"/>
    <w:p>
      <w:pPr>
        <w:pStyle w:val="Heading4"/>
      </w:pPr>
      <w:r>
        <w:t xml:space="preserve">Un grupo de investigación domina</w:t>
      </w:r>
    </w:p>
    <w:p>
      <w:pPr>
        <w:pStyle w:val="FirstParagraph"/>
      </w:pPr>
      <w:r>
        <w:t xml:space="preserve">De los unos 230 resultados en PubMed (consulta de octubre de 2026), aproximadamente 175 citan como autor al farmacólogo de Zagreb Predrag Sikirić, es decir, alrededor de tres cuartas partes. Una revisión sobre la curación de tendones y músculos señaló que en dos décadas solo un puñado de grupos de investigación había estudiado a fondo el BPC-157</w:t>
      </w:r>
      <w:r>
        <w:rPr>
          <w:rStyle w:val="FootnoteReference"/>
        </w:rPr>
        <w:footnoteReference w:id="919"/>
      </w:r>
      <w:r>
        <w:t xml:space="preserve">. Esto es importante para la valoración: los resultados científicos solo se consideran sólidos cuando grupos independientes los reproducen. Una revisión crítica de 2026 sobre trastornos circulatorios en roedores critica los cortos periodos de observación, los experimentos con dosis única y los riesgos de sesgo descritos de forma incompleta, y reclama réplicas independientes y cegadas</w:t>
      </w:r>
      <w:r>
        <w:rPr>
          <w:rStyle w:val="FootnoteReference"/>
        </w:rPr>
        <w:footnoteReference w:id="920"/>
      </w:r>
      <w:r>
        <w:t xml:space="preserve">. Un breve comentario en la revista Inflammopharmacology analizó específicamente en 2025 una extensa revisión de este grupo</w:t>
      </w:r>
      <w:r>
        <w:rPr>
          <w:rStyle w:val="FootnoteReference"/>
        </w:rPr>
        <w:footnoteReference w:id="921"/>
      </w:r>
      <w:r>
        <w:t xml:space="preserve">.</w:t>
      </w:r>
    </w:p>
    <w:p>
      <w:pPr>
        <w:pStyle w:val="BodyText"/>
      </w:pPr>
      <w:r>
        <w:t xml:space="preserve">Sí existen trabajos independientes –sobre todo de Taiwán (células tendinosas, vasos), Corea del Sur y China–, pero son claramente menos frecuentes y en su mayoría ensayos de laboratorio o celulares.</w:t>
      </w:r>
    </w:p>
    <w:bookmarkEnd w:id="922"/>
    <w:bookmarkStart w:id="923" w:name="visión-general-por-sistemas-orgánicos"/>
    <w:p>
      <w:pPr>
        <w:pStyle w:val="Heading4"/>
      </w:pPr>
      <w:r>
        <w:t xml:space="preserve">Visión general por sistemas orgánicos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Ámbito</w:t>
            </w:r>
          </w:p>
        </w:tc>
        <w:tc>
          <w:tcPr/>
          <w:p>
            <w:pPr>
              <w:pStyle w:val="Compact"/>
              <w:jc w:val="left"/>
            </w:pPr>
            <w:r>
              <w:t xml:space="preserve">Modelo típico</w:t>
            </w:r>
          </w:p>
        </w:tc>
        <w:tc>
          <w:tcPr/>
          <w:p>
            <w:pPr>
              <w:pStyle w:val="Compact"/>
              <w:jc w:val="left"/>
            </w:pPr>
            <w:r>
              <w:t xml:space="preserve">Resultado descrito</w:t>
            </w:r>
          </w:p>
        </w:tc>
        <w:tc>
          <w:tcPr/>
          <w:p>
            <w:pPr>
              <w:pStyle w:val="Compact"/>
              <w:jc w:val="left"/>
            </w:pPr>
            <w:r>
              <w:t xml:space="preserve">Ejemplo</w:t>
            </w:r>
          </w:p>
        </w:tc>
      </w:tr>
      <w:tr>
        <w:tc>
          <w:tcPr/>
          <w:p>
            <w:pPr>
              <w:pStyle w:val="Compact"/>
              <w:jc w:val="left"/>
            </w:pPr>
            <w:r>
              <w:t xml:space="preserve">Tendón</w:t>
            </w:r>
          </w:p>
        </w:tc>
        <w:tc>
          <w:tcPr/>
          <w:p>
            <w:pPr>
              <w:pStyle w:val="Compact"/>
              <w:jc w:val="left"/>
            </w:pPr>
            <w:r>
              <w:t xml:space="preserve">tendón de Aquiles seccionado en ratas</w:t>
            </w:r>
          </w:p>
        </w:tc>
        <w:tc>
          <w:tcPr/>
          <w:p>
            <w:pPr>
              <w:pStyle w:val="Compact"/>
              <w:jc w:val="left"/>
            </w:pPr>
            <w:r>
              <w:t xml:space="preserve">mayor resistencia a la carga, mejor función y estructura tisular</w:t>
            </w:r>
          </w:p>
        </w:tc>
        <w:tc>
          <w:tcPr/>
          <w:p>
            <w:pPr>
              <w:pStyle w:val="Compact"/>
              <w:jc w:val="left"/>
            </w:pPr>
            <w:r>
              <w:t xml:space="preserve">Staresinic 2003, PMID 14554208</w:t>
            </w:r>
          </w:p>
        </w:tc>
      </w:tr>
      <w:tr>
        <w:tc>
          <w:tcPr/>
          <w:p>
            <w:pPr>
              <w:pStyle w:val="Compact"/>
              <w:jc w:val="left"/>
            </w:pPr>
            <w:r>
              <w:t xml:space="preserve">Ligamento</w:t>
            </w:r>
          </w:p>
        </w:tc>
        <w:tc>
          <w:tcPr/>
          <w:p>
            <w:pPr>
              <w:pStyle w:val="Compact"/>
              <w:jc w:val="left"/>
            </w:pPr>
            <w:r>
              <w:t xml:space="preserve">ligamento de la rodilla lesionado en ratas</w:t>
            </w:r>
          </w:p>
        </w:tc>
        <w:tc>
          <w:tcPr/>
          <w:p>
            <w:pPr>
              <w:pStyle w:val="Compact"/>
              <w:jc w:val="left"/>
            </w:pPr>
            <w:r>
              <w:t xml:space="preserve">mejor curación</w:t>
            </w:r>
          </w:p>
        </w:tc>
        <w:tc>
          <w:tcPr/>
          <w:p>
            <w:pPr>
              <w:pStyle w:val="Compact"/>
              <w:jc w:val="left"/>
            </w:pPr>
            <w:r>
              <w:t xml:space="preserve">Cerovecki 2010, PMID 20225319</w:t>
            </w:r>
          </w:p>
        </w:tc>
      </w:tr>
      <w:tr>
        <w:tc>
          <w:tcPr/>
          <w:p>
            <w:pPr>
              <w:pStyle w:val="Compact"/>
              <w:jc w:val="left"/>
            </w:pPr>
            <w:r>
              <w:t xml:space="preserve">Músculo</w:t>
            </w:r>
          </w:p>
        </w:tc>
        <w:tc>
          <w:tcPr/>
          <w:p>
            <w:pPr>
              <w:pStyle w:val="Compact"/>
              <w:jc w:val="left"/>
            </w:pPr>
            <w:r>
              <w:t xml:space="preserve">músculo del muslo seccionado en ratas</w:t>
            </w:r>
          </w:p>
        </w:tc>
        <w:tc>
          <w:tcPr/>
          <w:p>
            <w:pPr>
              <w:pStyle w:val="Compact"/>
              <w:jc w:val="left"/>
            </w:pPr>
            <w:r>
              <w:t xml:space="preserve">mejor función</w:t>
            </w:r>
          </w:p>
        </w:tc>
        <w:tc>
          <w:tcPr/>
          <w:p>
            <w:pPr>
              <w:pStyle w:val="Compact"/>
              <w:jc w:val="left"/>
            </w:pPr>
            <w:r>
              <w:t xml:space="preserve">Staresinic 2006, PMID 16609979</w:t>
            </w:r>
          </w:p>
        </w:tc>
      </w:tr>
      <w:tr>
        <w:tc>
          <w:tcPr/>
          <w:p>
            <w:pPr>
              <w:pStyle w:val="Compact"/>
              <w:jc w:val="left"/>
            </w:pPr>
            <w:r>
              <w:t xml:space="preserve">Hueso</w:t>
            </w:r>
          </w:p>
        </w:tc>
        <w:tc>
          <w:tcPr/>
          <w:p>
            <w:pPr>
              <w:pStyle w:val="Compact"/>
              <w:jc w:val="left"/>
            </w:pPr>
            <w:r>
              <w:t xml:space="preserve">defecto óseo en conejos</w:t>
            </w:r>
          </w:p>
        </w:tc>
        <w:tc>
          <w:tcPr/>
          <w:p>
            <w:pPr>
              <w:pStyle w:val="Compact"/>
              <w:jc w:val="left"/>
            </w:pPr>
            <w:r>
              <w:t xml:space="preserve">curación del defecto claramente mejor en radiografía y tejido</w:t>
            </w:r>
          </w:p>
        </w:tc>
        <w:tc>
          <w:tcPr/>
          <w:p>
            <w:pPr>
              <w:pStyle w:val="Compact"/>
              <w:jc w:val="left"/>
            </w:pPr>
            <w:r>
              <w:t xml:space="preserve">Sebecić 1999, PMID 10071911</w:t>
            </w:r>
          </w:p>
        </w:tc>
      </w:tr>
      <w:tr>
        <w:tc>
          <w:tcPr/>
          <w:p>
            <w:pPr>
              <w:pStyle w:val="Compact"/>
              <w:jc w:val="left"/>
            </w:pPr>
            <w:r>
              <w:t xml:space="preserve">Piel</w:t>
            </w:r>
          </w:p>
        </w:tc>
        <w:tc>
          <w:tcPr/>
          <w:p>
            <w:pPr>
              <w:pStyle w:val="Compact"/>
              <w:jc w:val="left"/>
            </w:pPr>
            <w:r>
              <w:t xml:space="preserve">heridas incisas, quemaduras y heridas diabéticas en ratas</w:t>
            </w:r>
          </w:p>
        </w:tc>
        <w:tc>
          <w:tcPr/>
          <w:p>
            <w:pPr>
              <w:pStyle w:val="Compact"/>
              <w:jc w:val="left"/>
            </w:pPr>
            <w:r>
              <w:t xml:space="preserve">curación más rápida de las heridas</w:t>
            </w:r>
          </w:p>
        </w:tc>
        <w:tc>
          <w:tcPr/>
          <w:p>
            <w:pPr>
              <w:pStyle w:val="Compact"/>
              <w:jc w:val="left"/>
            </w:pPr>
            <w:r>
              <w:t xml:space="preserve">Seiwerth 2021, PMID 34267654</w:t>
            </w:r>
          </w:p>
        </w:tc>
      </w:tr>
      <w:tr>
        <w:tc>
          <w:tcPr/>
          <w:p>
            <w:pPr>
              <w:pStyle w:val="Compact"/>
              <w:jc w:val="left"/>
            </w:pPr>
            <w:r>
              <w:t xml:space="preserve">Intestino</w:t>
            </w:r>
          </w:p>
        </w:tc>
        <w:tc>
          <w:tcPr/>
          <w:p>
            <w:pPr>
              <w:pStyle w:val="Compact"/>
              <w:jc w:val="left"/>
            </w:pPr>
            <w:r>
              <w:t xml:space="preserve">fístulas, colitis, anastomosis en ratas</w:t>
            </w:r>
          </w:p>
        </w:tc>
        <w:tc>
          <w:tcPr/>
          <w:p>
            <w:pPr>
              <w:pStyle w:val="Compact"/>
              <w:jc w:val="left"/>
            </w:pPr>
            <w:r>
              <w:t xml:space="preserve">curación de las fístulas y suturas</w:t>
            </w:r>
          </w:p>
        </w:tc>
        <w:tc>
          <w:tcPr/>
          <w:p>
            <w:pPr>
              <w:pStyle w:val="Compact"/>
              <w:jc w:val="left"/>
            </w:pPr>
            <w:r>
              <w:t xml:space="preserve">Sikiric 2020, PMID 32329684</w:t>
            </w:r>
          </w:p>
        </w:tc>
      </w:tr>
      <w:tr>
        <w:tc>
          <w:tcPr/>
          <w:p>
            <w:pPr>
              <w:pStyle w:val="Compact"/>
              <w:jc w:val="left"/>
            </w:pPr>
            <w:r>
              <w:t xml:space="preserve">Estómago</w:t>
            </w:r>
          </w:p>
        </w:tc>
        <w:tc>
          <w:tcPr/>
          <w:p>
            <w:pPr>
              <w:pStyle w:val="Compact"/>
              <w:jc w:val="left"/>
            </w:pPr>
            <w:r>
              <w:t xml:space="preserve">lesiones por analgésicos y alcohol</w:t>
            </w:r>
          </w:p>
        </w:tc>
        <w:tc>
          <w:tcPr/>
          <w:p>
            <w:pPr>
              <w:pStyle w:val="Compact"/>
              <w:jc w:val="left"/>
            </w:pPr>
            <w:r>
              <w:t xml:space="preserve">protección de la mucosa</w:t>
            </w:r>
          </w:p>
        </w:tc>
        <w:tc>
          <w:tcPr/>
          <w:p>
            <w:pPr>
              <w:pStyle w:val="Compact"/>
              <w:jc w:val="left"/>
            </w:pPr>
            <w:r>
              <w:t xml:space="preserve">Ilic 2011, PMID 21295044</w:t>
            </w:r>
          </w:p>
        </w:tc>
      </w:tr>
      <w:tr>
        <w:tc>
          <w:tcPr/>
          <w:p>
            <w:pPr>
              <w:pStyle w:val="Compact"/>
              <w:jc w:val="left"/>
            </w:pPr>
            <w:r>
              <w:t xml:space="preserve">Vasos</w:t>
            </w:r>
          </w:p>
        </w:tc>
        <w:tc>
          <w:tcPr/>
          <w:p>
            <w:pPr>
              <w:pStyle w:val="Compact"/>
              <w:jc w:val="left"/>
            </w:pPr>
            <w:r>
              <w:t xml:space="preserve">arterias y venas ligadas</w:t>
            </w:r>
          </w:p>
        </w:tc>
        <w:tc>
          <w:tcPr/>
          <w:p>
            <w:pPr>
              <w:pStyle w:val="Compact"/>
              <w:jc w:val="left"/>
            </w:pPr>
            <w:r>
              <w:t xml:space="preserve">circulación colateral, mejor irrigación</w:t>
            </w:r>
          </w:p>
        </w:tc>
        <w:tc>
          <w:tcPr/>
          <w:p>
            <w:pPr>
              <w:pStyle w:val="Compact"/>
              <w:jc w:val="left"/>
            </w:pPr>
            <w:r>
              <w:t xml:space="preserve">Sikiric 2022, PMID 35125818</w:t>
            </w:r>
          </w:p>
        </w:tc>
      </w:tr>
    </w:tbl>
    <w:p>
      <w:pPr>
        <w:pStyle w:val="BodyText"/>
      </w:pPr>
      <w:r>
        <w:t xml:space="preserve">A ello se suman trabajos sobre cerebro, ojo, corazón, vejiga, intoxicaciones y descompensaciones metabólicas, en ratas y ratones. Los defensores interpretan esta enorme amplitud como una fortaleza. Desde el punto de vista metodológico es más bien una señal de alarma: una sustancia que mejora casi cualquier trastorno en casi cualquier modelo probado exige una comprobación especialmente cuidadosa e independiente.</w:t>
      </w:r>
    </w:p>
    <w:bookmarkEnd w:id="923"/>
    <w:bookmarkStart w:id="926" w:name="farmacocinética-y-toxicología"/>
    <w:p>
      <w:pPr>
        <w:pStyle w:val="Heading4"/>
      </w:pPr>
      <w:r>
        <w:t xml:space="preserve">Farmacocinética y toxicología</w:t>
      </w:r>
    </w:p>
    <w:p>
      <w:pPr>
        <w:pStyle w:val="FirstParagraph"/>
      </w:pPr>
      <w:r>
        <w:t xml:space="preserve">Un grupo de trabajo chino estudió el BPC-157 según las reglas habituales del desarrollo de fármacos. En ratas y perros beagle, la semivida del péptido inalterado fue inferior a 30 minutos; tras la inyección intramuscular llegó a la circulación sanguínea entre un 14 y un 19 por ciento en ratas y entre un 45 y un 51 por ciento en perros. El BPC-157 se descompuso rápidamente en pequeños fragmentos y aminoácidos y se eliminó por la orina y la bilis</w:t>
      </w:r>
      <w:r>
        <w:rPr>
          <w:rStyle w:val="FootnoteReference"/>
        </w:rPr>
        <w:footnoteReference w:id="924"/>
      </w:r>
      <w:r>
        <w:t xml:space="preserve">. En pruebas de toxicidad en ratones, ratas, conejos y perros, los mismos investigadores no encontraron daños graves, ni daño genético, ni daño a embriones; en perros, con la dosis más alta, el valor de creatinina disminuyó transitoriamente</w:t>
      </w:r>
      <w:r>
        <w:rPr>
          <w:rStyle w:val="FootnoteReference"/>
        </w:rPr>
        <w:footnoteReference w:id="925"/>
      </w:r>
      <w:r>
        <w:t xml:space="preserve">. Estos datos en animales son un requisito previo para los estudios en humanos, pero no los sustituyen.</w:t>
      </w:r>
    </w:p>
    <w:bookmarkEnd w:id="926"/>
    <w:bookmarkEnd w:id="927"/>
    <w:bookmarkStart w:id="940" w:name="riesgos-y-efectos-adversos-15"/>
    <w:p>
      <w:pPr>
        <w:pStyle w:val="Heading3"/>
      </w:pPr>
      <w:r>
        <w:t xml:space="preserve">Riesgos y efectos adversos</w:t>
      </w:r>
    </w:p>
    <w:bookmarkStart w:id="929" w:name="demostrado"/>
    <w:p>
      <w:pPr>
        <w:pStyle w:val="Heading4"/>
      </w:pPr>
      <w:r>
        <w:t xml:space="preserve">Demostrado</w:t>
      </w:r>
    </w:p>
    <w:p>
      <w:pPr>
        <w:pStyle w:val="FirstParagraph"/>
      </w:pPr>
      <w:r>
        <w:t xml:space="preserve">Prácticamente no existen efectos secundarios demostrados en humanos, pero no porque el BPC-157 sea demostrablemente seguro, sino porque casi nadie los ha buscado de forma sistemática. Los tres estudios piloto, con unas 30 personas en total, no notificaron efectos secundarios</w:t>
      </w:r>
      <w:r>
        <w:rPr>
          <w:rStyle w:val="FootnoteReference"/>
        </w:rPr>
        <w:footnoteReference w:id="928"/>
      </w:r>
      <w:r>
        <w:t xml:space="preserve">. Con 30 personas solo pueden detectarse problemas frecuentes y de aparición inmediata. Un efecto secundario que afecte a una de cada mil personas permanecería invisible.</w:t>
      </w:r>
    </w:p>
    <w:bookmarkEnd w:id="929"/>
    <w:bookmarkStart w:id="933" w:name="Xf263269a4901b8d389a5a10eba3c12572f0c895"/>
    <w:p>
      <w:pPr>
        <w:pStyle w:val="Heading4"/>
      </w:pPr>
      <w:r>
        <w:t xml:space="preserve">Teórico: formación de nuevos vasos y crecimiento tumoral</w:t>
      </w:r>
    </w:p>
    <w:p>
      <w:pPr>
        <w:pStyle w:val="FirstParagraph"/>
      </w:pPr>
      <w:r>
        <w:t xml:space="preserve">El riesgo teórico más discutido se deriva directamente del supuesto mecanismo de acción. Si el BPC-157 favorece la formación de nuevos vasos sanguíneos, podría –según esta preocupación– mejorar también la irrigación de tumores ya existentes, quizá aún no detectados. Los tumores a partir de unos pocos milímetros de tamaño necesitan vasos sanguíneos propios para seguir creciendo. Por eso, los inhibidores de la vía de señalización de VEGF son fármacos contra el cáncer consolidados. Una sustancia que aumenta el receptor 2 de VEGF en cultivos celulares</w:t>
      </w:r>
      <w:r>
        <w:rPr>
          <w:rStyle w:val="FootnoteReference"/>
        </w:rPr>
        <w:footnoteReference w:id="930"/>
      </w:r>
      <w:r>
        <w:t xml:space="preserve"> </w:t>
      </w:r>
      <w:r>
        <w:t xml:space="preserve">merece cautela en este punto. Varias revisiones citan expresamente la formación patológica de vasos y una posible promoción del cáncer como riesgo no aclarado</w:t>
      </w:r>
      <w:r>
        <w:rPr>
          <w:rStyle w:val="FootnoteReference"/>
        </w:rPr>
        <w:footnoteReference w:id="931"/>
      </w:r>
      <w:r>
        <w:t xml:space="preserve">.</w:t>
      </w:r>
    </w:p>
    <w:p>
      <w:pPr>
        <w:pStyle w:val="BodyText"/>
      </w:pPr>
      <w:r>
        <w:t xml:space="preserve">El grupo de Zagreb lo rebate: el BPC-157 regularía la formación de vasos en lugar de estimularla a ciegas, impediría por ejemplo en la córnea del ojo una invasión vascular patológica y mostraría incluso efectos antitumorales en experimentos con animales y células</w:t>
      </w:r>
      <w:r>
        <w:rPr>
          <w:rStyle w:val="FootnoteReference"/>
        </w:rPr>
        <w:footnoteReference w:id="932"/>
      </w:r>
      <w:r>
        <w:t xml:space="preserve">. Estos datos proceden, a su vez, mayoritariamente del mismo grupo. No se han publicado para el BPC-157 estudios a largo plazo sobre la aparición de cáncer (estudios de carcinogenicidad), como los habituales en los medicamentos autorizados. La cuestión queda, por tanto, abierta: ni confirmada ni refutada. La Parte IV de este libro trata con detalle el tema de las señales de crecimiento y el riesgo de cáncer.</w:t>
      </w:r>
    </w:p>
    <w:bookmarkEnd w:id="933"/>
    <w:bookmarkStart w:id="936" w:name="riesgos-del-mercado-gris"/>
    <w:p>
      <w:pPr>
        <w:pStyle w:val="Heading4"/>
      </w:pPr>
      <w:r>
        <w:t xml:space="preserve">Riesgos del mercado gris</w:t>
      </w:r>
    </w:p>
    <w:p>
      <w:pPr>
        <w:pStyle w:val="FirstParagraph"/>
      </w:pPr>
      <w:r>
        <w:t xml:space="preserve">El mayor riesgo práctico probablemente no esté en el principio activo en sí, sino en los productos. El BPC-157 se vende mayoritariamente como «Research Chemical», sin calidad farmacéutica. Las revisiones citan como peligros concretos los contaminantes, las concentraciones incorrectas, la falta de esterilidad y la calidad de fabricación variable</w:t>
      </w:r>
      <w:r>
        <w:rPr>
          <w:rStyle w:val="FootnoteReference"/>
        </w:rPr>
        <w:footnoteReference w:id="934"/>
      </w:r>
      <w:r>
        <w:t xml:space="preserve">. Ya en 2017, un laboratorio antidopaje describió BPC-157 procedente de viales incautados</w:t>
      </w:r>
      <w:r>
        <w:rPr>
          <w:rStyle w:val="FootnoteReference"/>
        </w:rPr>
        <w:footnoteReference w:id="935"/>
      </w:r>
      <w:r>
        <w:t xml:space="preserve">. En las inyecciones se añaden riesgos de infección por soluciones no estériles. El capítulo I.5 y la Parte IV tratan con detalle los análisis de laboratorio de péptidos del mercado gris.</w:t>
      </w:r>
    </w:p>
    <w:bookmarkEnd w:id="936"/>
    <w:bookmarkStart w:id="939" w:name="otras-cuestiones-abiertas"/>
    <w:p>
      <w:pPr>
        <w:pStyle w:val="Heading4"/>
      </w:pPr>
      <w:r>
        <w:t xml:space="preserve">Otras cuestiones abiertas</w:t>
      </w:r>
    </w:p>
    <w:p>
      <w:pPr>
        <w:numPr>
          <w:ilvl w:val="0"/>
          <w:numId w:val="1117"/>
        </w:numPr>
        <w:pStyle w:val="Compact"/>
      </w:pPr>
      <w:r>
        <w:rPr>
          <w:bCs/>
          <w:b/>
        </w:rPr>
        <w:t xml:space="preserve">Interacciones:</w:t>
      </w:r>
      <w:r>
        <w:t xml:space="preserve"> </w:t>
      </w:r>
      <w:r>
        <w:t xml:space="preserve">en experimentos con animales, el BPC-157 influyó en la coagulación sanguínea, la presión arterial y los mensajeros del sistema nervioso</w:t>
      </w:r>
      <w:r>
        <w:rPr>
          <w:rStyle w:val="FootnoteReference"/>
        </w:rPr>
        <w:footnoteReference w:id="937"/>
      </w:r>
      <w:r>
        <w:t xml:space="preserve">. Nadie sabe si esto es relevante en humanos para personas que toman anticoagulantes, tienen enfermedades cardiovasculares o toman medicamentos psiquiátricos.</w:t>
      </w:r>
    </w:p>
    <w:p>
      <w:pPr>
        <w:numPr>
          <w:ilvl w:val="0"/>
          <w:numId w:val="1117"/>
        </w:numPr>
        <w:pStyle w:val="Compact"/>
      </w:pPr>
      <w:r>
        <w:rPr>
          <w:bCs/>
          <w:b/>
        </w:rPr>
        <w:t xml:space="preserve">Embarazo y lactancia, niños y adolescentes:</w:t>
      </w:r>
      <w:r>
        <w:t xml:space="preserve"> </w:t>
      </w:r>
      <w:r>
        <w:t xml:space="preserve">no hay datos en humanos.</w:t>
      </w:r>
    </w:p>
    <w:p>
      <w:pPr>
        <w:numPr>
          <w:ilvl w:val="0"/>
          <w:numId w:val="1117"/>
        </w:numPr>
        <w:pStyle w:val="Compact"/>
      </w:pPr>
      <w:r>
        <w:rPr>
          <w:bCs/>
          <w:b/>
        </w:rPr>
        <w:t xml:space="preserve">Efecto placebo:</w:t>
      </w:r>
      <w:r>
        <w:t xml:space="preserve"> </w:t>
      </w:r>
      <w:r>
        <w:t xml:space="preserve">una revisión de medicina deportiva señala que las redes sociales pueden reforzar el efecto placebo con este tipo de péptidos</w:t>
      </w:r>
      <w:r>
        <w:rPr>
          <w:rStyle w:val="FootnoteReference"/>
        </w:rPr>
        <w:footnoteReference w:id="938"/>
      </w:r>
      <w:r>
        <w:t xml:space="preserve">. Por tanto, los testimonios personales de éxito no son una prueba de eficacia.</w:t>
      </w:r>
    </w:p>
    <w:bookmarkEnd w:id="939"/>
    <w:bookmarkEnd w:id="940"/>
    <w:bookmarkStart w:id="944" w:name="situación-legal-15"/>
    <w:p>
      <w:pPr>
        <w:pStyle w:val="Heading3"/>
      </w:pPr>
      <w:r>
        <w:t xml:space="preserve">Situación legal</w:t>
      </w:r>
    </w:p>
    <w:p>
      <w:pPr>
        <w:pStyle w:val="FirstParagraph"/>
      </w:pPr>
      <w:r>
        <w:rPr>
          <w:iCs/>
          <w:i/>
        </w:rPr>
        <w:t xml:space="preserve">Situación en 2026, compruébalo en su versión actual.</w:t>
      </w:r>
    </w:p>
    <w:p>
      <w:pPr>
        <w:numPr>
          <w:ilvl w:val="0"/>
          <w:numId w:val="1118"/>
        </w:numPr>
        <w:pStyle w:val="Compact"/>
      </w:pPr>
      <w:r>
        <w:rPr>
          <w:bCs/>
          <w:b/>
        </w:rPr>
        <w:t xml:space="preserve">UE:</w:t>
      </w:r>
      <w:r>
        <w:t xml:space="preserve"> </w:t>
      </w:r>
      <w:r>
        <w:t xml:space="preserve">el BPC-157 no está autorizado como medicamento en ningún Estado miembro. Una sustancia que se ofrece para tratar enfermedades en humanos se considera jurídicamente un medicamento; sin autorización no puede comercializarse. La indicación «solo para fines de investigación» no cambia nada si el producto está claramente destinado al uso en humanos.</w:t>
      </w:r>
    </w:p>
    <w:p>
      <w:pPr>
        <w:numPr>
          <w:ilvl w:val="0"/>
          <w:numId w:val="1118"/>
        </w:numPr>
        <w:pStyle w:val="Compact"/>
      </w:pPr>
      <w:r>
        <w:rPr>
          <w:bCs/>
          <w:b/>
        </w:rPr>
        <w:t xml:space="preserve">Alemania y Austria:</w:t>
      </w:r>
      <w:r>
        <w:t xml:space="preserve"> </w:t>
      </w:r>
      <w:r>
        <w:t xml:space="preserve">sin autorización y sin base para formulación magistral. Su dispensación para uso en humanos es ilegal según la respectiva ley del medicamento. En el deporte se aplican además las normas antidopaje.</w:t>
      </w:r>
    </w:p>
    <w:p>
      <w:pPr>
        <w:numPr>
          <w:ilvl w:val="0"/>
          <w:numId w:val="1118"/>
        </w:numPr>
        <w:pStyle w:val="Compact"/>
      </w:pPr>
      <w:r>
        <w:rPr>
          <w:bCs/>
          <w:b/>
        </w:rPr>
        <w:t xml:space="preserve">EE. UU.:</w:t>
      </w:r>
      <w:r>
        <w:t xml:space="preserve"> </w:t>
      </w:r>
      <w:r>
        <w:t xml:space="preserve">sin autorización de la FDA. En 2023, la FDA clasificó el BPC-157, entre las sustancias de partida para la elaboración de fórmulas magistrales (el llamado compounding), en la categoría 2: sustancias con importantes problemas de seguridad. Según el criterio de la autoridad, las farmacias de formulación magistral no pueden, por tanto, procesarlo. Desde entonces, la clasificación de los péptidos se ha debatido de forma controvertida en el comité asesor de la FDA sobre formulación magistral (PCAC) y en círculos especializados</w:t>
      </w:r>
      <w:r>
        <w:rPr>
          <w:rStyle w:val="FootnoteReference"/>
        </w:rPr>
        <w:footnoteReference w:id="941"/>
      </w:r>
      <w:r>
        <w:t xml:space="preserve">; son posibles cambios.</w:t>
      </w:r>
    </w:p>
    <w:p>
      <w:pPr>
        <w:numPr>
          <w:ilvl w:val="0"/>
          <w:numId w:val="1118"/>
        </w:numPr>
        <w:pStyle w:val="Compact"/>
      </w:pPr>
      <w:r>
        <w:rPr>
          <w:bCs/>
          <w:b/>
        </w:rPr>
        <w:t xml:space="preserve">WADA:</w:t>
      </w:r>
      <w:r>
        <w:t xml:space="preserve"> </w:t>
      </w:r>
      <w:r>
        <w:t xml:space="preserve">desde 2022, el BPC-157 figura por su nombre en el grupo S0 (sustancias no aprobadas) de la Lista de Prohibiciones y, por tanto, está prohibido en competición y fuera de ella. Una revisión de 2025 indica, en sentido contrario, que el BPC-157 no figura actualmente en la lista</w:t>
      </w:r>
      <w:r>
        <w:rPr>
          <w:rStyle w:val="FootnoteReference"/>
        </w:rPr>
        <w:footnoteReference w:id="942"/>
      </w:r>
      <w:r>
        <w:t xml:space="preserve">; según el conocimiento del autor, esto no es así en la lista actual. Los laboratorios antidopaje han desarrollado métodos de detección en orina</w:t>
      </w:r>
      <w:r>
        <w:rPr>
          <w:rStyle w:val="FootnoteReference"/>
        </w:rPr>
        <w:footnoteReference w:id="943"/>
      </w:r>
      <w:r>
        <w:t xml:space="preserve">.</w:t>
      </w:r>
    </w:p>
    <w:bookmarkEnd w:id="944"/>
    <w:bookmarkStart w:id="950" w:name="estudios-en-curso-y-perspectivas-15"/>
    <w:p>
      <w:pPr>
        <w:pStyle w:val="Heading3"/>
      </w:pPr>
      <w:r>
        <w:t xml:space="preserve">Estudios en curso y perspectivas</w:t>
      </w:r>
    </w:p>
    <w:p>
      <w:pPr>
        <w:pStyle w:val="FirstParagraph"/>
      </w:pPr>
      <w:r>
        <w:t xml:space="preserve">En octubre de 2026 hay cuatro estudios con BPC-157 inscritos en ClinicalTrials.gov: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Estado</w:t>
            </w:r>
          </w:p>
        </w:tc>
        <w:tc>
          <w:tcPr/>
          <w:p>
            <w:pPr>
              <w:pStyle w:val="Compact"/>
              <w:jc w:val="left"/>
            </w:pPr>
            <w:r>
              <w:t xml:space="preserve">Tema</w:t>
            </w:r>
          </w:p>
        </w:tc>
      </w:tr>
      <w:tr>
        <w:tc>
          <w:tcPr/>
          <w:p>
            <w:pPr>
              <w:pStyle w:val="Compact"/>
              <w:jc w:val="left"/>
            </w:pPr>
            <w:r>
              <w:t xml:space="preserve">NCT07437547</w:t>
            </w:r>
          </w:p>
        </w:tc>
        <w:tc>
          <w:tcPr/>
          <w:p>
            <w:pPr>
              <w:pStyle w:val="Compact"/>
              <w:jc w:val="left"/>
            </w:pPr>
            <w:r>
              <w:t xml:space="preserve">fase 2, aleatorizado, doble ciego, placebo, 120 personas previstas</w:t>
            </w:r>
          </w:p>
        </w:tc>
        <w:tc>
          <w:tcPr/>
          <w:p>
            <w:pPr>
              <w:pStyle w:val="Compact"/>
              <w:jc w:val="left"/>
            </w:pPr>
            <w:r>
              <w:t xml:space="preserve">según el registro, en reclutamiento desde febrero de 2026; autenticidad dudosa (véase el texto)</w:t>
            </w:r>
          </w:p>
        </w:tc>
        <w:tc>
          <w:tcPr/>
          <w:p>
            <w:pPr>
              <w:pStyle w:val="Compact"/>
              <w:jc w:val="left"/>
            </w:pPr>
            <w:r>
              <w:t xml:space="preserve">distensión aguda de los isquiotibiales; tiempo hasta la vuelta al deporte, hallazgo en RM</w:t>
            </w:r>
          </w:p>
        </w:tc>
      </w:tr>
      <w:tr>
        <w:tc>
          <w:tcPr/>
          <w:p>
            <w:pPr>
              <w:pStyle w:val="Compact"/>
              <w:jc w:val="left"/>
            </w:pPr>
            <w:r>
              <w:t xml:space="preserve">NCT07803250</w:t>
            </w:r>
          </w:p>
        </w:tc>
        <w:tc>
          <w:tcPr/>
          <w:p>
            <w:pPr>
              <w:pStyle w:val="Compact"/>
              <w:jc w:val="left"/>
            </w:pPr>
            <w:r>
              <w:t xml:space="preserve">fase 1, aleatorizado, 30 personas previstas</w:t>
            </w:r>
          </w:p>
        </w:tc>
        <w:tc>
          <w:tcPr/>
          <w:p>
            <w:pPr>
              <w:pStyle w:val="Compact"/>
              <w:jc w:val="left"/>
            </w:pPr>
            <w:r>
              <w:t xml:space="preserve">aún sin reclutamiento, inicio previsto en 2027</w:t>
            </w:r>
          </w:p>
        </w:tc>
        <w:tc>
          <w:tcPr/>
          <w:p>
            <w:pPr>
              <w:pStyle w:val="Compact"/>
              <w:jc w:val="left"/>
            </w:pPr>
            <w:r>
              <w:t xml:space="preserve">curación tras cirugía del manguito de los rotadores (hombro)</w:t>
            </w:r>
          </w:p>
        </w:tc>
      </w:tr>
      <w:tr>
        <w:tc>
          <w:tcPr/>
          <w:p>
            <w:pPr>
              <w:pStyle w:val="Compact"/>
              <w:jc w:val="left"/>
            </w:pPr>
            <w:r>
              <w:t xml:space="preserve">NCT07752381</w:t>
            </w:r>
          </w:p>
        </w:tc>
        <w:tc>
          <w:tcPr/>
          <w:p>
            <w:pPr>
              <w:pStyle w:val="Compact"/>
              <w:jc w:val="left"/>
            </w:pPr>
            <w:r>
              <w:t xml:space="preserve">un solo grupo sin control, 40 personas</w:t>
            </w:r>
          </w:p>
        </w:tc>
        <w:tc>
          <w:tcPr/>
          <w:p>
            <w:pPr>
              <w:pStyle w:val="Compact"/>
              <w:jc w:val="left"/>
            </w:pPr>
            <w:r>
              <w:t xml:space="preserve">concluido en 2025, sin resultados en el registro</w:t>
            </w:r>
          </w:p>
        </w:tc>
        <w:tc>
          <w:tcPr/>
          <w:p>
            <w:pPr>
              <w:pStyle w:val="Compact"/>
              <w:jc w:val="left"/>
            </w:pPr>
            <w:r>
              <w:t xml:space="preserve">gominolas de un fabricante; marcadores inflamatorios y autoevaluación</w:t>
            </w:r>
          </w:p>
        </w:tc>
      </w:tr>
      <w:tr>
        <w:tc>
          <w:tcPr/>
          <w:p>
            <w:pPr>
              <w:pStyle w:val="Compact"/>
              <w:jc w:val="left"/>
            </w:pPr>
            <w:r>
              <w:t xml:space="preserve">NCT02637284</w:t>
            </w:r>
          </w:p>
        </w:tc>
        <w:tc>
          <w:tcPr/>
          <w:p>
            <w:pPr>
              <w:pStyle w:val="Compact"/>
              <w:jc w:val="left"/>
            </w:pPr>
            <w:r>
              <w:t xml:space="preserve">fase 1, comprimidos, 42 personas sanas previstas</w:t>
            </w:r>
          </w:p>
        </w:tc>
        <w:tc>
          <w:tcPr/>
          <w:p>
            <w:pPr>
              <w:pStyle w:val="Compact"/>
              <w:jc w:val="left"/>
            </w:pPr>
            <w:r>
              <w:t xml:space="preserve">estado desconocido desde 2016</w:t>
            </w:r>
          </w:p>
        </w:tc>
        <w:tc>
          <w:tcPr/>
          <w:p>
            <w:pPr>
              <w:pStyle w:val="Compact"/>
              <w:jc w:val="left"/>
            </w:pPr>
            <w:r>
              <w:t xml:space="preserve">seguridad y farmacocinética</w:t>
            </w:r>
          </w:p>
        </w:tc>
      </w:tr>
    </w:tbl>
    <w:p>
      <w:pPr>
        <w:pStyle w:val="BodyText"/>
      </w:pPr>
      <w:r>
        <w:t xml:space="preserve">Es</w:t>
      </w:r>
      <w:r>
        <w:t xml:space="preserve"> </w:t>
      </w:r>
      <w:r>
        <w:rPr>
          <w:bCs/>
          <w:b/>
        </w:rPr>
        <w:t xml:space="preserve">confirmado</w:t>
      </w:r>
      <w:r>
        <w:t xml:space="preserve"> </w:t>
      </w:r>
      <w:r>
        <w:t xml:space="preserve">muy poco. Sobre el papel, el estudio de fase 2 sobre distensiones de los isquiotibiales</w:t>
      </w:r>
      <w:r>
        <w:rPr>
          <w:rStyle w:val="FootnoteReference"/>
        </w:rPr>
        <w:footnoteReference w:id="945"/>
      </w:r>
      <w:r>
        <w:t xml:space="preserve"> </w:t>
      </w:r>
      <w:r>
        <w:t xml:space="preserve">sería el primer estudio aleatorizado y controlado con placebo, con un criterio de valoración objetivo (RM) y un tamaño suficiente. Sin embargo, al revisarlo para este libro llamó la atención lo siguiente: el mismo promotor («Hudson Biotech»), con el mismo centro de estudio y la misma persona de contacto, ha creado una segunda entrada sobre el TB-500</w:t>
      </w:r>
      <w:r>
        <w:rPr>
          <w:rStyle w:val="FootnoteReference"/>
        </w:rPr>
        <w:footnoteReference w:id="946"/>
      </w:r>
      <w:r>
        <w:t xml:space="preserve"> </w:t>
      </w:r>
      <w:r>
        <w:t xml:space="preserve">que en su propia descripción se denomina expresamente ejemplo «ficticio» de una entrada de registro. Por tanto, no puede afirmarse con fiabilidad si el estudio del BPC-157 se llevará realmente a cabo. ClinicalTrials.gov solo comprueba las entradas formalmente, no su contenido: un registro por sí solo no demuestra que un estudio se esté realizando.</w:t>
      </w:r>
    </w:p>
    <w:p>
      <w:pPr>
        <w:pStyle w:val="BodyText"/>
      </w:pPr>
      <w:r>
        <w:t xml:space="preserve">El estudio sobre el hombro de la University of Arkansas</w:t>
      </w:r>
      <w:r>
        <w:rPr>
          <w:rStyle w:val="FootnoteReference"/>
        </w:rPr>
        <w:footnoteReference w:id="947"/>
      </w:r>
      <w:r>
        <w:t xml:space="preserve"> </w:t>
      </w:r>
      <w:r>
        <w:t xml:space="preserve">es aleatorizado y cegado, pero pequeño, y aún no ha comenzado. El estudio de las gominolas de un fabricante</w:t>
      </w:r>
      <w:r>
        <w:rPr>
          <w:rStyle w:val="FootnoteReference"/>
        </w:rPr>
        <w:footnoteReference w:id="948"/>
      </w:r>
      <w:r>
        <w:t xml:space="preserve"> </w:t>
      </w:r>
      <w:r>
        <w:t xml:space="preserve">no tiene grupo de control y mide sobre todo datos autodeclarados; no responderá a las cuestiones abiertas.</w:t>
      </w:r>
    </w:p>
    <w:p>
      <w:pPr>
        <w:pStyle w:val="BodyText"/>
      </w:pPr>
      <w:r>
        <w:rPr>
          <w:bCs/>
          <w:b/>
        </w:rPr>
        <w:t xml:space="preserve">Valoración del autor:</w:t>
      </w:r>
      <w:r>
        <w:t xml:space="preserve"> </w:t>
      </w:r>
      <w:r>
        <w:t xml:space="preserve">no cabe esperar datos sólidos de eficacia en humanos antes de 2028. Incluso un resultado positivo de un pequeño estudio piloto sería solo un primer indicio, aún no una base para una autorización, que requiere varios estudios más amplios y datos de seguridad a largo plazo. Un resultado negativo probablemente cambiaría poco la reputación del péptido en internet. Una revisión farmacéutica subraya que hasta hoy no existe una forma farmacéutica estandarizada y validada</w:t>
      </w:r>
      <w:r>
        <w:rPr>
          <w:rStyle w:val="FootnoteReference"/>
        </w:rPr>
        <w:footnoteReference w:id="949"/>
      </w:r>
      <w:r>
        <w:t xml:space="preserve">; también esto debe resolverse antes de una autorización.</w:t>
      </w:r>
    </w:p>
    <w:bookmarkEnd w:id="950"/>
    <w:bookmarkStart w:id="953" w:name="conclusión-15"/>
    <w:p>
      <w:pPr>
        <w:pStyle w:val="Heading3"/>
      </w:pPr>
      <w:r>
        <w:t xml:space="preserve">Conclusión</w:t>
      </w:r>
    </w:p>
    <w:p>
      <w:pPr>
        <w:pStyle w:val="FirstParagraph"/>
      </w:pPr>
      <w:r>
        <w:t xml:space="preserve">El BPC-157 es un péptido con un número inusualmente grande de estudios en animales que casi siempre informan de resultados positivos, mayoritariamente de un único grupo de investigación de Zagreb y sin suficiente réplica independiente. En humanos solo existen tres estudios pequeños y no controlados, con unas 30 personas en total, cuya calidad se califica de muy baja</w:t>
      </w:r>
      <w:r>
        <w:rPr>
          <w:rStyle w:val="FootnoteReference"/>
        </w:rPr>
        <w:footnoteReference w:id="951"/>
      </w:r>
      <w:r>
        <w:t xml:space="preserve">. La seguridad a largo plazo, en particular la cuestión teórica de una promoción del crecimiento tumoral a través de la formación de nuevos vasos, no se ha estudiado, y los productos del mercado gris conllevan sus propios riesgos. Los estudios aleatorizados solo están registrados o previstos</w:t>
      </w:r>
      <w:r>
        <w:rPr>
          <w:rStyle w:val="FootnoteReference"/>
        </w:rPr>
        <w:footnoteReference w:id="952"/>
      </w:r>
      <w:r>
        <w:t xml:space="preserve">; hasta que haya resultados sólidos, el BPC-157 sigue siendo una sustancia experimental cuyo beneficio en humanos no está demostrado. Para los deportistas, está prohibido según las normas de la AMA.</w:t>
      </w:r>
    </w:p>
    <w:bookmarkEnd w:id="953"/>
    <w:bookmarkEnd w:id="954"/>
    <w:bookmarkStart w:id="1004" w:name="tb-500-y-timosina-beta-4"/>
    <w:p>
      <w:pPr>
        <w:pStyle w:val="Heading2"/>
      </w:pPr>
      <w:r>
        <w:t xml:space="preserve">TB-500 y timosina beta 4</w:t>
      </w:r>
    </w:p>
    <w:p>
      <w:pPr>
        <w:pStyle w:val="FirstParagraph"/>
      </w:pPr>
      <w:r>
        <w:t xml:space="preserve">En internet, el «TB-500» y la «timosina beta 4» se venden casi siempre como si fueran lo mismo. Es falso, y la diferencia es decisiva para la valoración. La timosina beta 4 es una proteína propia del organismo de 43 aminoácidos que se ha estudiado en varios ensayos clínicos, sobre todo como colirio y como infusión tras un infarto de miocardio. El TB-500, en cambio, es un fragmento corto y modificado artificialmente de ella que nunca se ha probado en un estudio publicado en humanos. Este capítulo separa ambos con claridad.</w:t>
      </w:r>
    </w:p>
    <w:bookmarkStart w:id="956" w:name="ficha-16"/>
    <w:p>
      <w:pPr>
        <w:pStyle w:val="Heading3"/>
      </w:pPr>
      <w:r>
        <w:t xml:space="preserve">Ficha</w:t>
      </w:r>
    </w:p>
    <w:p>
      <w:pPr>
        <w:numPr>
          <w:ilvl w:val="0"/>
          <w:numId w:val="1119"/>
        </w:numPr>
        <w:pStyle w:val="Compact"/>
      </w:pPr>
      <w:r>
        <w:rPr>
          <w:bCs/>
          <w:b/>
        </w:rPr>
        <w:t xml:space="preserve">Timosina beta 4 (Tβ4):</w:t>
      </w:r>
      <w:r>
        <w:t xml:space="preserve"> </w:t>
      </w:r>
      <w:r>
        <w:t xml:space="preserve">péptido propio del organismo de 43 aminoácidos, presente en casi todas las células; función principal: se une a la proteína estructural actina y regula así la forma y el movimiento celulares. Para los estudios se fabrica por síntesis o mediante ingeniería genética (recombinante); nombres de desarrollo RGN-259 (colirio), RGN-352 (inyección), NL005 (recombinante, China).</w:t>
      </w:r>
    </w:p>
    <w:p>
      <w:pPr>
        <w:numPr>
          <w:ilvl w:val="0"/>
          <w:numId w:val="1119"/>
        </w:numPr>
        <w:pStyle w:val="Compact"/>
      </w:pPr>
      <w:r>
        <w:rPr>
          <w:bCs/>
          <w:b/>
        </w:rPr>
        <w:t xml:space="preserve">TB-500:</w:t>
      </w:r>
      <w:r>
        <w:t xml:space="preserve"> </w:t>
      </w:r>
      <w:r>
        <w:t xml:space="preserve">el fragmento de los aminoácidos 17 a 23 de la Tβ4, modificado químicamente (acetilado) en su inicio, secuencia Ac-LKKTETQ</w:t>
      </w:r>
      <w:r>
        <w:rPr>
          <w:rStyle w:val="FootnoteReference"/>
        </w:rPr>
        <w:footnoteReference w:id="955"/>
      </w:r>
      <w:r>
        <w:t xml:space="preserve">. Apareció originalmente como medicamento veterinario en la hípica.</w:t>
      </w:r>
    </w:p>
    <w:p>
      <w:pPr>
        <w:numPr>
          <w:ilvl w:val="0"/>
          <w:numId w:val="1119"/>
        </w:numPr>
        <w:pStyle w:val="Compact"/>
      </w:pPr>
      <w:r>
        <w:rPr>
          <w:bCs/>
          <w:b/>
        </w:rPr>
        <w:t xml:space="preserve">Mecanismo de acción (supuesto):</w:t>
      </w:r>
      <w:r>
        <w:t xml:space="preserve"> </w:t>
      </w:r>
      <w:r>
        <w:t xml:space="preserve">estímulo de la migración celular, la formación de nuevos vasos y la cicatrización de heridas, atenuación de la inflamación.</w:t>
      </w:r>
    </w:p>
    <w:p>
      <w:pPr>
        <w:numPr>
          <w:ilvl w:val="0"/>
          <w:numId w:val="1119"/>
        </w:numPr>
        <w:pStyle w:val="Compact"/>
      </w:pPr>
      <w:r>
        <w:rPr>
          <w:bCs/>
          <w:b/>
        </w:rPr>
        <w:t xml:space="preserve">Autorización UE/EE. UU.:</w:t>
      </w:r>
      <w:r>
        <w:t xml:space="preserve"> </w:t>
      </w:r>
      <w:r>
        <w:t xml:space="preserve">ni la Tβ4 ni el TB-500 están autorizados.</w:t>
      </w:r>
    </w:p>
    <w:p>
      <w:pPr>
        <w:numPr>
          <w:ilvl w:val="0"/>
          <w:numId w:val="1119"/>
        </w:numPr>
        <w:pStyle w:val="Compact"/>
      </w:pPr>
      <w:r>
        <w:rPr>
          <w:bCs/>
          <w:b/>
        </w:rPr>
        <w:t xml:space="preserve">WADA:</w:t>
      </w:r>
      <w:r>
        <w:t xml:space="preserve"> </w:t>
      </w:r>
      <w:r>
        <w:t xml:space="preserve">prohibidos (S2, factores de crecimiento; se mencionan expresamente «la timosina β4 y sus derivados, p. ej., TB-500»).</w:t>
      </w:r>
    </w:p>
    <w:p>
      <w:pPr>
        <w:numPr>
          <w:ilvl w:val="0"/>
          <w:numId w:val="1119"/>
        </w:numPr>
        <w:pStyle w:val="Compact"/>
      </w:pPr>
      <w:r>
        <w:rPr>
          <w:bCs/>
          <w:b/>
        </w:rPr>
        <w:t xml:space="preserve">Nivel de evidencia:</w:t>
      </w:r>
      <w:r>
        <w:t xml:space="preserve"> </w:t>
      </w:r>
      <w:r>
        <w:rPr>
          <w:bCs/>
          <w:b/>
        </w:rPr>
        <w:t xml:space="preserve">B</w:t>
      </w:r>
      <w:r>
        <w:t xml:space="preserve"> </w:t>
      </w:r>
      <w:r>
        <w:t xml:space="preserve">para la timosina beta 4 (estudios aleatorizados, en su mayoría pequeños; grandes estudios de fase 3 en ojo seco sin beneficio claro) ·</w:t>
      </w:r>
      <w:r>
        <w:t xml:space="preserve"> </w:t>
      </w:r>
      <w:r>
        <w:rPr>
          <w:bCs/>
          <w:b/>
        </w:rPr>
        <w:t xml:space="preserve">D</w:t>
      </w:r>
      <w:r>
        <w:t xml:space="preserve"> </w:t>
      </w:r>
      <w:r>
        <w:t xml:space="preserve">para el TB-500 (ningún estudio en humanos publicado).</w:t>
      </w:r>
    </w:p>
    <w:bookmarkEnd w:id="956"/>
    <w:bookmarkStart w:id="961" w:name="cómo-se-supone-que-actúa-16"/>
    <w:p>
      <w:pPr>
        <w:pStyle w:val="Heading3"/>
      </w:pPr>
      <w:r>
        <w:t xml:space="preserve">Cómo se supone que actúa</w:t>
      </w:r>
    </w:p>
    <w:p>
      <w:pPr>
        <w:pStyle w:val="FirstParagraph"/>
      </w:pPr>
      <w:r>
        <w:t xml:space="preserve">En las células, la Tβ4 es la proteína más importante que se une a las unidades de actina individuales y las «aparca». La actina forma el armazón interno de la célula; cuando una célula debe moverse –por ejemplo, para cerrar una herida–, este armazón debe reorganizarse rápidamente. La Tβ4 proporciona para ello las piezas.</w:t>
      </w:r>
    </w:p>
    <w:p>
      <w:pPr>
        <w:pStyle w:val="BodyText"/>
      </w:pPr>
      <w:r>
        <w:t xml:space="preserve">Además, fuera de la célula la Tβ4 tiene al parecer efectos de señalización propios. Una revisión describe varios segmentos activos en la molécula: el trozo corto del inicio (Ac-SDKP) actúa en ensayos de laboratorio de forma antiinflamatoria y contra la cicatrización fibrosa, y el segmento 17 a 23 (LKKTETQ) favorece la formación de nuevos vasos, la cicatrización de heridas y la migración celular</w:t>
      </w:r>
      <w:r>
        <w:rPr>
          <w:rStyle w:val="FootnoteReference"/>
        </w:rPr>
        <w:footnoteReference w:id="957"/>
      </w:r>
      <w:r>
        <w:t xml:space="preserve">. En ensayos celulares, el motivo de unión a la actina, de siete aminoácidos, mostró el mismo efecto sobre la migración de las células vasculares que la molécula completa</w:t>
      </w:r>
      <w:r>
        <w:rPr>
          <w:rStyle w:val="FootnoteReference"/>
        </w:rPr>
        <w:footnoteReference w:id="958"/>
      </w:r>
      <w:r>
        <w:t xml:space="preserve">.</w:t>
      </w:r>
    </w:p>
    <w:p>
      <w:pPr>
        <w:pStyle w:val="BodyText"/>
      </w:pPr>
      <w:r>
        <w:t xml:space="preserve">En este hallazgo de laboratorio se basa la idea del TB-500: si el trozo corto es responsable del efecto, basta con fabricar solo este, más barato y sencillo que la proteína completa. Sin embargo, no se utilizó exactamente la secuencia natural, sino una forma acetilada en su inicio. Un estudio sobre su degradación encontró que el TB-500 se descompone rápidamente y que, en ensayos celulares, no fue el péptido original, sino un producto de degradación (Ac-LKKTE), el que favoreció la cicatrización de heridas</w:t>
      </w:r>
      <w:r>
        <w:rPr>
          <w:rStyle w:val="FootnoteReference"/>
        </w:rPr>
        <w:footnoteReference w:id="959"/>
      </w:r>
      <w:r>
        <w:t xml:space="preserve">. Por tanto, no se ha demostrado que el TB-500 haga en el organismo lo mismo que la Tβ4. Una revisión ortopédica de 2026 subraya que el TB-500 se equipara a menudo con la Tβ4, aunque no está demostrada ninguna equivalencia biológica ni clínica</w:t>
      </w:r>
      <w:r>
        <w:rPr>
          <w:rStyle w:val="FootnoteReference"/>
        </w:rPr>
        <w:footnoteReference w:id="960"/>
      </w:r>
      <w:r>
        <w:t xml:space="preserve">.</w:t>
      </w:r>
    </w:p>
    <w:bookmarkEnd w:id="961"/>
    <w:bookmarkStart w:id="976" w:name="estudios-en-humanos-16"/>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9</w:t>
      </w:r>
      <w:r>
        <w:t xml:space="preserve"> </w:t>
      </w:r>
      <w:r>
        <w:t xml:space="preserve">publicaciones clasificadas como estudio en humanos y</w:t>
      </w:r>
      <w:r>
        <w:t xml:space="preserve"> </w:t>
      </w:r>
      <w:r>
        <w:rPr>
          <w:bCs/>
          <w:b/>
        </w:rPr>
        <w:t xml:space="preserve">18</w:t>
      </w:r>
      <w:r>
        <w:t xml:space="preserve"> </w:t>
      </w:r>
      <w:r>
        <w:t xml:space="preserve">entradas en ClinicalTrials.gov. De las nueve publicaciones, solo seis estudian realmente la Tβ4 como principio activo; las demás miden la Tβ4 en sangre o se refieren a otras cuestiones.</w:t>
      </w:r>
      <w:r>
        <w:t xml:space="preserve"> </w:t>
      </w:r>
      <w:r>
        <w:rPr>
          <w:bCs/>
          <w:b/>
        </w:rPr>
        <w:t xml:space="preserve">Ni un solo</w:t>
      </w:r>
      <w:r>
        <w:t xml:space="preserve"> </w:t>
      </w:r>
      <w:r>
        <w:t xml:space="preserve">estudio publicado ha investigado el TB-500 en humanos.</w:t>
      </w:r>
    </w:p>
    <w:bookmarkStart w:id="967" w:name="colirio-rgn-259"/>
    <w:p>
      <w:pPr>
        <w:pStyle w:val="Heading4"/>
      </w:pPr>
      <w:r>
        <w:t xml:space="preserve">Colirio (RGN-259)</w:t>
      </w:r>
    </w:p>
    <w:p>
      <w:pPr>
        <w:pStyle w:val="FirstParagraph"/>
      </w:pPr>
      <w:r>
        <w:t xml:space="preserve">El desarrollo más avanzado de la Tβ4 es como colirio. La empresa RegeneRx y su socio ReGenTree lo han evaluado en el ojo seco y en la queratopatía neurotrófica, una enfermedad rara en la que la córnea cicatriza mal a causa de nervios dañados.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Ojo seco grave (Sosne 2015, PMID 25826322; NCT01393132)</w:t>
            </w:r>
          </w:p>
        </w:tc>
        <w:tc>
          <w:tcPr/>
          <w:p>
            <w:pPr>
              <w:pStyle w:val="Compact"/>
              <w:jc w:val="left"/>
            </w:pPr>
            <w:r>
              <w:t xml:space="preserve">9 personas, aleatorizado frente a solución vehículo</w:t>
            </w:r>
          </w:p>
        </w:tc>
        <w:tc>
          <w:tcPr/>
          <w:p>
            <w:pPr>
              <w:pStyle w:val="Compact"/>
              <w:jc w:val="left"/>
            </w:pPr>
            <w:r>
              <w:t xml:space="preserve">28 días más 28 días de seguimiento</w:t>
            </w:r>
          </w:p>
        </w:tc>
        <w:tc>
          <w:tcPr/>
          <w:p>
            <w:pPr>
              <w:pStyle w:val="Compact"/>
              <w:jc w:val="left"/>
            </w:pPr>
            <w:r>
              <w:t xml:space="preserve">el día 56, síntomas un 35,1 % y tinción corneal un 59,1 % menores que con la solución vehículo</w:t>
            </w:r>
          </w:p>
        </w:tc>
      </w:tr>
      <w:tr>
        <w:tc>
          <w:tcPr/>
          <w:p>
            <w:pPr>
              <w:pStyle w:val="Compact"/>
              <w:jc w:val="left"/>
            </w:pPr>
            <w:r>
              <w:t xml:space="preserve">Ojo seco, modelo de provocación (Sosne 2015, PMID 26056426)</w:t>
            </w:r>
          </w:p>
        </w:tc>
        <w:tc>
          <w:tcPr/>
          <w:p>
            <w:pPr>
              <w:pStyle w:val="Compact"/>
              <w:jc w:val="left"/>
            </w:pPr>
            <w:r>
              <w:t xml:space="preserve">72 personas, ECA</w:t>
            </w:r>
          </w:p>
        </w:tc>
        <w:tc>
          <w:tcPr/>
          <w:p>
            <w:pPr>
              <w:pStyle w:val="Compact"/>
              <w:jc w:val="left"/>
            </w:pPr>
            <w:r>
              <w:t xml:space="preserve">28 días</w:t>
            </w:r>
          </w:p>
        </w:tc>
        <w:tc>
          <w:tcPr/>
          <w:p>
            <w:pPr>
              <w:pStyle w:val="Compact"/>
              <w:jc w:val="left"/>
            </w:pPr>
            <w:r>
              <w:t xml:space="preserve">ambos criterios principales no significativos; algunos criterios secundarios mejores</w:t>
            </w:r>
          </w:p>
        </w:tc>
      </w:tr>
      <w:tr>
        <w:tc>
          <w:tcPr/>
          <w:p>
            <w:pPr>
              <w:pStyle w:val="Compact"/>
              <w:jc w:val="left"/>
            </w:pPr>
            <w:r>
              <w:t xml:space="preserve">ARISE-2 (NCT02974907)</w:t>
            </w:r>
          </w:p>
        </w:tc>
        <w:tc>
          <w:tcPr/>
          <w:p>
            <w:pPr>
              <w:pStyle w:val="Compact"/>
              <w:jc w:val="left"/>
            </w:pPr>
            <w:r>
              <w:t xml:space="preserve">601 personas, fase 3, ECA</w:t>
            </w:r>
          </w:p>
        </w:tc>
        <w:tc>
          <w:tcPr/>
          <w:p>
            <w:pPr>
              <w:pStyle w:val="Compact"/>
              <w:jc w:val="left"/>
            </w:pPr>
            <w:r>
              <w:t xml:space="preserve">28 días</w:t>
            </w:r>
          </w:p>
        </w:tc>
        <w:tc>
          <w:tcPr/>
          <w:p>
            <w:pPr>
              <w:pStyle w:val="Compact"/>
              <w:jc w:val="left"/>
            </w:pPr>
            <w:r>
              <w:t xml:space="preserve">según los resultados del registro, criterios principales prácticamente iguales en ambos grupos</w:t>
            </w:r>
          </w:p>
        </w:tc>
      </w:tr>
      <w:tr>
        <w:tc>
          <w:tcPr/>
          <w:p>
            <w:pPr>
              <w:pStyle w:val="Compact"/>
              <w:jc w:val="left"/>
            </w:pPr>
            <w:r>
              <w:t xml:space="preserve">ARISE-3 (NCT03937882)</w:t>
            </w:r>
          </w:p>
        </w:tc>
        <w:tc>
          <w:tcPr/>
          <w:p>
            <w:pPr>
              <w:pStyle w:val="Compact"/>
              <w:jc w:val="left"/>
            </w:pPr>
            <w:r>
              <w:t xml:space="preserve">700 personas, fase 3, ECA</w:t>
            </w:r>
          </w:p>
        </w:tc>
        <w:tc>
          <w:tcPr/>
          <w:p>
            <w:pPr>
              <w:pStyle w:val="Compact"/>
              <w:jc w:val="left"/>
            </w:pPr>
            <w:r>
              <w:t xml:space="preserve">14 días</w:t>
            </w:r>
          </w:p>
        </w:tc>
        <w:tc>
          <w:tcPr/>
          <w:p>
            <w:pPr>
              <w:pStyle w:val="Compact"/>
              <w:jc w:val="left"/>
            </w:pPr>
            <w:r>
              <w:t xml:space="preserve">tinción corneal −0,41 frente a −0,46 puntos, síntomas −0,4 frente a −0,4 puntos (Tβ4 frente a placebo)</w:t>
            </w:r>
          </w:p>
        </w:tc>
      </w:tr>
      <w:tr>
        <w:tc>
          <w:tcPr/>
          <w:p>
            <w:pPr>
              <w:pStyle w:val="Compact"/>
              <w:jc w:val="left"/>
            </w:pPr>
            <w:r>
              <w:t xml:space="preserve">SEER-1, queratopatía neurotrófica (Sosne 2022, PMID 36613994)</w:t>
            </w:r>
          </w:p>
        </w:tc>
        <w:tc>
          <w:tcPr/>
          <w:p>
            <w:pPr>
              <w:pStyle w:val="Compact"/>
              <w:jc w:val="left"/>
            </w:pPr>
            <w:r>
              <w:t xml:space="preserve">18 personas, fase 3, ECA</w:t>
            </w:r>
          </w:p>
        </w:tc>
        <w:tc>
          <w:tcPr/>
          <w:p>
            <w:pPr>
              <w:pStyle w:val="Compact"/>
              <w:jc w:val="left"/>
            </w:pPr>
            <w:r>
              <w:t xml:space="preserve">4 semanas más 2 semanas</w:t>
            </w:r>
          </w:p>
        </w:tc>
        <w:tc>
          <w:tcPr/>
          <w:p>
            <w:pPr>
              <w:pStyle w:val="Compact"/>
              <w:jc w:val="left"/>
            </w:pPr>
            <w:r>
              <w:t xml:space="preserve">curación completa en 6 de 10 frente a 1 de 8 (p = 0,0656, no significativo)</w:t>
            </w:r>
          </w:p>
        </w:tc>
      </w:tr>
    </w:tbl>
    <w:p>
      <w:pPr>
        <w:pStyle w:val="BodyText"/>
      </w:pPr>
      <w:r>
        <w:t xml:space="preserve">El patrón es típico de un medicamento de beneficio incierto: los estudios pequeños muestran señales favorables y los grandes no las confirman. El pequeño estudio con nueve personas encontró mejoras claras</w:t>
      </w:r>
      <w:r>
        <w:rPr>
          <w:rStyle w:val="FootnoteReference"/>
        </w:rPr>
        <w:footnoteReference w:id="962"/>
      </w:r>
      <w:r>
        <w:t xml:space="preserve">. Pero ya el estudio con 72 personas no alcanzó ninguno de los dos criterios principales fijados de antemano; los autores destacaron en su lugar mejoras en criterios secundarios</w:t>
      </w:r>
      <w:r>
        <w:rPr>
          <w:rStyle w:val="FootnoteReference"/>
        </w:rPr>
        <w:footnoteReference w:id="963"/>
      </w:r>
      <w:r>
        <w:t xml:space="preserve">. En los dos grandes estudios de fase 3, ARISE-2 y ARISE-3, con unos 1300 participantes en total, los valores de los criterios principales en los grupos de Tβ4 y de placebo fueron prácticamente iguales según los resultados publicados en el registro</w:t>
      </w:r>
      <w:r>
        <w:rPr>
          <w:rStyle w:val="FootnoteReference"/>
        </w:rPr>
        <w:footnoteReference w:id="964"/>
      </w:r>
      <w:r>
        <w:t xml:space="preserve">. No se encontró en PubMed una publicación en revista de estos resultados.</w:t>
      </w:r>
    </w:p>
    <w:p>
      <w:pPr>
        <w:pStyle w:val="BodyText"/>
      </w:pPr>
      <w:r>
        <w:t xml:space="preserve">En la queratopatía neurotrófica, en el pequeño estudio de fase 3 SEER-1 curaron más ojos con Tβ4 que con placebo; sin embargo, la diferencia no alcanzó por poco la significación estadística, y el estudio solo incluyó a 18 personas</w:t>
      </w:r>
      <w:r>
        <w:rPr>
          <w:rStyle w:val="FootnoteReference"/>
        </w:rPr>
        <w:footnoteReference w:id="965"/>
      </w:r>
      <w:r>
        <w:t xml:space="preserve">. Una revisión Cochrane de 2025 calificó el estudio de «baja fiabilidad» y no encontró una diferencia demostrada</w:t>
      </w:r>
      <w:r>
        <w:rPr>
          <w:rStyle w:val="FootnoteReference"/>
        </w:rPr>
        <w:footnoteReference w:id="966"/>
      </w:r>
      <w:r>
        <w:t xml:space="preserve">. Hay en curso un estudio de seguimiento más amplio (SEER-2).</w:t>
      </w:r>
    </w:p>
    <w:bookmarkEnd w:id="967"/>
    <w:bookmarkStart w:id="969" w:name="corazón"/>
    <w:p>
      <w:pPr>
        <w:pStyle w:val="Heading4"/>
      </w:pPr>
      <w:r>
        <w:t xml:space="preserve">Corazón</w:t>
      </w:r>
    </w:p>
    <w:p>
      <w:pPr>
        <w:pStyle w:val="FirstParagraph"/>
      </w:pPr>
      <w:r>
        <w:t xml:space="preserve">La Tβ4 se desarrolló como fármaco cardíaco debido a espectaculares experimentos en ratones (véase Estudios en animales y de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Seguridad, infusión (Ruff 2010, PMID 20536472)</w:t>
            </w:r>
          </w:p>
        </w:tc>
        <w:tc>
          <w:tcPr/>
          <w:p>
            <w:pPr>
              <w:pStyle w:val="Compact"/>
              <w:jc w:val="left"/>
            </w:pPr>
            <w:r>
              <w:t xml:space="preserve">40 personas sanas en 4 grupos de dosis, ECA</w:t>
            </w:r>
          </w:p>
        </w:tc>
        <w:tc>
          <w:tcPr/>
          <w:p>
            <w:pPr>
              <w:pStyle w:val="Compact"/>
              <w:jc w:val="left"/>
            </w:pPr>
            <w:r>
              <w:t xml:space="preserve">dosis única, después 14 días a diario</w:t>
            </w:r>
          </w:p>
        </w:tc>
        <w:tc>
          <w:tcPr/>
          <w:p>
            <w:pPr>
              <w:pStyle w:val="Compact"/>
              <w:jc w:val="left"/>
            </w:pPr>
            <w:r>
              <w:t xml:space="preserve">sin toxicidad limitante de la dosis, sin efectos secundarios graves</w:t>
            </w:r>
          </w:p>
        </w:tc>
      </w:tr>
      <w:tr>
        <w:tc>
          <w:tcPr/>
          <w:p>
            <w:pPr>
              <w:pStyle w:val="Compact"/>
              <w:jc w:val="left"/>
            </w:pPr>
            <w:r>
              <w:t xml:space="preserve">Tβ4 recombinante NL005, fase 1 (Wang 2021, PMID 34346165)</w:t>
            </w:r>
          </w:p>
        </w:tc>
        <w:tc>
          <w:tcPr/>
          <w:p>
            <w:pPr>
              <w:pStyle w:val="Compact"/>
              <w:jc w:val="left"/>
            </w:pPr>
            <w:r>
              <w:t xml:space="preserve">54 personas sanas (dosis única) y 30 personas sanas (dosis múltiple), ECA</w:t>
            </w:r>
          </w:p>
        </w:tc>
        <w:tc>
          <w:tcPr/>
          <w:p>
            <w:pPr>
              <w:pStyle w:val="Compact"/>
              <w:jc w:val="left"/>
            </w:pPr>
            <w:r>
              <w:t xml:space="preserve">hasta 10 días más 28 días</w:t>
            </w:r>
          </w:p>
        </w:tc>
        <w:tc>
          <w:tcPr/>
          <w:p>
            <w:pPr>
              <w:pStyle w:val="Compact"/>
              <w:jc w:val="left"/>
            </w:pPr>
            <w:r>
              <w:t xml:space="preserve">efectos secundarios de leves a moderados, ninguno grave</w:t>
            </w:r>
          </w:p>
        </w:tc>
      </w:tr>
      <w:tr>
        <w:tc>
          <w:tcPr/>
          <w:p>
            <w:pPr>
              <w:pStyle w:val="Compact"/>
              <w:jc w:val="left"/>
            </w:pPr>
            <w:r>
              <w:t xml:space="preserve">NL005 en infarto de miocardio (Zhang 2025, PMID 41229390)</w:t>
            </w:r>
          </w:p>
        </w:tc>
        <w:tc>
          <w:tcPr/>
          <w:p>
            <w:pPr>
              <w:pStyle w:val="Compact"/>
              <w:jc w:val="left"/>
            </w:pPr>
            <w:r>
              <w:t xml:space="preserve">96 personas con IAMCEST tras tratamiento con catéter, ECA frente a placebo</w:t>
            </w:r>
          </w:p>
        </w:tc>
        <w:tc>
          <w:tcPr/>
          <w:p>
            <w:pPr>
              <w:pStyle w:val="Compact"/>
              <w:jc w:val="left"/>
            </w:pPr>
            <w:r>
              <w:t xml:space="preserve">90 días</w:t>
            </w:r>
          </w:p>
        </w:tc>
        <w:tc>
          <w:tcPr/>
          <w:p>
            <w:pPr>
              <w:pStyle w:val="Compact"/>
              <w:jc w:val="left"/>
            </w:pPr>
            <w:r>
              <w:t xml:space="preserve">en conjunto, sin diferencia significativa en el tamaño del infarto; ventaja solo en el subgrupo con administración en las primeras 8 horas (n = 43)</w:t>
            </w:r>
          </w:p>
        </w:tc>
      </w:tr>
      <w:tr>
        <w:tc>
          <w:tcPr/>
          <w:p>
            <w:pPr>
              <w:pStyle w:val="Compact"/>
              <w:jc w:val="left"/>
            </w:pPr>
            <w:r>
              <w:t xml:space="preserve">Células madre pretratadas con Tβ4 (Zhu 2016, PMID 27288307)</w:t>
            </w:r>
          </w:p>
        </w:tc>
        <w:tc>
          <w:tcPr/>
          <w:p>
            <w:pPr>
              <w:pStyle w:val="Compact"/>
              <w:jc w:val="left"/>
            </w:pPr>
            <w:r>
              <w:t xml:space="preserve">10 personas con infarto de miocardio, estudio piloto aleatorizado</w:t>
            </w:r>
          </w:p>
        </w:tc>
        <w:tc>
          <w:tcPr/>
          <w:p>
            <w:pPr>
              <w:pStyle w:val="Compact"/>
              <w:jc w:val="left"/>
            </w:pPr>
            <w:r>
              <w:t xml:space="preserve">6 meses</w:t>
            </w:r>
          </w:p>
        </w:tc>
        <w:tc>
          <w:tcPr/>
          <w:p>
            <w:pPr>
              <w:pStyle w:val="Compact"/>
              <w:jc w:val="left"/>
            </w:pPr>
            <w:r>
              <w:t xml:space="preserve">mayor mejora de la distancia recorrida; la Tβ4 solo se añadió a las células en el laboratorio, no se administró a los pacientes</w:t>
            </w:r>
          </w:p>
        </w:tc>
      </w:tr>
    </w:tbl>
    <w:p>
      <w:pPr>
        <w:pStyle w:val="BodyText"/>
      </w:pPr>
      <w:r>
        <w:t xml:space="preserve">El estudio cardíaco más importante es el estudio chino con 96 pacientes con infarto. Considerando a todos los participantes, la Tβ4 recombinante no redujo de forma significativa el tamaño del infarto a los 90 días; solo se observó una ventaja en el subgrupo que recibió la primera dosis en las ocho horas siguientes</w:t>
      </w:r>
      <w:r>
        <w:rPr>
          <w:rStyle w:val="FootnoteReference"/>
        </w:rPr>
        <w:footnoteReference w:id="968"/>
      </w:r>
      <w:r>
        <w:t xml:space="preserve">. Los resultados de subgrupos se consideran un indicio, no una prueba. Los propios autores reclaman más estudios aleatorizados.</w:t>
      </w:r>
    </w:p>
    <w:bookmarkEnd w:id="969"/>
    <w:bookmarkStart w:id="972" w:name="piel-y-heridas"/>
    <w:p>
      <w:pPr>
        <w:pStyle w:val="Heading4"/>
      </w:pPr>
      <w:r>
        <w:t xml:space="preserve">Piel y heridas</w:t>
      </w:r>
    </w:p>
    <w:p>
      <w:pPr>
        <w:pStyle w:val="FirstParagraph"/>
      </w:pPr>
      <w:r>
        <w:t xml:space="preserve">En la década de 2000, RegeneRx evaluó un gel de Tβ4 en úlceras venosas de la pierna, úlceras por presión y la enfermedad ampollosa hereditaria epidermólisis bullosa. El estudio sobre úlceras venosas aleatorizó a 73 personas; la seguridad fue comparable a la del placebo, y un efecto solo pudo describirse como tendencia para la concentración del 0,03 %</w:t>
      </w:r>
      <w:r>
        <w:rPr>
          <w:rStyle w:val="FootnoteReference"/>
        </w:rPr>
        <w:footnoteReference w:id="970"/>
      </w:r>
      <w:r>
        <w:t xml:space="preserve">. El estudio sobre la epidermólisis bullosa se interrumpió prematuramente</w:t>
      </w:r>
      <w:r>
        <w:rPr>
          <w:rStyle w:val="FootnoteReference"/>
        </w:rPr>
        <w:footnoteReference w:id="971"/>
      </w:r>
      <w:r>
        <w:t xml:space="preserve">. Ninguno de estos estudios condujo a una autorización.</w:t>
      </w:r>
    </w:p>
    <w:bookmarkEnd w:id="972"/>
    <w:bookmarkStart w:id="975" w:name="tb-500-en-humanos"/>
    <w:p>
      <w:pPr>
        <w:pStyle w:val="Heading4"/>
      </w:pPr>
      <w:r>
        <w:t xml:space="preserve">TB-500 en humanos</w:t>
      </w:r>
    </w:p>
    <w:p>
      <w:pPr>
        <w:pStyle w:val="FirstParagraph"/>
      </w:pPr>
      <w:r>
        <w:t xml:space="preserve">Para el fragmento TB-500 no existe ningún estudio en humanos publicado. Una entrada de registro inscrita en 2026 sobre el TB-500 en enfermedad cardiovascular</w:t>
      </w:r>
      <w:r>
        <w:rPr>
          <w:rStyle w:val="FootnoteReference"/>
        </w:rPr>
        <w:footnoteReference w:id="973"/>
      </w:r>
      <w:r>
        <w:t xml:space="preserve"> </w:t>
      </w:r>
      <w:r>
        <w:t xml:space="preserve">se describe a sí misma, en su propia descripción, como ejemplo «ficticio» de una entrada de registro; por tanto, no puede considerarse un estudio real. La única publicación en humanos que menciona la Tβ4 en molestias articulares es una encuesta telefónica retrospectiva en la que a cuatro personas se les inyectó BPC-157 junto con Tβ4 en la rodilla</w:t>
      </w:r>
      <w:r>
        <w:rPr>
          <w:rStyle w:val="FootnoteReference"/>
        </w:rPr>
        <w:footnoteReference w:id="974"/>
      </w:r>
      <w:r>
        <w:t xml:space="preserve">, demasiado poco para cualquier afirmación.</w:t>
      </w:r>
    </w:p>
    <w:bookmarkEnd w:id="975"/>
    <w:bookmarkEnd w:id="976"/>
    <w:bookmarkStart w:id="984" w:name="estudios-en-animales-y-de-laboratorio-16"/>
    <w:p>
      <w:pPr>
        <w:pStyle w:val="Heading3"/>
      </w:pPr>
      <w:r>
        <w:t xml:space="preserve">Estudios en animales y de laboratorio</w:t>
      </w:r>
    </w:p>
    <w:p>
      <w:pPr>
        <w:pStyle w:val="FirstParagraph"/>
      </w:pPr>
      <w:r>
        <w:t xml:space="preserve">La fama de la Tβ4 como «péptido reparador» procede sobre todo de dos trabajos en la revista Nature. En ratones con infarto de miocardio inducido artificialmente, la Tβ4 mejoró la supervivencia de las células del músculo cardíaco y la función cardíaca</w:t>
      </w:r>
      <w:r>
        <w:rPr>
          <w:rStyle w:val="FootnoteReference"/>
        </w:rPr>
        <w:footnoteReference w:id="977"/>
      </w:r>
      <w:r>
        <w:t xml:space="preserve">. Un trabajo posterior mostró en ratones que la Tβ4 activa células progenitoras del epicardio y estimula la formación de nuevos vasos</w:t>
      </w:r>
      <w:r>
        <w:rPr>
          <w:rStyle w:val="FootnoteReference"/>
        </w:rPr>
        <w:footnoteReference w:id="978"/>
      </w:r>
      <w:r>
        <w:t xml:space="preserve">. Sin embargo, un grupo independiente no pudo confirmar que, tras un infarto, la Tβ4 haga surgir nuevas células de músculo cardíaco a partir de estas células</w:t>
      </w:r>
      <w:r>
        <w:rPr>
          <w:rStyle w:val="FootnoteReference"/>
        </w:rPr>
        <w:footnoteReference w:id="979"/>
      </w:r>
      <w:r>
        <w:t xml:space="preserve">, un ejemplo de lo importantes que son las réplicas independientes.</w:t>
      </w:r>
    </w:p>
    <w:p>
      <w:pPr>
        <w:pStyle w:val="BodyText"/>
      </w:pPr>
      <w:r>
        <w:t xml:space="preserve">Otros hallazgos en animales y de laboratorio se refieren a la piel, la córnea, el cerebro, el riñón y el hígado. En ratas, la Tβ4 mejoró la supervivencia de colgajos cutáneos</w:t>
      </w:r>
      <w:r>
        <w:rPr>
          <w:rStyle w:val="FootnoteReference"/>
        </w:rPr>
        <w:footnoteReference w:id="980"/>
      </w:r>
      <w:r>
        <w:t xml:space="preserve">, y en ratones la consolidación de fracturas óseas</w:t>
      </w:r>
      <w:r>
        <w:rPr>
          <w:rStyle w:val="FootnoteReference"/>
        </w:rPr>
        <w:footnoteReference w:id="981"/>
      </w:r>
      <w:r>
        <w:t xml:space="preserve">. Para tendones, ligamentos y músculos –es decir, precisamente los ámbitos de uso para los que se promociona el TB-500 en internet– solo hay datos en células y roedores</w:t>
      </w:r>
      <w:r>
        <w:rPr>
          <w:rStyle w:val="FootnoteReference"/>
        </w:rPr>
        <w:footnoteReference w:id="982"/>
      </w:r>
      <w:r>
        <w:t xml:space="preserve">. Un estudio en ratas de 2026 encontró, tras la sección del tendón de Aquiles en 32 animales, una mayor resistencia a la rotura y una mejor estructura tisular en el grupo de TB-500 que en el grupo de control</w:t>
      </w:r>
      <w:r>
        <w:rPr>
          <w:rStyle w:val="FootnoteReference"/>
        </w:rPr>
        <w:footnoteReference w:id="983"/>
      </w:r>
      <w:r>
        <w:t xml:space="preserve">. Es uno de los pocos estudios en animales con el fragmento que realmente se vende.</w:t>
      </w:r>
    </w:p>
    <w:bookmarkEnd w:id="984"/>
    <w:bookmarkStart w:id="994" w:name="riesgos-y-efectos-adversos-16"/>
    <w:p>
      <w:pPr>
        <w:pStyle w:val="Heading3"/>
      </w:pPr>
      <w:r>
        <w:t xml:space="preserve">Riesgos y efectos adversos</w:t>
      </w:r>
    </w:p>
    <w:bookmarkStart w:id="987" w:name="demostrado-timosina-beta-4"/>
    <w:p>
      <w:pPr>
        <w:pStyle w:val="Heading4"/>
      </w:pPr>
      <w:r>
        <w:t xml:space="preserve">Demostrado (timosina beta 4)</w:t>
      </w:r>
    </w:p>
    <w:p>
      <w:pPr>
        <w:pStyle w:val="FirstParagraph"/>
      </w:pPr>
      <w:r>
        <w:t xml:space="preserve">En los estudios aleatorizados con colirio, gel e infusión, la Tβ4 fue bien tolerada. En 40 personas sanas, con infusiones de hasta 1260 mg diarios durante 14 días, no se produjeron efectos secundarios limitantes de la dosis</w:t>
      </w:r>
      <w:r>
        <w:rPr>
          <w:rStyle w:val="FootnoteReference"/>
        </w:rPr>
        <w:footnoteReference w:id="985"/>
      </w:r>
      <w:r>
        <w:t xml:space="preserve">. En el estudio chino de fase 1, los efectos secundarios fueron de leves a moderados</w:t>
      </w:r>
      <w:r>
        <w:rPr>
          <w:rStyle w:val="FootnoteReference"/>
        </w:rPr>
        <w:footnoteReference w:id="986"/>
      </w:r>
      <w:r>
        <w:t xml:space="preserve">. No obstante, estos estudios son cortos y se refieren a la proteína completa con calidad farmacéutica, no a productos del mercado gris.</w:t>
      </w:r>
    </w:p>
    <w:bookmarkEnd w:id="987"/>
    <w:bookmarkStart w:id="990" w:name="teórico-cáncer"/>
    <w:p>
      <w:pPr>
        <w:pStyle w:val="Heading4"/>
      </w:pPr>
      <w:r>
        <w:t xml:space="preserve">Teórico: cáncer</w:t>
      </w:r>
    </w:p>
    <w:p>
      <w:pPr>
        <w:pStyle w:val="FirstParagraph"/>
      </w:pPr>
      <w:r>
        <w:t xml:space="preserve">La Tβ4 favorece la migración celular y la formación de nuevos vasos, dos propiedades que los tumores también aprovechan para crecer y diseminarse. En muestras de tejido de 138 pacientes con cáncer de vejiga, una elevada producción de Tβ4 se asoció con un estadio avanzado, afectación ganglionar y una supervivencia más corta</w:t>
      </w:r>
      <w:r>
        <w:rPr>
          <w:rStyle w:val="FootnoteReference"/>
        </w:rPr>
        <w:footnoteReference w:id="988"/>
      </w:r>
      <w:r>
        <w:t xml:space="preserve">. En cultivos de células de cáncer de mama, la Tβ4 añadida aumentó el número de células</w:t>
      </w:r>
      <w:r>
        <w:rPr>
          <w:rStyle w:val="FootnoteReference"/>
        </w:rPr>
        <w:footnoteReference w:id="989"/>
      </w:r>
      <w:r>
        <w:t xml:space="preserve">. Estas asociaciones no demuestran que la Tβ4 administrada desde fuera provoque cáncer. Pero son un motivo por el que los especialistas aconsejan cautela en personas con cáncer o con riesgo elevado de cáncer. Faltan datos a largo plazo. La Parte IV trata el tema con detalle.</w:t>
      </w:r>
    </w:p>
    <w:bookmarkEnd w:id="990"/>
    <w:bookmarkStart w:id="993" w:name="mercado-gris"/>
    <w:p>
      <w:pPr>
        <w:pStyle w:val="Heading4"/>
      </w:pPr>
      <w:r>
        <w:t xml:space="preserve">Mercado gris</w:t>
      </w:r>
    </w:p>
    <w:p>
      <w:pPr>
        <w:pStyle w:val="FirstParagraph"/>
      </w:pPr>
      <w:r>
        <w:t xml:space="preserve">Lo que se vende como «TB-500» no contiene de forma fiable lo que figura en la etiqueta. Un laboratorio de dopaje equino analizó productos ofrecidos en internet y encontró que el contenido de «TB500» y «TB1000» no siempre correspondía a la composición declarada</w:t>
      </w:r>
      <w:r>
        <w:rPr>
          <w:rStyle w:val="FootnoteReference"/>
        </w:rPr>
        <w:footnoteReference w:id="991"/>
      </w:r>
      <w:r>
        <w:t xml:space="preserve">. Algunos productos contienen el fragmento, otros posiblemente la Tβ4 completa, y otros contaminantes. A ello se suman los riesgos conocidos de las inyecciones no estériles. Que los laboratorios de dopaje equino desarrollaran ya en 2012 métodos de detección para el TB-500</w:t>
      </w:r>
      <w:r>
        <w:rPr>
          <w:rStyle w:val="FootnoteReference"/>
        </w:rPr>
        <w:footnoteReference w:id="992"/>
      </w:r>
      <w:r>
        <w:t xml:space="preserve"> </w:t>
      </w:r>
      <w:r>
        <w:t xml:space="preserve">muestra de dónde procede el producto: del ámbito veterinario, no de la medicina humana.</w:t>
      </w:r>
    </w:p>
    <w:bookmarkEnd w:id="993"/>
    <w:bookmarkEnd w:id="994"/>
    <w:bookmarkStart w:id="997" w:name="situación-legal-16"/>
    <w:p>
      <w:pPr>
        <w:pStyle w:val="Heading3"/>
      </w:pPr>
      <w:r>
        <w:t xml:space="preserve">Situación legal</w:t>
      </w:r>
    </w:p>
    <w:p>
      <w:pPr>
        <w:pStyle w:val="FirstParagraph"/>
      </w:pPr>
      <w:r>
        <w:rPr>
          <w:iCs/>
          <w:i/>
        </w:rPr>
        <w:t xml:space="preserve">Situación en 2026, compruébalo en su versión actual.</w:t>
      </w:r>
    </w:p>
    <w:p>
      <w:pPr>
        <w:numPr>
          <w:ilvl w:val="0"/>
          <w:numId w:val="1120"/>
        </w:numPr>
        <w:pStyle w:val="Compact"/>
      </w:pPr>
      <w:r>
        <w:rPr>
          <w:bCs/>
          <w:b/>
        </w:rPr>
        <w:t xml:space="preserve">UE, Alemania, Austria:</w:t>
      </w:r>
      <w:r>
        <w:t xml:space="preserve"> </w:t>
      </w:r>
      <w:r>
        <w:t xml:space="preserve">ni la Tβ4 ni el TB-500 están autorizados como medicamento. No se permite su dispensación para uso en humanos; los productos con la indicación «solo para fines de investigación» no cambian nada.</w:t>
      </w:r>
    </w:p>
    <w:p>
      <w:pPr>
        <w:numPr>
          <w:ilvl w:val="0"/>
          <w:numId w:val="1120"/>
        </w:numPr>
        <w:pStyle w:val="Compact"/>
      </w:pPr>
      <w:r>
        <w:rPr>
          <w:bCs/>
          <w:b/>
        </w:rPr>
        <w:t xml:space="preserve">EE. UU.:</w:t>
      </w:r>
      <w:r>
        <w:t xml:space="preserve"> </w:t>
      </w:r>
      <w:r>
        <w:t xml:space="preserve">sin autorización de la FDA. Según el conocimiento del autor, en 2023 la FDA clasificó el fragmento de Tβ4 (TB-500), al igual que el BPC-157, en la categoría 2 de sustancias de partida para fórmulas magistrales, es decir, entre las sustancias con importantes problemas de seguridad; la evaluación de los péptidos para la formulación magistral se debate actualmente de forma controvertida</w:t>
      </w:r>
      <w:r>
        <w:rPr>
          <w:rStyle w:val="FootnoteReference"/>
        </w:rPr>
        <w:footnoteReference w:id="995"/>
      </w:r>
      <w:r>
        <w:t xml:space="preserve">.</w:t>
      </w:r>
    </w:p>
    <w:p>
      <w:pPr>
        <w:numPr>
          <w:ilvl w:val="0"/>
          <w:numId w:val="1120"/>
        </w:numPr>
        <w:pStyle w:val="Compact"/>
      </w:pPr>
      <w:r>
        <w:rPr>
          <w:bCs/>
          <w:b/>
        </w:rPr>
        <w:t xml:space="preserve">WADA:</w:t>
      </w:r>
      <w:r>
        <w:t xml:space="preserve"> </w:t>
      </w:r>
      <w:r>
        <w:t xml:space="preserve">la Tβ4 y sus derivados, como el TB-500, están expresamente prohibidos en la clase S2 (hormonas peptídicas, factores de crecimiento), en competición y fuera de ella. También están prohibidos en la hípica</w:t>
      </w:r>
      <w:r>
        <w:rPr>
          <w:rStyle w:val="FootnoteReference"/>
        </w:rPr>
        <w:footnoteReference w:id="996"/>
      </w:r>
      <w:r>
        <w:t xml:space="preserve">.</w:t>
      </w:r>
    </w:p>
    <w:bookmarkEnd w:id="997"/>
    <w:bookmarkStart w:id="1001" w:name="estudios-en-curso-y-perspectivas-16"/>
    <w:p>
      <w:pPr>
        <w:pStyle w:val="Heading3"/>
      </w:pPr>
      <w:r>
        <w:t xml:space="preserve">Estudios en curso y perspectivas</w:t>
      </w:r>
    </w:p>
    <w:p>
      <w:pPr>
        <w:pStyle w:val="FirstParagraph"/>
      </w:pPr>
      <w:r>
        <w:rPr>
          <w:bCs/>
          <w:b/>
        </w:rPr>
        <w:t xml:space="preserve">Confirmado (según el registro):</w:t>
      </w:r>
    </w:p>
    <w:p>
      <w:pPr>
        <w:numPr>
          <w:ilvl w:val="0"/>
          <w:numId w:val="1121"/>
        </w:numPr>
        <w:pStyle w:val="Compact"/>
      </w:pPr>
      <w:r>
        <w:rPr>
          <w:bCs/>
          <w:b/>
        </w:rPr>
        <w:t xml:space="preserve">SEER-2</w:t>
      </w:r>
      <w:r>
        <w:rPr>
          <w:rStyle w:val="FootnoteReference"/>
        </w:rPr>
        <w:footnoteReference w:id="998"/>
      </w:r>
      <w:r>
        <w:rPr>
          <w:bCs/>
          <w:b/>
        </w:rPr>
        <w:t xml:space="preserve">:</w:t>
      </w:r>
      <w:r>
        <w:t xml:space="preserve"> </w:t>
      </w:r>
      <w:r>
        <w:t xml:space="preserve">estudio de fase 3 con colirio RGN-259 en la queratopatía neurotrófica, 70 personas previstas, en reclutamiento, fin del estudio estimado según el registro en mayo de 2026. En octubre de 2026 no se habían publicado los resultados.</w:t>
      </w:r>
    </w:p>
    <w:p>
      <w:pPr>
        <w:numPr>
          <w:ilvl w:val="0"/>
          <w:numId w:val="1121"/>
        </w:numPr>
        <w:pStyle w:val="Compact"/>
      </w:pPr>
      <w:r>
        <w:rPr>
          <w:bCs/>
          <w:b/>
        </w:rPr>
        <w:t xml:space="preserve">NL005 en infarto de miocardio</w:t>
      </w:r>
      <w:r>
        <w:rPr>
          <w:rStyle w:val="FootnoteReference"/>
        </w:rPr>
        <w:footnoteReference w:id="999"/>
      </w:r>
      <w:r>
        <w:rPr>
          <w:bCs/>
          <w:b/>
        </w:rPr>
        <w:t xml:space="preserve">:</w:t>
      </w:r>
      <w:r>
        <w:t xml:space="preserve"> </w:t>
      </w:r>
      <w:r>
        <w:t xml:space="preserve">estudio chino de fase 2c con Tβ4 recombinante, 189 personas previstas, criterio principal el tamaño del infarto en la RM cardíaca a los 90 días; aún sin reclutamiento, finalización estimada en 2028. Según el registro, han concluido dos estudios previos de fase 2 del mismo fabricante con 62 y 90 personas</w:t>
      </w:r>
      <w:r>
        <w:rPr>
          <w:rStyle w:val="FootnoteReference"/>
        </w:rPr>
        <w:footnoteReference w:id="1000"/>
      </w:r>
      <w:r>
        <w:t xml:space="preserve">.</w:t>
      </w:r>
    </w:p>
    <w:p>
      <w:pPr>
        <w:numPr>
          <w:ilvl w:val="0"/>
          <w:numId w:val="1121"/>
        </w:numPr>
        <w:pStyle w:val="Compact"/>
      </w:pPr>
      <w:r>
        <w:rPr>
          <w:bCs/>
          <w:b/>
        </w:rPr>
        <w:t xml:space="preserve">TB-500:</w:t>
      </w:r>
      <w:r>
        <w:t xml:space="preserve"> </w:t>
      </w:r>
      <w:r>
        <w:t xml:space="preserve">ningún estudio en humanos registrado creíble.</w:t>
      </w:r>
    </w:p>
    <w:p>
      <w:pPr>
        <w:pStyle w:val="FirstParagraph"/>
      </w:pPr>
      <w:r>
        <w:rPr>
          <w:bCs/>
          <w:b/>
        </w:rPr>
        <w:t xml:space="preserve">Valoración del autor:</w:t>
      </w:r>
      <w:r>
        <w:t xml:space="preserve"> </w:t>
      </w:r>
      <w:r>
        <w:t xml:space="preserve">la posibilidad más realista de autorización la tiene la Tβ4 como colirio en la rara queratopatía neurotrófica, donde incluso estudios pequeños pueden bastar para una autorización como medicamento huérfano, si SEER-2 resulta positivo. En el ojo seco, los grandes datos de fase 3 hablan en contra de un beneficio clínicamente relevante. En el infarto de miocardio, todo depende del estudio chino en curso. Para el TB-500 como producto para la curación de tendones y músculos no se vislumbra, en un futuro previsible, ninguna investigación seria en humanos.</w:t>
      </w:r>
    </w:p>
    <w:bookmarkEnd w:id="1001"/>
    <w:bookmarkStart w:id="1003" w:name="conclusión-16"/>
    <w:p>
      <w:pPr>
        <w:pStyle w:val="Heading3"/>
      </w:pPr>
      <w:r>
        <w:t xml:space="preserve">Conclusión</w:t>
      </w:r>
    </w:p>
    <w:p>
      <w:pPr>
        <w:pStyle w:val="FirstParagraph"/>
      </w:pPr>
      <w:r>
        <w:t xml:space="preserve">La timosina beta 4 es un péptido propio del organismo que en estudios aleatorizados fue bien tolerado como colirio e infusión, pero cuyo beneficio no se confirmó en los grandes estudios en ojo seco y en el infarto de miocardio hasta ahora solo se ha insinuado en un subgrupo</w:t>
      </w:r>
      <w:r>
        <w:rPr>
          <w:rStyle w:val="FootnoteReference"/>
        </w:rPr>
        <w:footnoteReference w:id="1002"/>
      </w:r>
      <w:r>
        <w:t xml:space="preserve">. El TB-500 es otra cosa: un fragmento modificado que nunca se ha evaluado en un estudio en humanos publicado y cuyos productos del mercado gris, como se ha demostrado, no siempre contienen lo que se indica. La publicidad del TB-500 se apoya en estudios con la proteína completa, y estos apenas se refieren a tendones, ligamentos o músculos. Para los deportistas, ambas sustancias están prohibidas.</w:t>
      </w:r>
    </w:p>
    <w:bookmarkEnd w:id="1003"/>
    <w:bookmarkEnd w:id="1004"/>
    <w:bookmarkStart w:id="1064" w:name="timosina-alfa-1-timalfasina"/>
    <w:p>
      <w:pPr>
        <w:pStyle w:val="Heading2"/>
      </w:pPr>
      <w:r>
        <w:t xml:space="preserve">Timosina alfa 1 (timalfasina)</w:t>
      </w:r>
    </w:p>
    <w:p>
      <w:pPr>
        <w:pStyle w:val="FirstParagraph"/>
      </w:pPr>
      <w:r>
        <w:t xml:space="preserve">La timosina alfa 1 es un caso especial dentro de este grupo. A diferencia del BPC-157 o del TB-500, es un medicamento autorizado en una serie de países (nombre comercial Zadaxin), se ha evaluado en decenas de estudios aleatorizados con miles de personas y en China forma parte de la rutina en algunos hospitales. Al mismo tiempo, precisamente este péptido muestra cómo cambia el panorama cuando estudios pequeños y antiguos son sustituidos por estudios grandes y cuidadosamente realizados. En Europa y EE. UU. no está autorizada, pero en el ámbito de la «longevidad» y el biohacking se comercializa como potenciador inmunitario.</w:t>
      </w:r>
    </w:p>
    <w:bookmarkStart w:id="1007" w:name="ficha-17"/>
    <w:p>
      <w:pPr>
        <w:pStyle w:val="Heading3"/>
      </w:pPr>
      <w:r>
        <w:t xml:space="preserve">Ficha</w:t>
      </w:r>
    </w:p>
    <w:p>
      <w:pPr>
        <w:numPr>
          <w:ilvl w:val="0"/>
          <w:numId w:val="1122"/>
        </w:numPr>
        <w:pStyle w:val="Compact"/>
      </w:pPr>
      <w:r>
        <w:rPr>
          <w:bCs/>
          <w:b/>
        </w:rPr>
        <w:t xml:space="preserve">Tipo y estructura:</w:t>
      </w:r>
      <w:r>
        <w:t xml:space="preserve"> </w:t>
      </w:r>
      <w:r>
        <w:t xml:space="preserve">péptido de 28 aminoácidos, acetilado en su inicio</w:t>
      </w:r>
      <w:r>
        <w:rPr>
          <w:rStyle w:val="FootnoteReference"/>
        </w:rPr>
        <w:footnoteReference w:id="1005"/>
      </w:r>
      <w:r>
        <w:t xml:space="preserve">; fragmento de la proteína más grande protimosina alfa.</w:t>
      </w:r>
    </w:p>
    <w:p>
      <w:pPr>
        <w:numPr>
          <w:ilvl w:val="0"/>
          <w:numId w:val="1122"/>
        </w:numPr>
        <w:pStyle w:val="Compact"/>
      </w:pPr>
      <w:r>
        <w:rPr>
          <w:bCs/>
          <w:b/>
        </w:rPr>
        <w:t xml:space="preserve">Origen:</w:t>
      </w:r>
      <w:r>
        <w:t xml:space="preserve"> </w:t>
      </w:r>
      <w:r>
        <w:t xml:space="preserve">aislada en la década de 1970 a partir de un extracto del timo («fracción 5 de timosina»); hoy se sintetiza químicamente. Denominación del principio activo: timalfasina.</w:t>
      </w:r>
    </w:p>
    <w:p>
      <w:pPr>
        <w:numPr>
          <w:ilvl w:val="0"/>
          <w:numId w:val="1122"/>
        </w:numPr>
        <w:pStyle w:val="Compact"/>
      </w:pPr>
      <w:r>
        <w:rPr>
          <w:bCs/>
          <w:b/>
        </w:rPr>
        <w:t xml:space="preserve">Mecanismo de acción:</w:t>
      </w:r>
      <w:r>
        <w:t xml:space="preserve"> </w:t>
      </w:r>
      <w:r>
        <w:t xml:space="preserve">inmunomodulador; favorecería la maduración y la actividad de los linfocitos T y de las células dendríticas.</w:t>
      </w:r>
    </w:p>
    <w:p>
      <w:pPr>
        <w:numPr>
          <w:ilvl w:val="0"/>
          <w:numId w:val="1122"/>
        </w:numPr>
        <w:pStyle w:val="Compact"/>
      </w:pPr>
      <w:r>
        <w:rPr>
          <w:bCs/>
          <w:b/>
        </w:rPr>
        <w:t xml:space="preserve">Autorización UE:</w:t>
      </w:r>
      <w:r>
        <w:t xml:space="preserve"> </w:t>
      </w:r>
      <w:r>
        <w:t xml:space="preserve">sin autorización centralizada.</w:t>
      </w:r>
      <w:r>
        <w:t xml:space="preserve"> </w:t>
      </w:r>
      <w:r>
        <w:rPr>
          <w:bCs/>
          <w:b/>
        </w:rPr>
        <w:t xml:space="preserve">EE. UU.:</w:t>
      </w:r>
      <w:r>
        <w:t xml:space="preserve"> </w:t>
      </w:r>
      <w:r>
        <w:t xml:space="preserve">no autorizada; en 2023, la FDA restringió su uso en farmacias de formulación magistral</w:t>
      </w:r>
      <w:r>
        <w:rPr>
          <w:rStyle w:val="FootnoteReference"/>
        </w:rPr>
        <w:footnoteReference w:id="1006"/>
      </w:r>
      <w:r>
        <w:t xml:space="preserve">.</w:t>
      </w:r>
      <w:r>
        <w:t xml:space="preserve"> </w:t>
      </w:r>
      <w:r>
        <w:rPr>
          <w:bCs/>
          <w:b/>
        </w:rPr>
        <w:t xml:space="preserve">Otros países:</w:t>
      </w:r>
      <w:r>
        <w:t xml:space="preserve"> </w:t>
      </w:r>
      <w:r>
        <w:t xml:space="preserve">autorizada como Zadaxin, sobre todo en China y otros Estados asiáticos, en general para la hepatitis B crónica y como tratamiento complementario para reforzar el sistema inmunitario.</w:t>
      </w:r>
    </w:p>
    <w:p>
      <w:pPr>
        <w:numPr>
          <w:ilvl w:val="0"/>
          <w:numId w:val="1122"/>
        </w:numPr>
        <w:pStyle w:val="Compact"/>
      </w:pPr>
      <w:r>
        <w:rPr>
          <w:bCs/>
          <w:b/>
        </w:rPr>
        <w:t xml:space="preserve">WADA:</w:t>
      </w:r>
      <w:r>
        <w:t xml:space="preserve"> </w:t>
      </w:r>
      <w:r>
        <w:t xml:space="preserve">no figura expresamente.</w:t>
      </w:r>
    </w:p>
    <w:p>
      <w:pPr>
        <w:numPr>
          <w:ilvl w:val="0"/>
          <w:numId w:val="1122"/>
        </w:numPr>
        <w:pStyle w:val="Compact"/>
      </w:pPr>
      <w:r>
        <w:rPr>
          <w:bCs/>
          <w:b/>
        </w:rPr>
        <w:t xml:space="preserve">Nivel de evidencia: B</w:t>
      </w:r>
      <w:r>
        <w:t xml:space="preserve"> </w:t>
      </w:r>
      <w:r>
        <w:t xml:space="preserve">– formalmente existen muchos estudios aleatorizados; sin embargo, los estudios grandes y metodológicamente mejores no alcanzaron sus criterios principales, y los resultados positivos proceden en su mayoría de estudios pequeños con alto riesgo de sesgo.</w:t>
      </w:r>
    </w:p>
    <w:bookmarkEnd w:id="1007"/>
    <w:bookmarkStart w:id="1010" w:name="cómo-se-supone-que-actúa-17"/>
    <w:p>
      <w:pPr>
        <w:pStyle w:val="Heading3"/>
      </w:pPr>
      <w:r>
        <w:t xml:space="preserve">Cómo se supone que actúa</w:t>
      </w:r>
    </w:p>
    <w:p>
      <w:pPr>
        <w:pStyle w:val="FirstParagraph"/>
      </w:pPr>
      <w:r>
        <w:t xml:space="preserve">El timo, situado detrás del esternón, es la «escuela» de los linfocitos T: aquí estos glóbulos blancos aprenden a distinguir lo ajeno de lo propio. Con la edad, el timo se atrofia. Pronto se supuso que mensajeros procedentes del timo dirigían la defensa, y se buscaron en extractos tímicos. La timosina alfa 1 fue una de las primeras sustancias identificadas de este modo.</w:t>
      </w:r>
    </w:p>
    <w:p>
      <w:pPr>
        <w:pStyle w:val="BodyText"/>
      </w:pPr>
      <w:r>
        <w:t xml:space="preserve">En experimentos de laboratorio y con animales, la timosina alfa 1 activa las células dendríticas –los «exploradores» del sistema inmunitario– a través de los llamados receptores de tipo Toll, aumenta la expresión de moléculas de reconocimiento en las células y potencia el efecto del interferón</w:t>
      </w:r>
      <w:r>
        <w:rPr>
          <w:rStyle w:val="FootnoteReference"/>
        </w:rPr>
        <w:footnoteReference w:id="1008"/>
      </w:r>
      <w:r>
        <w:t xml:space="preserve">. De ahí se derivaron las tres grandes ideas de aplicación:</w:t>
      </w:r>
    </w:p>
    <w:p>
      <w:pPr>
        <w:numPr>
          <w:ilvl w:val="0"/>
          <w:numId w:val="1123"/>
        </w:numPr>
        <w:pStyle w:val="Compact"/>
      </w:pPr>
      <w:r>
        <w:rPr>
          <w:bCs/>
          <w:b/>
        </w:rPr>
        <w:t xml:space="preserve">Infecciones víricas crónicas</w:t>
      </w:r>
      <w:r>
        <w:t xml:space="preserve"> </w:t>
      </w:r>
      <w:r>
        <w:t xml:space="preserve">(hepatitis B y C), en las que el sistema inmunitario no elimina el virus por sí solo.</w:t>
      </w:r>
    </w:p>
    <w:p>
      <w:pPr>
        <w:numPr>
          <w:ilvl w:val="0"/>
          <w:numId w:val="1123"/>
        </w:numPr>
        <w:pStyle w:val="Compact"/>
      </w:pPr>
      <w:r>
        <w:rPr>
          <w:bCs/>
          <w:b/>
        </w:rPr>
        <w:t xml:space="preserve">Sepsis e infecciones graves</w:t>
      </w:r>
      <w:r>
        <w:t xml:space="preserve">, en las que tras una reacción excesiva inicial suele seguir una fase de inmunodepresión.</w:t>
      </w:r>
    </w:p>
    <w:p>
      <w:pPr>
        <w:numPr>
          <w:ilvl w:val="0"/>
          <w:numId w:val="1123"/>
        </w:numPr>
        <w:pStyle w:val="Compact"/>
      </w:pPr>
      <w:r>
        <w:rPr>
          <w:bCs/>
          <w:b/>
        </w:rPr>
        <w:t xml:space="preserve">Cáncer</w:t>
      </w:r>
      <w:r>
        <w:t xml:space="preserve">, como complemento de la quimioterapia, la radioterapia y la inmunoterapia.</w:t>
      </w:r>
    </w:p>
    <w:p>
      <w:pPr>
        <w:pStyle w:val="FirstParagraph"/>
      </w:pPr>
      <w:r>
        <w:t xml:space="preserve">La semivida en sangre es de unas dos horas; a las 24 horas, la concentración vuelve al valor inicial</w:t>
      </w:r>
      <w:r>
        <w:rPr>
          <w:rStyle w:val="FootnoteReference"/>
        </w:rPr>
        <w:footnoteReference w:id="1009"/>
      </w:r>
      <w:r>
        <w:t xml:space="preserve">.</w:t>
      </w:r>
    </w:p>
    <w:bookmarkEnd w:id="1010"/>
    <w:bookmarkStart w:id="1040" w:name="estudios-en-humanos-17"/>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90</w:t>
      </w:r>
      <w:r>
        <w:t xml:space="preserve"> </w:t>
      </w:r>
      <w:r>
        <w:t xml:space="preserve">estudios en humanos en PubMed y</w:t>
      </w:r>
      <w:r>
        <w:t xml:space="preserve"> </w:t>
      </w:r>
      <w:r>
        <w:rPr>
          <w:bCs/>
          <w:b/>
        </w:rPr>
        <w:t xml:space="preserve">66</w:t>
      </w:r>
      <w:r>
        <w:t xml:space="preserve"> </w:t>
      </w:r>
      <w:r>
        <w:t xml:space="preserve">entradas en ClinicalTrials.gov, además de 15 metaanálisis y revisiones sistemáticas. Gran parte de los estudios procede de China y es pequeña. Una revisión de 2024 que resume más de 30 estudios con más de 11.000 personas se redactó expresamente para argumentar en contra de la restricción de la FDA</w:t>
      </w:r>
      <w:r>
        <w:rPr>
          <w:rStyle w:val="FootnoteReference"/>
        </w:rPr>
        <w:footnoteReference w:id="1011"/>
      </w:r>
      <w:r>
        <w:t xml:space="preserve">; por tanto, no debe leerse como una evaluación neutral.</w:t>
      </w:r>
    </w:p>
    <w:bookmarkStart w:id="1012" w:name="los-estudios-grandes-más-importantes"/>
    <w:p>
      <w:pPr>
        <w:pStyle w:val="Heading4"/>
      </w:pPr>
      <w:r>
        <w:t xml:space="preserve">Los estudios grandes más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TESTS, sepsis (Wu 2025, PMID 39814420)</w:t>
            </w:r>
          </w:p>
        </w:tc>
        <w:tc>
          <w:tcPr/>
          <w:p>
            <w:pPr>
              <w:pStyle w:val="Compact"/>
              <w:jc w:val="left"/>
            </w:pPr>
            <w:r>
              <w:t xml:space="preserve">1106 adultos con sepsis, 22 centros en China, ECA doble ciego frente a placebo</w:t>
            </w:r>
          </w:p>
        </w:tc>
        <w:tc>
          <w:tcPr/>
          <w:p>
            <w:pPr>
              <w:pStyle w:val="Compact"/>
              <w:jc w:val="left"/>
            </w:pPr>
            <w:r>
              <w:t xml:space="preserve">7 días de tratamiento, 28 días de observación</w:t>
            </w:r>
          </w:p>
        </w:tc>
        <w:tc>
          <w:tcPr/>
          <w:p>
            <w:pPr>
              <w:pStyle w:val="Compact"/>
              <w:jc w:val="left"/>
            </w:pPr>
            <w:r>
              <w:t xml:space="preserve">mortalidad 23,4 % frente a 24,1 %; sin diferencia</w:t>
            </w:r>
          </w:p>
        </w:tc>
      </w:tr>
      <w:tr>
        <w:tc>
          <w:tcPr/>
          <w:p>
            <w:pPr>
              <w:pStyle w:val="Compact"/>
              <w:jc w:val="left"/>
            </w:pPr>
            <w:r>
              <w:t xml:space="preserve">Pancreatitis necrotizante (Ke 2022, PMID 35713670)</w:t>
            </w:r>
          </w:p>
        </w:tc>
        <w:tc>
          <w:tcPr/>
          <w:p>
            <w:pPr>
              <w:pStyle w:val="Compact"/>
              <w:jc w:val="left"/>
            </w:pPr>
            <w:r>
              <w:t xml:space="preserve">508 personas, ECA doble ciego frente a placebo</w:t>
            </w:r>
          </w:p>
        </w:tc>
        <w:tc>
          <w:tcPr/>
          <w:p>
            <w:pPr>
              <w:pStyle w:val="Compact"/>
              <w:jc w:val="left"/>
            </w:pPr>
            <w:r>
              <w:t xml:space="preserve">14 días de tratamiento</w:t>
            </w:r>
          </w:p>
        </w:tc>
        <w:tc>
          <w:tcPr/>
          <w:p>
            <w:pPr>
              <w:pStyle w:val="Compact"/>
              <w:jc w:val="left"/>
            </w:pPr>
            <w:r>
              <w:t xml:space="preserve">necrosis infectadas 15,7 % frente a 18,1 %; sin diferencia significativa</w:t>
            </w:r>
          </w:p>
        </w:tc>
      </w:tr>
      <w:tr>
        <w:tc>
          <w:tcPr/>
          <w:p>
            <w:pPr>
              <w:pStyle w:val="Compact"/>
              <w:jc w:val="left"/>
            </w:pPr>
            <w:r>
              <w:t xml:space="preserve">Melanoma (Maio 2010, PMID 20194853)</w:t>
            </w:r>
          </w:p>
        </w:tc>
        <w:tc>
          <w:tcPr/>
          <w:p>
            <w:pPr>
              <w:pStyle w:val="Compact"/>
              <w:jc w:val="left"/>
            </w:pPr>
            <w:r>
              <w:t xml:space="preserve">488 personas con melanoma metastásico, ECA con 5 grupos</w:t>
            </w:r>
          </w:p>
        </w:tc>
        <w:tc>
          <w:tcPr/>
          <w:p>
            <w:pPr>
              <w:pStyle w:val="Compact"/>
              <w:jc w:val="left"/>
            </w:pPr>
            <w:r>
              <w:t xml:space="preserve">hasta 24 meses</w:t>
            </w:r>
          </w:p>
        </w:tc>
        <w:tc>
          <w:tcPr/>
          <w:p>
            <w:pPr>
              <w:pStyle w:val="Compact"/>
              <w:jc w:val="left"/>
            </w:pPr>
            <w:r>
              <w:t xml:space="preserve">más respuestas tumorales en dos grupos de Tα1; supervivencia global 9,4 frente a 6,6 meses, no significativa (p = 0,08)</w:t>
            </w:r>
          </w:p>
        </w:tc>
      </w:tr>
      <w:tr>
        <w:tc>
          <w:tcPr/>
          <w:p>
            <w:pPr>
              <w:pStyle w:val="Compact"/>
              <w:jc w:val="left"/>
            </w:pPr>
            <w:r>
              <w:t xml:space="preserve">Cirrosis por hepatitis B (Wu 2018, PMID 30063860)</w:t>
            </w:r>
          </w:p>
        </w:tc>
        <w:tc>
          <w:tcPr/>
          <w:p>
            <w:pPr>
              <w:pStyle w:val="Compact"/>
              <w:jc w:val="left"/>
            </w:pPr>
            <w:r>
              <w:t xml:space="preserve">690 personas, ECA abierto, Tα1 más entecavir frente a entecavir solo</w:t>
            </w:r>
          </w:p>
        </w:tc>
        <w:tc>
          <w:tcPr/>
          <w:p>
            <w:pPr>
              <w:pStyle w:val="Compact"/>
              <w:jc w:val="left"/>
            </w:pPr>
            <w:r>
              <w:t xml:space="preserve">mediana de 38,2 meses</w:t>
            </w:r>
          </w:p>
        </w:tc>
        <w:tc>
          <w:tcPr/>
          <w:p>
            <w:pPr>
              <w:pStyle w:val="Compact"/>
              <w:jc w:val="left"/>
            </w:pPr>
            <w:r>
              <w:t xml:space="preserve">sin diferencia en insuficiencia hepática, cáncer de hígado o muerte</w:t>
            </w:r>
          </w:p>
        </w:tc>
      </w:tr>
      <w:tr>
        <w:tc>
          <w:tcPr/>
          <w:p>
            <w:pPr>
              <w:pStyle w:val="Compact"/>
              <w:jc w:val="left"/>
            </w:pPr>
            <w:r>
              <w:t xml:space="preserve">Hepatitis B, Japón (Iino 2005, PMID 15850471)</w:t>
            </w:r>
          </w:p>
        </w:tc>
        <w:tc>
          <w:tcPr/>
          <w:p>
            <w:pPr>
              <w:pStyle w:val="Compact"/>
              <w:jc w:val="left"/>
            </w:pPr>
            <w:r>
              <w:t xml:space="preserve">316 personas, comparación de dos dosis, sin grupo placebo</w:t>
            </w:r>
          </w:p>
        </w:tc>
        <w:tc>
          <w:tcPr/>
          <w:p>
            <w:pPr>
              <w:pStyle w:val="Compact"/>
              <w:jc w:val="left"/>
            </w:pPr>
            <w:r>
              <w:t xml:space="preserve">24 semanas más 48 semanas</w:t>
            </w:r>
          </w:p>
        </w:tc>
        <w:tc>
          <w:tcPr/>
          <w:p>
            <w:pPr>
              <w:pStyle w:val="Compact"/>
              <w:jc w:val="left"/>
            </w:pPr>
            <w:r>
              <w:t xml:space="preserve">pérdida del antígeno HBe en el 22,8 % con la dosis más alta</w:t>
            </w:r>
          </w:p>
        </w:tc>
      </w:tr>
      <w:tr>
        <w:tc>
          <w:tcPr/>
          <w:p>
            <w:pPr>
              <w:pStyle w:val="Compact"/>
              <w:jc w:val="left"/>
            </w:pPr>
            <w:r>
              <w:t xml:space="preserve">Hepatitis B, fase 3 (Mutchnick 1999, PMID 10607256)</w:t>
            </w:r>
          </w:p>
        </w:tc>
        <w:tc>
          <w:tcPr/>
          <w:p>
            <w:pPr>
              <w:pStyle w:val="Compact"/>
              <w:jc w:val="left"/>
            </w:pPr>
            <w:r>
              <w:t xml:space="preserve">97 personas, ECA doble ciego frente a placebo</w:t>
            </w:r>
          </w:p>
        </w:tc>
        <w:tc>
          <w:tcPr/>
          <w:p>
            <w:pPr>
              <w:pStyle w:val="Compact"/>
              <w:jc w:val="left"/>
            </w:pPr>
            <w:r>
              <w:t xml:space="preserve">12 meses</w:t>
            </w:r>
          </w:p>
        </w:tc>
        <w:tc>
          <w:tcPr/>
          <w:p>
            <w:pPr>
              <w:pStyle w:val="Compact"/>
              <w:jc w:val="left"/>
            </w:pPr>
            <w:r>
              <w:t xml:space="preserve">respuesta completa 14 % frente a 4 %, no significativa</w:t>
            </w:r>
          </w:p>
        </w:tc>
      </w:tr>
    </w:tbl>
    <w:bookmarkEnd w:id="1012"/>
    <w:bookmarkStart w:id="1020" w:name="hepatitis-b-y-c"/>
    <w:p>
      <w:pPr>
        <w:pStyle w:val="Heading4"/>
      </w:pPr>
      <w:r>
        <w:t xml:space="preserve">Hepatitis B y C</w:t>
      </w:r>
    </w:p>
    <w:p>
      <w:pPr>
        <w:pStyle w:val="FirstParagraph"/>
      </w:pPr>
      <w:r>
        <w:t xml:space="preserve">Las autorizaciones en Asia se basan sobre todo en estudios sobre la hepatitis B crónica de la década de 1990. Un estudio aleatorizado con 98 personas encontró, 18 meses después del inicio, una respuesta virológica completa en el 40,6 por ciento tras seis meses de tratamiento, frente al 9,4 por ciento en el grupo de control no tratado</w:t>
      </w:r>
      <w:r>
        <w:rPr>
          <w:rStyle w:val="FootnoteReference"/>
        </w:rPr>
        <w:footnoteReference w:id="1013"/>
      </w:r>
      <w:r>
        <w:t xml:space="preserve">. El estudio de fase 3 doble ciego y controlado con placebo no pudo confirmarlo: 14 por ciento frente a 4 por ciento, sin significación estadística; los propios autores escriben que los resultados no confirmaban observaciones anteriores</w:t>
      </w:r>
      <w:r>
        <w:rPr>
          <w:rStyle w:val="FootnoteReference"/>
        </w:rPr>
        <w:footnoteReference w:id="1014"/>
      </w:r>
      <w:r>
        <w:t xml:space="preserve">.</w:t>
      </w:r>
    </w:p>
    <w:p>
      <w:pPr>
        <w:pStyle w:val="BodyText"/>
      </w:pPr>
      <w:r>
        <w:t xml:space="preserve">Un metaanálisis de cuatro estudios pequeños con 199 personas encontró que la timosina alfa 1 obtenía peores resultados que el interferón alfa al final del tratamiento, pero mejores seis meses después</w:t>
      </w:r>
      <w:r>
        <w:rPr>
          <w:rStyle w:val="FootnoteReference"/>
        </w:rPr>
        <w:footnoteReference w:id="1015"/>
      </w:r>
      <w:r>
        <w:t xml:space="preserve">. Hoy, la cuestión está en gran medida superada: los comprimidos modernos contra la hepatitis B (como el entecavir) suprimen el virus de forma fiable. En el gran estudio con 690 personas con cirrosis hepática, añadir timosina alfa 1 al entecavir no aportó ninguna ventaja en el criterio principal compuesto por descompensación hepática, cáncer de hígado o muerte</w:t>
      </w:r>
      <w:r>
        <w:rPr>
          <w:rStyle w:val="FootnoteReference"/>
        </w:rPr>
        <w:footnoteReference w:id="1016"/>
      </w:r>
      <w:r>
        <w:t xml:space="preserve">. Un metaanálisis de estudios chinos sobre la misma combinación encontró tasas de respuesta mejores a las 24 semanas, pero ninguna diferencia a las 48–52 semanas</w:t>
      </w:r>
      <w:r>
        <w:rPr>
          <w:rStyle w:val="FootnoteReference"/>
        </w:rPr>
        <w:footnoteReference w:id="1017"/>
      </w:r>
      <w:r>
        <w:t xml:space="preserve">.</w:t>
      </w:r>
    </w:p>
    <w:p>
      <w:pPr>
        <w:pStyle w:val="BodyText"/>
      </w:pPr>
      <w:r>
        <w:t xml:space="preserve">En una forma de evolución especialmente grave –la insuficiencia hepática aguda sobre crónica en la hepatitis B–, la supervivencia sin trasplante a los 90 días fue, en un estudio abierto con 120 personas, del 75,0 por ciento con timosina alfa 1 frente al 53,4 por ciento; las nuevas infecciones fueron menos frecuentes</w:t>
      </w:r>
      <w:r>
        <w:rPr>
          <w:rStyle w:val="FootnoteReference"/>
        </w:rPr>
        <w:footnoteReference w:id="1018"/>
      </w:r>
      <w:r>
        <w:t xml:space="preserve">. El estudio no era cegado, y en un análisis que tenía en cuenta los riesgos competitivos, la diferencia de supervivencia no fue significativa.</w:t>
      </w:r>
    </w:p>
    <w:p>
      <w:pPr>
        <w:pStyle w:val="BodyText"/>
      </w:pPr>
      <w:r>
        <w:t xml:space="preserve">En la hepatitis C, la combinación con interferón mejoró en estudios más pequeños los valores al final del tratamiento</w:t>
      </w:r>
      <w:r>
        <w:rPr>
          <w:rStyle w:val="FootnoteReference"/>
        </w:rPr>
        <w:footnoteReference w:id="1019"/>
      </w:r>
      <w:r>
        <w:t xml:space="preserve">, pero la respuesta sostenida no difirió sustancialmente. Desde que existen comprimidos de acción directa que eliminan la hepatitis C en la gran mayoría de los casos, la timosina alfa 1 ya no desempeña ningún papel aquí.</w:t>
      </w:r>
    </w:p>
    <w:bookmarkEnd w:id="1020"/>
    <w:bookmarkStart w:id="1025" w:name="sepsis"/>
    <w:p>
      <w:pPr>
        <w:pStyle w:val="Heading4"/>
      </w:pPr>
      <w:r>
        <w:t xml:space="preserve">Sepsis</w:t>
      </w:r>
    </w:p>
    <w:p>
      <w:pPr>
        <w:pStyle w:val="FirstParagraph"/>
      </w:pPr>
      <w:r>
        <w:t xml:space="preserve">La sepsis permite mostrar especialmente bien la evolución de la evidencia. Los primeros metaanálisis de estudios chinos, en su mayoría pequeños, encontraron una mortalidad claramente menor (Li 2015, PMID 25532482: riesgo relativo de 0,68 en 12 estudios con 1480 personas), pero ellos mismos señalaron la mala calidad de los estudios. El primer estudio aleatorizado más amplio (ETASS), con 361 personas, encontró una mortalidad a los 28 días del 26,0 frente al 35,0 por ciento, justo en el límite de la significación estadística y con simple ciego</w:t>
      </w:r>
      <w:r>
        <w:rPr>
          <w:rStyle w:val="FootnoteReference"/>
        </w:rPr>
        <w:footnoteReference w:id="1021"/>
      </w:r>
      <w:r>
        <w:t xml:space="preserve">.</w:t>
      </w:r>
    </w:p>
    <w:p>
      <w:pPr>
        <w:pStyle w:val="BodyText"/>
      </w:pPr>
      <w:r>
        <w:t xml:space="preserve">A continuación, el mismo grupo de trabajo planificó el estudio más grande y mejor hasta la fecha: TESTS, doble ciego, controlado con placebo, con 1106 adultos en 22 centros. Resultado: la mortalidad a los 28 días fue del 23,4 por ciento con timosina alfa 1 y del 24,1 por ciento con placebo, sin diferencia. Tampoco difirió ningún criterio secundario</w:t>
      </w:r>
      <w:r>
        <w:rPr>
          <w:rStyle w:val="FootnoteReference"/>
        </w:rPr>
        <w:footnoteReference w:id="1022"/>
      </w:r>
      <w:r>
        <w:t xml:space="preserve">. En subgrupos se insinuaron ventajas en mayores de 60 años y personas con diabetes, pero incluso desventajas en menores de 60 años; estos hallazgos de subgrupos son inciertos.</w:t>
      </w:r>
    </w:p>
    <w:p>
      <w:pPr>
        <w:pStyle w:val="BodyText"/>
      </w:pPr>
      <w:r>
        <w:t xml:space="preserve">Un metaanálisis de 2025 con 11 estudios aleatorizados encontró en conjunto una mortalidad menor, pero no al considerar solo los estudios de alta calidad o solo los multicéntricos; la cantidad de datos disponible sería demasiado pequeña para una conclusión definitiva</w:t>
      </w:r>
      <w:r>
        <w:rPr>
          <w:rStyle w:val="FootnoteReference"/>
        </w:rPr>
        <w:footnoteReference w:id="1023"/>
      </w:r>
      <w:r>
        <w:t xml:space="preserve">. Además, muchos estudios chinos combinan la timosina alfa 1 con ulinastatina, otro fármaco utilizado en China; los metaanálisis en red califican la fiabilidad de estos resultados como mayoritariamente baja</w:t>
      </w:r>
      <w:r>
        <w:rPr>
          <w:rStyle w:val="FootnoteReference"/>
        </w:rPr>
        <w:footnoteReference w:id="1024"/>
      </w:r>
      <w:r>
        <w:t xml:space="preserve">.</w:t>
      </w:r>
    </w:p>
    <w:bookmarkEnd w:id="1025"/>
    <w:bookmarkStart w:id="1031" w:name="covid-19"/>
    <w:p>
      <w:pPr>
        <w:pStyle w:val="Heading4"/>
      </w:pPr>
      <w:r>
        <w:t xml:space="preserve">COVID-19</w:t>
      </w:r>
    </w:p>
    <w:p>
      <w:pPr>
        <w:pStyle w:val="FirstParagraph"/>
      </w:pPr>
      <w:r>
        <w:t xml:space="preserve">Durante la pandemia, la timosina alfa 1 se utilizó ampliamente en China. Un análisis retrospectivo temprano de 76 enfermos graves en Wuhan informó de una mortalidad del 11,1 frente al 30,0 por ciento</w:t>
      </w:r>
      <w:r>
        <w:rPr>
          <w:rStyle w:val="FootnoteReference"/>
        </w:rPr>
        <w:footnoteReference w:id="1026"/>
      </w:r>
      <w:r>
        <w:t xml:space="preserve">. Un estudio retrospectivo más amplio en cinco hospitales, con más de 2200 personas, encontró lo contrario: tras tener en cuenta los factores de confusión, el tratamiento se asoció con una mayor tasa de no recuperación</w:t>
      </w:r>
      <w:r>
        <w:rPr>
          <w:rStyle w:val="FootnoteReference"/>
        </w:rPr>
        <w:footnoteReference w:id="1027"/>
      </w:r>
      <w:r>
        <w:t xml:space="preserve">. Un pequeño estudio piloto aleatorizado con 49 personas encontró aumentos más rápidos de los linfocitos T colaboradores, pero ninguna diferencia significativa en la recuperación</w:t>
      </w:r>
      <w:r>
        <w:rPr>
          <w:rStyle w:val="FootnoteReference"/>
        </w:rPr>
        <w:footnoteReference w:id="1028"/>
      </w:r>
      <w:r>
        <w:t xml:space="preserve">.</w:t>
      </w:r>
    </w:p>
    <w:p>
      <w:pPr>
        <w:pStyle w:val="BodyText"/>
      </w:pPr>
      <w:r>
        <w:t xml:space="preserve">Dos metaanálisis llegaron a conclusiones opuestas: uno, con 9 estudios y 5352 personas, no encontró ningún efecto sobre la mortalidad y desaconseja su uso en adultos hospitalizados</w:t>
      </w:r>
      <w:r>
        <w:rPr>
          <w:rStyle w:val="FootnoteReference"/>
        </w:rPr>
        <w:footnoteReference w:id="1029"/>
      </w:r>
      <w:r>
        <w:t xml:space="preserve">; otro, con 8 estudios, encontró una mortalidad menor, aunque con una heterogeneidad muy grande entre los estudios</w:t>
      </w:r>
      <w:r>
        <w:rPr>
          <w:rStyle w:val="FootnoteReference"/>
        </w:rPr>
        <w:footnoteReference w:id="1030"/>
      </w:r>
      <w:r>
        <w:t xml:space="preserve">. Casi todos los datos proceden de estudios observacionales no aleatorizados. Por tanto, no está demostrado un beneficio en la COVID-19.</w:t>
      </w:r>
    </w:p>
    <w:bookmarkEnd w:id="1031"/>
    <w:bookmarkStart w:id="1035" w:name="cáncer"/>
    <w:p>
      <w:pPr>
        <w:pStyle w:val="Heading4"/>
      </w:pPr>
      <w:r>
        <w:t xml:space="preserve">Cáncer</w:t>
      </w:r>
    </w:p>
    <w:p>
      <w:pPr>
        <w:pStyle w:val="FirstParagraph"/>
      </w:pPr>
      <w:r>
        <w:t xml:space="preserve">El mayor estudio aleatorizado en cáncer evaluó la timosina alfa 1 en el melanoma metastásico como complemento de la quimioterapia con dacarbazina. En dos grupos de Tα1 respondieron más tumores que en el grupo de control (10 y 12 frente a 4 respuestas); la supervivencia global media fue de 9,4 frente a 6,6 meses, pero la diferencia no fue significativa</w:t>
      </w:r>
      <w:r>
        <w:rPr>
          <w:rStyle w:val="FootnoteReference"/>
        </w:rPr>
        <w:footnoteReference w:id="1032"/>
      </w:r>
      <w:r>
        <w:t xml:space="preserve">. No siguió ninguna autorización, y el tratamiento del melanoma ha cambiado radicalmente desde entonces gracias a los inhibidores de puntos de control inmunitario.</w:t>
      </w:r>
    </w:p>
    <w:p>
      <w:pPr>
        <w:pStyle w:val="BodyText"/>
      </w:pPr>
      <w:r>
        <w:t xml:space="preserve">Los metaanálisis de estudios chinos sobre cáncer de pulmón y de estómago informan de mejores tasas de respuesta, mejor calidad de vida y menos efectos secundarios de la quimioterapia cuando se añadieron péptidos tímicos (Zeng 2019, PMID 31326719: 27 estudios, 1925 personas; Wang 2026, PMID 42827862: 20 estudios, 1704 personas). Sin embargo, ambos trabajos califican la calidad de la evidencia de moderada a muy baja, y faltan en gran medida datos sobre la supervivencia a largo plazo. Una revisión de estudios oncológicos de 2016 a 2026 encontró mayoritariamente estudios observacionales retrospectivos e informes de casos de China y un registro heterogéneo de los efectos secundarios</w:t>
      </w:r>
      <w:r>
        <w:rPr>
          <w:rStyle w:val="FootnoteReference"/>
        </w:rPr>
        <w:footnoteReference w:id="1033"/>
      </w:r>
      <w:r>
        <w:t xml:space="preserve">. Estudios de fase 2 más recientes combinan la timosina alfa 1 con inhibidores de puntos de control inmunitario, por ejemplo antes de la cirugía del cáncer gástrico con 30 personas</w:t>
      </w:r>
      <w:r>
        <w:rPr>
          <w:rStyle w:val="FootnoteReference"/>
        </w:rPr>
        <w:footnoteReference w:id="1034"/>
      </w:r>
      <w:r>
        <w:t xml:space="preserve">; sin grupo de control, no puede deducirse de ello la contribución de la timosina alfa 1.</w:t>
      </w:r>
    </w:p>
    <w:bookmarkEnd w:id="1035"/>
    <w:bookmarkStart w:id="1039" w:name="refuerzo-de-vacunas"/>
    <w:p>
      <w:pPr>
        <w:pStyle w:val="Heading4"/>
      </w:pPr>
      <w:r>
        <w:t xml:space="preserve">Refuerzo de vacunas</w:t>
      </w:r>
    </w:p>
    <w:p>
      <w:pPr>
        <w:pStyle w:val="FirstParagraph"/>
      </w:pPr>
      <w:r>
        <w:t xml:space="preserve">Ya en 1989, 90 hombres de entre 65 y 99 años recibieron, además de la vacuna antigripal, timosina alfa 1 o placebo; no se observaron efectos secundarios</w:t>
      </w:r>
      <w:r>
        <w:rPr>
          <w:rStyle w:val="FootnoteReference"/>
        </w:rPr>
        <w:footnoteReference w:id="1036"/>
      </w:r>
      <w:r>
        <w:t xml:space="preserve">. Esta idea se retoma hoy, por ejemplo en pacientes en diálisis en relación con la COVID-19</w:t>
      </w:r>
      <w:r>
        <w:rPr>
          <w:rStyle w:val="FootnoteReference"/>
        </w:rPr>
        <w:footnoteReference w:id="1037"/>
      </w:r>
      <w:r>
        <w:t xml:space="preserve"> </w:t>
      </w:r>
      <w:r>
        <w:t xml:space="preserve">y en un estudio en curso sobre la dosis de refuerzo en personas mayores</w:t>
      </w:r>
      <w:r>
        <w:rPr>
          <w:rStyle w:val="FootnoteReference"/>
        </w:rPr>
        <w:footnoteReference w:id="1038"/>
      </w:r>
      <w:r>
        <w:t xml:space="preserve">. Faltan datos sólidos de criterios de valoración, es decir, menos enfermedades o muertes.</w:t>
      </w:r>
    </w:p>
    <w:bookmarkEnd w:id="1039"/>
    <w:bookmarkEnd w:id="1040"/>
    <w:bookmarkStart w:id="1042" w:name="estudios-en-animales-y-de-laboratorio-17"/>
    <w:p>
      <w:pPr>
        <w:pStyle w:val="Heading3"/>
      </w:pPr>
      <w:r>
        <w:t xml:space="preserve">Estudios en animales y de laboratorio</w:t>
      </w:r>
    </w:p>
    <w:p>
      <w:pPr>
        <w:pStyle w:val="FirstParagraph"/>
      </w:pPr>
      <w:r>
        <w:t xml:space="preserve">Como la timosina alfa 1 se estudia en humanos desde hace décadas, los estudios en animales desempeñan un papel menor en la valoración. Fueron importantes para la idea oncológica: en modelos de ratón de cáncer de pulmón, leucemia y melanoma, así como en un modelo de rata de metástasis hepáticas, la combinación de timosina alfa 1 con interferón o interleucina-2 y quimioterapia actuó mejor que los tratamientos por separado</w:t>
      </w:r>
      <w:r>
        <w:rPr>
          <w:rStyle w:val="FootnoteReference"/>
        </w:rPr>
        <w:footnoteReference w:id="1041"/>
      </w:r>
      <w:r>
        <w:t xml:space="preserve">. Hasta ahora, estos hallazgos no han podido reproducirse de forma convincente en humanos.</w:t>
      </w:r>
    </w:p>
    <w:bookmarkEnd w:id="1042"/>
    <w:bookmarkStart w:id="1051" w:name="riesgos-y-efectos-adversos-17"/>
    <w:p>
      <w:pPr>
        <w:pStyle w:val="Heading3"/>
      </w:pPr>
      <w:r>
        <w:t xml:space="preserve">Riesgos y efectos adversos</w:t>
      </w:r>
    </w:p>
    <w:bookmarkStart w:id="1046" w:name="demostrado-1"/>
    <w:p>
      <w:pPr>
        <w:pStyle w:val="Heading4"/>
      </w:pPr>
      <w:r>
        <w:t xml:space="preserve">Demostrado</w:t>
      </w:r>
    </w:p>
    <w:p>
      <w:pPr>
        <w:pStyle w:val="FirstParagraph"/>
      </w:pPr>
      <w:r>
        <w:t xml:space="preserve">En los estudios, la timosina alfa 1 se considera bien tolerada. En los estudios más antiguos solo se observó por lo general una irritación local en el lugar de inyección</w:t>
      </w:r>
      <w:r>
        <w:rPr>
          <w:rStyle w:val="FootnoteReference"/>
        </w:rPr>
        <w:footnoteReference w:id="1043"/>
      </w:r>
      <w:r>
        <w:t xml:space="preserve">. En el gran estudio de sepsis TESTS, los criterios de seguridad no difirieron de los del placebo</w:t>
      </w:r>
      <w:r>
        <w:rPr>
          <w:rStyle w:val="FootnoteReference"/>
        </w:rPr>
        <w:footnoteReference w:id="1044"/>
      </w:r>
      <w:r>
        <w:t xml:space="preserve">. En la hepatitis B se produjeron en parte fluctuaciones de las enzimas hepáticas, que se interpretaron como expresión de la respuesta inmunitaria</w:t>
      </w:r>
      <w:r>
        <w:rPr>
          <w:rStyle w:val="FootnoteReference"/>
        </w:rPr>
        <w:footnoteReference w:id="1045"/>
      </w:r>
      <w:r>
        <w:t xml:space="preserve">.</w:t>
      </w:r>
    </w:p>
    <w:bookmarkEnd w:id="1046"/>
    <w:bookmarkStart w:id="1050" w:name="a-tener-en-cuenta"/>
    <w:p>
      <w:pPr>
        <w:pStyle w:val="Heading4"/>
      </w:pPr>
      <w:r>
        <w:t xml:space="preserve">A tener en cuenta</w:t>
      </w:r>
    </w:p>
    <w:p>
      <w:pPr>
        <w:numPr>
          <w:ilvl w:val="0"/>
          <w:numId w:val="1124"/>
        </w:numPr>
        <w:pStyle w:val="Compact"/>
      </w:pPr>
      <w:r>
        <w:rPr>
          <w:bCs/>
          <w:b/>
        </w:rPr>
        <w:t xml:space="preserve">Subgrupos con posible daño:</w:t>
      </w:r>
      <w:r>
        <w:t xml:space="preserve"> </w:t>
      </w:r>
      <w:r>
        <w:t xml:space="preserve">en TESTS, la mortalidad en menores de 60 años fue mayor con timosina alfa 1 que con placebo (hazard ratio 1,67)</w:t>
      </w:r>
      <w:r>
        <w:rPr>
          <w:rStyle w:val="FootnoteReference"/>
        </w:rPr>
        <w:footnoteReference w:id="1047"/>
      </w:r>
      <w:r>
        <w:t xml:space="preserve">; en la COVID-19, el tratamiento se asoció en un gran estudio observacional con una peor evolución</w:t>
      </w:r>
      <w:r>
        <w:rPr>
          <w:rStyle w:val="FootnoteReference"/>
        </w:rPr>
        <w:footnoteReference w:id="1048"/>
      </w:r>
      <w:r>
        <w:t xml:space="preserve">. Ambas cosas pueden deberse al azar o a sesgos, pero muestran que «potenciador inmunitario inofensivo» no es una descripción demostrada.</w:t>
      </w:r>
    </w:p>
    <w:p>
      <w:pPr>
        <w:numPr>
          <w:ilvl w:val="0"/>
          <w:numId w:val="1124"/>
        </w:numPr>
        <w:pStyle w:val="Compact"/>
      </w:pPr>
      <w:r>
        <w:rPr>
          <w:bCs/>
          <w:b/>
        </w:rPr>
        <w:t xml:space="preserve">Enfermedades autoinmunitarias y trasplantes:</w:t>
      </w:r>
      <w:r>
        <w:t xml:space="preserve"> </w:t>
      </w:r>
      <w:r>
        <w:t xml:space="preserve">una sustancia que debe estimular el sistema inmunitario podría, en teoría, agravar enfermedades autoinmunitarias o favorecer el rechazo de órganos trasplantados. Faltan datos sistemáticos al respecto.</w:t>
      </w:r>
    </w:p>
    <w:p>
      <w:pPr>
        <w:numPr>
          <w:ilvl w:val="0"/>
          <w:numId w:val="1124"/>
        </w:numPr>
        <w:pStyle w:val="Compact"/>
      </w:pPr>
      <w:r>
        <w:rPr>
          <w:bCs/>
          <w:b/>
        </w:rPr>
        <w:t xml:space="preserve">Combinación con inmunoterapia:</w:t>
      </w:r>
      <w:r>
        <w:t xml:space="preserve"> </w:t>
      </w:r>
      <w:r>
        <w:t xml:space="preserve">una revisión remite a un informe de caso en el que, con un tratamiento combinado, se produjo una reacción inmunitaria grave en varios órganos, sin que se pudiera establecer con seguridad la timosina alfa 1 como causa</w:t>
      </w:r>
      <w:r>
        <w:rPr>
          <w:rStyle w:val="FootnoteReference"/>
        </w:rPr>
        <w:footnoteReference w:id="1049"/>
      </w:r>
      <w:r>
        <w:t xml:space="preserve">.</w:t>
      </w:r>
    </w:p>
    <w:p>
      <w:pPr>
        <w:numPr>
          <w:ilvl w:val="0"/>
          <w:numId w:val="1124"/>
        </w:numPr>
        <w:pStyle w:val="Compact"/>
      </w:pPr>
      <w:r>
        <w:rPr>
          <w:bCs/>
          <w:b/>
        </w:rPr>
        <w:t xml:space="preserve">Mercado gris:</w:t>
      </w:r>
      <w:r>
        <w:t xml:space="preserve"> </w:t>
      </w:r>
      <w:r>
        <w:t xml:space="preserve">fuera de los países con autorización, la timosina alfa 1 se vende como «péptido de investigación». Los estudios sobre Zadaxin no son aplicables a estos productos: su pureza, contenido y esterilidad son desconocidos.</w:t>
      </w:r>
    </w:p>
    <w:bookmarkEnd w:id="1050"/>
    <w:bookmarkEnd w:id="1051"/>
    <w:bookmarkStart w:id="1054" w:name="situación-legal-17"/>
    <w:p>
      <w:pPr>
        <w:pStyle w:val="Heading3"/>
      </w:pPr>
      <w:r>
        <w:t xml:space="preserve">Situación legal</w:t>
      </w:r>
    </w:p>
    <w:p>
      <w:pPr>
        <w:pStyle w:val="FirstParagraph"/>
      </w:pPr>
      <w:r>
        <w:rPr>
          <w:iCs/>
          <w:i/>
        </w:rPr>
        <w:t xml:space="preserve">Situación en 2026, compruébalo en su versión actual.</w:t>
      </w:r>
    </w:p>
    <w:p>
      <w:pPr>
        <w:numPr>
          <w:ilvl w:val="0"/>
          <w:numId w:val="1125"/>
        </w:numPr>
        <w:pStyle w:val="Compact"/>
      </w:pPr>
      <w:r>
        <w:rPr>
          <w:bCs/>
          <w:b/>
        </w:rPr>
        <w:t xml:space="preserve">UE, Alemania, Austria:</w:t>
      </w:r>
      <w:r>
        <w:t xml:space="preserve"> </w:t>
      </w:r>
      <w:r>
        <w:t xml:space="preserve">sin autorización como medicamento. Una prescripción en casos individuales mediante importación individual desde un país con autorización puede ser posible según el derecho nacional en condiciones estrictas; la venta como «Research Peptide» para uso en humanos no está permitida.</w:t>
      </w:r>
    </w:p>
    <w:p>
      <w:pPr>
        <w:numPr>
          <w:ilvl w:val="0"/>
          <w:numId w:val="1125"/>
        </w:numPr>
        <w:pStyle w:val="Compact"/>
      </w:pPr>
      <w:r>
        <w:rPr>
          <w:bCs/>
          <w:b/>
        </w:rPr>
        <w:t xml:space="preserve">EE. UU.:</w:t>
      </w:r>
      <w:r>
        <w:t xml:space="preserve"> </w:t>
      </w:r>
      <w:r>
        <w:t xml:space="preserve">sin autorización de la FDA. En 2023, la FDA incluyó la timosina alfa 1, junto con otros péptidos, en la lista de sustancias con problemas de seguridad para la formulación magistral; los defensores lo critican</w:t>
      </w:r>
      <w:r>
        <w:rPr>
          <w:rStyle w:val="FootnoteReference"/>
        </w:rPr>
        <w:footnoteReference w:id="1052"/>
      </w:r>
      <w:r>
        <w:t xml:space="preserve">. La clasificación de los péptidos se sigue debatiendo en el comité asesor de la FDA</w:t>
      </w:r>
      <w:r>
        <w:rPr>
          <w:rStyle w:val="FootnoteReference"/>
        </w:rPr>
        <w:footnoteReference w:id="1053"/>
      </w:r>
      <w:r>
        <w:t xml:space="preserve">.</w:t>
      </w:r>
    </w:p>
    <w:p>
      <w:pPr>
        <w:numPr>
          <w:ilvl w:val="0"/>
          <w:numId w:val="1125"/>
        </w:numPr>
        <w:pStyle w:val="Compact"/>
      </w:pPr>
      <w:r>
        <w:rPr>
          <w:bCs/>
          <w:b/>
        </w:rPr>
        <w:t xml:space="preserve">China y otros países:</w:t>
      </w:r>
      <w:r>
        <w:t xml:space="preserve"> </w:t>
      </w:r>
      <w:r>
        <w:t xml:space="preserve">autorizada como Zadaxin o timalfasina; en China existen también varios genéricos.</w:t>
      </w:r>
    </w:p>
    <w:p>
      <w:pPr>
        <w:numPr>
          <w:ilvl w:val="0"/>
          <w:numId w:val="1125"/>
        </w:numPr>
        <w:pStyle w:val="Compact"/>
      </w:pPr>
      <w:r>
        <w:rPr>
          <w:bCs/>
          <w:b/>
        </w:rPr>
        <w:t xml:space="preserve">WADA:</w:t>
      </w:r>
      <w:r>
        <w:t xml:space="preserve"> </w:t>
      </w:r>
      <w:r>
        <w:t xml:space="preserve">no figura expresamente en la Lista de Prohibiciones. No obstante, los deportistas deberían informarse en su agencia nacional antidopaje antes de usarla.</w:t>
      </w:r>
    </w:p>
    <w:bookmarkEnd w:id="1054"/>
    <w:bookmarkStart w:id="1059" w:name="estudios-en-curso-y-perspectivas-17"/>
    <w:p>
      <w:pPr>
        <w:pStyle w:val="Heading3"/>
      </w:pPr>
      <w:r>
        <w:t xml:space="preserve">Estudios en curso y perspectivas</w:t>
      </w:r>
    </w:p>
    <w:p>
      <w:pPr>
        <w:pStyle w:val="FirstParagraph"/>
      </w:pPr>
      <w:r>
        <w:rPr>
          <w:bCs/>
          <w:b/>
        </w:rPr>
        <w:t xml:space="preserve">Confirmado (según el registro):</w:t>
      </w:r>
    </w:p>
    <w:p>
      <w:pPr>
        <w:numPr>
          <w:ilvl w:val="0"/>
          <w:numId w:val="1126"/>
        </w:numPr>
        <w:pStyle w:val="Compact"/>
      </w:pPr>
      <w:r>
        <w:rPr>
          <w:bCs/>
          <w:b/>
        </w:rPr>
        <w:t xml:space="preserve">Cáncer colorrectal tras la cirugía</w:t>
      </w:r>
      <w:r>
        <w:rPr>
          <w:rStyle w:val="FootnoteReference"/>
        </w:rPr>
        <w:footnoteReference w:id="1055"/>
      </w:r>
      <w:r>
        <w:rPr>
          <w:bCs/>
          <w:b/>
        </w:rPr>
        <w:t xml:space="preserve">:</w:t>
      </w:r>
      <w:r>
        <w:t xml:space="preserve"> </w:t>
      </w:r>
      <w:r>
        <w:t xml:space="preserve">estudio de fase 3 de la Universidad Fudan de Shanghái, 2500 personas previstas con cáncer colorrectal en estadio II o III, criterio principal la supervivencia libre de enfermedad a los tres años; finalización estimada en marzo de 2027. El estudio es solo de simple ciego.</w:t>
      </w:r>
    </w:p>
    <w:p>
      <w:pPr>
        <w:numPr>
          <w:ilvl w:val="0"/>
          <w:numId w:val="1126"/>
        </w:numPr>
        <w:pStyle w:val="Compact"/>
      </w:pPr>
      <w:r>
        <w:rPr>
          <w:bCs/>
          <w:b/>
        </w:rPr>
        <w:t xml:space="preserve">Cáncer e inmunoterapia:</w:t>
      </w:r>
      <w:r>
        <w:t xml:space="preserve"> </w:t>
      </w:r>
      <w:r>
        <w:t xml:space="preserve">numerosos estudios chinos de fase 2 más pequeños que combinan la timosina alfa 1 con inhibidores de puntos de control inmunitario y quimioterapia o radioterapia, por ejemplo en el cáncer de mama triple negativo con 572 personas previstas</w:t>
      </w:r>
      <w:r>
        <w:rPr>
          <w:rStyle w:val="FootnoteReference"/>
        </w:rPr>
        <w:footnoteReference w:id="1056"/>
      </w:r>
      <w:r>
        <w:t xml:space="preserve">.</w:t>
      </w:r>
    </w:p>
    <w:p>
      <w:pPr>
        <w:numPr>
          <w:ilvl w:val="0"/>
          <w:numId w:val="1126"/>
        </w:numPr>
        <w:pStyle w:val="Compact"/>
      </w:pPr>
      <w:r>
        <w:rPr>
          <w:bCs/>
          <w:b/>
        </w:rPr>
        <w:t xml:space="preserve">Sepsis:</w:t>
      </w:r>
      <w:r>
        <w:t xml:space="preserve"> </w:t>
      </w:r>
      <w:r>
        <w:t xml:space="preserve">un estudio más pequeño sobre la recuperación de la función inmunitaria en 60 personas</w:t>
      </w:r>
      <w:r>
        <w:rPr>
          <w:rStyle w:val="FootnoteReference"/>
        </w:rPr>
        <w:footnoteReference w:id="1057"/>
      </w:r>
      <w:r>
        <w:t xml:space="preserve">.</w:t>
      </w:r>
    </w:p>
    <w:p>
      <w:pPr>
        <w:numPr>
          <w:ilvl w:val="0"/>
          <w:numId w:val="1126"/>
        </w:numPr>
        <w:pStyle w:val="Compact"/>
      </w:pPr>
      <w:r>
        <w:rPr>
          <w:bCs/>
          <w:b/>
        </w:rPr>
        <w:t xml:space="preserve">Respuesta vacunal en personas mayores</w:t>
      </w:r>
      <w:r>
        <w:rPr>
          <w:rStyle w:val="FootnoteReference"/>
        </w:rPr>
        <w:footnoteReference w:id="1058"/>
      </w:r>
      <w:r>
        <w:rPr>
          <w:bCs/>
          <w:b/>
        </w:rPr>
        <w:t xml:space="preserve">:</w:t>
      </w:r>
      <w:r>
        <w:t xml:space="preserve"> </w:t>
      </w:r>
      <w:r>
        <w:t xml:space="preserve">fase 1, 75 personas previstas.</w:t>
      </w:r>
    </w:p>
    <w:p>
      <w:pPr>
        <w:pStyle w:val="FirstParagraph"/>
      </w:pPr>
      <w:r>
        <w:rPr>
          <w:bCs/>
          <w:b/>
        </w:rPr>
        <w:t xml:space="preserve">Valoración del autor:</w:t>
      </w:r>
      <w:r>
        <w:t xml:space="preserve"> </w:t>
      </w:r>
      <w:r>
        <w:t xml:space="preserve">el gran estudio de cáncer colorrectal es la cuestión abierta más importante. Si resulta positivo, sería la primera gran prueba de un beneficio en una enfermedad oncológica, aunque con reservas debido a la falta de doble ciego. En la sepsis, TESTS probablemente haya respondido por ahora a la cuestión del uso generalizado; los estudios futuros se centrarán en subgrupos con inmunodepresión demostrada. No cabe esperar una autorización en la UE o en EE. UU. en los próximos años.</w:t>
      </w:r>
    </w:p>
    <w:bookmarkEnd w:id="1059"/>
    <w:bookmarkStart w:id="1063" w:name="conclusión-17"/>
    <w:p>
      <w:pPr>
        <w:pStyle w:val="Heading3"/>
      </w:pPr>
      <w:r>
        <w:t xml:space="preserve">Conclusión</w:t>
      </w:r>
    </w:p>
    <w:p>
      <w:pPr>
        <w:pStyle w:val="FirstParagraph"/>
      </w:pPr>
      <w:r>
        <w:t xml:space="preserve">La timosina alfa 1 es el péptido mejor estudiado de este grupo y un medicamento autorizado en algunos países. Los estudios iniciales pequeños parecían prometedores, pero los estudios grandes y cuidadosamente cegados no mostraron ninguna ventaja en sus criterios principales en la sepsis</w:t>
      </w:r>
      <w:r>
        <w:rPr>
          <w:rStyle w:val="FootnoteReference"/>
        </w:rPr>
        <w:footnoteReference w:id="1060"/>
      </w:r>
      <w:r>
        <w:t xml:space="preserve">, la pancreatitis grave</w:t>
      </w:r>
      <w:r>
        <w:rPr>
          <w:rStyle w:val="FootnoteReference"/>
        </w:rPr>
        <w:footnoteReference w:id="1061"/>
      </w:r>
      <w:r>
        <w:t xml:space="preserve"> </w:t>
      </w:r>
      <w:r>
        <w:t xml:space="preserve">y la cirrosis por hepatitis B</w:t>
      </w:r>
      <w:r>
        <w:rPr>
          <w:rStyle w:val="FootnoteReference"/>
        </w:rPr>
        <w:footnoteReference w:id="1062"/>
      </w:r>
      <w:r>
        <w:t xml:space="preserve">. En la COVID-19 y el cáncer, las afirmaciones positivas se basan mayoritariamente en estudios observacionales y estudios de baja calidad. El péptido es bien tolerado en los estudios, pero no existe un beneficio demostrado como «potenciador inmunitario» general para personas sanas.</w:t>
      </w:r>
    </w:p>
    <w:bookmarkEnd w:id="1063"/>
    <w:bookmarkEnd w:id="1064"/>
    <w:bookmarkStart w:id="1087" w:name="kpv"/>
    <w:p>
      <w:pPr>
        <w:pStyle w:val="Heading2"/>
      </w:pPr>
      <w:r>
        <w:t xml:space="preserve">KPV</w:t>
      </w:r>
    </w:p>
    <w:p>
      <w:pPr>
        <w:pStyle w:val="FirstParagraph"/>
      </w:pPr>
      <w:r>
        <w:t xml:space="preserve">El KPV es el péptido más pequeño de este libro: solo tiene tres aminoácidos. En internet se ofrece como antiinflamatorio para el intestino y la piel, a menudo en cápsulas o crema, a veces para inyección. La base científica son experimentos celulares y modelos en ratones; no existen estudios en humanos.</w:t>
      </w:r>
    </w:p>
    <w:bookmarkStart w:id="1066" w:name="ficha-18"/>
    <w:p>
      <w:pPr>
        <w:pStyle w:val="Heading3"/>
      </w:pPr>
      <w:r>
        <w:t xml:space="preserve">Ficha</w:t>
      </w:r>
    </w:p>
    <w:p>
      <w:pPr>
        <w:numPr>
          <w:ilvl w:val="0"/>
          <w:numId w:val="1127"/>
        </w:numPr>
        <w:pStyle w:val="Compact"/>
      </w:pPr>
      <w:r>
        <w:rPr>
          <w:bCs/>
          <w:b/>
        </w:rPr>
        <w:t xml:space="preserve">Tipo y estructura:</w:t>
      </w:r>
      <w:r>
        <w:t xml:space="preserve"> </w:t>
      </w:r>
      <w:r>
        <w:t xml:space="preserve">tripéptido formado por los aminoácidos lisina, prolina y valina (Lys-Pro-Val, de ahí KPV).</w:t>
      </w:r>
    </w:p>
    <w:p>
      <w:pPr>
        <w:numPr>
          <w:ilvl w:val="0"/>
          <w:numId w:val="1127"/>
        </w:numPr>
        <w:pStyle w:val="Compact"/>
      </w:pPr>
      <w:r>
        <w:rPr>
          <w:bCs/>
          <w:b/>
        </w:rPr>
        <w:t xml:space="preserve">Origen:</w:t>
      </w:r>
      <w:r>
        <w:t xml:space="preserve"> </w:t>
      </w:r>
      <w:r>
        <w:t xml:space="preserve">corresponde a los tres últimos aminoácidos (posiciones 11 a 13) de la hormona endógena alfa-MSH (hormona estimulante de los melanocitos alfa), que participa, entre otras cosas, en el bronceado de la piel y en el control de la inflamación</w:t>
      </w:r>
      <w:r>
        <w:rPr>
          <w:rStyle w:val="FootnoteReference"/>
        </w:rPr>
        <w:footnoteReference w:id="1065"/>
      </w:r>
      <w:r>
        <w:t xml:space="preserve">.</w:t>
      </w:r>
    </w:p>
    <w:p>
      <w:pPr>
        <w:numPr>
          <w:ilvl w:val="0"/>
          <w:numId w:val="1127"/>
        </w:numPr>
        <w:pStyle w:val="Compact"/>
      </w:pPr>
      <w:r>
        <w:rPr>
          <w:bCs/>
          <w:b/>
        </w:rPr>
        <w:t xml:space="preserve">Mecanismo de acción (supuesto, a partir de estudios de laboratorio y en animales):</w:t>
      </w:r>
      <w:r>
        <w:t xml:space="preserve"> </w:t>
      </w:r>
      <w:r>
        <w:t xml:space="preserve">inhibición de vías de señalización proinflamatorias en células intestinales e inmunitarias tras su captación a través del transportador de péptidos PepT1.</w:t>
      </w:r>
    </w:p>
    <w:p>
      <w:pPr>
        <w:numPr>
          <w:ilvl w:val="0"/>
          <w:numId w:val="1127"/>
        </w:numPr>
        <w:pStyle w:val="Compact"/>
      </w:pPr>
      <w:r>
        <w:rPr>
          <w:bCs/>
          <w:b/>
        </w:rPr>
        <w:t xml:space="preserve">Autorización UE/EE. UU.:</w:t>
      </w:r>
      <w:r>
        <w:t xml:space="preserve"> </w:t>
      </w:r>
      <w:r>
        <w:t xml:space="preserve">no.</w:t>
      </w:r>
    </w:p>
    <w:p>
      <w:pPr>
        <w:numPr>
          <w:ilvl w:val="0"/>
          <w:numId w:val="1127"/>
        </w:numPr>
        <w:pStyle w:val="Compact"/>
      </w:pPr>
      <w:r>
        <w:rPr>
          <w:bCs/>
          <w:b/>
        </w:rPr>
        <w:t xml:space="preserve">WADA:</w:t>
      </w:r>
      <w:r>
        <w:t xml:space="preserve"> </w:t>
      </w:r>
      <w:r>
        <w:t xml:space="preserve">no figura expresamente; como sustancia no aprobada, en opinión del autor entra en el grupo S0.</w:t>
      </w:r>
    </w:p>
    <w:p>
      <w:pPr>
        <w:numPr>
          <w:ilvl w:val="0"/>
          <w:numId w:val="1127"/>
        </w:numPr>
        <w:pStyle w:val="Compact"/>
      </w:pPr>
      <w:r>
        <w:rPr>
          <w:bCs/>
          <w:b/>
        </w:rPr>
        <w:t xml:space="preserve">Nivel de evidencia: D</w:t>
      </w:r>
      <w:r>
        <w:t xml:space="preserve"> </w:t>
      </w:r>
      <w:r>
        <w:t xml:space="preserve">– ningún estudio publicado en humanos.</w:t>
      </w:r>
    </w:p>
    <w:bookmarkEnd w:id="1066"/>
    <w:bookmarkStart w:id="1071" w:name="cómo-se-supone-que-actúa-18"/>
    <w:p>
      <w:pPr>
        <w:pStyle w:val="Heading3"/>
      </w:pPr>
      <w:r>
        <w:t xml:space="preserve">Cómo se supone que actúa</w:t>
      </w:r>
    </w:p>
    <w:p>
      <w:pPr>
        <w:pStyle w:val="FirstParagraph"/>
      </w:pPr>
      <w:r>
        <w:t xml:space="preserve">La alfa-MSH es conocida sobre todo como hormona del bronceado, pero también tiene efecto antiinflamatorio. Ya en la década de 1990, los investigadores observaron que parte de este efecto depende de los tres últimos aminoácidos. En sangre humana de personas infectadas por el VIH, la alfa-MSH y su fragmento terminal KPV redujeron en el tubo de ensayo la producción de los mensajeros inflamatorios interleucina-1 y TNF-alfa</w:t>
      </w:r>
      <w:r>
        <w:rPr>
          <w:rStyle w:val="FootnoteReference"/>
        </w:rPr>
        <w:footnoteReference w:id="1067"/>
      </w:r>
      <w:r>
        <w:t xml:space="preserve">.</w:t>
      </w:r>
    </w:p>
    <w:p>
      <w:pPr>
        <w:pStyle w:val="BodyText"/>
      </w:pPr>
      <w:r>
        <w:t xml:space="preserve">A diferencia de la hormona completa, el KPV no parece actuar a través de los receptores de melanocortina clásicos. En ratones con peritonitis, el KPV inhibió la migración de células inflamatorias sin aumentar el mensajero típico AMPc; los autores suponen una inhibición del efecto de la interleucina-1</w:t>
      </w:r>
      <w:r>
        <w:rPr>
          <w:rStyle w:val="FootnoteReference"/>
        </w:rPr>
        <w:footnoteReference w:id="1068"/>
      </w:r>
      <w:r>
        <w:t xml:space="preserve">. Esto tiene una ventaja práctica: a diferencia del melanotán o de los derivados de la alfa-MSH, el KPV no debería broncear la piel.</w:t>
      </w:r>
    </w:p>
    <w:p>
      <w:pPr>
        <w:pStyle w:val="BodyText"/>
      </w:pPr>
      <w:r>
        <w:t xml:space="preserve">Un segundo mecanismo afecta al intestino. Allí se encuentra el transportador PepT1, que normalmente capta pequeños fragmentos de proteínas de los alimentos. En las enfermedades inflamatorias intestinales crónicas, el PepT1 también se produce en mayor cantidad en el colon. En cultivos de células intestinales e inmunitarias humanas, el KPV fue captado a través del PepT1 e inhibió en concentraciones muy bajas los interruptores inflamatorios NF-kappaB y MAP-cinasas</w:t>
      </w:r>
      <w:r>
        <w:rPr>
          <w:rStyle w:val="FootnoteReference"/>
        </w:rPr>
        <w:footnoteReference w:id="1069"/>
      </w:r>
      <w:r>
        <w:t xml:space="preserve">. De ahí surgió la idea de utilizar el KPV en comprimidos contra las inflamaciones intestinales.</w:t>
      </w:r>
    </w:p>
    <w:p>
      <w:pPr>
        <w:pStyle w:val="BodyText"/>
      </w:pPr>
      <w:r>
        <w:t xml:space="preserve">Además, en el laboratorio, la alfa-MSH y el KPV inhibieron el crecimiento de la bacteria Staphylococcus aureus y de la levadura Candida albicans</w:t>
      </w:r>
      <w:r>
        <w:rPr>
          <w:rStyle w:val="FootnoteReference"/>
        </w:rPr>
        <w:footnoteReference w:id="1070"/>
      </w:r>
      <w:r>
        <w:t xml:space="preserve">.</w:t>
      </w:r>
    </w:p>
    <w:bookmarkEnd w:id="1071"/>
    <w:bookmarkStart w:id="1076" w:name="estudios-en-humanos-18"/>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0</w:t>
      </w:r>
      <w:r>
        <w:t xml:space="preserve"> </w:t>
      </w:r>
      <w:r>
        <w:t xml:space="preserve">estudios en humanos en PubMed y</w:t>
      </w:r>
      <w:r>
        <w:t xml:space="preserve"> </w:t>
      </w:r>
      <w:r>
        <w:rPr>
          <w:bCs/>
          <w:b/>
        </w:rPr>
        <w:t xml:space="preserve">0</w:t>
      </w:r>
      <w:r>
        <w:t xml:space="preserve"> </w:t>
      </w:r>
      <w:r>
        <w:t xml:space="preserve">entradas en ClinicalTrials.gov. Tampoco una búsqueda adicional específica de estudios piloto, informes de casos o notificaciones de efectos secundarios dio con ninguna publicación en la que personas hubieran recibido KPV.</w:t>
      </w:r>
    </w:p>
    <w:p>
      <w:pPr>
        <w:pStyle w:val="BodyText"/>
      </w:pPr>
      <w:r>
        <w:t xml:space="preserve">Lo que sí existe son ensayos de laboratorio con células o tejidos humanos, por ejemplo:</w:t>
      </w:r>
    </w:p>
    <w:p>
      <w:pPr>
        <w:numPr>
          <w:ilvl w:val="0"/>
          <w:numId w:val="1128"/>
        </w:numPr>
        <w:pStyle w:val="Compact"/>
      </w:pPr>
      <w:r>
        <w:t xml:space="preserve">muestras de sangre de personas infectadas por el VIH en las que el KPV redujo la producción de mensajeros inflamatorios</w:t>
      </w:r>
      <w:r>
        <w:rPr>
          <w:rStyle w:val="FootnoteReference"/>
        </w:rPr>
        <w:footnoteReference w:id="1072"/>
      </w:r>
      <w:r>
        <w:t xml:space="preserve">,</w:t>
      </w:r>
    </w:p>
    <w:p>
      <w:pPr>
        <w:numPr>
          <w:ilvl w:val="0"/>
          <w:numId w:val="1128"/>
        </w:numPr>
        <w:pStyle w:val="Compact"/>
      </w:pPr>
      <w:r>
        <w:t xml:space="preserve">líneas celulares de piel humana</w:t>
      </w:r>
      <w:r>
        <w:rPr>
          <w:rStyle w:val="FootnoteReference"/>
        </w:rPr>
        <w:footnoteReference w:id="1073"/>
      </w:r>
      <w:r>
        <w:t xml:space="preserve">,</w:t>
      </w:r>
    </w:p>
    <w:p>
      <w:pPr>
        <w:numPr>
          <w:ilvl w:val="0"/>
          <w:numId w:val="1128"/>
        </w:numPr>
        <w:pStyle w:val="Compact"/>
      </w:pPr>
      <w:r>
        <w:t xml:space="preserve">piel humana donada en la que se comprobó si el KPV atraviesa la piel con microagujas y corriente débil; sin estas ayudas no penetró de forma medible</w:t>
      </w:r>
      <w:r>
        <w:rPr>
          <w:rStyle w:val="FootnoteReference"/>
        </w:rPr>
        <w:footnoteReference w:id="1074"/>
      </w:r>
      <w:r>
        <w:t xml:space="preserve">.</w:t>
      </w:r>
    </w:p>
    <w:p>
      <w:pPr>
        <w:pStyle w:val="FirstParagraph"/>
      </w:pPr>
      <w:r>
        <w:t xml:space="preserve">Estos trabajos dicen algo sobre mecanismos y formas farmacéuticas, pero nada sobre la eficacia o la seguridad en humanos.</w:t>
      </w:r>
    </w:p>
    <w:p>
      <w:pPr>
        <w:pStyle w:val="BodyText"/>
      </w:pPr>
      <w:r>
        <w:t xml:space="preserve">Un pariente cercano, la molécula doble artificial (CKPV)2, se estudió clínicamente a mediados de la década de 2000 como fármaco contra las infecciones por hongos; un trabajo de 2006 menciona que se encontraba «actualmente en ensayo clínico»</w:t>
      </w:r>
      <w:r>
        <w:rPr>
          <w:rStyle w:val="FootnoteReference"/>
        </w:rPr>
        <w:footnoteReference w:id="1075"/>
      </w:r>
      <w:r>
        <w:t xml:space="preserve">. Los resultados de estos estudios no se han publicado en PubMed. Además, el (CKPV)2 es una sustancia distinta del KPV que se vende en internet.</w:t>
      </w:r>
    </w:p>
    <w:bookmarkEnd w:id="1076"/>
    <w:bookmarkStart w:id="1077" w:name="estudios-en-animales-y-de-laboratorio-18"/>
    <w:p>
      <w:pPr>
        <w:pStyle w:val="Heading3"/>
      </w:pPr>
      <w:r>
        <w:t xml:space="preserve">Estudios en animales y de laboratorio</w:t>
      </w:r>
    </w:p>
    <w:p>
      <w:pPr>
        <w:pStyle w:val="FirstParagraph"/>
      </w:pPr>
      <w:r>
        <w:t xml:space="preserve">El foco de la investigación está en las enfermedades inflamatorias intestinales crónicas. Todos los resultados siguientes proceden de experimentos con ratones: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Dalmasso 2008, PMID 18061177</w:t>
            </w:r>
          </w:p>
        </w:tc>
        <w:tc>
          <w:tcPr/>
          <w:p>
            <w:pPr>
              <w:pStyle w:val="Compact"/>
              <w:jc w:val="left"/>
            </w:pPr>
            <w:r>
              <w:t xml:space="preserve">colitis inducida químicamente en ratones, KPV en el agua de bebida</w:t>
            </w:r>
          </w:p>
        </w:tc>
        <w:tc>
          <w:tcPr/>
          <w:p>
            <w:pPr>
              <w:pStyle w:val="Compact"/>
              <w:jc w:val="left"/>
            </w:pPr>
            <w:r>
              <w:t xml:space="preserve">menos inflamación, menos mensajeros inflamatorios</w:t>
            </w:r>
          </w:p>
        </w:tc>
      </w:tr>
      <w:tr>
        <w:tc>
          <w:tcPr/>
          <w:p>
            <w:pPr>
              <w:pStyle w:val="Compact"/>
              <w:jc w:val="left"/>
            </w:pPr>
            <w:r>
              <w:t xml:space="preserve">Kannengiesser 2008, PMID 18092346</w:t>
            </w:r>
          </w:p>
        </w:tc>
        <w:tc>
          <w:tcPr/>
          <w:p>
            <w:pPr>
              <w:pStyle w:val="Compact"/>
              <w:jc w:val="left"/>
            </w:pPr>
            <w:r>
              <w:t xml:space="preserve">dos modelos de colitis en ratones</w:t>
            </w:r>
          </w:p>
        </w:tc>
        <w:tc>
          <w:tcPr/>
          <w:p>
            <w:pPr>
              <w:pStyle w:val="Compact"/>
              <w:jc w:val="left"/>
            </w:pPr>
            <w:r>
              <w:t xml:space="preserve">recuperación más rápida, menos células inflamatorias; en un modelo sobrevivieron todos los animales tratados</w:t>
            </w:r>
          </w:p>
        </w:tc>
      </w:tr>
      <w:tr>
        <w:tc>
          <w:tcPr/>
          <w:p>
            <w:pPr>
              <w:pStyle w:val="Compact"/>
              <w:jc w:val="left"/>
            </w:pPr>
            <w:r>
              <w:t xml:space="preserve">Viennois 2016, PMID 27458604</w:t>
            </w:r>
          </w:p>
        </w:tc>
        <w:tc>
          <w:tcPr/>
          <w:p>
            <w:pPr>
              <w:pStyle w:val="Compact"/>
              <w:jc w:val="left"/>
            </w:pPr>
            <w:r>
              <w:t xml:space="preserve">cáncer colorrectal asociado a inflamación en ratones</w:t>
            </w:r>
          </w:p>
        </w:tc>
        <w:tc>
          <w:tcPr/>
          <w:p>
            <w:pPr>
              <w:pStyle w:val="Compact"/>
              <w:jc w:val="left"/>
            </w:pPr>
            <w:r>
              <w:t xml:space="preserve">el KPV impidió la aparición de tumores, pero solo en ratones con PepT1 funcional</w:t>
            </w:r>
          </w:p>
        </w:tc>
      </w:tr>
      <w:tr>
        <w:tc>
          <w:tcPr/>
          <w:p>
            <w:pPr>
              <w:pStyle w:val="Compact"/>
              <w:jc w:val="left"/>
            </w:pPr>
            <w:r>
              <w:t xml:space="preserve">Xiao 2017, PMID 28143741</w:t>
            </w:r>
          </w:p>
        </w:tc>
        <w:tc>
          <w:tcPr/>
          <w:p>
            <w:pPr>
              <w:pStyle w:val="Compact"/>
              <w:jc w:val="left"/>
            </w:pPr>
            <w:r>
              <w:t xml:space="preserve">colitis en ratones, KPV en nanopartículas</w:t>
            </w:r>
          </w:p>
        </w:tc>
        <w:tc>
          <w:tcPr/>
          <w:p>
            <w:pPr>
              <w:pStyle w:val="Compact"/>
              <w:jc w:val="left"/>
            </w:pPr>
            <w:r>
              <w:t xml:space="preserve">efecto más potente que el KPV libre</w:t>
            </w:r>
          </w:p>
        </w:tc>
      </w:tr>
    </w:tbl>
    <w:p>
      <w:pPr>
        <w:pStyle w:val="BodyText"/>
      </w:pPr>
      <w:r>
        <w:t xml:space="preserve">Otros trabajos estudian el KPV en hidrogeles para heridas y mucosas, en nanopartículas contra la calcificación vascular o en el metabolismo de las células adiposas, casi exclusivamente en cultivos celulares o en roedores. Llama la atención que gran parte de la literatura reciente desarrolla formas farmacéuticas (nanopartículas, geles, parches). Esto indica que el KPV solo, en comprimido o crema, al parecer no llega suficientemente bien al lugar de acción, un punto relevante para los productos que se venden libremente.</w:t>
      </w:r>
    </w:p>
    <w:bookmarkEnd w:id="1077"/>
    <w:bookmarkStart w:id="1082" w:name="riesgos-y-efectos-adversos-18"/>
    <w:p>
      <w:pPr>
        <w:pStyle w:val="Heading3"/>
      </w:pPr>
      <w:r>
        <w:t xml:space="preserve">Riesgos y efectos adversos</w:t>
      </w:r>
    </w:p>
    <w:bookmarkStart w:id="1078" w:name="demostrado-2"/>
    <w:p>
      <w:pPr>
        <w:pStyle w:val="Heading4"/>
      </w:pPr>
      <w:r>
        <w:t xml:space="preserve">Demostrado</w:t>
      </w:r>
    </w:p>
    <w:p>
      <w:pPr>
        <w:pStyle w:val="FirstParagraph"/>
      </w:pPr>
      <w:r>
        <w:t xml:space="preserve">Ninguno, porque no existen estudios en humanos. La ausencia de efectos secundarios notificados no es aquí un indicio de seguridad.</w:t>
      </w:r>
    </w:p>
    <w:bookmarkEnd w:id="1078"/>
    <w:bookmarkStart w:id="1081" w:name="teórico"/>
    <w:p>
      <w:pPr>
        <w:pStyle w:val="Heading4"/>
      </w:pPr>
      <w:r>
        <w:t xml:space="preserve">Teórico</w:t>
      </w:r>
    </w:p>
    <w:p>
      <w:pPr>
        <w:numPr>
          <w:ilvl w:val="0"/>
          <w:numId w:val="1129"/>
        </w:numPr>
        <w:pStyle w:val="Compact"/>
      </w:pPr>
      <w:r>
        <w:rPr>
          <w:bCs/>
          <w:b/>
        </w:rPr>
        <w:t xml:space="preserve">Atenuación de las defensas:</w:t>
      </w:r>
      <w:r>
        <w:t xml:space="preserve"> </w:t>
      </w:r>
      <w:r>
        <w:t xml:space="preserve">una sustancia que inhibe las señales inflamatorias podría, en principio, perjudicar también la defensa frente a infecciones. Los hallazgos de laboratorio apuntan más bien a un efecto antimicrobiano propio</w:t>
      </w:r>
      <w:r>
        <w:rPr>
          <w:rStyle w:val="FootnoteReference"/>
        </w:rPr>
        <w:footnoteReference w:id="1079"/>
      </w:r>
      <w:r>
        <w:t xml:space="preserve">, pero faltan datos en humanos.</w:t>
      </w:r>
    </w:p>
    <w:p>
      <w:pPr>
        <w:numPr>
          <w:ilvl w:val="0"/>
          <w:numId w:val="1129"/>
        </w:numPr>
        <w:pStyle w:val="Compact"/>
      </w:pPr>
      <w:r>
        <w:rPr>
          <w:bCs/>
          <w:b/>
        </w:rPr>
        <w:t xml:space="preserve">Absorción y dosis poco claras:</w:t>
      </w:r>
      <w:r>
        <w:t xml:space="preserve"> </w:t>
      </w:r>
      <w:r>
        <w:t xml:space="preserve">no se ha estudiado en humanos cuánto KPV de una cápsula o crema llega realmente a ser eficaz.</w:t>
      </w:r>
    </w:p>
    <w:p>
      <w:pPr>
        <w:numPr>
          <w:ilvl w:val="0"/>
          <w:numId w:val="1129"/>
        </w:numPr>
        <w:pStyle w:val="Compact"/>
      </w:pPr>
      <w:r>
        <w:rPr>
          <w:bCs/>
          <w:b/>
        </w:rPr>
        <w:t xml:space="preserve">Calidad del mercado gris:</w:t>
      </w:r>
      <w:r>
        <w:t xml:space="preserve"> </w:t>
      </w:r>
      <w:r>
        <w:t xml:space="preserve">el KPV se vende como «péptido de investigación» sin control farmacéutico. Una revisión de medicina deportiva menciona expresamente el KPV entre los fragmentos peptídicos que circulan en los ambientes del culturismo y advierte de productos mal etiquetados o contaminados</w:t>
      </w:r>
      <w:r>
        <w:rPr>
          <w:rStyle w:val="FootnoteReference"/>
        </w:rPr>
        <w:footnoteReference w:id="1080"/>
      </w:r>
      <w:r>
        <w:t xml:space="preserve">.</w:t>
      </w:r>
    </w:p>
    <w:bookmarkEnd w:id="1081"/>
    <w:bookmarkEnd w:id="1082"/>
    <w:bookmarkStart w:id="1083" w:name="situación-legal-18"/>
    <w:p>
      <w:pPr>
        <w:pStyle w:val="Heading3"/>
      </w:pPr>
      <w:r>
        <w:t xml:space="preserve">Situación legal</w:t>
      </w:r>
    </w:p>
    <w:p>
      <w:pPr>
        <w:pStyle w:val="FirstParagraph"/>
      </w:pPr>
      <w:r>
        <w:rPr>
          <w:iCs/>
          <w:i/>
        </w:rPr>
        <w:t xml:space="preserve">Situación en 2026, compruébalo en su versión actual.</w:t>
      </w:r>
    </w:p>
    <w:p>
      <w:pPr>
        <w:numPr>
          <w:ilvl w:val="0"/>
          <w:numId w:val="1130"/>
        </w:numPr>
        <w:pStyle w:val="Compact"/>
      </w:pPr>
      <w:r>
        <w:rPr>
          <w:bCs/>
          <w:b/>
        </w:rPr>
        <w:t xml:space="preserve">UE, Alemania, Austria:</w:t>
      </w:r>
      <w:r>
        <w:t xml:space="preserve"> </w:t>
      </w:r>
      <w:r>
        <w:t xml:space="preserve">no autorizado como medicamento. Si el KPV se ofrece con afirmaciones sobre el alivio de enfermedades, se considera un medicamento no autorizado. Como ingrediente de cosméticos se aplican las normas del Reglamento europeo sobre productos cosméticos; allí no se permiten promesas curativas.</w:t>
      </w:r>
    </w:p>
    <w:p>
      <w:pPr>
        <w:numPr>
          <w:ilvl w:val="0"/>
          <w:numId w:val="1130"/>
        </w:numPr>
        <w:pStyle w:val="Compact"/>
      </w:pPr>
      <w:r>
        <w:rPr>
          <w:bCs/>
          <w:b/>
        </w:rPr>
        <w:t xml:space="preserve">EE. UU.:</w:t>
      </w:r>
      <w:r>
        <w:t xml:space="preserve"> </w:t>
      </w:r>
      <w:r>
        <w:t xml:space="preserve">sin autorización de la FDA.</w:t>
      </w:r>
    </w:p>
    <w:p>
      <w:pPr>
        <w:numPr>
          <w:ilvl w:val="0"/>
          <w:numId w:val="1130"/>
        </w:numPr>
        <w:pStyle w:val="Compact"/>
      </w:pPr>
      <w:r>
        <w:rPr>
          <w:bCs/>
          <w:b/>
        </w:rPr>
        <w:t xml:space="preserve">WADA:</w:t>
      </w:r>
      <w:r>
        <w:t xml:space="preserve"> </w:t>
      </w:r>
      <w:r>
        <w:t xml:space="preserve">no figura por su nombre. Como sustancia farmacológicamente activa sin autorización, en opinión del autor el KPV entra en S0 (sustancias no aprobadas).</w:t>
      </w:r>
    </w:p>
    <w:bookmarkEnd w:id="1083"/>
    <w:bookmarkStart w:id="1084" w:name="estudios-en-curso-y-perspectivas-18"/>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con KPV registrado en ClinicalTrials.gov.</w:t>
      </w:r>
    </w:p>
    <w:p>
      <w:pPr>
        <w:pStyle w:val="BodyText"/>
      </w:pPr>
      <w:r>
        <w:rPr>
          <w:bCs/>
          <w:b/>
        </w:rPr>
        <w:t xml:space="preserve">Valoración del autor:</w:t>
      </w:r>
      <w:r>
        <w:t xml:space="preserve"> </w:t>
      </w:r>
      <w:r>
        <w:t xml:space="preserve">los datos en ratones sobre inflamaciones intestinales son coherentes y proceden de varios grupos independientes, lo que es más de lo que pueden presentar muchos otros «péptidos de investigación». Pero sin una empresa que desarrolle el KPV como medicamento, no se vislumbra ningún estudio en humanos. Es más probable que el KPV se siga investigando en el laboratorio como componente de nuevas formas farmacéuticas (nanopartículas, geles).</w:t>
      </w:r>
    </w:p>
    <w:bookmarkEnd w:id="1084"/>
    <w:bookmarkStart w:id="1086" w:name="conclusión-18"/>
    <w:p>
      <w:pPr>
        <w:pStyle w:val="Heading3"/>
      </w:pPr>
      <w:r>
        <w:t xml:space="preserve">Conclusión</w:t>
      </w:r>
    </w:p>
    <w:p>
      <w:pPr>
        <w:pStyle w:val="FirstParagraph"/>
      </w:pPr>
      <w:r>
        <w:t xml:space="preserve">El KPV es un fragmento de tres aminoácidos de la hormona endógena alfa-MSH que, en cultivos celulares y en ratones, redujo claramente la inflamación intestinal</w:t>
      </w:r>
      <w:r>
        <w:rPr>
          <w:rStyle w:val="FootnoteReference"/>
        </w:rPr>
        <w:footnoteReference w:id="1085"/>
      </w:r>
      <w:r>
        <w:t xml:space="preserve">. El KPV nunca se ha estudiado en humanos, ni en cuanto a eficacia ni en cuanto a seguridad. Por tanto, todas las afirmaciones sobre efectos intestinales o cutáneos en humanos son suposiciones basadas en experimentos con animales. Quien utiliza productos de KPV de internet forma parte de un autoexperimento no controlado con productos de calidad desconocida.</w:t>
      </w:r>
    </w:p>
    <w:bookmarkEnd w:id="1086"/>
    <w:bookmarkEnd w:id="1087"/>
    <w:bookmarkStart w:id="1122" w:name="ll-37"/>
    <w:p>
      <w:pPr>
        <w:pStyle w:val="Heading2"/>
      </w:pPr>
      <w:r>
        <w:t xml:space="preserve">LL-37</w:t>
      </w:r>
    </w:p>
    <w:p>
      <w:pPr>
        <w:pStyle w:val="FirstParagraph"/>
      </w:pPr>
      <w:r>
        <w:t xml:space="preserve">El LL-37 es un péptido de defensa propio del organismo. La piel, las mucosas y los glóbulos blancos lo producen para matar bacterias, hongos y virus. En el ámbito de los péptidos se ofrece como «antibiótico natural» y como remedio contra infecciones crónicas, la borreliosis o la «inmunodeficiencia». En cuanto a la evidencia disponible, hay que distinguir cuidadosamente: existen muchísimos estudios en los que el LL-37 se ha</w:t>
      </w:r>
      <w:r>
        <w:t xml:space="preserve"> </w:t>
      </w:r>
      <w:r>
        <w:rPr>
          <w:iCs/>
          <w:i/>
        </w:rPr>
        <w:t xml:space="preserve">medido</w:t>
      </w:r>
      <w:r>
        <w:t xml:space="preserve"> </w:t>
      </w:r>
      <w:r>
        <w:t xml:space="preserve">en sangre o tejido, pero solo un puñado en los que las personas han</w:t>
      </w:r>
      <w:r>
        <w:t xml:space="preserve"> </w:t>
      </w:r>
      <w:r>
        <w:rPr>
          <w:iCs/>
          <w:i/>
        </w:rPr>
        <w:t xml:space="preserve">recibido</w:t>
      </w:r>
      <w:r>
        <w:t xml:space="preserve"> </w:t>
      </w:r>
      <w:r>
        <w:t xml:space="preserve">LL-37 como principio activo.</w:t>
      </w:r>
    </w:p>
    <w:bookmarkStart w:id="1089" w:name="ficha-19"/>
    <w:p>
      <w:pPr>
        <w:pStyle w:val="Heading3"/>
      </w:pPr>
      <w:r>
        <w:t xml:space="preserve">Ficha</w:t>
      </w:r>
    </w:p>
    <w:p>
      <w:pPr>
        <w:numPr>
          <w:ilvl w:val="0"/>
          <w:numId w:val="1131"/>
        </w:numPr>
        <w:pStyle w:val="Compact"/>
      </w:pPr>
      <w:r>
        <w:rPr>
          <w:bCs/>
          <w:b/>
        </w:rPr>
        <w:t xml:space="preserve">Tipo y estructura:</w:t>
      </w:r>
      <w:r>
        <w:t xml:space="preserve"> </w:t>
      </w:r>
      <w:r>
        <w:t xml:space="preserve">péptido de 37 aminoácidos, los dos primeros son leucinas (de ahí «LL»). Es la única catelicidina del ser humano, que es como se llama una familia de péptidos de defensa.</w:t>
      </w:r>
    </w:p>
    <w:p>
      <w:pPr>
        <w:numPr>
          <w:ilvl w:val="0"/>
          <w:numId w:val="1131"/>
        </w:numPr>
        <w:pStyle w:val="Compact"/>
      </w:pPr>
      <w:r>
        <w:rPr>
          <w:bCs/>
          <w:b/>
        </w:rPr>
        <w:t xml:space="preserve">Origen:</w:t>
      </w:r>
      <w:r>
        <w:t xml:space="preserve"> </w:t>
      </w:r>
      <w:r>
        <w:t xml:space="preserve">se escinde de la proteína precursora hCAP18; el gen correspondiente (CAMP) se activa, entre otras cosas, por la vitamina D</w:t>
      </w:r>
      <w:r>
        <w:rPr>
          <w:rStyle w:val="FootnoteReference"/>
        </w:rPr>
        <w:footnoteReference w:id="1088"/>
      </w:r>
      <w:r>
        <w:t xml:space="preserve">.</w:t>
      </w:r>
    </w:p>
    <w:p>
      <w:pPr>
        <w:numPr>
          <w:ilvl w:val="0"/>
          <w:numId w:val="1131"/>
        </w:numPr>
        <w:pStyle w:val="Compact"/>
      </w:pPr>
      <w:r>
        <w:rPr>
          <w:bCs/>
          <w:b/>
        </w:rPr>
        <w:t xml:space="preserve">Mecanismo de acción:</w:t>
      </w:r>
      <w:r>
        <w:t xml:space="preserve"> </w:t>
      </w:r>
      <w:r>
        <w:t xml:space="preserve">destruye la envoltura de los microbios; al mismo tiempo atrae células inmunitarias, favorece la formación de nuevos vasos y la cicatrización de heridas e influye en las reacciones inflamatorias.</w:t>
      </w:r>
    </w:p>
    <w:p>
      <w:pPr>
        <w:numPr>
          <w:ilvl w:val="0"/>
          <w:numId w:val="1131"/>
        </w:numPr>
        <w:pStyle w:val="Compact"/>
      </w:pPr>
      <w:r>
        <w:rPr>
          <w:bCs/>
          <w:b/>
        </w:rPr>
        <w:t xml:space="preserve">Autorización UE/EE. UU.:</w:t>
      </w:r>
      <w:r>
        <w:t xml:space="preserve"> </w:t>
      </w:r>
      <w:r>
        <w:t xml:space="preserve">no.</w:t>
      </w:r>
    </w:p>
    <w:p>
      <w:pPr>
        <w:numPr>
          <w:ilvl w:val="0"/>
          <w:numId w:val="1131"/>
        </w:numPr>
        <w:pStyle w:val="Compact"/>
      </w:pPr>
      <w:r>
        <w:rPr>
          <w:bCs/>
          <w:b/>
        </w:rPr>
        <w:t xml:space="preserve">WADA:</w:t>
      </w:r>
      <w:r>
        <w:t xml:space="preserve"> </w:t>
      </w:r>
      <w:r>
        <w:t xml:space="preserve">no figura expresamente; como sustancia no aprobada, en opinión del autor entra en S0.</w:t>
      </w:r>
    </w:p>
    <w:p>
      <w:pPr>
        <w:numPr>
          <w:ilvl w:val="0"/>
          <w:numId w:val="1131"/>
        </w:numPr>
        <w:pStyle w:val="Compact"/>
      </w:pPr>
      <w:r>
        <w:rPr>
          <w:bCs/>
          <w:b/>
        </w:rPr>
        <w:t xml:space="preserve">Nivel de evidencia: B</w:t>
      </w:r>
      <w:r>
        <w:t xml:space="preserve"> </w:t>
      </w:r>
      <w:r>
        <w:t xml:space="preserve">– algunos estudios aleatorizados de tamaño pequeño a mediano con aplicación local en heridas; el más grande de ellos no alcanzó su objetivo principal.</w:t>
      </w:r>
    </w:p>
    <w:bookmarkEnd w:id="1089"/>
    <w:bookmarkStart w:id="1094" w:name="cómo-se-supone-que-actúa-19"/>
    <w:p>
      <w:pPr>
        <w:pStyle w:val="Heading3"/>
      </w:pPr>
      <w:r>
        <w:t xml:space="preserve">Cómo se supone que actúa</w:t>
      </w:r>
    </w:p>
    <w:p>
      <w:pPr>
        <w:pStyle w:val="FirstParagraph"/>
      </w:pPr>
      <w:r>
        <w:t xml:space="preserve">El LL-37 pertenece al sistema inmunitario innato, la primera línea de defensa, inespecífica. El péptido tiene carga positiva y se adhiere a las envolturas de carga negativa de las bacterias, que con ello se vuelven permeables. Además, actúa como sustancia señalizadora: atrae glóbulos blancos y estimula la migración de las células cutáneas; por eso resultó interesante para la cicatrización de heridas.</w:t>
      </w:r>
    </w:p>
    <w:p>
      <w:pPr>
        <w:pStyle w:val="BodyText"/>
      </w:pPr>
      <w:r>
        <w:t xml:space="preserve">En el ser humano, la producción de LL-37 está estrechamente ligada a la vitamina D. El gen de la proteína precursora tiene un interruptor al que se une el receptor de la vitamina D; este interruptor se encuentra en los primates, pero no en ratones, ratas o perros</w:t>
      </w:r>
      <w:r>
        <w:rPr>
          <w:rStyle w:val="FootnoteReference"/>
        </w:rPr>
        <w:footnoteReference w:id="1090"/>
      </w:r>
      <w:r>
        <w:t xml:space="preserve">. Esto explica por qué muchos estudios administran vitamina D y miden el LL-37, y por qué los experimentos con animales sobre el LL-37 solo son trasladables al ser humano de forma limitada.</w:t>
      </w:r>
    </w:p>
    <w:p>
      <w:pPr>
        <w:pStyle w:val="BodyText"/>
      </w:pPr>
      <w:r>
        <w:t xml:space="preserve">La otra cara: el LL-37 también puede avivar la inflamación. En la psoriasis, el LL-37 se une al material genético propio de células desintegradas y lo hace «visible» para determinadas células inmunitarias, que entonces liberan interferón</w:t>
      </w:r>
      <w:r>
        <w:rPr>
          <w:rStyle w:val="FootnoteReference"/>
        </w:rPr>
        <w:footnoteReference w:id="1091"/>
      </w:r>
      <w:r>
        <w:t xml:space="preserve">. En dos tercios de las personas estudiadas con psoriasis moderada a grave se encontraron linfocitos T dirigidos contra el propio LL-37</w:t>
      </w:r>
      <w:r>
        <w:rPr>
          <w:rStyle w:val="FootnoteReference"/>
        </w:rPr>
        <w:footnoteReference w:id="1092"/>
      </w:r>
      <w:r>
        <w:t xml:space="preserve">. En la rosácea, los afectados producen cantidades inusualmente altas de LL-37 en la piel de la cara, y en ratones la inyección de estos péptidos desencadenó inflamaciones cutáneas</w:t>
      </w:r>
      <w:r>
        <w:rPr>
          <w:rStyle w:val="FootnoteReference"/>
        </w:rPr>
        <w:footnoteReference w:id="1093"/>
      </w:r>
      <w:r>
        <w:t xml:space="preserve">.</w:t>
      </w:r>
    </w:p>
    <w:bookmarkEnd w:id="1094"/>
    <w:bookmarkStart w:id="1106" w:name="estudios-en-humanos-19"/>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91</w:t>
      </w:r>
      <w:r>
        <w:t xml:space="preserve"> </w:t>
      </w:r>
      <w:r>
        <w:t xml:space="preserve">publicaciones clasificadas como estudio en humanos y</w:t>
      </w:r>
      <w:r>
        <w:t xml:space="preserve"> </w:t>
      </w:r>
      <w:r>
        <w:rPr>
          <w:bCs/>
          <w:b/>
        </w:rPr>
        <w:t xml:space="preserve">20</w:t>
      </w:r>
      <w:r>
        <w:t xml:space="preserve"> </w:t>
      </w:r>
      <w:r>
        <w:t xml:space="preserve">entradas en ClinicalTrials.gov. La inmensa mayoría de ellas</w:t>
      </w:r>
      <w:r>
        <w:t xml:space="preserve"> </w:t>
      </w:r>
      <w:r>
        <w:rPr>
          <w:iCs/>
          <w:i/>
        </w:rPr>
        <w:t xml:space="preserve">no</w:t>
      </w:r>
      <w:r>
        <w:t xml:space="preserve"> </w:t>
      </w:r>
      <w:r>
        <w:t xml:space="preserve">administra LL-37 como principio activo: se trata de estudios de vitamina D o de probióticos que registran el LL-37 como valor medido, o de estudios observacionales sobre las concentraciones de LL-37 en enfermedades. Estudios en los que se haya administrado el propio LL-37 solo se encuentran cinco en PubMed; en el registro, dos.</w:t>
      </w:r>
    </w:p>
    <w:bookmarkStart w:id="1099" w:name="X663e463dc3f8fd3ae07b28d30265aa24f3b7ce4"/>
    <w:p>
      <w:pPr>
        <w:pStyle w:val="Heading4"/>
      </w:pPr>
      <w:r>
        <w:t xml:space="preserve">Estudios de intervención: LL-37 como principio activo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Úlceras venosas de pierna (Grönberg 2014, PMID 25041740)</w:t>
            </w:r>
          </w:p>
        </w:tc>
        <w:tc>
          <w:tcPr/>
          <w:p>
            <w:pPr>
              <w:pStyle w:val="Compact"/>
              <w:jc w:val="left"/>
            </w:pPr>
            <w:r>
              <w:t xml:space="preserve">34 personas, primera aplicación en humanos, ECA doble ciego con tres concentraciones y placebo</w:t>
            </w:r>
          </w:p>
        </w:tc>
        <w:tc>
          <w:tcPr/>
          <w:p>
            <w:pPr>
              <w:pStyle w:val="Compact"/>
              <w:jc w:val="left"/>
            </w:pPr>
            <w:r>
              <w:t xml:space="preserve">4 semanas de tratamiento</w:t>
            </w:r>
          </w:p>
        </w:tc>
        <w:tc>
          <w:tcPr/>
          <w:p>
            <w:pPr>
              <w:pStyle w:val="Compact"/>
              <w:jc w:val="left"/>
            </w:pPr>
            <w:r>
              <w:t xml:space="preserve">superficie de la herida reducida un 68 % con la concentración más baja y un 50 % con la intermedia; la concentración más alta no fue mejor que el placebo</w:t>
            </w:r>
          </w:p>
        </w:tc>
      </w:tr>
      <w:tr>
        <w:tc>
          <w:tcPr/>
          <w:p>
            <w:pPr>
              <w:pStyle w:val="Compact"/>
              <w:jc w:val="left"/>
            </w:pPr>
            <w:r>
              <w:t xml:space="preserve">HEAL LL-37, úlceras venosas de pierna (Mahlapuu 2021, PMID 34687253)</w:t>
            </w:r>
          </w:p>
        </w:tc>
        <w:tc>
          <w:tcPr/>
          <w:p>
            <w:pPr>
              <w:pStyle w:val="Compact"/>
              <w:jc w:val="left"/>
            </w:pPr>
            <w:r>
              <w:t xml:space="preserve">148 personas, fase 2b, ECA doble ciego</w:t>
            </w:r>
          </w:p>
        </w:tc>
        <w:tc>
          <w:tcPr/>
          <w:p>
            <w:pPr>
              <w:pStyle w:val="Compact"/>
              <w:jc w:val="left"/>
            </w:pPr>
            <w:r>
              <w:t xml:space="preserve">3 brazos, además de la compresión</w:t>
            </w:r>
          </w:p>
        </w:tc>
        <w:tc>
          <w:tcPr/>
          <w:p>
            <w:pPr>
              <w:pStyle w:val="Compact"/>
              <w:jc w:val="left"/>
            </w:pPr>
            <w:r>
              <w:t xml:space="preserve">sin diferencia significativa frente a placebo; ventaja solo en un análisis posterior de subgrupos de heridas grandes</w:t>
            </w:r>
          </w:p>
        </w:tc>
      </w:tr>
      <w:tr>
        <w:tc>
          <w:tcPr/>
          <w:p>
            <w:pPr>
              <w:pStyle w:val="Compact"/>
              <w:jc w:val="left"/>
            </w:pPr>
            <w:r>
              <w:t xml:space="preserve">Úlcera de pie diabético (Miranda 2023, PMID 37480520; NCT04098562)</w:t>
            </w:r>
          </w:p>
        </w:tc>
        <w:tc>
          <w:tcPr/>
          <w:p>
            <w:pPr>
              <w:pStyle w:val="Compact"/>
              <w:jc w:val="left"/>
            </w:pPr>
            <w:r>
              <w:t xml:space="preserve">personas con úlcera de pie levemente infectada en Yakarta, ECA doble ciego frente a crema placebo</w:t>
            </w:r>
          </w:p>
        </w:tc>
        <w:tc>
          <w:tcPr/>
          <w:p>
            <w:pPr>
              <w:pStyle w:val="Compact"/>
              <w:jc w:val="left"/>
            </w:pPr>
            <w:r>
              <w:t xml:space="preserve">4 semanas</w:t>
            </w:r>
          </w:p>
        </w:tc>
        <w:tc>
          <w:tcPr/>
          <w:p>
            <w:pPr>
              <w:pStyle w:val="Compact"/>
              <w:jc w:val="left"/>
            </w:pPr>
            <w:r>
              <w:t xml:space="preserve">mayor aumento del tejido de granulación; sin reducción de marcadores inflamatorios ni del recuento bacteriano</w:t>
            </w:r>
          </w:p>
        </w:tc>
      </w:tr>
      <w:tr>
        <w:tc>
          <w:tcPr/>
          <w:p>
            <w:pPr>
              <w:pStyle w:val="Compact"/>
              <w:jc w:val="left"/>
            </w:pPr>
            <w:r>
              <w:t xml:space="preserve">COVID-19, LL-37 oral a partir de bacterias lácticas (Zhao 2023, PMID 37605995)</w:t>
            </w:r>
          </w:p>
        </w:tc>
        <w:tc>
          <w:tcPr/>
          <w:p>
            <w:pPr>
              <w:pStyle w:val="Compact"/>
              <w:jc w:val="left"/>
            </w:pPr>
            <w:r>
              <w:t xml:space="preserve">238 pacientes hospitalizados, ECA abierto, un solo centro</w:t>
            </w:r>
          </w:p>
        </w:tc>
        <w:tc>
          <w:tcPr/>
          <w:p>
            <w:pPr>
              <w:pStyle w:val="Compact"/>
              <w:jc w:val="left"/>
            </w:pPr>
            <w:r>
              <w:t xml:space="preserve">estancia hospitalaria</w:t>
            </w:r>
          </w:p>
        </w:tc>
        <w:tc>
          <w:tcPr/>
          <w:p>
            <w:pPr>
              <w:pStyle w:val="Compact"/>
              <w:jc w:val="left"/>
            </w:pPr>
            <w:r>
              <w:t xml:space="preserve">PCR del virus negativa de media a los 9,8 días en lugar de 14,0; sin efectos secundarios graves</w:t>
            </w:r>
          </w:p>
        </w:tc>
      </w:tr>
      <w:tr>
        <w:tc>
          <w:tcPr/>
          <w:p>
            <w:pPr>
              <w:pStyle w:val="Compact"/>
              <w:jc w:val="left"/>
            </w:pPr>
            <w:r>
              <w:t xml:space="preserve">Melanoma, inyección en los tumores (NCT02225366)</w:t>
            </w:r>
          </w:p>
        </w:tc>
        <w:tc>
          <w:tcPr/>
          <w:p>
            <w:pPr>
              <w:pStyle w:val="Compact"/>
              <w:jc w:val="left"/>
            </w:pPr>
            <w:r>
              <w:t xml:space="preserve">4 personas, fase 1/2 sin grupo de control</w:t>
            </w:r>
          </w:p>
        </w:tc>
        <w:tc>
          <w:tcPr/>
          <w:p>
            <w:pPr>
              <w:pStyle w:val="Compact"/>
              <w:jc w:val="left"/>
            </w:pPr>
            <w:r>
              <w:t xml:space="preserve">hasta 8 semanas</w:t>
            </w:r>
          </w:p>
        </w:tc>
        <w:tc>
          <w:tcPr/>
          <w:p>
            <w:pPr>
              <w:pStyle w:val="Compact"/>
              <w:jc w:val="left"/>
            </w:pPr>
            <w:r>
              <w:t xml:space="preserve">búsqueda de dosis; número pequeño de casos, véase Riesgos</w:t>
            </w:r>
          </w:p>
        </w:tc>
      </w:tr>
    </w:tbl>
    <w:p>
      <w:pPr>
        <w:pStyle w:val="BodyText"/>
      </w:pPr>
      <w:r>
        <w:t xml:space="preserve">Los estudios en heridas muestran el patrón conocido: el primer estudio pequeño fue alentador; llamativamente, actuaron las concentraciones más bajas, no la más alta</w:t>
      </w:r>
      <w:r>
        <w:rPr>
          <w:rStyle w:val="FootnoteReference"/>
        </w:rPr>
        <w:footnoteReference w:id="1095"/>
      </w:r>
      <w:r>
        <w:t xml:space="preserve">. El estudio de fase 2b más grande, HEAL LL-37, con 148 personas, no encontró ninguna ventaja frente a placebo en el grupo total. Un beneficio en heridas grandes solo apareció en un análisis de subgrupos definido a posteriori, que los propios autores consideran motivo para un nuevo estudio, no una prueba</w:t>
      </w:r>
      <w:r>
        <w:rPr>
          <w:rStyle w:val="FootnoteReference"/>
        </w:rPr>
        <w:footnoteReference w:id="1096"/>
      </w:r>
      <w:r>
        <w:t xml:space="preserve">.</w:t>
      </w:r>
    </w:p>
    <w:p>
      <w:pPr>
        <w:pStyle w:val="BodyText"/>
      </w:pPr>
      <w:r>
        <w:t xml:space="preserve">El estudio indonesio sobre la úlcera de pie diabético midió como variable principal la proporción de tejido de granulación, es decir, de tejido de curación nuevo: un marcador intermedio, no la curación completa de la herida. Los marcadores inflamatorios y la colonización bacteriana no disminuyeron más con LL-37 que con placebo</w:t>
      </w:r>
      <w:r>
        <w:rPr>
          <w:rStyle w:val="FootnoteReference"/>
        </w:rPr>
        <w:footnoteReference w:id="1097"/>
      </w:r>
      <w:r>
        <w:t xml:space="preserve">.</w:t>
      </w:r>
    </w:p>
    <w:p>
      <w:pPr>
        <w:pStyle w:val="BodyText"/>
      </w:pPr>
      <w:r>
        <w:t xml:space="preserve">El estudio sobre la COVID-19 no utilizó el péptido LL-37, sino bacterias lácticas modificadas genéticamente que debían producir LL-37 en el intestino. No era cegado y se realizó en un único centro; se midió el tiempo hasta la PCR negativa, no la evolución de la enfermedad ni la mortalidad</w:t>
      </w:r>
      <w:r>
        <w:rPr>
          <w:rStyle w:val="FootnoteReference"/>
        </w:rPr>
        <w:footnoteReference w:id="1098"/>
      </w:r>
      <w:r>
        <w:t xml:space="preserve">.</w:t>
      </w:r>
    </w:p>
    <w:bookmarkEnd w:id="1099"/>
    <w:bookmarkStart w:id="1103" w:name="Xb10c31340857ea1f2eb5753ac6a3141a1634185"/>
    <w:p>
      <w:pPr>
        <w:pStyle w:val="Heading4"/>
      </w:pPr>
      <w:r>
        <w:t xml:space="preserve">Estudios observacionales: LL-37 como valor medido</w:t>
      </w:r>
    </w:p>
    <w:p>
      <w:pPr>
        <w:pStyle w:val="FirstParagraph"/>
      </w:pPr>
      <w:r>
        <w:t xml:space="preserve">Estos estudios no dicen nada sobre si el LL-37 administrado ayuda. Solo muestran cómo produce el organismo LL-37 en las enfermedades. Algunos ejemplos:</w:t>
      </w:r>
    </w:p>
    <w:p>
      <w:pPr>
        <w:numPr>
          <w:ilvl w:val="0"/>
          <w:numId w:val="1132"/>
        </w:numPr>
        <w:pStyle w:val="Compact"/>
      </w:pPr>
      <w:r>
        <w:t xml:space="preserve">En 50 personas con tuberculosis pulmonar, las concentraciones de LL-37 en sangre fueron mayores que en la neumonía por otras bacterias y en personas sanas</w:t>
      </w:r>
      <w:r>
        <w:rPr>
          <w:rStyle w:val="FootnoteReference"/>
        </w:rPr>
        <w:footnoteReference w:id="1100"/>
      </w:r>
      <w:r>
        <w:t xml:space="preserve">.</w:t>
      </w:r>
    </w:p>
    <w:p>
      <w:pPr>
        <w:numPr>
          <w:ilvl w:val="0"/>
          <w:numId w:val="1132"/>
        </w:numPr>
        <w:pStyle w:val="Compact"/>
      </w:pPr>
      <w:r>
        <w:t xml:space="preserve">En 76 niños con meningitis bacteriana, el LL-37 en el líquido cefalorraquídeo aumentó con la cantidad de bacterias; una relación alta entre LL-37 y bacterias se asoció con menos daños auditivos</w:t>
      </w:r>
      <w:r>
        <w:rPr>
          <w:rStyle w:val="FootnoteReference"/>
        </w:rPr>
        <w:footnoteReference w:id="1101"/>
      </w:r>
      <w:r>
        <w:t xml:space="preserve">.</w:t>
      </w:r>
    </w:p>
    <w:p>
      <w:pPr>
        <w:numPr>
          <w:ilvl w:val="0"/>
          <w:numId w:val="1132"/>
        </w:numPr>
        <w:pStyle w:val="Compact"/>
      </w:pPr>
      <w:r>
        <w:t xml:space="preserve">En 30 pacientes de cuidados intensivos con sepsis, las concentraciones de LL-37 aumentaron tras dosis altas de vitamina D</w:t>
      </w:r>
      <w:r>
        <w:rPr>
          <w:rStyle w:val="FootnoteReference"/>
        </w:rPr>
        <w:footnoteReference w:id="1102"/>
      </w:r>
      <w:r>
        <w:t xml:space="preserve">.</w:t>
      </w:r>
    </w:p>
    <w:bookmarkEnd w:id="1103"/>
    <w:bookmarkStart w:id="1105" w:name="X58efb8e0f78133406c5c9959b7a5748638bc1fe"/>
    <w:p>
      <w:pPr>
        <w:pStyle w:val="Heading4"/>
      </w:pPr>
      <w:r>
        <w:t xml:space="preserve">Indirectamente: estimular el LL-37 a través de la vitamina D</w:t>
      </w:r>
    </w:p>
    <w:p>
      <w:pPr>
        <w:pStyle w:val="FirstParagraph"/>
      </w:pPr>
      <w:r>
        <w:t xml:space="preserve">En un estudio doble ciego de Bangladés con 288 personas con tuberculosis pulmonar, a las cuatro semanas había más participantes con cultivo negativo cuando recibían además vitamina D3 y fenilbutirato, dos sustancias que estimulan la producción propia de LL-37 (71 % frente a 42,2 % con placebo)</w:t>
      </w:r>
      <w:r>
        <w:rPr>
          <w:rStyle w:val="FootnoteReference"/>
        </w:rPr>
        <w:footnoteReference w:id="1104"/>
      </w:r>
      <w:r>
        <w:t xml:space="preserve">. Es una afirmación sobre esta combinación, no sobre el LL-37 como péptido. La vitamina D en sí no es un péptido y no se trata específicamente en este libro.</w:t>
      </w:r>
    </w:p>
    <w:bookmarkEnd w:id="1105"/>
    <w:bookmarkEnd w:id="1106"/>
    <w:bookmarkStart w:id="1109" w:name="estudios-en-animales-y-de-laboratorio-19"/>
    <w:p>
      <w:pPr>
        <w:pStyle w:val="Heading3"/>
      </w:pPr>
      <w:r>
        <w:t xml:space="preserve">Estudios en animales y de laboratorio</w:t>
      </w:r>
    </w:p>
    <w:p>
      <w:pPr>
        <w:pStyle w:val="FirstParagraph"/>
      </w:pPr>
      <w:r>
        <w:t xml:space="preserve">En el laboratorio, el LL-37 mata una amplia gama de bacterias, hongos y algunos virus y favorece la migración de las células cutáneas. Una revisión sobre su papel en el cáncer resume que, en experimentos celulares y con animales, el LL-37</w:t>
      </w:r>
      <w:r>
        <w:t xml:space="preserve"> </w:t>
      </w:r>
      <w:r>
        <w:rPr>
          <w:iCs/>
          <w:i/>
        </w:rPr>
        <w:t xml:space="preserve">favorece</w:t>
      </w:r>
      <w:r>
        <w:t xml:space="preserve"> </w:t>
      </w:r>
      <w:r>
        <w:t xml:space="preserve">el crecimiento tumoral en el cáncer de ovario, pulmón, mama, próstata y páncreas, así como en el melanoma, mientras que lo</w:t>
      </w:r>
      <w:r>
        <w:t xml:space="preserve"> </w:t>
      </w:r>
      <w:r>
        <w:rPr>
          <w:iCs/>
          <w:i/>
        </w:rPr>
        <w:t xml:space="preserve">inhibe</w:t>
      </w:r>
      <w:r>
        <w:t xml:space="preserve"> </w:t>
      </w:r>
      <w:r>
        <w:t xml:space="preserve">en el cáncer de colon, de estómago y en algunos cánceres hematológicos</w:t>
      </w:r>
      <w:r>
        <w:rPr>
          <w:rStyle w:val="FootnoteReference"/>
        </w:rPr>
        <w:footnoteReference w:id="1107"/>
      </w:r>
      <w:r>
        <w:t xml:space="preserve">. Así pues, la misma sustancia puede actuar de forma opuesta según el tejido.</w:t>
      </w:r>
    </w:p>
    <w:p>
      <w:pPr>
        <w:pStyle w:val="BodyText"/>
      </w:pPr>
      <w:r>
        <w:t xml:space="preserve">Para la extrapolación es importante lo siguiente: los ratones poseen una catelicidina propia que solo se parece al LL-37 humano y la regulan de otra manera</w:t>
      </w:r>
      <w:r>
        <w:rPr>
          <w:rStyle w:val="FootnoteReference"/>
        </w:rPr>
        <w:footnoteReference w:id="1108"/>
      </w:r>
      <w:r>
        <w:t xml:space="preserve">. Por eso, los hallazgos en ratones sobre el LL-37 deben valorarse con aún más cautela que en el caso de otros péptidos.</w:t>
      </w:r>
    </w:p>
    <w:bookmarkEnd w:id="1109"/>
    <w:bookmarkStart w:id="1117" w:name="riesgos-y-efectos-adversos-19"/>
    <w:p>
      <w:pPr>
        <w:pStyle w:val="Heading3"/>
      </w:pPr>
      <w:r>
        <w:t xml:space="preserve">Riesgos y efectos adversos</w:t>
      </w:r>
    </w:p>
    <w:bookmarkStart w:id="1112" w:name="demostrado-3"/>
    <w:p>
      <w:pPr>
        <w:pStyle w:val="Heading4"/>
      </w:pPr>
      <w:r>
        <w:t xml:space="preserve">Demostrado</w:t>
      </w:r>
    </w:p>
    <w:p>
      <w:pPr>
        <w:pStyle w:val="FirstParagraph"/>
      </w:pPr>
      <w:r>
        <w:t xml:space="preserve">En los estudios en heridas, el LL-37 aplicado localmente fue bien tolerado; no hubo problemas de seguridad en cuanto a efectos secundarios locales o generales</w:t>
      </w:r>
      <w:r>
        <w:rPr>
          <w:rStyle w:val="FootnoteReference"/>
        </w:rPr>
        <w:footnoteReference w:id="1110"/>
      </w:r>
      <w:r>
        <w:t xml:space="preserve">.</w:t>
      </w:r>
    </w:p>
    <w:p>
      <w:pPr>
        <w:pStyle w:val="BodyText"/>
      </w:pPr>
      <w:r>
        <w:t xml:space="preserve">Sin embargo, un informe de caso del estudio de melanoma muestra que el LL-37 en forma inyectable no es inofensivo: en una mujer de 63 años que recibió ocho inyecciones semanales en metástasis cutáneas aparecieron, unos 45 días después del inicio, numerosas lesiones cutáneas verrugosas y ampollas en el tronco y las extremidades, que inicialmente se tomaron por cáncer de piel. Histológicamente se observaron alteraciones inflamatorias con células cutáneas atípicas; todas las lesiones remitieron en los dos meses siguientes a la retirada</w:t>
      </w:r>
      <w:r>
        <w:rPr>
          <w:rStyle w:val="FootnoteReference"/>
        </w:rPr>
        <w:footnoteReference w:id="1111"/>
      </w:r>
      <w:r>
        <w:t xml:space="preserve">.</w:t>
      </w:r>
    </w:p>
    <w:bookmarkEnd w:id="1112"/>
    <w:bookmarkStart w:id="1116" w:name="Xa3363bd6ece83fbc799240dd7bc5a2427b80d60"/>
    <w:p>
      <w:pPr>
        <w:pStyle w:val="Heading4"/>
      </w:pPr>
      <w:r>
        <w:t xml:space="preserve">Teórico y derivado de la investigación de enfermedades</w:t>
      </w:r>
    </w:p>
    <w:p>
      <w:pPr>
        <w:numPr>
          <w:ilvl w:val="0"/>
          <w:numId w:val="1133"/>
        </w:numPr>
        <w:pStyle w:val="Compact"/>
      </w:pPr>
      <w:r>
        <w:rPr>
          <w:bCs/>
          <w:b/>
        </w:rPr>
        <w:t xml:space="preserve">Autoinmunidad y enfermedades cutáneas:</w:t>
      </w:r>
      <w:r>
        <w:t xml:space="preserve"> </w:t>
      </w:r>
      <w:r>
        <w:t xml:space="preserve">el LL-37 es en la psoriasis un desencadenante de la inflamación y una diana de linfocitos T mal dirigidos</w:t>
      </w:r>
      <w:r>
        <w:rPr>
          <w:rStyle w:val="FootnoteReference"/>
        </w:rPr>
        <w:footnoteReference w:id="1113"/>
      </w:r>
      <w:r>
        <w:t xml:space="preserve">, y en la rosácea participa en la inflamación cutánea</w:t>
      </w:r>
      <w:r>
        <w:rPr>
          <w:rStyle w:val="FootnoteReference"/>
        </w:rPr>
        <w:footnoteReference w:id="1114"/>
      </w:r>
      <w:r>
        <w:t xml:space="preserve">. Las personas con estas u otras enfermedades autoinmunitarias (como el lupus) deberían ser especialmente prudentes; no hay estudios al respecto.</w:t>
      </w:r>
    </w:p>
    <w:p>
      <w:pPr>
        <w:numPr>
          <w:ilvl w:val="0"/>
          <w:numId w:val="1133"/>
        </w:numPr>
        <w:pStyle w:val="Compact"/>
      </w:pPr>
      <w:r>
        <w:rPr>
          <w:bCs/>
          <w:b/>
        </w:rPr>
        <w:t xml:space="preserve">Cáncer:</w:t>
      </w:r>
      <w:r>
        <w:t xml:space="preserve"> </w:t>
      </w:r>
      <w:r>
        <w:t xml:space="preserve">como el LL-37 favorece en ensayos de laboratorio el crecimiento de algunos tipos de tumores</w:t>
      </w:r>
      <w:r>
        <w:rPr>
          <w:rStyle w:val="FootnoteReference"/>
        </w:rPr>
        <w:footnoteReference w:id="1115"/>
      </w:r>
      <w:r>
        <w:t xml:space="preserve">, su uso en personas con cáncer o antecedentes de cáncer no puede evaluarse sin estudios.</w:t>
      </w:r>
    </w:p>
    <w:p>
      <w:pPr>
        <w:numPr>
          <w:ilvl w:val="0"/>
          <w:numId w:val="1133"/>
        </w:numPr>
        <w:pStyle w:val="Compact"/>
      </w:pPr>
      <w:r>
        <w:rPr>
          <w:bCs/>
          <w:b/>
        </w:rPr>
        <w:t xml:space="preserve">Daño celular a concentraciones altas:</w:t>
      </w:r>
      <w:r>
        <w:t xml:space="preserve"> </w:t>
      </w:r>
      <w:r>
        <w:t xml:space="preserve">el péptido ataca las envolturas celulares; en concentraciones más altas también puede dañar células humanas. Esto podría explicar por qué en el primer estudio en heridas la concentración más alta no fue eficaz.</w:t>
      </w:r>
    </w:p>
    <w:p>
      <w:pPr>
        <w:numPr>
          <w:ilvl w:val="0"/>
          <w:numId w:val="1133"/>
        </w:numPr>
        <w:pStyle w:val="Compact"/>
      </w:pPr>
      <w:r>
        <w:rPr>
          <w:bCs/>
          <w:b/>
        </w:rPr>
        <w:t xml:space="preserve">Mercado gris:</w:t>
      </w:r>
      <w:r>
        <w:t xml:space="preserve"> </w:t>
      </w:r>
      <w:r>
        <w:t xml:space="preserve">como con todos los «péptidos de investigación», la pureza, el contenido y la esterilidad son desconocidos. Esto se aplica especialmente a las inyecciones.</w:t>
      </w:r>
    </w:p>
    <w:bookmarkEnd w:id="1116"/>
    <w:bookmarkEnd w:id="1117"/>
    <w:bookmarkStart w:id="1118" w:name="situación-legal-19"/>
    <w:p>
      <w:pPr>
        <w:pStyle w:val="Heading3"/>
      </w:pPr>
      <w:r>
        <w:t xml:space="preserve">Situación legal</w:t>
      </w:r>
    </w:p>
    <w:p>
      <w:pPr>
        <w:pStyle w:val="FirstParagraph"/>
      </w:pPr>
      <w:r>
        <w:rPr>
          <w:iCs/>
          <w:i/>
        </w:rPr>
        <w:t xml:space="preserve">Situación en 2026, compruébalo en su versión actual.</w:t>
      </w:r>
    </w:p>
    <w:p>
      <w:pPr>
        <w:numPr>
          <w:ilvl w:val="0"/>
          <w:numId w:val="1134"/>
        </w:numPr>
        <w:pStyle w:val="Compact"/>
      </w:pPr>
      <w:r>
        <w:rPr>
          <w:bCs/>
          <w:b/>
        </w:rPr>
        <w:t xml:space="preserve">UE, Alemania, Austria:</w:t>
      </w:r>
      <w:r>
        <w:t xml:space="preserve"> </w:t>
      </w:r>
      <w:r>
        <w:t xml:space="preserve">el LL-37 no está autorizado como medicamento. Según el conocimiento del autor, su desarrollo como producto para heridas por parte de una empresa sueca (con el nombre de ropocamptida) no ha pasado de la fase 2. No se permite su venta para uso en humanos.</w:t>
      </w:r>
    </w:p>
    <w:p>
      <w:pPr>
        <w:numPr>
          <w:ilvl w:val="0"/>
          <w:numId w:val="1134"/>
        </w:numPr>
        <w:pStyle w:val="Compact"/>
      </w:pPr>
      <w:r>
        <w:rPr>
          <w:bCs/>
          <w:b/>
        </w:rPr>
        <w:t xml:space="preserve">EE. UU.:</w:t>
      </w:r>
      <w:r>
        <w:t xml:space="preserve"> </w:t>
      </w:r>
      <w:r>
        <w:t xml:space="preserve">sin autorización de la FDA.</w:t>
      </w:r>
    </w:p>
    <w:p>
      <w:pPr>
        <w:numPr>
          <w:ilvl w:val="0"/>
          <w:numId w:val="1134"/>
        </w:numPr>
        <w:pStyle w:val="Compact"/>
      </w:pPr>
      <w:r>
        <w:rPr>
          <w:bCs/>
          <w:b/>
        </w:rPr>
        <w:t xml:space="preserve">WADA:</w:t>
      </w:r>
      <w:r>
        <w:t xml:space="preserve"> </w:t>
      </w:r>
      <w:r>
        <w:t xml:space="preserve">no figura por su nombre; en opinión del autor, debe clasificarse como sustancia no aprobada en S0.</w:t>
      </w:r>
    </w:p>
    <w:bookmarkEnd w:id="1118"/>
    <w:bookmarkStart w:id="1119" w:name="estudios-en-curso-y-perspectivas-19"/>
    <w:p>
      <w:pPr>
        <w:pStyle w:val="Heading3"/>
      </w:pPr>
      <w:r>
        <w:t xml:space="preserve">Estudios en curso y perspectivas</w:t>
      </w:r>
    </w:p>
    <w:p>
      <w:pPr>
        <w:pStyle w:val="FirstParagraph"/>
      </w:pPr>
      <w:r>
        <w:rPr>
          <w:bCs/>
          <w:b/>
        </w:rPr>
        <w:t xml:space="preserve">Confirmado:</w:t>
      </w:r>
      <w:r>
        <w:t xml:space="preserve"> </w:t>
      </w:r>
      <w:r>
        <w:t xml:space="preserve">en octubre de 2026 no hay registrado en ClinicalTrials.gov ningún estudio en curso en el que se administre LL-37 como principio activo. Las dos entradas con LL-37 como principio activo (melanoma, NCT02225366; úlcera de pie diabético, NCT04098562) están concluidas o tienen un estado desconocido. Las demás entradas del registro solo miden el LL-37 como biomarcador, por ejemplo en la encía o con la administración de vitamina D.</w:t>
      </w:r>
    </w:p>
    <w:p>
      <w:pPr>
        <w:pStyle w:val="BodyText"/>
      </w:pPr>
      <w:r>
        <w:rPr>
          <w:bCs/>
          <w:b/>
        </w:rPr>
        <w:t xml:space="preserve">Valoración del autor:</w:t>
      </w:r>
      <w:r>
        <w:t xml:space="preserve"> </w:t>
      </w:r>
      <w:r>
        <w:t xml:space="preserve">el propio LL-37 difícilmente tendrá futuro como medicamento: es demasiado inestable, daña las células a concentraciones altas y conlleva riesgos autoinmunitarios. La investigación se desplaza hacia derivados acortados o modificados y hacia vías para aumentar la producción propia. Un estudio en heridas en el subgrupo de úlceras de pierna grandes, como reclaman los autores de HEAL, sería el siguiente paso lógico; no está registrado.</w:t>
      </w:r>
    </w:p>
    <w:bookmarkEnd w:id="1119"/>
    <w:bookmarkStart w:id="1121" w:name="conclusión-19"/>
    <w:p>
      <w:pPr>
        <w:pStyle w:val="Heading3"/>
      </w:pPr>
      <w:r>
        <w:t xml:space="preserve">Conclusión</w:t>
      </w:r>
    </w:p>
    <w:p>
      <w:pPr>
        <w:pStyle w:val="FirstParagraph"/>
      </w:pPr>
      <w:r>
        <w:t xml:space="preserve">El LL-37 es un importante péptido de defensa propio del organismo cuyas concentraciones se han medido en muchos estudios, pero que como principio activo solo se ha administrado en humanos en unos pocos estudios pequeños. Aplicado sobre heridas fue bien tolerado, pero el mayor estudio aleatorizado, con 148 personas, no encontró ninguna ventaja frente a placebo</w:t>
      </w:r>
      <w:r>
        <w:rPr>
          <w:rStyle w:val="FootnoteReference"/>
        </w:rPr>
        <w:footnoteReference w:id="1120"/>
      </w:r>
      <w:r>
        <w:t xml:space="preserve">. Al mismo tiempo, el LL-37 desempeña un papel como impulsor de la inflamación en la psoriasis y la rosácea, y un tratamiento inyectable desencadenó en un caso documentado alteraciones cutáneas marcadas. Para las aplicaciones promocionadas en internet –por ejemplo, contra infecciones crónicas o como potenciador inmunitario inyectable– no existen estudios en humanos.</w:t>
      </w:r>
    </w:p>
    <w:bookmarkEnd w:id="1121"/>
    <w:bookmarkEnd w:id="1122"/>
    <w:bookmarkStart w:id="1155" w:name="ara-290-cibinetida"/>
    <w:p>
      <w:pPr>
        <w:pStyle w:val="Heading2"/>
      </w:pPr>
      <w:r>
        <w:t xml:space="preserve">ARA-290 (cibinetida)</w:t>
      </w:r>
    </w:p>
    <w:p>
      <w:pPr>
        <w:pStyle w:val="FirstParagraph"/>
      </w:pPr>
      <w:r>
        <w:t xml:space="preserve">El ARA-290 es un péptido artificial derivado de la hormona hematopoyética eritropoyetina (EPO), la hormona que se hizo famosa como sustancia dopante en el ciclismo. Sin embargo, el ARA-290 no debe estimular precisamente la formación de sangre, sino aprovechar solo las propiedades protectoras de tejidos de la EPO. En estudios pequeños sobre el dolor neuropático en el contexto de la sarcoidosis mostró señales alentadoras. En el ámbito del biohacking se ofrece ya como péptido de «regeneración nerviosa» y «antienvejecimiento».</w:t>
      </w:r>
    </w:p>
    <w:bookmarkStart w:id="1125" w:name="ficha-20"/>
    <w:p>
      <w:pPr>
        <w:pStyle w:val="Heading3"/>
      </w:pPr>
      <w:r>
        <w:t xml:space="preserve">Ficha</w:t>
      </w:r>
    </w:p>
    <w:p>
      <w:pPr>
        <w:numPr>
          <w:ilvl w:val="0"/>
          <w:numId w:val="1135"/>
        </w:numPr>
        <w:pStyle w:val="Compact"/>
      </w:pPr>
      <w:r>
        <w:rPr>
          <w:bCs/>
          <w:b/>
        </w:rPr>
        <w:t xml:space="preserve">Tipo y estructura:</w:t>
      </w:r>
      <w:r>
        <w:t xml:space="preserve"> </w:t>
      </w:r>
      <w:r>
        <w:t xml:space="preserve">péptido sintético de 11 aminoácidos</w:t>
      </w:r>
      <w:r>
        <w:rPr>
          <w:rStyle w:val="FootnoteReference"/>
        </w:rPr>
        <w:footnoteReference w:id="1123"/>
      </w:r>
      <w:r>
        <w:t xml:space="preserve">; denominación del principio activo: cibinetida.</w:t>
      </w:r>
    </w:p>
    <w:p>
      <w:pPr>
        <w:numPr>
          <w:ilvl w:val="0"/>
          <w:numId w:val="1135"/>
        </w:numPr>
        <w:pStyle w:val="Compact"/>
      </w:pPr>
      <w:r>
        <w:rPr>
          <w:bCs/>
          <w:b/>
        </w:rPr>
        <w:t xml:space="preserve">Origen:</w:t>
      </w:r>
      <w:r>
        <w:t xml:space="preserve"> </w:t>
      </w:r>
      <w:r>
        <w:t xml:space="preserve">reproducido a partir de un segmento de la estructura espacial de la eritropoyetina que sería responsable de su protección tisular; desarrollado por la empresa estadounidense Araim Pharmaceuticals.</w:t>
      </w:r>
    </w:p>
    <w:p>
      <w:pPr>
        <w:numPr>
          <w:ilvl w:val="0"/>
          <w:numId w:val="1135"/>
        </w:numPr>
        <w:pStyle w:val="Compact"/>
      </w:pPr>
      <w:r>
        <w:rPr>
          <w:bCs/>
          <w:b/>
        </w:rPr>
        <w:t xml:space="preserve">Mecanismo de acción:</w:t>
      </w:r>
      <w:r>
        <w:t xml:space="preserve"> </w:t>
      </w:r>
      <w:r>
        <w:t xml:space="preserve">se une a un llamado «receptor de reparación innato» (una combinación del receptor de EPO y la subunidad de receptor CD131), no al receptor de EPO clásico de la hematopoyesis; atenuaría la inflamación y estimularía la reparación tisular.</w:t>
      </w:r>
    </w:p>
    <w:p>
      <w:pPr>
        <w:numPr>
          <w:ilvl w:val="0"/>
          <w:numId w:val="1135"/>
        </w:numPr>
        <w:pStyle w:val="Compact"/>
      </w:pPr>
      <w:r>
        <w:rPr>
          <w:bCs/>
          <w:b/>
        </w:rPr>
        <w:t xml:space="preserve">Autorización UE/EE. UU.:</w:t>
      </w:r>
      <w:r>
        <w:t xml:space="preserve"> </w:t>
      </w:r>
      <w:r>
        <w:t xml:space="preserve">no.</w:t>
      </w:r>
    </w:p>
    <w:p>
      <w:pPr>
        <w:numPr>
          <w:ilvl w:val="0"/>
          <w:numId w:val="1135"/>
        </w:numPr>
        <w:pStyle w:val="Compact"/>
      </w:pPr>
      <w:r>
        <w:rPr>
          <w:bCs/>
          <w:b/>
        </w:rPr>
        <w:t xml:space="preserve">WADA:</w:t>
      </w:r>
      <w:r>
        <w:t xml:space="preserve"> </w:t>
      </w:r>
      <w:r>
        <w:t xml:space="preserve">prohibido; los agonistas no hematopoyéticos del receptor de EPO como el ARA-290 se mencionan expresamente en la clase S2; los laboratorios antidopaje han desarrollado métodos de detección</w:t>
      </w:r>
      <w:r>
        <w:rPr>
          <w:rStyle w:val="FootnoteReference"/>
        </w:rPr>
        <w:footnoteReference w:id="1124"/>
      </w:r>
      <w:r>
        <w:t xml:space="preserve">.</w:t>
      </w:r>
    </w:p>
    <w:p>
      <w:pPr>
        <w:numPr>
          <w:ilvl w:val="0"/>
          <w:numId w:val="1135"/>
        </w:numPr>
        <w:pStyle w:val="Compact"/>
      </w:pPr>
      <w:r>
        <w:rPr>
          <w:bCs/>
          <w:b/>
        </w:rPr>
        <w:t xml:space="preserve">Nivel de evidencia: B</w:t>
      </w:r>
      <w:r>
        <w:t xml:space="preserve"> </w:t>
      </w:r>
      <w:r>
        <w:t xml:space="preserve">– varios estudios pequeños de fase 2, aleatorizados y controlados con placebo; ningún estudio de fase 3.</w:t>
      </w:r>
    </w:p>
    <w:bookmarkEnd w:id="1125"/>
    <w:bookmarkStart w:id="1128" w:name="cómo-se-supone-que-actúa-20"/>
    <w:p>
      <w:pPr>
        <w:pStyle w:val="Heading3"/>
      </w:pPr>
      <w:r>
        <w:t xml:space="preserve">Cómo se supone que actúa</w:t>
      </w:r>
    </w:p>
    <w:p>
      <w:pPr>
        <w:pStyle w:val="FirstParagraph"/>
      </w:pPr>
      <w:r>
        <w:t xml:space="preserve">La eritropoyetina se produce en el riñón y estimula en la médula ósea la formación de glóbulos rojos. En la década de 2000 se observó en experimentos con animales que la EPO puede además proteger de daños los nervios, el corazón y los riñones. Pero como medicamento para ese fin la EPO no es adecuada: aumenta el número de glóbulos rojos, espesa la sangre y eleva el riesgo de trombosis.</w:t>
      </w:r>
    </w:p>
    <w:p>
      <w:pPr>
        <w:pStyle w:val="BodyText"/>
      </w:pPr>
      <w:r>
        <w:t xml:space="preserve">Los desarrolladores del ARA-290 supusieron que el efecto protector se produce a través de un receptor distinto del de la hematopoyesis. Este «receptor de reparación» solo se produce en mayor cantidad cuando hay daño tisular o inflamación. El ARA-290 debería activar únicamente este receptor de forma selectiva. En ratas con lesión nerviosa redujo de forma dependiente de la dosis la hipersensibilidad al tacto y al frío durante hasta 20 semanas y atenuó la activación de células inmunitarias en la médula espinal</w:t>
      </w:r>
      <w:r>
        <w:rPr>
          <w:rStyle w:val="FootnoteReference"/>
        </w:rPr>
        <w:footnoteReference w:id="1126"/>
      </w:r>
      <w:r>
        <w:t xml:space="preserve">.</w:t>
      </w:r>
    </w:p>
    <w:p>
      <w:pPr>
        <w:pStyle w:val="BodyText"/>
      </w:pPr>
      <w:r>
        <w:t xml:space="preserve">El ARA-290 se degrada rápidamente en la sangre; un laboratorio antidopaje describió una marcada degradación enzimática con un producto de degradación principal</w:t>
      </w:r>
      <w:r>
        <w:rPr>
          <w:rStyle w:val="FootnoteReference"/>
        </w:rPr>
        <w:footnoteReference w:id="1127"/>
      </w:r>
      <w:r>
        <w:t xml:space="preserve">.</w:t>
      </w:r>
    </w:p>
    <w:bookmarkEnd w:id="1128"/>
    <w:bookmarkStart w:id="1137" w:name="estudios-en-humanos-20"/>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5</w:t>
      </w:r>
      <w:r>
        <w:t xml:space="preserve"> </w:t>
      </w:r>
      <w:r>
        <w:t xml:space="preserve">estudios en humanos en PubMed y</w:t>
      </w:r>
      <w:r>
        <w:t xml:space="preserve"> </w:t>
      </w:r>
      <w:r>
        <w:rPr>
          <w:bCs/>
          <w:b/>
        </w:rPr>
        <w:t xml:space="preserve">5</w:t>
      </w:r>
      <w:r>
        <w:t xml:space="preserve"> </w:t>
      </w:r>
      <w:r>
        <w:t xml:space="preserve">entradas en ClinicalTrials.gov. Se buscó específicamente otro estudio (edema macular diabético). Todos los estudios son pequeños y duraron entre cuatro y doce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Sarcoidosis, estudio piloto (Heij 2012, PMID 23168581)</w:t>
            </w:r>
          </w:p>
        </w:tc>
        <w:tc>
          <w:tcPr/>
          <w:p>
            <w:pPr>
              <w:pStyle w:val="Compact"/>
              <w:jc w:val="left"/>
            </w:pPr>
            <w:r>
              <w:t xml:space="preserve">22 personas con dolor neuropático en la sarcoidosis, ECA doble ciego, infusión</w:t>
            </w:r>
          </w:p>
        </w:tc>
        <w:tc>
          <w:tcPr/>
          <w:p>
            <w:pPr>
              <w:pStyle w:val="Compact"/>
              <w:jc w:val="left"/>
            </w:pPr>
            <w:r>
              <w:t xml:space="preserve">4 semanas</w:t>
            </w:r>
          </w:p>
        </w:tc>
        <w:tc>
          <w:tcPr/>
          <w:p>
            <w:pPr>
              <w:pStyle w:val="Compact"/>
              <w:jc w:val="left"/>
            </w:pPr>
            <w:r>
              <w:t xml:space="preserve">cuestionario de neuropatía −11,5 frente a −2,9 puntos; escala principal de dolor igualmente mejorada en ambos grupos</w:t>
            </w:r>
          </w:p>
        </w:tc>
      </w:tr>
      <w:tr>
        <w:tc>
          <w:tcPr/>
          <w:p>
            <w:pPr>
              <w:pStyle w:val="Compact"/>
              <w:jc w:val="left"/>
            </w:pPr>
            <w:r>
              <w:t xml:space="preserve">Sarcoidosis, inyección subcutánea (Dahan 2013, PMID 24136731)</w:t>
            </w:r>
          </w:p>
        </w:tc>
        <w:tc>
          <w:tcPr/>
          <w:p>
            <w:pPr>
              <w:pStyle w:val="Compact"/>
              <w:jc w:val="left"/>
            </w:pPr>
            <w:r>
              <w:t xml:space="preserve">personas con pérdida de fibras nerviosas en la sarcoidosis, estudio cegado y controlado con placebo</w:t>
            </w:r>
          </w:p>
        </w:tc>
        <w:tc>
          <w:tcPr/>
          <w:p>
            <w:pPr>
              <w:pStyle w:val="Compact"/>
              <w:jc w:val="left"/>
            </w:pPr>
            <w:r>
              <w:t xml:space="preserve">28 días</w:t>
            </w:r>
          </w:p>
        </w:tc>
        <w:tc>
          <w:tcPr/>
          <w:p>
            <w:pPr>
              <w:pStyle w:val="Compact"/>
              <w:jc w:val="left"/>
            </w:pPr>
            <w:r>
              <w:t xml:space="preserve">mejoría de los síntomas, más fibras nerviosas en la córnea, mayor distancia recorrida</w:t>
            </w:r>
          </w:p>
        </w:tc>
      </w:tr>
      <w:tr>
        <w:tc>
          <w:tcPr/>
          <w:p>
            <w:pPr>
              <w:pStyle w:val="Compact"/>
              <w:jc w:val="left"/>
            </w:pPr>
            <w:r>
              <w:t xml:space="preserve">Sarcoidosis, fase 2b (Culver 2017, PMID 28475703; NCT02039687)</w:t>
            </w:r>
          </w:p>
        </w:tc>
        <w:tc>
          <w:tcPr/>
          <w:p>
            <w:pPr>
              <w:pStyle w:val="Compact"/>
              <w:jc w:val="left"/>
            </w:pPr>
            <w:r>
              <w:t xml:space="preserve">64 personas, ECA con tres dosis y placebo</w:t>
            </w:r>
          </w:p>
        </w:tc>
        <w:tc>
          <w:tcPr/>
          <w:p>
            <w:pPr>
              <w:pStyle w:val="Compact"/>
              <w:jc w:val="left"/>
            </w:pPr>
            <w:r>
              <w:t xml:space="preserve">28 días</w:t>
            </w:r>
          </w:p>
        </w:tc>
        <w:tc>
          <w:tcPr/>
          <w:p>
            <w:pPr>
              <w:pStyle w:val="Compact"/>
              <w:jc w:val="left"/>
            </w:pPr>
            <w:r>
              <w:t xml:space="preserve">superficie de fibras nerviosas corneales aumentada de forma significativa solo con la dosis intermedia; dolor mejorado en todos los grupos, incluido el placebo</w:t>
            </w:r>
          </w:p>
        </w:tc>
      </w:tr>
      <w:tr>
        <w:tc>
          <w:tcPr/>
          <w:p>
            <w:pPr>
              <w:pStyle w:val="Compact"/>
              <w:jc w:val="left"/>
            </w:pPr>
            <w:r>
              <w:t xml:space="preserve">Diabetes tipo 2 con neuropatía (Brines 2015, PMID 25387363)</w:t>
            </w:r>
          </w:p>
        </w:tc>
        <w:tc>
          <w:tcPr/>
          <w:p>
            <w:pPr>
              <w:pStyle w:val="Compact"/>
              <w:jc w:val="left"/>
            </w:pPr>
            <w:r>
              <w:t xml:space="preserve">personas con diabetes tipo 2 y dolor neuropático, fase 2, frente a placebo</w:t>
            </w:r>
          </w:p>
        </w:tc>
        <w:tc>
          <w:tcPr/>
          <w:p>
            <w:pPr>
              <w:pStyle w:val="Compact"/>
              <w:jc w:val="left"/>
            </w:pPr>
            <w:r>
              <w:t xml:space="preserve">28 días más 28 días</w:t>
            </w:r>
          </w:p>
        </w:tc>
        <w:tc>
          <w:tcPr/>
          <w:p>
            <w:pPr>
              <w:pStyle w:val="Compact"/>
              <w:jc w:val="left"/>
            </w:pPr>
            <w:r>
              <w:t xml:space="preserve">HbA1c y lípidos sanguíneos mejorados, cuestionario de neuropatía mejor</w:t>
            </w:r>
          </w:p>
        </w:tc>
      </w:tr>
      <w:tr>
        <w:tc>
          <w:tcPr/>
          <w:p>
            <w:pPr>
              <w:pStyle w:val="Compact"/>
              <w:jc w:val="left"/>
            </w:pPr>
            <w:r>
              <w:t xml:space="preserve">Edema macular diabético (Lois 2020, PMID 32674280)</w:t>
            </w:r>
          </w:p>
        </w:tc>
        <w:tc>
          <w:tcPr/>
          <w:p>
            <w:pPr>
              <w:pStyle w:val="Compact"/>
              <w:jc w:val="left"/>
            </w:pPr>
            <w:r>
              <w:t xml:space="preserve">9 personas, fase 2 sin grupo de control</w:t>
            </w:r>
          </w:p>
        </w:tc>
        <w:tc>
          <w:tcPr/>
          <w:p>
            <w:pPr>
              <w:pStyle w:val="Compact"/>
              <w:jc w:val="left"/>
            </w:pPr>
            <w:r>
              <w:t xml:space="preserve">12 semanas</w:t>
            </w:r>
          </w:p>
        </w:tc>
        <w:tc>
          <w:tcPr/>
          <w:p>
            <w:pPr>
              <w:pStyle w:val="Compact"/>
              <w:jc w:val="left"/>
            </w:pPr>
            <w:r>
              <w:t xml:space="preserve">sin mejora de la agudeza visual ni del grosor retiniano; sin anticuerpos contra el principio activo</w:t>
            </w:r>
          </w:p>
        </w:tc>
      </w:tr>
      <w:tr>
        <w:tc>
          <w:tcPr/>
          <w:p>
            <w:pPr>
              <w:pStyle w:val="Compact"/>
              <w:jc w:val="left"/>
            </w:pPr>
            <w:r>
              <w:t xml:space="preserve">Personas sanas, estado de ánimo (Cerit 2015, PMID 26431906)</w:t>
            </w:r>
          </w:p>
        </w:tc>
        <w:tc>
          <w:tcPr/>
          <w:p>
            <w:pPr>
              <w:pStyle w:val="Compact"/>
              <w:jc w:val="left"/>
            </w:pPr>
            <w:r>
              <w:t xml:space="preserve">36 personas sanas, ECA doble ciego, dosis única</w:t>
            </w:r>
          </w:p>
        </w:tc>
        <w:tc>
          <w:tcPr/>
          <w:p>
            <w:pPr>
              <w:pStyle w:val="Compact"/>
              <w:jc w:val="left"/>
            </w:pPr>
            <w:r>
              <w:t xml:space="preserve">1 semana</w:t>
            </w:r>
          </w:p>
        </w:tc>
        <w:tc>
          <w:tcPr/>
          <w:p>
            <w:pPr>
              <w:pStyle w:val="Compact"/>
              <w:jc w:val="left"/>
            </w:pPr>
            <w:r>
              <w:t xml:space="preserve">sin efecto sobre el estado de ánimo; los hallazgos no hablan claramente a favor de un efecto antidepresivo</w:t>
            </w:r>
          </w:p>
        </w:tc>
      </w:tr>
    </w:tbl>
    <w:bookmarkStart w:id="1132" w:name="X04d33347e2ce44d871d08d07e91dd4b55d2bc88"/>
    <w:p>
      <w:pPr>
        <w:pStyle w:val="Heading4"/>
      </w:pPr>
      <w:r>
        <w:t xml:space="preserve">Sarcoidosis: el principal campo de aplicación</w:t>
      </w:r>
    </w:p>
    <w:p>
      <w:pPr>
        <w:pStyle w:val="FirstParagraph"/>
      </w:pPr>
      <w:r>
        <w:t xml:space="preserve">La sarcoidosis es una enfermedad inflamatoria en la que se forman pequeños nódulos en los pulmones, la piel, los ojos y otros órganos. Muchas personas afectadas sufren dolores urentes y parestesias por daño de las fibras nerviosas finas (neuropatía de fibras pequeñas). Apenas existen tratamientos eficaces.</w:t>
      </w:r>
    </w:p>
    <w:p>
      <w:pPr>
        <w:pStyle w:val="BodyText"/>
      </w:pPr>
      <w:r>
        <w:t xml:space="preserve">En el primer estudio piloto, con 22 personas, un cuestionario sobre los síntomas de neuropatía mejoró con ARA-290 claramente más que con placebo. Sin embargo, los valores del cuestionario principal de dolor y de la fatiga mejoraron por igual en ambos grupos, un indicio de un efecto placebo considerable</w:t>
      </w:r>
      <w:r>
        <w:rPr>
          <w:rStyle w:val="FootnoteReference"/>
        </w:rPr>
        <w:footnoteReference w:id="1129"/>
      </w:r>
      <w:r>
        <w:t xml:space="preserve">.</w:t>
      </w:r>
    </w:p>
    <w:p>
      <w:pPr>
        <w:pStyle w:val="BodyText"/>
      </w:pPr>
      <w:r>
        <w:t xml:space="preserve">El estudio más grande, un estudio de fase 2b con 64 personas, eligió como criterio principal la superficie de las fibras nerviosas finas de la córnea, que puede medirse con un microscopio especial. Solo con la dosis intermedia de las tres aumentó esta superficie de forma significativa frente a placebo; la dosis baja y la alta no mostraron ningún efecto significativo. El dolor mejoró en todos los grupos, también con placebo</w:t>
      </w:r>
      <w:r>
        <w:rPr>
          <w:rStyle w:val="FootnoteReference"/>
        </w:rPr>
        <w:footnoteReference w:id="1130"/>
      </w:r>
      <w:r>
        <w:t xml:space="preserve">. Las fibras nerviosas corneales son un marcador sustitutivo (criterio de valoración subrogado): no está demostrado que más fibras nerviosas en la córnea signifiquen también menos dolor de forma duradera.</w:t>
      </w:r>
    </w:p>
    <w:p>
      <w:pPr>
        <w:pStyle w:val="BodyText"/>
      </w:pPr>
      <w:r>
        <w:t xml:space="preserve">Una revisión de miembros del grupo de investigación de Leiden calificó las perspectivas de prometedoras</w:t>
      </w:r>
      <w:r>
        <w:rPr>
          <w:rStyle w:val="FootnoteReference"/>
        </w:rPr>
        <w:footnoteReference w:id="1131"/>
      </w:r>
      <w:r>
        <w:t xml:space="preserve">. Hay que tener en cuenta que una gran parte de los estudios procede de la empresa desarrolladora y de investigadores estrechamente vinculados a ella.</w:t>
      </w:r>
    </w:p>
    <w:bookmarkEnd w:id="1132"/>
    <w:bookmarkStart w:id="1136" w:name="diabetes"/>
    <w:p>
      <w:pPr>
        <w:pStyle w:val="Heading4"/>
      </w:pPr>
      <w:r>
        <w:t xml:space="preserve">Diabetes</w:t>
      </w:r>
    </w:p>
    <w:p>
      <w:pPr>
        <w:pStyle w:val="FirstParagraph"/>
      </w:pPr>
      <w:r>
        <w:t xml:space="preserve">En personas con diabetes tipo 2 y neuropatía dolorosa mejoraron con ARA-290, a lo largo de 28 días, la glucemia a largo plazo (HbA1c), los lípidos sanguíneos y los síntomas de neuropatía</w:t>
      </w:r>
      <w:r>
        <w:rPr>
          <w:rStyle w:val="FootnoteReference"/>
        </w:rPr>
        <w:footnoteReference w:id="1133"/>
      </w:r>
      <w:r>
        <w:t xml:space="preserve">. El resumen no indica el número de participantes; el estudio fue corto. Un estudio sueco registrado por separado sobre el efecto glucémico en la prediabetes, con 24 personas previstas, tiene un estado desconocido</w:t>
      </w:r>
      <w:r>
        <w:rPr>
          <w:rStyle w:val="FootnoteReference"/>
        </w:rPr>
        <w:footnoteReference w:id="1134"/>
      </w:r>
      <w:r>
        <w:t xml:space="preserve">. En nueve personas con edema macular diabético –una hinchazón del centro de la retina– no mejoraron ni la agudeza visual ni el grosor retiniano</w:t>
      </w:r>
      <w:r>
        <w:rPr>
          <w:rStyle w:val="FootnoteReference"/>
        </w:rPr>
        <w:footnoteReference w:id="1135"/>
      </w:r>
      <w:r>
        <w:t xml:space="preserve">.</w:t>
      </w:r>
    </w:p>
    <w:bookmarkEnd w:id="1136"/>
    <w:bookmarkEnd w:id="1137"/>
    <w:bookmarkStart w:id="1143" w:name="estudios-en-animales-y-de-laboratorio-20"/>
    <w:p>
      <w:pPr>
        <w:pStyle w:val="Heading3"/>
      </w:pPr>
      <w:r>
        <w:t xml:space="preserve">Estudios en animales y de laboratorio</w:t>
      </w:r>
    </w:p>
    <w:p>
      <w:pPr>
        <w:pStyle w:val="FirstParagraph"/>
      </w:pPr>
      <w:r>
        <w:t xml:space="preserve">La investigación en animales sobre el ARA-290 es amplia. En ratas, ratones y cerdos se describieron efectos protectores en el dolor neuropático</w:t>
      </w:r>
      <w:r>
        <w:rPr>
          <w:rStyle w:val="FootnoteReference"/>
        </w:rPr>
        <w:footnoteReference w:id="1138"/>
      </w:r>
      <w:r>
        <w:t xml:space="preserve">, en el daño renal tras un trastorno de la irrigación en cerdos</w:t>
      </w:r>
      <w:r>
        <w:rPr>
          <w:rStyle w:val="FootnoteReference"/>
        </w:rPr>
        <w:footnoteReference w:id="1139"/>
      </w:r>
      <w:r>
        <w:t xml:space="preserve">, en la diabetes en ratas</w:t>
      </w:r>
      <w:r>
        <w:rPr>
          <w:rStyle w:val="FootnoteReference"/>
        </w:rPr>
        <w:footnoteReference w:id="1140"/>
      </w:r>
      <w:r>
        <w:t xml:space="preserve"> </w:t>
      </w:r>
      <w:r>
        <w:t xml:space="preserve">y en alteraciones similares al alzhéimer</w:t>
      </w:r>
      <w:r>
        <w:rPr>
          <w:rStyle w:val="FootnoteReference"/>
        </w:rPr>
        <w:footnoteReference w:id="1141"/>
      </w:r>
      <w:r>
        <w:t xml:space="preserve">. En un estudio a largo plazo en ratas envejecidas a lo largo de 15 meses, el ARA-290 redujo los signos de inflamación en el corazón y atenuó el deterioro de la función cardíaca asociado a la edad</w:t>
      </w:r>
      <w:r>
        <w:rPr>
          <w:rStyle w:val="FootnoteReference"/>
        </w:rPr>
        <w:footnoteReference w:id="1142"/>
      </w:r>
      <w:r>
        <w:t xml:space="preserve">; en este trabajo se apoya su comercialización como «péptido antienvejecimiento». Todos estos resultados proceden de experimentos con animales.</w:t>
      </w:r>
    </w:p>
    <w:bookmarkEnd w:id="1143"/>
    <w:bookmarkStart w:id="1148" w:name="riesgos-y-efectos-adversos-20"/>
    <w:p>
      <w:pPr>
        <w:pStyle w:val="Heading3"/>
      </w:pPr>
      <w:r>
        <w:t xml:space="preserve">Riesgos y efectos adversos</w:t>
      </w:r>
    </w:p>
    <w:bookmarkStart w:id="1146" w:name="demostrado-4"/>
    <w:p>
      <w:pPr>
        <w:pStyle w:val="Heading4"/>
      </w:pPr>
      <w:r>
        <w:t xml:space="preserve">Demostrado</w:t>
      </w:r>
    </w:p>
    <w:p>
      <w:pPr>
        <w:pStyle w:val="FirstParagraph"/>
      </w:pPr>
      <w:r>
        <w:t xml:space="preserve">En ninguno de los estudios publicados se notificaron problemas de seguridad</w:t>
      </w:r>
      <w:r>
        <w:rPr>
          <w:rStyle w:val="FootnoteReference"/>
        </w:rPr>
        <w:footnoteReference w:id="1144"/>
      </w:r>
      <w:r>
        <w:t xml:space="preserve">. En el estudio de edema macular, de doce semanas, no se produjeron efectos secundarios graves ni anticuerpos contra el ARA-290</w:t>
      </w:r>
      <w:r>
        <w:rPr>
          <w:rStyle w:val="FootnoteReference"/>
        </w:rPr>
        <w:footnoteReference w:id="1145"/>
      </w:r>
      <w:r>
        <w:t xml:space="preserve">. Sin embargo, la base de datos es pequeña, con claramente menos de 200 personas tratadas en total y periodos de tratamiento de como máximo doce semanas.</w:t>
      </w:r>
    </w:p>
    <w:bookmarkEnd w:id="1146"/>
    <w:bookmarkStart w:id="1147" w:name="teórico-1"/>
    <w:p>
      <w:pPr>
        <w:pStyle w:val="Heading4"/>
      </w:pPr>
      <w:r>
        <w:t xml:space="preserve">Teórico</w:t>
      </w:r>
    </w:p>
    <w:p>
      <w:pPr>
        <w:numPr>
          <w:ilvl w:val="0"/>
          <w:numId w:val="1136"/>
        </w:numPr>
        <w:pStyle w:val="Compact"/>
      </w:pPr>
      <w:r>
        <w:rPr>
          <w:bCs/>
          <w:b/>
        </w:rPr>
        <w:t xml:space="preserve">Efectos similares a la EPO:</w:t>
      </w:r>
      <w:r>
        <w:t xml:space="preserve"> </w:t>
      </w:r>
      <w:r>
        <w:t xml:space="preserve">el ARA-290 se diseñó para que no estimule la hematopoyesis. No se ha estudiado en humanos si con un uso más prolongado o dosis más altas, como las que circulan en el mercado gris, aparecen aun así efectos similares a los de la EPO.</w:t>
      </w:r>
    </w:p>
    <w:p>
      <w:pPr>
        <w:numPr>
          <w:ilvl w:val="0"/>
          <w:numId w:val="1136"/>
        </w:numPr>
        <w:pStyle w:val="Compact"/>
      </w:pPr>
      <w:r>
        <w:rPr>
          <w:bCs/>
          <w:b/>
        </w:rPr>
        <w:t xml:space="preserve">Crecimiento tumoral:</w:t>
      </w:r>
      <w:r>
        <w:t xml:space="preserve"> </w:t>
      </w:r>
      <w:r>
        <w:t xml:space="preserve">se sospecha que la propia EPO favorece el crecimiento tumoral en algunos cánceres. Se desconoce si esto desempeña algún papel en el caso del ARA-290; faltan datos a largo plazo.</w:t>
      </w:r>
    </w:p>
    <w:p>
      <w:pPr>
        <w:numPr>
          <w:ilvl w:val="0"/>
          <w:numId w:val="1136"/>
        </w:numPr>
        <w:pStyle w:val="Compact"/>
      </w:pPr>
      <w:r>
        <w:rPr>
          <w:bCs/>
          <w:b/>
        </w:rPr>
        <w:t xml:space="preserve">Mercado gris:</w:t>
      </w:r>
      <w:r>
        <w:t xml:space="preserve"> </w:t>
      </w:r>
      <w:r>
        <w:t xml:space="preserve">los estudios se realizaron con calidad farmacéutica. La pureza y el contenido de los productos que se venden libremente son desconocidos.</w:t>
      </w:r>
    </w:p>
    <w:bookmarkEnd w:id="1147"/>
    <w:bookmarkEnd w:id="1148"/>
    <w:bookmarkStart w:id="1149" w:name="situación-legal-20"/>
    <w:p>
      <w:pPr>
        <w:pStyle w:val="Heading3"/>
      </w:pPr>
      <w:r>
        <w:t xml:space="preserve">Situación legal</w:t>
      </w:r>
    </w:p>
    <w:p>
      <w:pPr>
        <w:pStyle w:val="FirstParagraph"/>
      </w:pPr>
      <w:r>
        <w:rPr>
          <w:iCs/>
          <w:i/>
        </w:rPr>
        <w:t xml:space="preserve">Situación en 2026, compruébalo en su versión actual.</w:t>
      </w:r>
    </w:p>
    <w:p>
      <w:pPr>
        <w:numPr>
          <w:ilvl w:val="0"/>
          <w:numId w:val="1137"/>
        </w:numPr>
        <w:pStyle w:val="Compact"/>
      </w:pPr>
      <w:r>
        <w:rPr>
          <w:bCs/>
          <w:b/>
        </w:rPr>
        <w:t xml:space="preserve">UE, Alemania, Austria:</w:t>
      </w:r>
      <w:r>
        <w:t xml:space="preserve"> </w:t>
      </w:r>
      <w:r>
        <w:t xml:space="preserve">no autorizado. No se permite su dispensación para uso en humanos.</w:t>
      </w:r>
    </w:p>
    <w:p>
      <w:pPr>
        <w:numPr>
          <w:ilvl w:val="0"/>
          <w:numId w:val="1137"/>
        </w:numPr>
        <w:pStyle w:val="Compact"/>
      </w:pPr>
      <w:r>
        <w:rPr>
          <w:bCs/>
          <w:b/>
        </w:rPr>
        <w:t xml:space="preserve">EE. UU.:</w:t>
      </w:r>
      <w:r>
        <w:t xml:space="preserve"> </w:t>
      </w:r>
      <w:r>
        <w:t xml:space="preserve">sin autorización de la FDA.</w:t>
      </w:r>
    </w:p>
    <w:p>
      <w:pPr>
        <w:numPr>
          <w:ilvl w:val="0"/>
          <w:numId w:val="1137"/>
        </w:numPr>
        <w:pStyle w:val="Compact"/>
      </w:pPr>
      <w:r>
        <w:rPr>
          <w:bCs/>
          <w:b/>
        </w:rPr>
        <w:t xml:space="preserve">WADA:</w:t>
      </w:r>
      <w:r>
        <w:t xml:space="preserve"> </w:t>
      </w:r>
      <w:r>
        <w:t xml:space="preserve">prohibido en competición y fuera de ella (S2, hormonas peptídicas y sustancias relacionadas; el ARA-290 se cita como ejemplo de agonista no hematopoyético del receptor de EPO).</w:t>
      </w:r>
    </w:p>
    <w:bookmarkEnd w:id="1149"/>
    <w:bookmarkStart w:id="1152" w:name="estudios-en-curso-y-perspectivas-20"/>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en curso con ARA-290 o cibinetida registrado en ClinicalTrials.gov. El estudio más grande hasta la fecha</w:t>
      </w:r>
      <w:r>
        <w:rPr>
          <w:rStyle w:val="FootnoteReference"/>
        </w:rPr>
        <w:footnoteReference w:id="1150"/>
      </w:r>
      <w:r>
        <w:t xml:space="preserve"> </w:t>
      </w:r>
      <w:r>
        <w:t xml:space="preserve">concluyó en 2015; desde entonces no se ha iniciado ningún estudio de fase 3. El estudio sobre el edema macular finalizó con nueve personas</w:t>
      </w:r>
      <w:r>
        <w:rPr>
          <w:rStyle w:val="FootnoteReference"/>
        </w:rPr>
        <w:footnoteReference w:id="1151"/>
      </w:r>
      <w:r>
        <w:t xml:space="preserve">.</w:t>
      </w:r>
    </w:p>
    <w:p>
      <w:pPr>
        <w:pStyle w:val="BodyText"/>
      </w:pPr>
      <w:r>
        <w:rPr>
          <w:bCs/>
          <w:b/>
        </w:rPr>
        <w:t xml:space="preserve">Valoración del autor:</w:t>
      </w:r>
      <w:r>
        <w:t xml:space="preserve"> </w:t>
      </w:r>
      <w:r>
        <w:t xml:space="preserve">los resultados en la neuropatía de la sarcoidosis fueron lo suficientemente interesantes como para un estudio de fase 3, que sin embargo, más de diez años después del estudio de fase 2b, no se ha iniciado de forma visible. Sin un nuevo desarrollador o financiador, una autorización es improbable. Su comercialización en el mercado gris como producto antienvejecimiento se apoya en estudios en ratas y tiene poco que ver con las aplicaciones estudiadas en humanos.</w:t>
      </w:r>
    </w:p>
    <w:bookmarkEnd w:id="1152"/>
    <w:bookmarkStart w:id="1154" w:name="conclusión-20"/>
    <w:p>
      <w:pPr>
        <w:pStyle w:val="Heading3"/>
      </w:pPr>
      <w:r>
        <w:t xml:space="preserve">Conclusión</w:t>
      </w:r>
    </w:p>
    <w:p>
      <w:pPr>
        <w:pStyle w:val="FirstParagraph"/>
      </w:pPr>
      <w:r>
        <w:t xml:space="preserve">El ARA-290 es un péptido derivado de la eritropoyetina que debe proteger los tejidos sin estimular la hematopoyesis. En pequeños estudios aleatorizados sobre el daño nervioso causado por la sarcoidosis aumentaron las fibras nerviosas de la córnea, aunque solo con una de las tres dosis, y el dolor mejoró claramente también con placebo</w:t>
      </w:r>
      <w:r>
        <w:rPr>
          <w:rStyle w:val="FootnoteReference"/>
        </w:rPr>
        <w:footnoteReference w:id="1153"/>
      </w:r>
      <w:r>
        <w:t xml:space="preserve">. La tolerabilidad fue buena en los estudios cortos; faltan datos a largo plazo. Desde 2015 no hay nuevos estudios registrados; en el deporte, el ARA-290 está prohibido.</w:t>
      </w:r>
    </w:p>
    <w:bookmarkEnd w:id="1154"/>
    <w:bookmarkEnd w:id="1155"/>
    <w:bookmarkStart w:id="1193" w:name="larazotida"/>
    <w:p>
      <w:pPr>
        <w:pStyle w:val="Heading2"/>
      </w:pPr>
      <w:r>
        <w:t xml:space="preserve">Larazotida</w:t>
      </w:r>
    </w:p>
    <w:p>
      <w:pPr>
        <w:pStyle w:val="FirstParagraph"/>
      </w:pPr>
      <w:r>
        <w:t xml:space="preserve">La larazotida es el único péptido de este grupo que llegó hasta un estudio de registro de fase 3 sin haber sido autorizado antes en ningún lugar. Debía convertirse en el primer medicamento contra la enfermedad celíaca, una enfermedad en la que hasta hoy solo ayuda una dieta sin gluten de por vida. El concepto en que se basa, el sellado de una pared intestinal «permeable», hace que la larazotida resulte interesante también para el entorno del «leaky gut» (intestino permeable). La historia de este principio activo muestra lo difícil que es convertir una idea plausible en un medicamento eficaz.</w:t>
      </w:r>
    </w:p>
    <w:bookmarkStart w:id="1157" w:name="ficha-21"/>
    <w:p>
      <w:pPr>
        <w:pStyle w:val="Heading3"/>
      </w:pPr>
      <w:r>
        <w:t xml:space="preserve">Ficha</w:t>
      </w:r>
    </w:p>
    <w:p>
      <w:pPr>
        <w:numPr>
          <w:ilvl w:val="0"/>
          <w:numId w:val="1138"/>
        </w:numPr>
        <w:pStyle w:val="Compact"/>
      </w:pPr>
      <w:r>
        <w:rPr>
          <w:bCs/>
          <w:b/>
        </w:rPr>
        <w:t xml:space="preserve">Tipo y estructura:</w:t>
      </w:r>
      <w:r>
        <w:t xml:space="preserve"> </w:t>
      </w:r>
      <w:r>
        <w:t xml:space="preserve">péptido sintético de 8 aminoácidos</w:t>
      </w:r>
      <w:r>
        <w:rPr>
          <w:rStyle w:val="FootnoteReference"/>
        </w:rPr>
        <w:footnoteReference w:id="1156"/>
      </w:r>
      <w:r>
        <w:t xml:space="preserve">, como sal de acetato (acetato de larazotida); código de desarrollo AT-1001.</w:t>
      </w:r>
    </w:p>
    <w:p>
      <w:pPr>
        <w:numPr>
          <w:ilvl w:val="0"/>
          <w:numId w:val="1138"/>
        </w:numPr>
        <w:pStyle w:val="Compact"/>
      </w:pPr>
      <w:r>
        <w:rPr>
          <w:bCs/>
          <w:b/>
        </w:rPr>
        <w:t xml:space="preserve">Origen:</w:t>
      </w:r>
      <w:r>
        <w:t xml:space="preserve"> </w:t>
      </w:r>
      <w:r>
        <w:t xml:space="preserve">derivada de la investigación sobre la toxina zonula occludens de la bacteria del cólera, que abre las uniones entre las células intestinales; la larazotida actuaría a la inversa.</w:t>
      </w:r>
    </w:p>
    <w:p>
      <w:pPr>
        <w:numPr>
          <w:ilvl w:val="0"/>
          <w:numId w:val="1138"/>
        </w:numPr>
        <w:pStyle w:val="Compact"/>
      </w:pPr>
      <w:r>
        <w:rPr>
          <w:bCs/>
          <w:b/>
        </w:rPr>
        <w:t xml:space="preserve">Mecanismo de acción:</w:t>
      </w:r>
      <w:r>
        <w:t xml:space="preserve"> </w:t>
      </w:r>
      <w:r>
        <w:t xml:space="preserve">regulador de las «tight junctions» (uniones estrechas entre las células intestinales); se considera antagonista del mensajero endógeno zonulina. Actúa localmente en el intestino y apenas se absorbe a la sangre.</w:t>
      </w:r>
    </w:p>
    <w:p>
      <w:pPr>
        <w:numPr>
          <w:ilvl w:val="0"/>
          <w:numId w:val="1138"/>
        </w:numPr>
        <w:pStyle w:val="Compact"/>
      </w:pPr>
      <w:r>
        <w:rPr>
          <w:bCs/>
          <w:b/>
        </w:rPr>
        <w:t xml:space="preserve">Autorización UE/EE. UU.:</w:t>
      </w:r>
      <w:r>
        <w:t xml:space="preserve"> </w:t>
      </w:r>
      <w:r>
        <w:t xml:space="preserve">no.</w:t>
      </w:r>
    </w:p>
    <w:p>
      <w:pPr>
        <w:numPr>
          <w:ilvl w:val="0"/>
          <w:numId w:val="1138"/>
        </w:numPr>
        <w:pStyle w:val="Compact"/>
      </w:pPr>
      <w:r>
        <w:rPr>
          <w:bCs/>
          <w:b/>
        </w:rPr>
        <w:t xml:space="preserve">WADA:</w:t>
      </w:r>
      <w:r>
        <w:t xml:space="preserve"> </w:t>
      </w:r>
      <w:r>
        <w:t xml:space="preserve">no figura; sin efecto reconocible de mejora del rendimiento.</w:t>
      </w:r>
    </w:p>
    <w:p>
      <w:pPr>
        <w:numPr>
          <w:ilvl w:val="0"/>
          <w:numId w:val="1138"/>
        </w:numPr>
        <w:pStyle w:val="Compact"/>
      </w:pPr>
      <w:r>
        <w:rPr>
          <w:bCs/>
          <w:b/>
        </w:rPr>
        <w:t xml:space="preserve">Nivel de evidencia: B</w:t>
      </w:r>
      <w:r>
        <w:t xml:space="preserve"> </w:t>
      </w:r>
      <w:r>
        <w:t xml:space="preserve">– varios estudios aleatorizados de fase 2 con resultados dispares; el estudio de fase 3 se interrumpió, sin resultados publicados.</w:t>
      </w:r>
    </w:p>
    <w:bookmarkEnd w:id="1157"/>
    <w:bookmarkStart w:id="1160" w:name="cómo-se-supone-que-actúa-21"/>
    <w:p>
      <w:pPr>
        <w:pStyle w:val="Heading3"/>
      </w:pPr>
      <w:r>
        <w:t xml:space="preserve">Cómo se supone que actúa</w:t>
      </w:r>
    </w:p>
    <w:p>
      <w:pPr>
        <w:pStyle w:val="FirstParagraph"/>
      </w:pPr>
      <w:r>
        <w:t xml:space="preserve">En la enfermedad celíaca, el sistema inmunitario de las personas con predisposición genética reacciona al gluten, una proteína presente en el trigo, el centeno y la cebada. Fragmentos del gluten atraviesan la mucosa intestinal y desencadenan allí una inflamación que destruye las vellosidades intestinales. Parte de estos fragmentos pasa probablemente por los espacios entre las células intestinales. Estos espacios están cerrados por las tight junctions, una especie de cremallera molecular.</w:t>
      </w:r>
    </w:p>
    <w:p>
      <w:pPr>
        <w:pStyle w:val="BodyText"/>
      </w:pPr>
      <w:r>
        <w:t xml:space="preserve">El mensajero zonulina puede abrir esta cremallera; la gliadina, un componente del gluten, libera zonulina. La larazotida bloquearía esta vía. En cultivos de células intestinales humanas, la larazotida impidió la redistribución de las proteínas de cierre y redujo el paso de un fragmento de gliadina a través de la capa celular; en ratones modificados genéticamente con sensibilidad al gluten se conservó la estructura de las uniones estrechas</w:t>
      </w:r>
      <w:r>
        <w:rPr>
          <w:rStyle w:val="FootnoteReference"/>
        </w:rPr>
        <w:footnoteReference w:id="1158"/>
      </w:r>
      <w:r>
        <w:t xml:space="preserve">. Trabajos más recientes suponen además una inhibición de la enzima cinasa de la cadena ligera de la miosina, que pone en tensión las uniones celulares</w:t>
      </w:r>
      <w:r>
        <w:rPr>
          <w:rStyle w:val="FootnoteReference"/>
        </w:rPr>
        <w:footnoteReference w:id="1159"/>
      </w:r>
      <w:r>
        <w:t xml:space="preserve">.</w:t>
      </w:r>
    </w:p>
    <w:p>
      <w:pPr>
        <w:pStyle w:val="BodyText"/>
      </w:pPr>
      <w:r>
        <w:t xml:space="preserve">La larazotida nunca se concibió como sustituto de la dieta sin gluten. El objetivo era un tratamiento complementario para las personas afectadas que, a pesar de la dieta, tienen síntomas, por ejemplo por trazas inadvertidas de gluten.</w:t>
      </w:r>
    </w:p>
    <w:bookmarkEnd w:id="1160"/>
    <w:bookmarkStart w:id="1176" w:name="estudios-en-humanos-21"/>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4</w:t>
      </w:r>
      <w:r>
        <w:t xml:space="preserve"> </w:t>
      </w:r>
      <w:r>
        <w:t xml:space="preserve">estudios en humanos en PubMed y</w:t>
      </w:r>
      <w:r>
        <w:t xml:space="preserve"> </w:t>
      </w:r>
      <w:r>
        <w:rPr>
          <w:bCs/>
          <w:b/>
        </w:rPr>
        <w:t xml:space="preserve">29</w:t>
      </w:r>
      <w:r>
        <w:t xml:space="preserve"> </w:t>
      </w:r>
      <w:r>
        <w:t xml:space="preserve">entradas en ClinicalTrials.gov. Sin embargo, de estas 29 entradas, 19 se refieren a un medicamento completamente distinto: el migalastat contra la enfermedad de Fabry llevaba antes el mismo código de desarrollo AT1001. A la larazotida corresponden realmente</w:t>
      </w:r>
      <w:r>
        <w:t xml:space="preserve"> </w:t>
      </w:r>
      <w:r>
        <w:rPr>
          <w:bCs/>
          <w:b/>
        </w:rPr>
        <w:t xml:space="preserve">10</w:t>
      </w:r>
      <w:r>
        <w:t xml:space="preserve"> </w:t>
      </w:r>
      <w:r>
        <w:t xml:space="preserve">entradas de registro. Un metaanálisis de 2022 resumió cuatro estudios aleatorizados con 626 personas</w:t>
      </w:r>
      <w:r>
        <w:rPr>
          <w:rStyle w:val="FootnoteReference"/>
        </w:rPr>
        <w:footnoteReference w:id="116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Provocación con gluten (Leffler 2012, PMID 22825365)</w:t>
            </w:r>
          </w:p>
        </w:tc>
        <w:tc>
          <w:tcPr/>
          <w:p>
            <w:pPr>
              <w:pStyle w:val="Compact"/>
              <w:jc w:val="left"/>
            </w:pPr>
            <w:r>
              <w:t xml:space="preserve">86 personas con enfermedad celíaca, ECA con 4 dosis y placebo</w:t>
            </w:r>
          </w:p>
        </w:tc>
        <w:tc>
          <w:tcPr/>
          <w:p>
            <w:pPr>
              <w:pStyle w:val="Compact"/>
              <w:jc w:val="left"/>
            </w:pPr>
            <w:r>
              <w:t xml:space="preserve">14 días</w:t>
            </w:r>
          </w:p>
        </w:tc>
        <w:tc>
          <w:tcPr/>
          <w:p>
            <w:pPr>
              <w:pStyle w:val="Compact"/>
              <w:jc w:val="left"/>
            </w:pPr>
            <w:r>
              <w:t xml:space="preserve">prueba de permeabilidad sin diferencia significativa; menos síntomas con algunas dosis bajas</w:t>
            </w:r>
          </w:p>
        </w:tc>
      </w:tr>
      <w:tr>
        <w:tc>
          <w:tcPr/>
          <w:p>
            <w:pPr>
              <w:pStyle w:val="Compact"/>
              <w:jc w:val="left"/>
            </w:pPr>
            <w:r>
              <w:t xml:space="preserve">Provocación con gluten (Kelly 2013, PMID 23163616)</w:t>
            </w:r>
          </w:p>
        </w:tc>
        <w:tc>
          <w:tcPr/>
          <w:p>
            <w:pPr>
              <w:pStyle w:val="Compact"/>
              <w:jc w:val="left"/>
            </w:pPr>
            <w:r>
              <w:t xml:space="preserve">184 personas, ECA con 3 dosis y placebo, 2,7 g de gluten al día</w:t>
            </w:r>
          </w:p>
        </w:tc>
        <w:tc>
          <w:tcPr/>
          <w:p>
            <w:pPr>
              <w:pStyle w:val="Compact"/>
              <w:jc w:val="left"/>
            </w:pPr>
            <w:r>
              <w:t xml:space="preserve">6 semanas</w:t>
            </w:r>
          </w:p>
        </w:tc>
        <w:tc>
          <w:tcPr/>
          <w:p>
            <w:pPr>
              <w:pStyle w:val="Compact"/>
              <w:jc w:val="left"/>
            </w:pPr>
            <w:r>
              <w:t xml:space="preserve">permeabilidad sin cambios; menos síntomas solo con 1 mg; menor aumento de los anticuerpos celíacos</w:t>
            </w:r>
          </w:p>
        </w:tc>
      </w:tr>
      <w:tr>
        <w:tc>
          <w:tcPr/>
          <w:p>
            <w:pPr>
              <w:pStyle w:val="Compact"/>
              <w:jc w:val="left"/>
            </w:pPr>
            <w:r>
              <w:t xml:space="preserve">Síntomas pese a la dieta (Leffler 2015, PMID 25683116; NCT01396213)</w:t>
            </w:r>
          </w:p>
        </w:tc>
        <w:tc>
          <w:tcPr/>
          <w:p>
            <w:pPr>
              <w:pStyle w:val="Compact"/>
              <w:jc w:val="left"/>
            </w:pPr>
            <w:r>
              <w:t xml:space="preserve">342 personas, ECA con 3 dosis y placebo</w:t>
            </w:r>
          </w:p>
        </w:tc>
        <w:tc>
          <w:tcPr/>
          <w:p>
            <w:pPr>
              <w:pStyle w:val="Compact"/>
              <w:jc w:val="left"/>
            </w:pPr>
            <w:r>
              <w:t xml:space="preserve">12 semanas</w:t>
            </w:r>
          </w:p>
        </w:tc>
        <w:tc>
          <w:tcPr/>
          <w:p>
            <w:pPr>
              <w:pStyle w:val="Compact"/>
              <w:jc w:val="left"/>
            </w:pPr>
            <w:r>
              <w:t xml:space="preserve">objetivo principal alcanzado solo con la dosis más baja (0,5 mg); 1 mg y 2 mg no mejores que placebo</w:t>
            </w:r>
          </w:p>
        </w:tc>
      </w:tr>
      <w:tr>
        <w:tc>
          <w:tcPr/>
          <w:p>
            <w:pPr>
              <w:pStyle w:val="Compact"/>
              <w:jc w:val="left"/>
            </w:pPr>
            <w:r>
              <w:t xml:space="preserve">CeDLara, fase 3 (NCT03569007)</w:t>
            </w:r>
          </w:p>
        </w:tc>
        <w:tc>
          <w:tcPr/>
          <w:p>
            <w:pPr>
              <w:pStyle w:val="Compact"/>
              <w:jc w:val="left"/>
            </w:pPr>
            <w:r>
              <w:t xml:space="preserve">307 personas, aleatorizado, cegado</w:t>
            </w:r>
          </w:p>
        </w:tc>
        <w:tc>
          <w:tcPr/>
          <w:p>
            <w:pPr>
              <w:pStyle w:val="Compact"/>
              <w:jc w:val="left"/>
            </w:pPr>
            <w:r>
              <w:t xml:space="preserve">12 semanas previstas</w:t>
            </w:r>
          </w:p>
        </w:tc>
        <w:tc>
          <w:tcPr/>
          <w:p>
            <w:pPr>
              <w:pStyle w:val="Compact"/>
              <w:jc w:val="left"/>
            </w:pPr>
            <w:r>
              <w:t xml:space="preserve">interrumpido por el promotor en 2022; sin resultados publicados</w:t>
            </w:r>
          </w:p>
        </w:tc>
      </w:tr>
      <w:tr>
        <w:tc>
          <w:tcPr/>
          <w:p>
            <w:pPr>
              <w:pStyle w:val="Compact"/>
              <w:jc w:val="left"/>
            </w:pPr>
            <w:r>
              <w:t xml:space="preserve">MIS-C en niños (Yonker 2025, PMID 40737433)</w:t>
            </w:r>
          </w:p>
        </w:tc>
        <w:tc>
          <w:tcPr/>
          <w:p>
            <w:pPr>
              <w:pStyle w:val="Compact"/>
              <w:jc w:val="left"/>
            </w:pPr>
            <w:r>
              <w:t xml:space="preserve">12 niños con síndrome inflamatorio tras la COVID-19, fase 2a, ECA</w:t>
            </w:r>
          </w:p>
        </w:tc>
        <w:tc>
          <w:tcPr/>
          <w:p>
            <w:pPr>
              <w:pStyle w:val="Compact"/>
              <w:jc w:val="left"/>
            </w:pPr>
            <w:r>
              <w:t xml:space="preserve">3 semanas</w:t>
            </w:r>
          </w:p>
        </w:tc>
        <w:tc>
          <w:tcPr/>
          <w:p>
            <w:pPr>
              <w:pStyle w:val="Compact"/>
              <w:jc w:val="left"/>
            </w:pPr>
            <w:r>
              <w:t xml:space="preserve">remisión más rápida de las molestias gastrointestinales; sin efectos secundarios atribuibles a la larazotida</w:t>
            </w:r>
          </w:p>
        </w:tc>
      </w:tr>
    </w:tbl>
    <w:bookmarkStart w:id="1166" w:name="enfermedad-celíaca-fase-2"/>
    <w:p>
      <w:pPr>
        <w:pStyle w:val="Heading4"/>
      </w:pPr>
      <w:r>
        <w:t xml:space="preserve">Enfermedad celíaca: fase 2</w:t>
      </w:r>
    </w:p>
    <w:p>
      <w:pPr>
        <w:pStyle w:val="FirstParagraph"/>
      </w:pPr>
      <w:r>
        <w:t xml:space="preserve">En los dos estudios con provocación controlada con gluten, la larazotida debía impedir el aumento de la permeabilidad intestinal. Esta se midió con una prueba de azúcares en orina (cociente lactulosa-manitol). En la práctica, esta prueba resultó tan variable que no pudo demostrarse ningún efecto</w:t>
      </w:r>
      <w:r>
        <w:rPr>
          <w:rStyle w:val="FootnoteReference"/>
        </w:rPr>
        <w:footnoteReference w:id="1162"/>
      </w:r>
      <w:r>
        <w:t xml:space="preserve">. En los síntomas apareció un patrón inusual: las dosis bajas actuaban en parte mejor que las altas. En el estudio con 184 personas, solo la dosis de 1 mg limitó de forma significativa los síntomas desencadenados por el gluten; al mismo tiempo, los anticuerpos celíacos aumentaron claramente menos con todas las dosis de larazotida que con placebo</w:t>
      </w:r>
      <w:r>
        <w:rPr>
          <w:rStyle w:val="FootnoteReference"/>
        </w:rPr>
        <w:footnoteReference w:id="1163"/>
      </w:r>
      <w:r>
        <w:t xml:space="preserve">.</w:t>
      </w:r>
    </w:p>
    <w:p>
      <w:pPr>
        <w:pStyle w:val="BodyText"/>
      </w:pPr>
      <w:r>
        <w:t xml:space="preserve">El mayor estudio de fase 2, con 342 personas que tenían síntomas a pesar de la dieta sin gluten, solo alcanzó su objetivo principal con la dosis más baja, de 0,5 mg. Con esta dosis hubo un 26 por ciento menos de días con síntomas celíacos. Las dosis más altas no fueron mejores que el placebo en ningún criterio de valoración; los propios autores califican los resultados de «dispares»</w:t>
      </w:r>
      <w:r>
        <w:rPr>
          <w:rStyle w:val="FootnoteReference"/>
        </w:rPr>
        <w:footnoteReference w:id="1164"/>
      </w:r>
      <w:r>
        <w:t xml:space="preserve">. Un medicamento en el que solo actúa la dosis más baja es farmacológicamente inusual y deja dudas sobre si se trata de un efecto real o de una casualidad.</w:t>
      </w:r>
    </w:p>
    <w:p>
      <w:pPr>
        <w:pStyle w:val="BodyText"/>
      </w:pPr>
      <w:r>
        <w:t xml:space="preserve">El metaanálisis no encontró ningún efecto sobre la permeabilidad intestinal y sí una mejoría de los síntomas solo con provocación con gluten, pero no en personas con dieta sin gluten, es decir, precisamente no en el grupo para el que estaba pensada la larazotida</w:t>
      </w:r>
      <w:r>
        <w:rPr>
          <w:rStyle w:val="FootnoteReference"/>
        </w:rPr>
        <w:footnoteReference w:id="1165"/>
      </w:r>
      <w:r>
        <w:t xml:space="preserve">.</w:t>
      </w:r>
    </w:p>
    <w:bookmarkEnd w:id="1166"/>
    <w:bookmarkStart w:id="1170" w:name="Xb7a49002710f9fc474ea0bcae44c1f0e5ee5dad"/>
    <w:p>
      <w:pPr>
        <w:pStyle w:val="Heading4"/>
      </w:pPr>
      <w:r>
        <w:t xml:space="preserve">Enfermedad celíaca: el estudio de fase 3 CeDLara</w:t>
      </w:r>
    </w:p>
    <w:p>
      <w:pPr>
        <w:pStyle w:val="FirstParagraph"/>
      </w:pPr>
      <w:r>
        <w:t xml:space="preserve">Sobre la base de los resultados con 0,5 mg comenzó en 2019 el estudio de fase 3 CeDLara, con larazotida en microesferas gastrorresistentes</w:t>
      </w:r>
      <w:r>
        <w:rPr>
          <w:rStyle w:val="FootnoteReference"/>
        </w:rPr>
        <w:footnoteReference w:id="1167"/>
      </w:r>
      <w:r>
        <w:t xml:space="preserve">. Según el registro se incluyeron 307 personas; el estudio fue «finalizado por el promotor» en julio de 2022. Según el conocimiento del autor, el fabricante de entonces, 9 Meters Biopharma, justificó la interrupción afirmando que un análisis intermedio había mostrado que se habrían necesitado claramente más participantes para demostrar una diferencia frente a placebo. No existe en PubMed ninguna publicación científica de los resultados. Las revisiones constatan que hasta hoy ningún medicamento para la enfermedad celíaca ha concluido con éxito un estudio de fase 3</w:t>
      </w:r>
      <w:r>
        <w:rPr>
          <w:rStyle w:val="FootnoteReference"/>
        </w:rPr>
        <w:footnoteReference w:id="1168"/>
      </w:r>
      <w:r>
        <w:t xml:space="preserve"> </w:t>
      </w:r>
      <w:r>
        <w:t xml:space="preserve">y que ningún tratamiento ha demostrado ser una alternativa eficaz a la dieta sin gluten</w:t>
      </w:r>
      <w:r>
        <w:rPr>
          <w:rStyle w:val="FootnoteReference"/>
        </w:rPr>
        <w:footnoteReference w:id="1169"/>
      </w:r>
      <w:r>
        <w:t xml:space="preserve">.</w:t>
      </w:r>
    </w:p>
    <w:bookmarkEnd w:id="1170"/>
    <w:bookmarkStart w:id="1175" w:name="Xc9a8cf52e18fcc0bf242a95a849e3f32538c065"/>
    <w:p>
      <w:pPr>
        <w:pStyle w:val="Heading4"/>
      </w:pPr>
      <w:r>
        <w:t xml:space="preserve">Nueva aplicación: síndrome inflamatorio tras la COVID-19</w:t>
      </w:r>
    </w:p>
    <w:p>
      <w:pPr>
        <w:pStyle w:val="FirstParagraph"/>
      </w:pPr>
      <w:r>
        <w:t xml:space="preserve">Un grupo de investigación supone que en el síndrome inflamatorio multisistémico en niños (MIS-C) tras la COVID-19 llegan componentes del virus desde el intestino a la sangre. En una primera serie de casos con cuatro niños, la proteína vírica desapareció de la sangre con larazotida y las molestias gastrointestinales remitieron más rápidamente que en 22 niños de comparación</w:t>
      </w:r>
      <w:r>
        <w:rPr>
          <w:rStyle w:val="FootnoteReference"/>
        </w:rPr>
        <w:footnoteReference w:id="1171"/>
      </w:r>
      <w:r>
        <w:t xml:space="preserve">. Un estudio aleatorizado de fase 2a con solo 12 niños confirmó mejorías más rápidas de los síntomas; no se observaron efectos secundarios atribuibles a la larazotida</w:t>
      </w:r>
      <w:r>
        <w:rPr>
          <w:rStyle w:val="FootnoteReference"/>
        </w:rPr>
        <w:footnoteReference w:id="1172"/>
      </w:r>
      <w:r>
        <w:t xml:space="preserve">. El estudio se interrumpió por la disminución del número de casos</w:t>
      </w:r>
      <w:r>
        <w:rPr>
          <w:rStyle w:val="FootnoteReference"/>
        </w:rPr>
        <w:footnoteReference w:id="1173"/>
      </w:r>
      <w:r>
        <w:t xml:space="preserve">. Según el registro, un estudio sobre la COVID persistente con 107 niños y adultos está concluido desde junio de 2026</w:t>
      </w:r>
      <w:r>
        <w:rPr>
          <w:rStyle w:val="FootnoteReference"/>
        </w:rPr>
        <w:footnoteReference w:id="1174"/>
      </w:r>
      <w:r>
        <w:t xml:space="preserve">; en octubre de 2026 no se habían publicado los resultados.</w:t>
      </w:r>
    </w:p>
    <w:bookmarkEnd w:id="1175"/>
    <w:bookmarkEnd w:id="1176"/>
    <w:bookmarkStart w:id="1180" w:name="estudios-en-animales-y-de-laboratorio-21"/>
    <w:p>
      <w:pPr>
        <w:pStyle w:val="Heading3"/>
      </w:pPr>
      <w:r>
        <w:t xml:space="preserve">Estudios en animales y de laboratorio</w:t>
      </w:r>
    </w:p>
    <w:p>
      <w:pPr>
        <w:pStyle w:val="FirstParagraph"/>
      </w:pPr>
      <w:r>
        <w:t xml:space="preserve">Además de en la enfermedad celíaca, la larazotida se ha evaluado en modelos animales de otras enfermedades con alteración de la barrera intestinal. En ratones propensos a la inflamación articular, la larazotida redujo la aparición de artritis</w:t>
      </w:r>
      <w:r>
        <w:rPr>
          <w:rStyle w:val="FootnoteReference"/>
        </w:rPr>
        <w:footnoteReference w:id="1177"/>
      </w:r>
      <w:r>
        <w:t xml:space="preserve">. En cerdos favoreció la recuperación del tejido del intestino delgado tras un trastorno de la irrigación</w:t>
      </w:r>
      <w:r>
        <w:rPr>
          <w:rStyle w:val="FootnoteReference"/>
        </w:rPr>
        <w:footnoteReference w:id="1178"/>
      </w:r>
      <w:r>
        <w:t xml:space="preserve">. En ratas se describieron efectos en la pancreatitis aguda y la insuficiencia hepática aguda</w:t>
      </w:r>
      <w:r>
        <w:rPr>
          <w:rStyle w:val="FootnoteReference"/>
        </w:rPr>
        <w:footnoteReference w:id="1179"/>
      </w:r>
      <w:r>
        <w:t xml:space="preserve">. Son experimentos con animales; de ellos no pueden deducirse conclusiones sobre el reumatismo, el páncreas o el hígado en humanos.</w:t>
      </w:r>
    </w:p>
    <w:bookmarkEnd w:id="1180"/>
    <w:bookmarkStart w:id="1186" w:name="riesgos-y-efectos-adversos-21"/>
    <w:p>
      <w:pPr>
        <w:pStyle w:val="Heading3"/>
      </w:pPr>
      <w:r>
        <w:t xml:space="preserve">Riesgos y efectos adversos</w:t>
      </w:r>
    </w:p>
    <w:bookmarkStart w:id="1184" w:name="demostrado-5"/>
    <w:p>
      <w:pPr>
        <w:pStyle w:val="Heading4"/>
      </w:pPr>
      <w:r>
        <w:t xml:space="preserve">Demostrado</w:t>
      </w:r>
    </w:p>
    <w:p>
      <w:pPr>
        <w:pStyle w:val="FirstParagraph"/>
      </w:pPr>
      <w:r>
        <w:t xml:space="preserve">La larazotida fue bien tolerada en todos los estudios. En el estudio con 86 personas no se produjeron efectos secundarios graves; los más frecuentes fueron la cefalea y las infecciones urinarias</w:t>
      </w:r>
      <w:r>
        <w:rPr>
          <w:rStyle w:val="FootnoteReference"/>
        </w:rPr>
        <w:footnoteReference w:id="1181"/>
      </w:r>
      <w:r>
        <w:t xml:space="preserve">. En el mayor estudio de fase 2, la seguridad fue comparable a la del placebo</w:t>
      </w:r>
      <w:r>
        <w:rPr>
          <w:rStyle w:val="FootnoteReference"/>
        </w:rPr>
        <w:footnoteReference w:id="1182"/>
      </w:r>
      <w:r>
        <w:t xml:space="preserve">. El metaanálisis no encontró en conjunto ninguna acumulación de efectos secundarios frente a placebo</w:t>
      </w:r>
      <w:r>
        <w:rPr>
          <w:rStyle w:val="FootnoteReference"/>
        </w:rPr>
        <w:footnoteReference w:id="1183"/>
      </w:r>
      <w:r>
        <w:t xml:space="preserve">. Como la larazotida apenas llega a la sangre, un perfil de seguridad favorable es plausible.</w:t>
      </w:r>
    </w:p>
    <w:bookmarkEnd w:id="1184"/>
    <w:bookmarkStart w:id="1185" w:name="a-tener-en-cuenta-1"/>
    <w:p>
      <w:pPr>
        <w:pStyle w:val="Heading4"/>
      </w:pPr>
      <w:r>
        <w:t xml:space="preserve">A tener en cuenta</w:t>
      </w:r>
    </w:p>
    <w:p>
      <w:pPr>
        <w:numPr>
          <w:ilvl w:val="0"/>
          <w:numId w:val="1139"/>
        </w:numPr>
        <w:pStyle w:val="Compact"/>
      </w:pPr>
      <w:r>
        <w:rPr>
          <w:bCs/>
          <w:b/>
        </w:rPr>
        <w:t xml:space="preserve">No es una alternativa a la dieta:</w:t>
      </w:r>
      <w:r>
        <w:t xml:space="preserve"> </w:t>
      </w:r>
      <w:r>
        <w:t xml:space="preserve">incluso en los estudios positivos, la larazotida no protegió del daño causado por cantidades mayores de gluten. Quien relaja la dieta sin gluten por un producto así se arriesga a sufrir daños intestinales.</w:t>
      </w:r>
    </w:p>
    <w:p>
      <w:pPr>
        <w:numPr>
          <w:ilvl w:val="0"/>
          <w:numId w:val="1139"/>
        </w:numPr>
        <w:pStyle w:val="Compact"/>
      </w:pPr>
      <w:r>
        <w:rPr>
          <w:bCs/>
          <w:b/>
        </w:rPr>
        <w:t xml:space="preserve">Mercado gris:</w:t>
      </w:r>
      <w:r>
        <w:t xml:space="preserve"> </w:t>
      </w:r>
      <w:r>
        <w:t xml:space="preserve">la larazotida se ofrece ocasionalmente como «péptido para el leaky gut». Los estudios utilizaron una forma farmacéutica gastrorresistente especial; se desconoce si los productos que se venden libremente llevan siquiera el principio activo al lugar de acción. Para el concepto de «leaky gut» sin enfermedad celíaca no hay estudios con larazotida.</w:t>
      </w:r>
    </w:p>
    <w:bookmarkEnd w:id="1185"/>
    <w:bookmarkEnd w:id="1186"/>
    <w:bookmarkStart w:id="1187" w:name="situación-legal-21"/>
    <w:p>
      <w:pPr>
        <w:pStyle w:val="Heading3"/>
      </w:pPr>
      <w:r>
        <w:t xml:space="preserve">Situación legal</w:t>
      </w:r>
    </w:p>
    <w:p>
      <w:pPr>
        <w:pStyle w:val="FirstParagraph"/>
      </w:pPr>
      <w:r>
        <w:rPr>
          <w:iCs/>
          <w:i/>
        </w:rPr>
        <w:t xml:space="preserve">Situación en 2026, compruébalo en su versión actual.</w:t>
      </w:r>
    </w:p>
    <w:p>
      <w:pPr>
        <w:numPr>
          <w:ilvl w:val="0"/>
          <w:numId w:val="1140"/>
        </w:numPr>
        <w:pStyle w:val="Compact"/>
      </w:pPr>
      <w:r>
        <w:rPr>
          <w:bCs/>
          <w:b/>
        </w:rPr>
        <w:t xml:space="preserve">UE, Alemania, Austria:</w:t>
      </w:r>
      <w:r>
        <w:t xml:space="preserve"> </w:t>
      </w:r>
      <w:r>
        <w:t xml:space="preserve">no autorizada.</w:t>
      </w:r>
    </w:p>
    <w:p>
      <w:pPr>
        <w:numPr>
          <w:ilvl w:val="0"/>
          <w:numId w:val="1140"/>
        </w:numPr>
        <w:pStyle w:val="Compact"/>
      </w:pPr>
      <w:r>
        <w:rPr>
          <w:bCs/>
          <w:b/>
        </w:rPr>
        <w:t xml:space="preserve">EE. UU.:</w:t>
      </w:r>
      <w:r>
        <w:t xml:space="preserve"> </w:t>
      </w:r>
      <w:r>
        <w:t xml:space="preserve">no autorizada. Según el conocimiento del autor, el desarrollador había obtenido de la FDA una revisión acelerada («Fast Track») para la enfermedad celíaca; tras la interrupción del estudio de fase 3 no se presentó ninguna solicitud de autorización.</w:t>
      </w:r>
    </w:p>
    <w:p>
      <w:pPr>
        <w:numPr>
          <w:ilvl w:val="0"/>
          <w:numId w:val="1140"/>
        </w:numPr>
        <w:pStyle w:val="Compact"/>
      </w:pPr>
      <w:r>
        <w:rPr>
          <w:bCs/>
          <w:b/>
        </w:rPr>
        <w:t xml:space="preserve">WADA:</w:t>
      </w:r>
      <w:r>
        <w:t xml:space="preserve"> </w:t>
      </w:r>
      <w:r>
        <w:t xml:space="preserve">no figura.</w:t>
      </w:r>
    </w:p>
    <w:bookmarkEnd w:id="1187"/>
    <w:bookmarkStart w:id="1190" w:name="estudios-en-curso-y-perspectivas-21"/>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en curso con larazotida registrado en ClinicalTrials.gov. El estudio sobre la COVID persistente</w:t>
      </w:r>
      <w:r>
        <w:rPr>
          <w:rStyle w:val="FootnoteReference"/>
        </w:rPr>
        <w:footnoteReference w:id="1188"/>
      </w:r>
      <w:r>
        <w:t xml:space="preserve"> </w:t>
      </w:r>
      <w:r>
        <w:t xml:space="preserve">ha concluido; los resultados están pendientes.</w:t>
      </w:r>
    </w:p>
    <w:p>
      <w:pPr>
        <w:pStyle w:val="BodyText"/>
      </w:pPr>
      <w:r>
        <w:rPr>
          <w:bCs/>
          <w:b/>
        </w:rPr>
        <w:t xml:space="preserve">Valoración del autor:</w:t>
      </w:r>
      <w:r>
        <w:t xml:space="preserve"> </w:t>
      </w:r>
      <w:r>
        <w:t xml:space="preserve">tras la interrupción de CeDLara, la larazotida probablemente no tenga futuro en la enfermedad celíaca, salvo que un nuevo desarrollador adquiera los derechos. Otros enfoques –enzimas que degradan el gluten, inhibidores de la transglutaminasa 2 o procedimientos de tolerancia inmunitaria– se consideran actualmente más prometedores</w:t>
      </w:r>
      <w:r>
        <w:rPr>
          <w:rStyle w:val="FootnoteReference"/>
        </w:rPr>
        <w:footnoteReference w:id="1189"/>
      </w:r>
      <w:r>
        <w:t xml:space="preserve">. En el MIS-C y la COVID persistente, el desarrollo posterior depende de los resultados aún no publicados.</w:t>
      </w:r>
    </w:p>
    <w:bookmarkEnd w:id="1190"/>
    <w:bookmarkStart w:id="1192" w:name="conclusión-21"/>
    <w:p>
      <w:pPr>
        <w:pStyle w:val="Heading3"/>
      </w:pPr>
      <w:r>
        <w:t xml:space="preserve">Conclusión</w:t>
      </w:r>
    </w:p>
    <w:p>
      <w:pPr>
        <w:pStyle w:val="FirstParagraph"/>
      </w:pPr>
      <w:r>
        <w:t xml:space="preserve">La larazotida es un péptido de ocho aminoácidos que debe sellar las uniones entre las células intestinales y fue el primer principio activo contra la enfermedad celíaca que llegó a un estudio de fase 3. En los estudios de fase 2, los resultados fueron dispares: no pudo demostrarse un efecto sobre la permeabilidad intestinal, y en los síntomas pese a la dieta solo actuó la dosis más baja</w:t>
      </w:r>
      <w:r>
        <w:rPr>
          <w:rStyle w:val="FootnoteReference"/>
        </w:rPr>
        <w:footnoteReference w:id="1191"/>
      </w:r>
      <w:r>
        <w:t xml:space="preserve">. El estudio de fase 3 CeDLara se interrumpió en 2022 y sus resultados no se publicaron. La larazotida es bien tolerada, pero ni está autorizada ni se ha demostrado eficaz, y no sustituye a la dieta sin gluten.</w:t>
      </w:r>
    </w:p>
    <w:bookmarkEnd w:id="1192"/>
    <w:bookmarkEnd w:id="1193"/>
    <w:bookmarkStart w:id="1222" w:name="timalina-y-timógeno"/>
    <w:p>
      <w:pPr>
        <w:pStyle w:val="Heading2"/>
      </w:pPr>
      <w:r>
        <w:t xml:space="preserve">Timalina y timógeno</w:t>
      </w:r>
    </w:p>
    <w:p>
      <w:pPr>
        <w:pStyle w:val="FirstParagraph"/>
      </w:pPr>
      <w:r>
        <w:t xml:space="preserve">La timalina es un extracto del timo de terneros, y el timógeno, un dipéptido sintético derivado de ella. Ambos proceden de la medicina militar soviética de las décadas de 1970 y 1980 y siguen comercializándose hoy en Rusia como medicamentos. En los círculos occidentales de la longevidad se comercializan como «biorreguladores» que «rejuvenecerían» el sistema inmunitario y prolongarían la vida. La base de estas promesas es casi exclusivamente la investigación de una única escuela en torno al gerontólogo de San Petersburgo Vladimir Khavinson. Este capítulo sitúa esta investigación en contexto y explica por qué sus resultados deben leerse con gran cautela.</w:t>
      </w:r>
    </w:p>
    <w:bookmarkStart w:id="1197" w:name="ficha-22"/>
    <w:p>
      <w:pPr>
        <w:pStyle w:val="Heading3"/>
      </w:pPr>
      <w:r>
        <w:t xml:space="preserve">Ficha</w:t>
      </w:r>
    </w:p>
    <w:p>
      <w:pPr>
        <w:numPr>
          <w:ilvl w:val="0"/>
          <w:numId w:val="1141"/>
        </w:numPr>
        <w:pStyle w:val="Compact"/>
      </w:pPr>
      <w:r>
        <w:rPr>
          <w:bCs/>
          <w:b/>
        </w:rPr>
        <w:t xml:space="preserve">Timalina:</w:t>
      </w:r>
      <w:r>
        <w:t xml:space="preserve"> </w:t>
      </w:r>
      <w:r>
        <w:t xml:space="preserve">mezcla de péptidos obtenida por extracción ácida del timo de terneros</w:t>
      </w:r>
      <w:r>
        <w:rPr>
          <w:rStyle w:val="FootnoteReference"/>
        </w:rPr>
        <w:footnoteReference w:id="1194"/>
      </w:r>
      <w:r>
        <w:t xml:space="preserve">; no es una sustancia definida de forma uniforme. Como componentes activos más importantes se citan los dipéptidos Lys-Glu (KE) y Glu-Trp (EW)</w:t>
      </w:r>
      <w:r>
        <w:rPr>
          <w:rStyle w:val="FootnoteReference"/>
        </w:rPr>
        <w:footnoteReference w:id="1195"/>
      </w:r>
      <w:r>
        <w:t xml:space="preserve">.</w:t>
      </w:r>
    </w:p>
    <w:p>
      <w:pPr>
        <w:numPr>
          <w:ilvl w:val="0"/>
          <w:numId w:val="1141"/>
        </w:numPr>
        <w:pStyle w:val="Compact"/>
      </w:pPr>
      <w:r>
        <w:rPr>
          <w:bCs/>
          <w:b/>
        </w:rPr>
        <w:t xml:space="preserve">Timógeno:</w:t>
      </w:r>
      <w:r>
        <w:t xml:space="preserve"> </w:t>
      </w:r>
      <w:r>
        <w:t xml:space="preserve">dipéptido L-Glu-L-Trp de fabricación sintética, aislado a partir de la timalina</w:t>
      </w:r>
      <w:r>
        <w:rPr>
          <w:rStyle w:val="FootnoteReference"/>
        </w:rPr>
        <w:footnoteReference w:id="1196"/>
      </w:r>
      <w:r>
        <w:t xml:space="preserve">; en Rusia también está disponible como espray nasal.</w:t>
      </w:r>
    </w:p>
    <w:p>
      <w:pPr>
        <w:numPr>
          <w:ilvl w:val="0"/>
          <w:numId w:val="1141"/>
        </w:numPr>
        <w:pStyle w:val="Compact"/>
      </w:pPr>
      <w:r>
        <w:rPr>
          <w:bCs/>
          <w:b/>
        </w:rPr>
        <w:t xml:space="preserve">Mecanismo de acción (afirmado):</w:t>
      </w:r>
      <w:r>
        <w:t xml:space="preserve"> </w:t>
      </w:r>
      <w:r>
        <w:t xml:space="preserve">estímulo de la maduración de los linfocitos T, «normalización» de la función inmunitaria y de la coagulación sanguínea; según la teoría de Khavinson, los péptidos cortos actúan como «biorreguladores» directamente sobre la actividad génica.</w:t>
      </w:r>
    </w:p>
    <w:p>
      <w:pPr>
        <w:numPr>
          <w:ilvl w:val="0"/>
          <w:numId w:val="1141"/>
        </w:numPr>
        <w:pStyle w:val="Compact"/>
      </w:pPr>
      <w:r>
        <w:rPr>
          <w:bCs/>
          <w:b/>
        </w:rPr>
        <w:t xml:space="preserve">Autorización:</w:t>
      </w:r>
      <w:r>
        <w:t xml:space="preserve"> </w:t>
      </w:r>
      <w:r>
        <w:t xml:space="preserve">autorizados como medicamentos en Rusia y en algunos Estados sucesores de la Unión Soviética;</w:t>
      </w:r>
      <w:r>
        <w:t xml:space="preserve"> </w:t>
      </w:r>
      <w:r>
        <w:rPr>
          <w:bCs/>
          <w:b/>
        </w:rPr>
        <w:t xml:space="preserve">UE y EE. UU.:</w:t>
      </w:r>
      <w:r>
        <w:t xml:space="preserve"> </w:t>
      </w:r>
      <w:r>
        <w:t xml:space="preserve">no.</w:t>
      </w:r>
    </w:p>
    <w:p>
      <w:pPr>
        <w:numPr>
          <w:ilvl w:val="0"/>
          <w:numId w:val="1141"/>
        </w:numPr>
        <w:pStyle w:val="Compact"/>
      </w:pPr>
      <w:r>
        <w:rPr>
          <w:bCs/>
          <w:b/>
        </w:rPr>
        <w:t xml:space="preserve">WADA:</w:t>
      </w:r>
      <w:r>
        <w:t xml:space="preserve"> </w:t>
      </w:r>
      <w:r>
        <w:t xml:space="preserve">no figuran expresamente.</w:t>
      </w:r>
    </w:p>
    <w:p>
      <w:pPr>
        <w:numPr>
          <w:ilvl w:val="0"/>
          <w:numId w:val="1141"/>
        </w:numPr>
        <w:pStyle w:val="Compact"/>
      </w:pPr>
      <w:r>
        <w:rPr>
          <w:bCs/>
          <w:b/>
        </w:rPr>
        <w:t xml:space="preserve">Nivel de evidencia: C</w:t>
      </w:r>
      <w:r>
        <w:t xml:space="preserve"> </w:t>
      </w:r>
      <w:r>
        <w:t xml:space="preserve">– en su mayoría estudios pequeños, abiertos o descritos de forma insuficiente; en PubMed solo hay un único estudio descrito como aleatorizado y controlado con placebo.</w:t>
      </w:r>
    </w:p>
    <w:bookmarkEnd w:id="1197"/>
    <w:bookmarkStart w:id="1201" w:name="cómo-se-supone-que-actúa-22"/>
    <w:p>
      <w:pPr>
        <w:pStyle w:val="Heading3"/>
      </w:pPr>
      <w:r>
        <w:t xml:space="preserve">Cómo se supone que actúa</w:t>
      </w:r>
    </w:p>
    <w:p>
      <w:pPr>
        <w:pStyle w:val="FirstParagraph"/>
      </w:pPr>
      <w:r>
        <w:t xml:space="preserve">La idea sigue la misma lógica que en el caso de la timosina alfa 1 (véase ese capítulo): el timo educa a los linfocitos T y se atrofia con la edad, por lo que los mensajeros tímicos deberían reforzar las defensas. Sin embargo, mientras que la timosina alfa 1 es un péptido definido con precisión y de secuencia conocida, la timalina es una mezcla de muchos componentes de origen animal.</w:t>
      </w:r>
    </w:p>
    <w:p>
      <w:pPr>
        <w:pStyle w:val="BodyText"/>
      </w:pPr>
      <w:r>
        <w:t xml:space="preserve">A partir de esta mezcla, los investigadores aislaron el dipéptido Glu-Trp y lo comercializaron de forma sintética como timógeno. Favorecería la diferenciación de los linfocitos T y el reconocimiento de antígenos, y activaría los fagocitos</w:t>
      </w:r>
      <w:r>
        <w:rPr>
          <w:rStyle w:val="FootnoteReference"/>
        </w:rPr>
        <w:footnoteReference w:id="1198"/>
      </w:r>
      <w:r>
        <w:t xml:space="preserve">.</w:t>
      </w:r>
    </w:p>
    <w:p>
      <w:pPr>
        <w:pStyle w:val="BodyText"/>
      </w:pPr>
      <w:r>
        <w:t xml:space="preserve">Khavinson desarrolló a partir de ello una teoría más amplia: los péptidos cortos procedentes de distintos órganos actuarían de forma específica en cada tejido y «regularían» la actividad génica: péptidos de la glándula pineal para la glándula pineal, del timo para el sistema inmunitario, etcétera</w:t>
      </w:r>
      <w:r>
        <w:rPr>
          <w:rStyle w:val="FootnoteReference"/>
        </w:rPr>
        <w:footnoteReference w:id="1199"/>
      </w:r>
      <w:r>
        <w:t xml:space="preserve">. También el Epitalon, que se trata en la Parte II · D, procede de esta escuela. Esta teoría apenas se ha comprobado fuera del grupo de trabajo y no se corresponde con la comprensión general de cómo actúan los mensajeros peptídicos, es decir, por regla general a través de receptores en la superficie celular. Los trabajos más recientes del grupo basan el mecanismo sobre todo en simulaciones por ordenador de la unión al material genético y en cultivos celulares</w:t>
      </w:r>
      <w:r>
        <w:rPr>
          <w:rStyle w:val="FootnoteReference"/>
        </w:rPr>
        <w:footnoteReference w:id="1200"/>
      </w:r>
      <w:r>
        <w:t xml:space="preserve">.</w:t>
      </w:r>
    </w:p>
    <w:bookmarkEnd w:id="1201"/>
    <w:bookmarkStart w:id="1210" w:name="estudios-en-humanos-22"/>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17</w:t>
      </w:r>
      <w:r>
        <w:t xml:space="preserve"> </w:t>
      </w:r>
      <w:r>
        <w:t xml:space="preserve">estudios en humanos en PubMed y</w:t>
      </w:r>
      <w:r>
        <w:t xml:space="preserve"> </w:t>
      </w:r>
      <w:r>
        <w:rPr>
          <w:bCs/>
          <w:b/>
        </w:rPr>
        <w:t xml:space="preserve">0</w:t>
      </w:r>
      <w:r>
        <w:t xml:space="preserve"> </w:t>
      </w:r>
      <w:r>
        <w:t xml:space="preserve">entradas en ClinicalTrials.gov. En total, PubMed recoge unas 290 publicaciones sobre timalina o timógeno; de ellas, unas 250 están en ruso, y solo una única menciona en el título o el resumen «aleatorizado» o «placebo». En la mayoría de los estudios en humanos, PubMed solo ofrece un breve resumen en ruso o ucraniano, a menudo sin datos sobre el número de participantes, el grupo de control o el cegamiento.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«Prolongación de la vida» (Khavinson 2003, PMID 14523363)</w:t>
            </w:r>
          </w:p>
        </w:tc>
        <w:tc>
          <w:tcPr/>
          <w:p>
            <w:pPr>
              <w:pStyle w:val="Compact"/>
              <w:jc w:val="left"/>
            </w:pPr>
            <w:r>
              <w:t xml:space="preserve">266 personas mayores, timalina y/o epitalamina frente a control; asignación y cegamiento no descritos</w:t>
            </w:r>
          </w:p>
        </w:tc>
        <w:tc>
          <w:tcPr/>
          <w:p>
            <w:pPr>
              <w:pStyle w:val="Compact"/>
              <w:jc w:val="left"/>
            </w:pPr>
            <w:r>
              <w:t xml:space="preserve">6–8 años de observación</w:t>
            </w:r>
          </w:p>
        </w:tc>
        <w:tc>
          <w:tcPr/>
          <w:p>
            <w:pPr>
              <w:pStyle w:val="Compact"/>
              <w:jc w:val="left"/>
            </w:pPr>
            <w:r>
              <w:t xml:space="preserve">mortalidad en el grupo de timalina 2,0 a 2,1 veces menor que en el control</w:t>
            </w:r>
          </w:p>
        </w:tc>
      </w:tr>
      <w:tr>
        <w:tc>
          <w:tcPr/>
          <w:p>
            <w:pPr>
              <w:pStyle w:val="Compact"/>
              <w:jc w:val="left"/>
            </w:pPr>
            <w:r>
              <w:t xml:space="preserve">Antes de operaciones abdominales (Smirnov 2011, PMID 21957588)</w:t>
            </w:r>
          </w:p>
        </w:tc>
        <w:tc>
          <w:tcPr/>
          <w:p>
            <w:pPr>
              <w:pStyle w:val="Compact"/>
              <w:jc w:val="left"/>
            </w:pPr>
            <w:r>
              <w:t xml:space="preserve">personas mayores con tumores abdominales, ECA doble ciego frente a placebo, timógeno en gotas nasales; número de participantes no indicado en el resumen</w:t>
            </w:r>
          </w:p>
        </w:tc>
        <w:tc>
          <w:tcPr/>
          <w:p>
            <w:pPr>
              <w:pStyle w:val="Compact"/>
              <w:jc w:val="left"/>
            </w:pPr>
            <w:r>
              <w:t xml:space="preserve">7 días antes de la operación</w:t>
            </w:r>
          </w:p>
        </w:tc>
        <w:tc>
          <w:tcPr/>
          <w:p>
            <w:pPr>
              <w:pStyle w:val="Compact"/>
              <w:jc w:val="left"/>
            </w:pPr>
            <w:r>
              <w:t xml:space="preserve">menos complicaciones tras la operación</w:t>
            </w:r>
          </w:p>
        </w:tc>
      </w:tr>
      <w:tr>
        <w:tc>
          <w:tcPr/>
          <w:p>
            <w:pPr>
              <w:pStyle w:val="Compact"/>
              <w:jc w:val="left"/>
            </w:pPr>
            <w:r>
              <w:t xml:space="preserve">COVID-19 grave (Kuznik 2022, PMID 36169363)</w:t>
            </w:r>
          </w:p>
        </w:tc>
        <w:tc>
          <w:tcPr/>
          <w:p>
            <w:pPr>
              <w:pStyle w:val="Compact"/>
              <w:jc w:val="left"/>
            </w:pPr>
            <w:r>
              <w:t xml:space="preserve">tres grupos: tratamiento básico, más tocilizumab, más timalina; asignación no descrita</w:t>
            </w:r>
          </w:p>
        </w:tc>
        <w:tc>
          <w:tcPr/>
          <w:p>
            <w:pPr>
              <w:pStyle w:val="Compact"/>
              <w:jc w:val="left"/>
            </w:pPr>
            <w:r>
              <w:t xml:space="preserve">estancia hospitalaria</w:t>
            </w:r>
          </w:p>
        </w:tc>
        <w:tc>
          <w:tcPr/>
          <w:p>
            <w:pPr>
              <w:pStyle w:val="Compact"/>
              <w:jc w:val="left"/>
            </w:pPr>
            <w:r>
              <w:t xml:space="preserve">mortalidad hospitalaria 40,9 %, 28,4 % y 20,6 %</w:t>
            </w:r>
          </w:p>
        </w:tc>
      </w:tr>
      <w:tr>
        <w:tc>
          <w:tcPr/>
          <w:p>
            <w:pPr>
              <w:pStyle w:val="Compact"/>
              <w:jc w:val="left"/>
            </w:pPr>
            <w:r>
              <w:t xml:space="preserve">Esquizofrenia resistente al tratamiento (Govorin 1990, PMID 2163147)</w:t>
            </w:r>
          </w:p>
        </w:tc>
        <w:tc>
          <w:tcPr/>
          <w:p>
            <w:pPr>
              <w:pStyle w:val="Compact"/>
              <w:jc w:val="left"/>
            </w:pPr>
            <w:r>
              <w:t xml:space="preserve">36 personas, sin grupo de control</w:t>
            </w:r>
          </w:p>
        </w:tc>
        <w:tc>
          <w:tcPr/>
          <w:p>
            <w:pPr>
              <w:pStyle w:val="Compact"/>
              <w:jc w:val="left"/>
            </w:pPr>
            <w:r>
              <w:t xml:space="preserve">no indicada</w:t>
            </w:r>
          </w:p>
        </w:tc>
        <w:tc>
          <w:tcPr/>
          <w:p>
            <w:pPr>
              <w:pStyle w:val="Compact"/>
              <w:jc w:val="left"/>
            </w:pPr>
            <w:r>
              <w:t xml:space="preserve">se informa de mejoría de los síntomas psíquicos</w:t>
            </w:r>
          </w:p>
        </w:tc>
      </w:tr>
      <w:tr>
        <w:tc>
          <w:tcPr/>
          <w:p>
            <w:pPr>
              <w:pStyle w:val="Compact"/>
              <w:jc w:val="left"/>
            </w:pPr>
            <w:r>
              <w:t xml:space="preserve">Párkinson (Musienko 1999, PMID 10424021)</w:t>
            </w:r>
          </w:p>
        </w:tc>
        <w:tc>
          <w:tcPr/>
          <w:p>
            <w:pPr>
              <w:pStyle w:val="Compact"/>
              <w:jc w:val="left"/>
            </w:pPr>
            <w:r>
              <w:t xml:space="preserve">15 personas, sin grupo de control</w:t>
            </w:r>
          </w:p>
        </w:tc>
        <w:tc>
          <w:tcPr/>
          <w:p>
            <w:pPr>
              <w:pStyle w:val="Compact"/>
              <w:jc w:val="left"/>
            </w:pPr>
            <w:r>
              <w:t xml:space="preserve">una serie de tratamiento</w:t>
            </w:r>
          </w:p>
        </w:tc>
        <w:tc>
          <w:tcPr/>
          <w:p>
            <w:pPr>
              <w:pStyle w:val="Compact"/>
              <w:jc w:val="left"/>
            </w:pPr>
            <w:r>
              <w:t xml:space="preserve">se informa de mejoría del bienestar y de los síntomas</w:t>
            </w:r>
          </w:p>
        </w:tc>
      </w:tr>
    </w:tbl>
    <w:bookmarkStart w:id="1203" w:name="Xd8be8367c70d818d348b59a5339b847a993a2ab"/>
    <w:p>
      <w:pPr>
        <w:pStyle w:val="Heading4"/>
      </w:pPr>
      <w:r>
        <w:t xml:space="preserve">El estudio a largo plazo sobre la prolongación de la vida</w:t>
      </w:r>
    </w:p>
    <w:p>
      <w:pPr>
        <w:pStyle w:val="FirstParagraph"/>
      </w:pPr>
      <w:r>
        <w:t xml:space="preserve">El trabajo más conocido es a la vez el más problemático. Durante seis a ocho años se observó a 266 personas mayores en San Petersburgo y Kiev, algunas de las cuales recibieron en los dos o tres primeros años timalina, epitalamina o ambas. Se informa de una mortalidad 2,0 a 2,1 veces menor con timalina y 4,1 veces menor con un tratamiento combinado anual durante seis años</w:t>
      </w:r>
      <w:r>
        <w:rPr>
          <w:rStyle w:val="FootnoteReference"/>
        </w:rPr>
        <w:footnoteReference w:id="1202"/>
      </w:r>
      <w:r>
        <w:t xml:space="preserve">.</w:t>
      </w:r>
    </w:p>
    <w:p>
      <w:pPr>
        <w:pStyle w:val="BodyText"/>
      </w:pPr>
      <w:r>
        <w:t xml:space="preserve">Tales efectos serían espectaculares, mayores que con casi cualquier medicamento consolidado. Pero el resumen no describe ni cómo se asignó a los participantes a los grupos, ni si hubo cegamiento, ni cuántas personas había en cada grupo. Quien está más sano y activo participa con más probabilidad en un tratamiento de años; sin asignación aleatoria, una diferencia así puede surgir solo por ello. No existen réplicas independientes.</w:t>
      </w:r>
    </w:p>
    <w:bookmarkEnd w:id="1203"/>
    <w:bookmarkStart w:id="1206" w:name="covid-19-1"/>
    <w:p>
      <w:pPr>
        <w:pStyle w:val="Heading4"/>
      </w:pPr>
      <w:r>
        <w:t xml:space="preserve">COVID-19</w:t>
      </w:r>
    </w:p>
    <w:p>
      <w:pPr>
        <w:pStyle w:val="FirstParagraph"/>
      </w:pPr>
      <w:r>
        <w:t xml:space="preserve">Durante la pandemia, el grupo de trabajo informó sobre la timalina en enfermos graves de COVID-19. En un análisis, la mortalidad hospitalaria fue del 40,9 por ciento con el tratamiento básico, del 28,4 por ciento con tocilizumab adicional y del 20,6 por ciento con timalina adicional</w:t>
      </w:r>
      <w:r>
        <w:rPr>
          <w:rStyle w:val="FootnoteReference"/>
        </w:rPr>
        <w:footnoteReference w:id="1204"/>
      </w:r>
      <w:r>
        <w:t xml:space="preserve">. El resumen no indica cómo se asignó a las personas a los grupos ni qué tamaño tenían estos. Otro trabajo informa de descensos más rápidos de los marcadores de inflamación y coagulación</w:t>
      </w:r>
      <w:r>
        <w:rPr>
          <w:rStyle w:val="FootnoteReference"/>
        </w:rPr>
        <w:footnoteReference w:id="1205"/>
      </w:r>
      <w:r>
        <w:t xml:space="preserve">. Tras la experiencia con la timosina alfa 1, en la que datos observacionales iniciales favorables no se confirmaron en estudios más grandes (véase ese capítulo), estas cifras no son sólidas sin una confirmación aleatorizada.</w:t>
      </w:r>
    </w:p>
    <w:bookmarkEnd w:id="1206"/>
    <w:bookmarkStart w:id="1208" w:name="el-único-estudio-controlado-con-placebo"/>
    <w:p>
      <w:pPr>
        <w:pStyle w:val="Heading4"/>
      </w:pPr>
      <w:r>
        <w:t xml:space="preserve">El único estudio controlado con placebo</w:t>
      </w:r>
    </w:p>
    <w:p>
      <w:pPr>
        <w:pStyle w:val="FirstParagraph"/>
      </w:pPr>
      <w:r>
        <w:t xml:space="preserve">El único estudio descrito como doble ciego, aleatorizado y controlado con placebo investigó gotas nasales de timógeno en personas mayores antes de operaciones de tumores abdominales. Se informa de menos complicaciones tras la operación y de una evolución de la curación más corta</w:t>
      </w:r>
      <w:r>
        <w:rPr>
          <w:rStyle w:val="FootnoteReference"/>
        </w:rPr>
        <w:footnoteReference w:id="1207"/>
      </w:r>
      <w:r>
        <w:t xml:space="preserve">. El resumen ruso no indica el número de participantes ni la magnitud de los efectos.</w:t>
      </w:r>
    </w:p>
    <w:bookmarkEnd w:id="1208"/>
    <w:bookmarkStart w:id="1209" w:name="otros-estudios"/>
    <w:p>
      <w:pPr>
        <w:pStyle w:val="Heading4"/>
      </w:pPr>
      <w:r>
        <w:t xml:space="preserve">Otros estudios</w:t>
      </w:r>
    </w:p>
    <w:p>
      <w:pPr>
        <w:pStyle w:val="FirstParagraph"/>
      </w:pPr>
      <w:r>
        <w:t xml:space="preserve">Los demás estudios en humanos proceden en su mayoría de las décadas de 1980 y 1990 y abarcan un espectro llamativamente amplio: tuberculosis, disentería, erisipela, heridas purulentas, peritonitis en niños, pancreatitis, colitis ulcerosa, inflamaciones de los órganos genitales femeninos, esquizofrenia y párkinson. Casi siempre se administró timalina o timógeno además del tratamiento estándar, sin placebo y en general sin asignación aleatoria. Con frecuencia se midieron valores de laboratorio del sistema inmunitario, no criterios de valoración duros como la curación o la supervivencia.</w:t>
      </w:r>
    </w:p>
    <w:bookmarkEnd w:id="1209"/>
    <w:bookmarkEnd w:id="1210"/>
    <w:bookmarkStart w:id="1213" w:name="estudios-en-animales-y-de-laboratorio-22"/>
    <w:p>
      <w:pPr>
        <w:pStyle w:val="Heading3"/>
      </w:pPr>
      <w:r>
        <w:t xml:space="preserve">Estudios en animales y de laboratorio</w:t>
      </w:r>
    </w:p>
    <w:p>
      <w:pPr>
        <w:pStyle w:val="FirstParagraph"/>
      </w:pPr>
      <w:r>
        <w:t xml:space="preserve">Los estudios en animales proceden igualmente en su mayoría de grupos de trabajo rusos y ucranianos. En 76 ratas que recibieron durante doce meses Glu-Trp (timógeno) o solución salina, la duración media de la vida fue igual; el diez por ciento más longevo vivió más con timógeno, y los tumores aparecieron con menos frecuencia</w:t>
      </w:r>
      <w:r>
        <w:rPr>
          <w:rStyle w:val="FootnoteReference"/>
        </w:rPr>
        <w:footnoteReference w:id="1211"/>
      </w:r>
      <w:r>
        <w:t xml:space="preserve">. En cultivos de células madre sanguíneas humanas, la timalina influyó en su diferenciación</w:t>
      </w:r>
      <w:r>
        <w:rPr>
          <w:rStyle w:val="FootnoteReference"/>
        </w:rPr>
        <w:footnoteReference w:id="1212"/>
      </w:r>
      <w:r>
        <w:t xml:space="preserve">. Otros trabajos describen efectos sobre la coagulación sanguínea, la aparición de cáncer tras irradiación o sustancias químicas y las infecciones en roedores.</w:t>
      </w:r>
    </w:p>
    <w:bookmarkEnd w:id="1213"/>
    <w:bookmarkStart w:id="1214" w:name="X03838cca3bfb6e458bc3a534b36e2c42557dc39"/>
    <w:p>
      <w:pPr>
        <w:pStyle w:val="Heading3"/>
      </w:pPr>
      <w:r>
        <w:t xml:space="preserve">Calidad de la investigación: una valoración crítica</w:t>
      </w:r>
    </w:p>
    <w:p>
      <w:pPr>
        <w:pStyle w:val="FirstParagraph"/>
      </w:pPr>
      <w:r>
        <w:t xml:space="preserve">Para valorar la timalina y el timógeno, el origen de los datos es más importante que los resultados individuales:</w:t>
      </w:r>
    </w:p>
    <w:p>
      <w:pPr>
        <w:numPr>
          <w:ilvl w:val="0"/>
          <w:numId w:val="1142"/>
        </w:numPr>
        <w:pStyle w:val="Compact"/>
      </w:pPr>
      <w:r>
        <w:rPr>
          <w:bCs/>
          <w:b/>
        </w:rPr>
        <w:t xml:space="preserve">Una escuela, apenas confirmación independiente.</w:t>
      </w:r>
      <w:r>
        <w:t xml:space="preserve"> </w:t>
      </w:r>
      <w:r>
        <w:t xml:space="preserve">Gran parte de los trabajos procede de Khavinson, sus colaboradores o institutos cooperantes. Según PubMed, Khavinson participa en más de 80 de las unas 290 publicaciones; muchas otras proceden de grupos estrechamente vinculados. Faltan estudios de réplica independientes occidentales.</w:t>
      </w:r>
    </w:p>
    <w:p>
      <w:pPr>
        <w:numPr>
          <w:ilvl w:val="0"/>
          <w:numId w:val="1142"/>
        </w:numPr>
        <w:pStyle w:val="Compact"/>
      </w:pPr>
      <w:r>
        <w:rPr>
          <w:bCs/>
          <w:b/>
        </w:rPr>
        <w:t xml:space="preserve">Idioma y accesibilidad.</w:t>
      </w:r>
      <w:r>
        <w:t xml:space="preserve"> </w:t>
      </w:r>
      <w:r>
        <w:t xml:space="preserve">Unos 250 de los trabajos están en ruso, en PubMed a menudo solo con un breve resumen. Los textos completos son de difícil acceso y los métodos apenas pueden comprobarse.</w:t>
      </w:r>
    </w:p>
    <w:p>
      <w:pPr>
        <w:numPr>
          <w:ilvl w:val="0"/>
          <w:numId w:val="1142"/>
        </w:numPr>
        <w:pStyle w:val="Compact"/>
      </w:pPr>
      <w:r>
        <w:rPr>
          <w:bCs/>
          <w:b/>
        </w:rPr>
        <w:t xml:space="preserve">Diseño de los estudios.</w:t>
      </w:r>
      <w:r>
        <w:t xml:space="preserve"> </w:t>
      </w:r>
      <w:r>
        <w:t xml:space="preserve">Casi ningún estudio está aleatorizado, cegado y registrado previamente según los estándares actuales. Ni un solo estudio está inscrito en ClinicalTrials.gov.</w:t>
      </w:r>
    </w:p>
    <w:p>
      <w:pPr>
        <w:numPr>
          <w:ilvl w:val="0"/>
          <w:numId w:val="1142"/>
        </w:numPr>
        <w:pStyle w:val="Compact"/>
      </w:pPr>
      <w:r>
        <w:rPr>
          <w:bCs/>
          <w:b/>
        </w:rPr>
        <w:t xml:space="preserve">Efectos inusualmente grandes en muchísimas enfermedades.</w:t>
      </w:r>
      <w:r>
        <w:t xml:space="preserve"> </w:t>
      </w:r>
      <w:r>
        <w:t xml:space="preserve">Un preparado que actúa por igual en la tuberculosis, la esquizofrenia, el párkinson, la COVID-19 y el envejecimiento y reduce a la mitad la mortalidad es, desde el punto de vista metodológico, una señal de alarma, no una recomendación.</w:t>
      </w:r>
    </w:p>
    <w:p>
      <w:pPr>
        <w:numPr>
          <w:ilvl w:val="0"/>
          <w:numId w:val="1142"/>
        </w:numPr>
        <w:pStyle w:val="Compact"/>
      </w:pPr>
      <w:r>
        <w:rPr>
          <w:bCs/>
          <w:b/>
        </w:rPr>
        <w:t xml:space="preserve">Conflictos de intereses.</w:t>
      </w:r>
      <w:r>
        <w:t xml:space="preserve"> </w:t>
      </w:r>
      <w:r>
        <w:t xml:space="preserve">El grupo de trabajo desarrolló los propios preparados; según el conocimiento del autor, los «biorreguladores» de esta escuela se comercializan internacionalmente como complementos alimenticios. Faltan evaluaciones independientes por investigadores sin tales vínculos.</w:t>
      </w:r>
    </w:p>
    <w:p>
      <w:pPr>
        <w:pStyle w:val="FirstParagraph"/>
      </w:pPr>
      <w:r>
        <w:t xml:space="preserve">Esto no significa que todos los resultados tengan que ser falsos. Significa que, según los criterios de este libro, no pueden considerarse prueba de un beneficio mientras no se confirmen en estudios independientes y bien planificados.</w:t>
      </w:r>
    </w:p>
    <w:bookmarkEnd w:id="1214"/>
    <w:bookmarkStart w:id="1217" w:name="riesgos-y-efectos-adversos-22"/>
    <w:p>
      <w:pPr>
        <w:pStyle w:val="Heading3"/>
      </w:pPr>
      <w:r>
        <w:t xml:space="preserve">Riesgos y efectos adversos</w:t>
      </w:r>
    </w:p>
    <w:bookmarkStart w:id="1215" w:name="demostrado-6"/>
    <w:p>
      <w:pPr>
        <w:pStyle w:val="Heading4"/>
      </w:pPr>
      <w:r>
        <w:t xml:space="preserve">Demostrado</w:t>
      </w:r>
    </w:p>
    <w:p>
      <w:pPr>
        <w:pStyle w:val="FirstParagraph"/>
      </w:pPr>
      <w:r>
        <w:t xml:space="preserve">No existen datos de seguridad recogidos sistemáticamente según los estándares actuales. Los estudios disponibles apenas informan de efectos secundarios, lo que en estudios pequeños y no cegados dice poco.</w:t>
      </w:r>
    </w:p>
    <w:bookmarkEnd w:id="1215"/>
    <w:bookmarkStart w:id="1216" w:name="teórico-2"/>
    <w:p>
      <w:pPr>
        <w:pStyle w:val="Heading4"/>
      </w:pPr>
      <w:r>
        <w:t xml:space="preserve">Teórico</w:t>
      </w:r>
    </w:p>
    <w:p>
      <w:pPr>
        <w:numPr>
          <w:ilvl w:val="0"/>
          <w:numId w:val="1143"/>
        </w:numPr>
        <w:pStyle w:val="Compact"/>
      </w:pPr>
      <w:r>
        <w:rPr>
          <w:bCs/>
          <w:b/>
        </w:rPr>
        <w:t xml:space="preserve">Material de partida animal:</w:t>
      </w:r>
      <w:r>
        <w:t xml:space="preserve"> </w:t>
      </w:r>
      <w:r>
        <w:t xml:space="preserve">la timalina es un extracto de timo de ternero. Con los extractos animales existen en principio riesgos por contaminantes, variaciones entre lotes y reacciones alérgicas. También la transmisión de patógenos a partir de tejido bovino es un riesgo teórico que depende de la calidad de fabricación.</w:t>
      </w:r>
    </w:p>
    <w:p>
      <w:pPr>
        <w:numPr>
          <w:ilvl w:val="0"/>
          <w:numId w:val="1143"/>
        </w:numPr>
        <w:pStyle w:val="Compact"/>
      </w:pPr>
      <w:r>
        <w:rPr>
          <w:bCs/>
          <w:b/>
        </w:rPr>
        <w:t xml:space="preserve">Inmunoestimulación:</w:t>
      </w:r>
      <w:r>
        <w:t xml:space="preserve"> </w:t>
      </w:r>
      <w:r>
        <w:t xml:space="preserve">en enfermedades autoinmunitarias o tras un trasplante de órganos, estimular el sistema inmunitario podría ser perjudicial. Faltan datos al respecto.</w:t>
      </w:r>
    </w:p>
    <w:p>
      <w:pPr>
        <w:numPr>
          <w:ilvl w:val="0"/>
          <w:numId w:val="1143"/>
        </w:numPr>
        <w:pStyle w:val="Compact"/>
      </w:pPr>
      <w:r>
        <w:rPr>
          <w:bCs/>
          <w:b/>
        </w:rPr>
        <w:t xml:space="preserve">Mercado gris y «biorreguladores»:</w:t>
      </w:r>
      <w:r>
        <w:t xml:space="preserve"> </w:t>
      </w:r>
      <w:r>
        <w:t xml:space="preserve">fuera de Rusia, la timalina, el timógeno y productos relacionados se distribuyen por internet, en parte como solución inyectable y en parte como cápsulas con la denominación «biorregulador». El origen, el contenido y la calidad de estos productos no son verificables.</w:t>
      </w:r>
    </w:p>
    <w:bookmarkEnd w:id="1216"/>
    <w:bookmarkEnd w:id="1217"/>
    <w:bookmarkStart w:id="1218" w:name="situación-legal-22"/>
    <w:p>
      <w:pPr>
        <w:pStyle w:val="Heading3"/>
      </w:pPr>
      <w:r>
        <w:t xml:space="preserve">Situación legal</w:t>
      </w:r>
    </w:p>
    <w:p>
      <w:pPr>
        <w:pStyle w:val="FirstParagraph"/>
      </w:pPr>
      <w:r>
        <w:rPr>
          <w:iCs/>
          <w:i/>
        </w:rPr>
        <w:t xml:space="preserve">Situación en 2026, compruébalo en su versión actual.</w:t>
      </w:r>
    </w:p>
    <w:p>
      <w:pPr>
        <w:numPr>
          <w:ilvl w:val="0"/>
          <w:numId w:val="1144"/>
        </w:numPr>
        <w:pStyle w:val="Compact"/>
      </w:pPr>
      <w:r>
        <w:rPr>
          <w:bCs/>
          <w:b/>
        </w:rPr>
        <w:t xml:space="preserve">Rusia y algunos Estados sucesores de la Unión Soviética:</w:t>
      </w:r>
      <w:r>
        <w:t xml:space="preserve"> </w:t>
      </w:r>
      <w:r>
        <w:t xml:space="preserve">la timalina y el timógeno están autorizados como medicamentos.</w:t>
      </w:r>
    </w:p>
    <w:p>
      <w:pPr>
        <w:numPr>
          <w:ilvl w:val="0"/>
          <w:numId w:val="1144"/>
        </w:numPr>
        <w:pStyle w:val="Compact"/>
      </w:pPr>
      <w:r>
        <w:rPr>
          <w:bCs/>
          <w:b/>
        </w:rPr>
        <w:t xml:space="preserve">UE, Alemania, Austria:</w:t>
      </w:r>
      <w:r>
        <w:t xml:space="preserve"> </w:t>
      </w:r>
      <w:r>
        <w:t xml:space="preserve">sin autorización. La importación y la dispensación para uso en humanos solo están permitidas en las estrictas condiciones de la respectiva legislación farmacéutica. Las cápsulas con extractos de órganos que se venden como complementos alimenticios no pueden prometer efectos sobre enfermedades; si deben clasificarse como medicamentos depende de cada caso.</w:t>
      </w:r>
    </w:p>
    <w:p>
      <w:pPr>
        <w:numPr>
          <w:ilvl w:val="0"/>
          <w:numId w:val="1144"/>
        </w:numPr>
        <w:pStyle w:val="Compact"/>
      </w:pPr>
      <w:r>
        <w:rPr>
          <w:bCs/>
          <w:b/>
        </w:rPr>
        <w:t xml:space="preserve">EE. UU.:</w:t>
      </w:r>
      <w:r>
        <w:t xml:space="preserve"> </w:t>
      </w:r>
      <w:r>
        <w:t xml:space="preserve">sin autorización de la FDA.</w:t>
      </w:r>
    </w:p>
    <w:p>
      <w:pPr>
        <w:numPr>
          <w:ilvl w:val="0"/>
          <w:numId w:val="1144"/>
        </w:numPr>
        <w:pStyle w:val="Compact"/>
      </w:pPr>
      <w:r>
        <w:rPr>
          <w:bCs/>
          <w:b/>
        </w:rPr>
        <w:t xml:space="preserve">WADA:</w:t>
      </w:r>
      <w:r>
        <w:t xml:space="preserve"> </w:t>
      </w:r>
      <w:r>
        <w:t xml:space="preserve">no figuran por su nombre.</w:t>
      </w:r>
    </w:p>
    <w:bookmarkEnd w:id="1218"/>
    <w:bookmarkStart w:id="1219" w:name="estudios-en-curso-y-perspectivas-22"/>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sobre timalina o timógeno registrado en ClinicalTrials.gov.</w:t>
      </w:r>
    </w:p>
    <w:p>
      <w:pPr>
        <w:pStyle w:val="BodyText"/>
      </w:pPr>
      <w:r>
        <w:rPr>
          <w:bCs/>
          <w:b/>
        </w:rPr>
        <w:t xml:space="preserve">Valoración del autor:</w:t>
      </w:r>
      <w:r>
        <w:t xml:space="preserve"> </w:t>
      </w:r>
      <w:r>
        <w:t xml:space="preserve">una autorización en la UE o en EE. UU. está descartada sin nuevos estudios realizados según los estándares internacionales, y no se vislumbran tales estudios. Por ello, la timalina y el timógeno seguirán siendo previsiblemente un fenómeno del mercado sanitario de habla rusa y del ámbito internacional de la longevidad.</w:t>
      </w:r>
    </w:p>
    <w:bookmarkEnd w:id="1219"/>
    <w:bookmarkStart w:id="1221" w:name="conclusión-22"/>
    <w:p>
      <w:pPr>
        <w:pStyle w:val="Heading3"/>
      </w:pPr>
      <w:r>
        <w:t xml:space="preserve">Conclusión</w:t>
      </w:r>
    </w:p>
    <w:p>
      <w:pPr>
        <w:pStyle w:val="FirstParagraph"/>
      </w:pPr>
      <w:r>
        <w:t xml:space="preserve">La timalina es un extracto de timo de ternero y el timógeno, un dipéptido derivado de ella; ambos están autorizados en Rusia y en Occidente se promocionan como «biorreguladores» para prolongar la vida. La evidencia procede casi por completo de una única escuela de investigación rusa, está publicada mayoritariamente en ruso y consiste en estudios pequeños, en su mayoría no aleatorizados. La tan citada reducción a la mitad de la mortalidad en personas mayores</w:t>
      </w:r>
      <w:r>
        <w:rPr>
          <w:rStyle w:val="FootnoteReference"/>
        </w:rPr>
        <w:footnoteReference w:id="1220"/>
      </w:r>
      <w:r>
        <w:t xml:space="preserve"> </w:t>
      </w:r>
      <w:r>
        <w:t xml:space="preserve">se basa en un estudio cuyo diseño no está descrito de forma comprensible en el resumen. Según los criterios actuales, no está demostrado ningún beneficio, y la calidad de los productos que se venden libremente es desconocida.</w:t>
      </w:r>
    </w:p>
    <w:bookmarkEnd w:id="1221"/>
    <w:bookmarkEnd w:id="1222"/>
    <w:bookmarkEnd w:id="1223"/>
    <w:bookmarkStart w:id="1603" w:name="Xae690155ef751dceb129ff3ae952d09796820fe"/>
    <w:p>
      <w:pPr>
        <w:pStyle w:val="Heading1"/>
      </w:pPr>
      <w:r>
        <w:t xml:space="preserve">Parte II · C – El eje de la hormona del crecimiento</w:t>
      </w:r>
    </w:p>
    <w:p>
      <w:pPr>
        <w:pStyle w:val="FirstParagraph"/>
      </w:pPr>
      <w:r>
        <w:t xml:space="preserve">La hormona del crecimiento (GH, del inglés</w:t>
      </w:r>
      <w:r>
        <w:t xml:space="preserve"> </w:t>
      </w:r>
      <w:r>
        <w:rPr>
          <w:iCs/>
          <w:i/>
        </w:rPr>
        <w:t xml:space="preserve">growth hormone</w:t>
      </w:r>
      <w:r>
        <w:t xml:space="preserve">) es una de las hormonas más mitificadas que existen. En los gimnasios se la considera la hormona del músculo y de la quema de grasa, y en las consultas antienvejecimiento, una «fuente de la juventud». La hormona del crecimiento auténtica es una proteína grande, cara y sujeta a prescripción médica. Los péptidos de esta parte prometen un camino aparentemente más elegante: harían que el organismo libere</w:t>
      </w:r>
      <w:r>
        <w:t xml:space="preserve"> </w:t>
      </w:r>
      <w:r>
        <w:rPr>
          <w:iCs/>
          <w:i/>
        </w:rPr>
        <w:t xml:space="preserve">más hormona del crecimiento propia</w:t>
      </w:r>
      <w:r>
        <w:t xml:space="preserve">, o bien aportan directamente el mensajero posterior, el IGF-1.</w:t>
      </w:r>
    </w:p>
    <w:bookmarkStart w:id="1225" w:name="el-eje-en-cuatro-estaciones"/>
    <w:p>
      <w:pPr>
        <w:pStyle w:val="Heading3"/>
      </w:pPr>
      <w:r>
        <w:t xml:space="preserve">El eje en cuatro estaciones</w:t>
      </w:r>
    </w:p>
    <w:p>
      <w:pPr>
        <w:numPr>
          <w:ilvl w:val="0"/>
          <w:numId w:val="1145"/>
        </w:numPr>
        <w:pStyle w:val="Compact"/>
      </w:pPr>
      <w:r>
        <w:t xml:space="preserve">La</w:t>
      </w:r>
      <w:r>
        <w:t xml:space="preserve"> </w:t>
      </w:r>
      <w:r>
        <w:rPr>
          <w:bCs/>
          <w:b/>
        </w:rPr>
        <w:t xml:space="preserve">GHRH</w:t>
      </w:r>
      <w:r>
        <w:t xml:space="preserve"> </w:t>
      </w:r>
      <w:r>
        <w:t xml:space="preserve">(hormona liberadora de la hormona del crecimiento), procedente del diencéfalo, da a la hipófisis la señal para la liberación. Su antagonista, la somatostatina, la frena.</w:t>
      </w:r>
    </w:p>
    <w:p>
      <w:pPr>
        <w:numPr>
          <w:ilvl w:val="0"/>
          <w:numId w:val="1145"/>
        </w:numPr>
        <w:pStyle w:val="Compact"/>
      </w:pPr>
      <w:r>
        <w:t xml:space="preserve">La</w:t>
      </w:r>
      <w:r>
        <w:t xml:space="preserve"> </w:t>
      </w:r>
      <w:r>
        <w:rPr>
          <w:bCs/>
          <w:b/>
        </w:rPr>
        <w:t xml:space="preserve">grelina</w:t>
      </w:r>
      <w:r>
        <w:t xml:space="preserve">, una hormona del estómago, potencia la liberación a través de un receptor propio (GHS-R1a) y, al mismo tiempo, da hambre</w:t>
      </w:r>
      <w:r>
        <w:rPr>
          <w:rStyle w:val="FootnoteReference"/>
        </w:rPr>
        <w:footnoteReference w:id="1224"/>
      </w:r>
      <w:r>
        <w:t xml:space="preserve">.</w:t>
      </w:r>
    </w:p>
    <w:p>
      <w:pPr>
        <w:numPr>
          <w:ilvl w:val="0"/>
          <w:numId w:val="1145"/>
        </w:numPr>
        <w:pStyle w:val="Compact"/>
      </w:pPr>
      <w:r>
        <w:t xml:space="preserve">La</w:t>
      </w:r>
      <w:r>
        <w:t xml:space="preserve"> </w:t>
      </w:r>
      <w:r>
        <w:rPr>
          <w:bCs/>
          <w:b/>
        </w:rPr>
        <w:t xml:space="preserve">hormona del crecimiento</w:t>
      </w:r>
      <w:r>
        <w:t xml:space="preserve"> </w:t>
      </w:r>
      <w:r>
        <w:t xml:space="preserve">es liberada por la hipófisis en pulsos, sobre todo por la noche.</w:t>
      </w:r>
    </w:p>
    <w:p>
      <w:pPr>
        <w:numPr>
          <w:ilvl w:val="0"/>
          <w:numId w:val="1145"/>
        </w:numPr>
        <w:pStyle w:val="Compact"/>
      </w:pPr>
      <w:r>
        <w:t xml:space="preserve">El</w:t>
      </w:r>
      <w:r>
        <w:t xml:space="preserve"> </w:t>
      </w:r>
      <w:r>
        <w:rPr>
          <w:bCs/>
          <w:b/>
        </w:rPr>
        <w:t xml:space="preserve">IGF-1</w:t>
      </w:r>
      <w:r>
        <w:t xml:space="preserve"> </w:t>
      </w:r>
      <w:r>
        <w:t xml:space="preserve">(factor de crecimiento insulínico tipo 1) se produce sobre todo en el hígado como respuesta a la hormona del crecimiento y media muchos de sus efectos anabólicos. A su vez, las concentraciones altas de IGF-1 frenan el eje.</w:t>
      </w:r>
    </w:p>
    <w:p>
      <w:pPr>
        <w:pStyle w:val="FirstParagraph"/>
      </w:pPr>
      <w:r>
        <w:t xml:space="preserve">Los principios activos de esta parte actúan en distintas estaciones: los</w:t>
      </w:r>
      <w:r>
        <w:t xml:space="preserve"> </w:t>
      </w:r>
      <w:r>
        <w:rPr>
          <w:bCs/>
          <w:b/>
        </w:rPr>
        <w:t xml:space="preserve">análogos de la GHRH</w:t>
      </w:r>
      <w:r>
        <w:t xml:space="preserve"> </w:t>
      </w:r>
      <w:r>
        <w:t xml:space="preserve">(sermorelina, tesamorelina, CJC-1295), en el receptor de la GHRH; los</w:t>
      </w:r>
      <w:r>
        <w:t xml:space="preserve"> </w:t>
      </w:r>
      <w:r>
        <w:rPr>
          <w:bCs/>
          <w:b/>
        </w:rPr>
        <w:t xml:space="preserve">miméticos de la grelina</w:t>
      </w:r>
      <w:r>
        <w:t xml:space="preserve"> </w:t>
      </w:r>
      <w:r>
        <w:t xml:space="preserve">(ipamorelina, GHRP-2, GHRP-6, hexarelina, macimorelina y, a modo de comparación, el no péptido ibutamoreno), en el receptor de la grelina; el</w:t>
      </w:r>
      <w:r>
        <w:t xml:space="preserve"> </w:t>
      </w:r>
      <w:r>
        <w:rPr>
          <w:bCs/>
          <w:b/>
        </w:rPr>
        <w:t xml:space="preserve">IGF-1 y sus variantes</w:t>
      </w:r>
      <w:r>
        <w:t xml:space="preserve"> </w:t>
      </w:r>
      <w:r>
        <w:t xml:space="preserve">(mecasermina, IGF-1 LR3), directamente al final de la cadena.</w:t>
      </w:r>
    </w:p>
    <w:bookmarkEnd w:id="1225"/>
    <w:bookmarkStart w:id="1228" w:name="por-qué-este-grupo-es-tan-popular"/>
    <w:p>
      <w:pPr>
        <w:pStyle w:val="Heading3"/>
      </w:pPr>
      <w:r>
        <w:t xml:space="preserve">Por qué este grupo es tan popular</w:t>
      </w:r>
    </w:p>
    <w:p>
      <w:pPr>
        <w:pStyle w:val="FirstParagraph"/>
      </w:pPr>
      <w:r>
        <w:t xml:space="preserve">La hormona del crecimiento degrada la grasa y aumenta la masa magra: esto está bien demostrado. Una revisión de estudios aleatorizados en personas jóvenes y entrenadas encontró un aumento de la masa libre de grasa de 2,1 kg, pero ninguna mejora de la fuerza ni de la resistencia, y a cambio más retención de líquidos y cansancio</w:t>
      </w:r>
      <w:r>
        <w:rPr>
          <w:rStyle w:val="FootnoteReference"/>
        </w:rPr>
        <w:footnoteReference w:id="1226"/>
      </w:r>
      <w:r>
        <w:t xml:space="preserve">. En personas mayores sanas, la masa grasa disminuyó 2,1 kg y la masa magra aumentó 2,1 kg; al mismo tiempo fueron más frecuentes la hinchazón de los tejidos, el dolor articular, el síndrome del túnel carpiano y el aumento de las mamas en los hombres</w:t>
      </w:r>
      <w:r>
        <w:rPr>
          <w:rStyle w:val="FootnoteReference"/>
        </w:rPr>
        <w:footnoteReference w:id="1227"/>
      </w:r>
      <w:r>
        <w:t xml:space="preserve">. Como la liberación de hormona del crecimiento disminuye con la edad, resulta tentadora la idea de «dar marcha atrás». Los liberadores se consideran una alternativa más suave porque se conserva la regulación propia del organismo. A ello se suma que muchos de ellos pueden adquirirse en línea a bajo precio como «Research Peptides».</w:t>
      </w:r>
    </w:p>
    <w:p>
      <w:pPr>
        <w:pStyle w:val="BodyText"/>
      </w:pPr>
      <w:r>
        <w:t xml:space="preserve">El patrón que recorre casi todos los capítulos: el IGF-1 y la masa magra aumentan, pero la fuerza, la función o la evolución de las enfermedades apenas mejoran en estudios controlados, mientras que aumentan la glucemia, la retención de líquidos y, con algunas sustancias, las hormonas del estrés.</w:t>
      </w:r>
    </w:p>
    <w:bookmarkEnd w:id="1228"/>
    <w:bookmarkStart w:id="1235" w:name="Xfe7b70ae66f57a084796aba0ce5ff92ed004125"/>
    <w:p>
      <w:pPr>
        <w:pStyle w:val="Heading3"/>
      </w:pPr>
      <w:r>
        <w:t xml:space="preserve">La cuestión abierta más importante: el cáncer</w:t>
      </w:r>
    </w:p>
    <w:p>
      <w:pPr>
        <w:pStyle w:val="FirstParagraph"/>
      </w:pPr>
      <w:r>
        <w:t xml:space="preserve">El IGF-1 favorece la división celular y mantiene vivas las células. Si una elevación continuada aumenta el riesgo de cáncer es la cuestión central de seguridad de este grupo. Las pruebas, resumidas con sobriedad:</w:t>
      </w:r>
    </w:p>
    <w:p>
      <w:pPr>
        <w:numPr>
          <w:ilvl w:val="0"/>
          <w:numId w:val="1146"/>
        </w:numPr>
        <w:pStyle w:val="Compact"/>
      </w:pPr>
      <w:r>
        <w:rPr>
          <w:bCs/>
          <w:b/>
        </w:rPr>
        <w:t xml:space="preserve">IGF-1 alto de forma natural:</w:t>
      </w:r>
      <w:r>
        <w:t xml:space="preserve"> </w:t>
      </w:r>
      <w:r>
        <w:t xml:space="preserve">en estudios observacionales, una concentración más alta se asocia con un riesgo moderadamente mayor de cáncer de próstata y de cáncer de mama premenopáusico</w:t>
      </w:r>
      <w:r>
        <w:rPr>
          <w:rStyle w:val="FootnoteReference"/>
        </w:rPr>
        <w:footnoteReference w:id="1229"/>
      </w:r>
      <w:r>
        <w:t xml:space="preserve">. Análisis genéticos con cientos de miles de participantes indican que la relación podría ser causal en el cáncer de mama y el colorrectal</w:t>
      </w:r>
      <w:r>
        <w:rPr>
          <w:rStyle w:val="FootnoteReference"/>
        </w:rPr>
        <w:footnoteReference w:id="1230"/>
      </w:r>
      <w:r>
        <w:t xml:space="preserve">.</w:t>
      </w:r>
    </w:p>
    <w:p>
      <w:pPr>
        <w:numPr>
          <w:ilvl w:val="0"/>
          <w:numId w:val="1146"/>
        </w:numPr>
        <w:pStyle w:val="Compact"/>
      </w:pPr>
      <w:r>
        <w:rPr>
          <w:bCs/>
          <w:b/>
        </w:rPr>
        <w:t xml:space="preserve">Exceso natural de hormona del crecimiento (acromegalia):</w:t>
      </w:r>
      <w:r>
        <w:t xml:space="preserve"> </w:t>
      </w:r>
      <w:r>
        <w:t xml:space="preserve">un metaanálisis de 23 estudios encontró una tasa de cáncer aproximadamente un 50 % mayor, pero también apunta a sesgos en los estudios más antiguos</w:t>
      </w:r>
      <w:r>
        <w:rPr>
          <w:rStyle w:val="FootnoteReference"/>
        </w:rPr>
        <w:footnoteReference w:id="1231"/>
      </w:r>
      <w:r>
        <w:t xml:space="preserve">.</w:t>
      </w:r>
    </w:p>
    <w:p>
      <w:pPr>
        <w:numPr>
          <w:ilvl w:val="0"/>
          <w:numId w:val="1146"/>
        </w:numPr>
        <w:pStyle w:val="Compact"/>
      </w:pPr>
      <w:r>
        <w:rPr>
          <w:bCs/>
          <w:b/>
        </w:rPr>
        <w:t xml:space="preserve">Déficit de IGF-1 de por vida (síndrome de Laron):</w:t>
      </w:r>
      <w:r>
        <w:t xml:space="preserve"> </w:t>
      </w:r>
      <w:r>
        <w:t xml:space="preserve">el cáncer apareció con una rareza llamativa</w:t>
      </w:r>
      <w:r>
        <w:rPr>
          <w:rStyle w:val="FootnoteReference"/>
        </w:rPr>
        <w:footnoteReference w:id="1232"/>
      </w:r>
      <w:r>
        <w:t xml:space="preserve">.</w:t>
      </w:r>
    </w:p>
    <w:p>
      <w:pPr>
        <w:numPr>
          <w:ilvl w:val="0"/>
          <w:numId w:val="1146"/>
        </w:numPr>
        <w:pStyle w:val="Compact"/>
      </w:pPr>
      <w:r>
        <w:rPr>
          <w:bCs/>
          <w:b/>
        </w:rPr>
        <w:t xml:space="preserve">Hormona del crecimiento como medicamento:</w:t>
      </w:r>
      <w:r>
        <w:t xml:space="preserve"> </w:t>
      </w:r>
      <w:r>
        <w:t xml:space="preserve">en una cohorte europea con 23.984 niños tratados no se encontró un riesgo aumentado en general en niños sin enfermedad previa, pero sí anomalías en algunos tipos de cáncer y en niños que habían tenido cáncer anteriormente</w:t>
      </w:r>
      <w:r>
        <w:rPr>
          <w:rStyle w:val="FootnoteReference"/>
        </w:rPr>
        <w:footnoteReference w:id="1233"/>
      </w:r>
      <w:r>
        <w:t xml:space="preserve">. En 8418 adultos tratados con hipopituitarismo, el riesgo de cáncer no fue mayor</w:t>
      </w:r>
      <w:r>
        <w:rPr>
          <w:rStyle w:val="FootnoteReference"/>
        </w:rPr>
        <w:footnoteReference w:id="1234"/>
      </w:r>
      <w:r>
        <w:t xml:space="preserve">.</w:t>
      </w:r>
    </w:p>
    <w:p>
      <w:pPr>
        <w:pStyle w:val="FirstParagraph"/>
      </w:pPr>
      <w:r>
        <w:t xml:space="preserve">Conclusión: en personas con un déficit real, según los conocimientos actuales, un tratamiento sustitutivo no se asocia con un riesgo de cáncer claramente mayor. Para las personas sanas que elevan durante años una concentración normal faltan datos, y la biología habla más a favor que en contra de cierto riesgo. La Parte IV profundiza en el tema.</w:t>
      </w:r>
    </w:p>
    <w:bookmarkEnd w:id="1235"/>
    <w:bookmarkStart w:id="1236" w:name="visión-general"/>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antes EE. UU. (Geref), hoy ninguna</w:t>
            </w:r>
          </w:p>
        </w:tc>
        <w:tc>
          <w:tcPr/>
          <w:p>
            <w:pPr>
              <w:pStyle w:val="Compact"/>
              <w:jc w:val="left"/>
            </w:pPr>
            <w:r>
              <w:t xml:space="preserve">fragmento de GHRH; niños con déficit de GH</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EE. UU. (Egrifta)</w:t>
            </w:r>
          </w:p>
        </w:tc>
        <w:tc>
          <w:tcPr/>
          <w:p>
            <w:pPr>
              <w:pStyle w:val="Compact"/>
              <w:jc w:val="left"/>
            </w:pPr>
            <w:r>
              <w:t xml:space="preserve">menos grasa abdominal y hepática en el VIH</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solo datos de fase 1; variante «sin DAC» sin investigar</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ninguna</w:t>
            </w:r>
          </w:p>
        </w:tc>
        <w:tc>
          <w:tcPr/>
          <w:p>
            <w:pPr>
              <w:pStyle w:val="Compact"/>
              <w:jc w:val="left"/>
            </w:pPr>
            <w:r>
              <w:t xml:space="preserve">sin beneficio en el íleo posoperatorio</w:t>
            </w:r>
          </w:p>
        </w:tc>
      </w:tr>
      <w:tr>
        <w:tc>
          <w:tcPr/>
          <w:p>
            <w:pPr>
              <w:pStyle w:val="Compact"/>
              <w:jc w:val="left"/>
            </w:pPr>
            <w:r>
              <w:t xml:space="preserve">GHRP-2 (pralmorelina)</w:t>
            </w:r>
          </w:p>
        </w:tc>
        <w:tc>
          <w:tcPr/>
          <w:p>
            <w:pPr>
              <w:pStyle w:val="Compact"/>
              <w:jc w:val="left"/>
            </w:pPr>
            <w:r>
              <w:t xml:space="preserve">B</w:t>
            </w:r>
          </w:p>
        </w:tc>
        <w:tc>
          <w:tcPr/>
          <w:p>
            <w:pPr>
              <w:pStyle w:val="Compact"/>
              <w:jc w:val="left"/>
            </w:pPr>
            <w:r>
              <w:t xml:space="preserve">Japón (diagnóstico)</w:t>
            </w:r>
          </w:p>
        </w:tc>
        <w:tc>
          <w:tcPr/>
          <w:p>
            <w:pPr>
              <w:pStyle w:val="Compact"/>
              <w:jc w:val="left"/>
            </w:pPr>
            <w:r>
              <w:t xml:space="preserve">prueba de déficit de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sustancia de investigación y de prueba</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efectos cardíacos agudos; pérdida de efecto con la administración continuada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UE, EE. UU. (diagnóstico)</w:t>
            </w:r>
          </w:p>
        </w:tc>
        <w:tc>
          <w:tcPr/>
          <w:p>
            <w:pPr>
              <w:pStyle w:val="Compact"/>
              <w:jc w:val="left"/>
            </w:pPr>
            <w:r>
              <w:t xml:space="preserve">prueba oral de déficit de GH</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UE, EE. UU. (Increlex)</w:t>
            </w:r>
          </w:p>
        </w:tc>
        <w:tc>
          <w:tcPr/>
          <w:p>
            <w:pPr>
              <w:pStyle w:val="Compact"/>
              <w:jc w:val="left"/>
            </w:pPr>
            <w:r>
              <w:t xml:space="preserve">déficit grave de IGF-1 en niños</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ninguna</w:t>
            </w:r>
          </w:p>
        </w:tc>
        <w:tc>
          <w:tcPr/>
          <w:p>
            <w:pPr>
              <w:pStyle w:val="Compact"/>
              <w:jc w:val="left"/>
            </w:pPr>
            <w:r>
              <w:t xml:space="preserve">reactivo de laboratorio, nunca probado en humanos</w:t>
            </w:r>
          </w:p>
        </w:tc>
      </w:tr>
      <w:tr>
        <w:tc>
          <w:tcPr/>
          <w:p>
            <w:pPr>
              <w:pStyle w:val="Compact"/>
              <w:jc w:val="left"/>
            </w:pPr>
            <w:r>
              <w:t xml:space="preserve">Ibutamoreno (comparación)</w:t>
            </w:r>
          </w:p>
        </w:tc>
        <w:tc>
          <w:tcPr/>
          <w:p>
            <w:pPr>
              <w:pStyle w:val="Compact"/>
              <w:jc w:val="left"/>
            </w:pPr>
            <w:r>
              <w:t xml:space="preserve">B</w:t>
            </w:r>
          </w:p>
        </w:tc>
        <w:tc>
          <w:tcPr/>
          <w:p>
            <w:pPr>
              <w:pStyle w:val="Compact"/>
              <w:jc w:val="left"/>
            </w:pPr>
            <w:r>
              <w:t xml:space="preserve">ninguna</w:t>
            </w:r>
          </w:p>
        </w:tc>
        <w:tc>
          <w:tcPr/>
          <w:p>
            <w:pPr>
              <w:pStyle w:val="Compact"/>
              <w:jc w:val="left"/>
            </w:pPr>
            <w:r>
              <w:t xml:space="preserve">comprimido; señal de insuficiencia cardíaca</w:t>
            </w:r>
          </w:p>
        </w:tc>
      </w:tr>
    </w:tbl>
    <w:bookmarkEnd w:id="1236"/>
    <w:bookmarkStart w:id="1237" w:name="indicaciones-para-la-lectura-1"/>
    <w:p>
      <w:pPr>
        <w:pStyle w:val="Heading3"/>
      </w:pPr>
      <w:r>
        <w:t xml:space="preserve">Indicaciones para la lectura</w:t>
      </w:r>
    </w:p>
    <w:p>
      <w:pPr>
        <w:pStyle w:val="FirstParagraph"/>
      </w:pPr>
      <w:r>
        <w:t xml:space="preserve">Quien se interese por aplicaciones con un beneficio real puede empezar por la tesamorelina, la macimorelina y la mecasermina. Quien quiera saber qué hay detrás de los clásicos del mercado gris puede leer CJC-1295, ipamorelina e IGF-1 LR3. El ibutamoreno no es un péptido, pero muestra con especial claridad, en grandes estudios, lo que provoca una estimulación continuada del eje. Todos los principios activos de este grupo figuran en la Lista de Prohibiciones de la Agencia Mundial Antidopaje (grupo S2).</w:t>
      </w:r>
    </w:p>
    <w:bookmarkEnd w:id="1237"/>
    <w:bookmarkStart w:id="1274" w:name="sermorelina"/>
    <w:p>
      <w:pPr>
        <w:pStyle w:val="Heading2"/>
      </w:pPr>
      <w:r>
        <w:t xml:space="preserve">Sermorelina</w:t>
      </w:r>
    </w:p>
    <w:p>
      <w:pPr>
        <w:pStyle w:val="FirstParagraph"/>
      </w:pPr>
      <w:r>
        <w:t xml:space="preserve">La sermorelina es un fragmento de historia farmacéutica que vive una segunda vida en internet. En la década de 1990 estuvo autorizada como medicamento en EE. UU., primero como sustancia de prueba para el diagnóstico del déficit de hormona del crecimiento y después para el tratamiento de niños con talla baja. Desde finales de la década de 2000, el preparado original ha desaparecido del mercado. Hoy, la sermorelina se prescribe sobre todo como fórmula magistral en clínicas estadounidenses «antienvejecimiento» y de «salud masculina» y se ofrece en el mercado gris. Este capítulo muestra lo que los estudios antiguos demuestran realmente y lo que no.</w:t>
      </w:r>
    </w:p>
    <w:bookmarkStart w:id="1239" w:name="ficha-23"/>
    <w:p>
      <w:pPr>
        <w:pStyle w:val="Heading3"/>
      </w:pPr>
      <w:r>
        <w:t xml:space="preserve">Ficha</w:t>
      </w:r>
    </w:p>
    <w:p>
      <w:pPr>
        <w:numPr>
          <w:ilvl w:val="0"/>
          <w:numId w:val="1147"/>
        </w:numPr>
        <w:pStyle w:val="Compact"/>
      </w:pPr>
      <w:r>
        <w:rPr>
          <w:bCs/>
          <w:b/>
        </w:rPr>
        <w:t xml:space="preserve">Tipo y estructura:</w:t>
      </w:r>
      <w:r>
        <w:t xml:space="preserve"> </w:t>
      </w:r>
      <w:r>
        <w:t xml:space="preserve">péptido sintético de 29 aminoácidos; corresponde al segmento anterior, activo, de la hormona liberadora de la hormona del crecimiento propia del organismo, GHRH(1-29)NH2. Es el péptido sintético más corto con plena actividad GHRH</w:t>
      </w:r>
      <w:r>
        <w:rPr>
          <w:rStyle w:val="FootnoteReference"/>
        </w:rPr>
        <w:footnoteReference w:id="1238"/>
      </w:r>
      <w:r>
        <w:t xml:space="preserve">.</w:t>
      </w:r>
    </w:p>
    <w:p>
      <w:pPr>
        <w:numPr>
          <w:ilvl w:val="0"/>
          <w:numId w:val="1147"/>
        </w:numPr>
        <w:pStyle w:val="Compact"/>
      </w:pPr>
      <w:r>
        <w:rPr>
          <w:bCs/>
          <w:b/>
        </w:rPr>
        <w:t xml:space="preserve">Origen:</w:t>
      </w:r>
      <w:r>
        <w:t xml:space="preserve"> </w:t>
      </w:r>
      <w:r>
        <w:t xml:space="preserve">derivada en la década de 1980 de la GHRH natural; comercializada por Serono como Geref.</w:t>
      </w:r>
    </w:p>
    <w:p>
      <w:pPr>
        <w:numPr>
          <w:ilvl w:val="0"/>
          <w:numId w:val="1147"/>
        </w:numPr>
        <w:pStyle w:val="Compact"/>
      </w:pPr>
      <w:r>
        <w:rPr>
          <w:bCs/>
          <w:b/>
        </w:rPr>
        <w:t xml:space="preserve">Mecanismo de acción:</w:t>
      </w:r>
      <w:r>
        <w:t xml:space="preserve"> </w:t>
      </w:r>
      <w:r>
        <w:t xml:space="preserve">se une al receptor de la GHRH de la hipófisis y desencadena allí una liberación de hormona del crecimiento; se conserva la regulación propia del organismo (freno por la somatostatina, retroalimentación por el IGF-1).</w:t>
      </w:r>
    </w:p>
    <w:p>
      <w:pPr>
        <w:numPr>
          <w:ilvl w:val="0"/>
          <w:numId w:val="1147"/>
        </w:numPr>
        <w:pStyle w:val="Compact"/>
      </w:pPr>
      <w:r>
        <w:rPr>
          <w:bCs/>
          <w:b/>
        </w:rPr>
        <w:t xml:space="preserve">Autorización UE:</w:t>
      </w:r>
      <w:r>
        <w:t xml:space="preserve"> </w:t>
      </w:r>
      <w:r>
        <w:t xml:space="preserve">no (situación en 2026).</w:t>
      </w:r>
      <w:r>
        <w:t xml:space="preserve"> </w:t>
      </w:r>
      <w:r>
        <w:rPr>
          <w:bCs/>
          <w:b/>
        </w:rPr>
        <w:t xml:space="preserve">Autorización EE. UU.:</w:t>
      </w:r>
      <w:r>
        <w:t xml:space="preserve"> </w:t>
      </w:r>
      <w:r>
        <w:t xml:space="preserve">antes sí (Geref como agente diagnóstico y para el tratamiento de niños con déficit de hormona del crecimiento); el preparado original ya no está disponible desde finales de la década de 2000.</w:t>
      </w:r>
    </w:p>
    <w:p>
      <w:pPr>
        <w:numPr>
          <w:ilvl w:val="0"/>
          <w:numId w:val="1147"/>
        </w:numPr>
        <w:pStyle w:val="Compact"/>
      </w:pPr>
      <w:r>
        <w:rPr>
          <w:bCs/>
          <w:b/>
        </w:rPr>
        <w:t xml:space="preserve">WADA:</w:t>
      </w:r>
      <w:r>
        <w:t xml:space="preserve"> </w:t>
      </w:r>
      <w:r>
        <w:t xml:space="preserve">prohibida, grupo S2; la sermorelina se menciona expresamente como análogo de la GHRH.</w:t>
      </w:r>
    </w:p>
    <w:p>
      <w:pPr>
        <w:numPr>
          <w:ilvl w:val="0"/>
          <w:numId w:val="1147"/>
        </w:numPr>
        <w:pStyle w:val="Compact"/>
      </w:pPr>
      <w:r>
        <w:rPr>
          <w:bCs/>
          <w:b/>
        </w:rPr>
        <w:t xml:space="preserve">Nivel de evidencia: B</w:t>
      </w:r>
      <w:r>
        <w:t xml:space="preserve"> </w:t>
      </w:r>
      <w:r>
        <w:t xml:space="preserve">– algunos estudios pequeños aleatorizados o controlados, en su mayoría abiertos y de las décadas de 1980 y 1990; ningún estudio grande moderno.</w:t>
      </w:r>
    </w:p>
    <w:bookmarkEnd w:id="1239"/>
    <w:bookmarkStart w:id="1241" w:name="cómo-se-supone-que-actúa-23"/>
    <w:p>
      <w:pPr>
        <w:pStyle w:val="Heading3"/>
      </w:pPr>
      <w:r>
        <w:t xml:space="preserve">Cómo se supone que actúa</w:t>
      </w:r>
    </w:p>
    <w:p>
      <w:pPr>
        <w:pStyle w:val="FirstParagraph"/>
      </w:pPr>
      <w:r>
        <w:t xml:space="preserve">La hipófisis libera la hormona del crecimiento en pulsos. La señal de salida la da la GHRH, procedente del diencéfalo. La GHRH producida de forma natural tiene 44 aminoácidos; en la década de 1980, los investigadores constataron que los primeros 29 aminoácidos bastan para el efecto completo. De ahí surgió la sermorelina.</w:t>
      </w:r>
    </w:p>
    <w:p>
      <w:pPr>
        <w:pStyle w:val="BodyText"/>
      </w:pPr>
      <w:r>
        <w:t xml:space="preserve">La ventaja frente a la hormona del crecimiento inyectada residiría en que la hipófisis «decide también»: cuando hay suficiente IGF-1 en la sangre, el organismo frena por sí mismo a través de la somatostatina. Así, las sobredosis como las de la administración directa de GH serían menos probables. El inconveniente: la sermorelina solo actúa si la hipófisis aún puede producir hormona del crecimiento, y su efecto es corto: la semivida en sangre en el ser humano es de solo unos 10 a 20 minutos</w:t>
      </w:r>
      <w:r>
        <w:rPr>
          <w:rStyle w:val="FootnoteReference"/>
        </w:rPr>
        <w:footnoteReference w:id="1240"/>
      </w:r>
      <w:r>
        <w:t xml:space="preserve">. Por eso es eficaz sobre todo en trastornos situados en el diencéfalo, no en la propia hipófisis.</w:t>
      </w:r>
    </w:p>
    <w:bookmarkEnd w:id="1241"/>
    <w:bookmarkStart w:id="1258" w:name="estudios-en-humanos-23"/>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con el término «sermorelin»</w:t>
      </w:r>
      <w:r>
        <w:t xml:space="preserve"> </w:t>
      </w:r>
      <w:r>
        <w:rPr>
          <w:bCs/>
          <w:b/>
        </w:rPr>
        <w:t xml:space="preserve">no</w:t>
      </w:r>
      <w:r>
        <w:t xml:space="preserve"> </w:t>
      </w:r>
      <w:r>
        <w:t xml:space="preserve">encontró ningún estudio en humanos (</w:t>
      </w:r>
      <w:r>
        <w:rPr>
          <w:rStyle w:val="VerbatimChar"/>
        </w:rPr>
        <w:t xml:space="preserve">humanstudien_alle</w:t>
      </w:r>
      <w:r>
        <w:t xml:space="preserve">: 0) y</w:t>
      </w:r>
      <w:r>
        <w:t xml:space="preserve"> </w:t>
      </w:r>
      <w:r>
        <w:rPr>
          <w:bCs/>
          <w:b/>
        </w:rPr>
        <w:t xml:space="preserve">27</w:t>
      </w:r>
      <w:r>
        <w:t xml:space="preserve"> </w:t>
      </w:r>
      <w:r>
        <w:t xml:space="preserve">entradas en ClinicalTrials.gov. Ambas cifras engañan: la mayoría de los trabajos clínicos se publicaron con denominaciones como «GHRH(1-29)NH2», «GRF 1-29» o «Geref» y una búsqueda solo por nombre no los recoge. A la inversa, muchas de las 27 entradas del registro no se refieren en absoluto a la sermorelina, sino a la tesamorelina o a pruebas de GHRH en general. Una búsqueda adicional específica arrojó varias decenas de estudios clínicos, en su mayoría pequeños y anteriores al año 2000.</w:t>
      </w:r>
    </w:p>
    <w:bookmarkStart w:id="1247" w:name="X247f00a1e62d62511a0641e0576fe4f23887d66"/>
    <w:p>
      <w:pPr>
        <w:pStyle w:val="Heading4"/>
      </w:pPr>
      <w:r>
        <w:t xml:space="preserve">Niños con déficit de hormona del crecimiento</w:t>
      </w:r>
    </w:p>
    <w:p>
      <w:pPr>
        <w:pStyle w:val="FirstParagraph"/>
      </w:pPr>
      <w:r>
        <w:t xml:space="preserve">El principal campo de aplicación era el trastorno del crecimiento en niños. En un estudio abierto y multicéntrico del grupo de estudio de Geref, 110 niños prepuberales sin tratamiento previo recibieron durante un año sermorelina una vez al día por la noche. La velocidad de crecimiento aumentó de 4,1 cm por año a 8,0 cm a los seis meses y 7,2 cm a los doce meses; el 74 % se consideró buen respondedor a los seis meses. No aparecieron alteraciones analíticas llamativas</w:t>
      </w:r>
      <w:r>
        <w:rPr>
          <w:rStyle w:val="FootnoteReference"/>
        </w:rPr>
        <w:footnoteReference w:id="1242"/>
      </w:r>
      <w:r>
        <w:t xml:space="preserve">.</w:t>
      </w:r>
    </w:p>
    <w:p>
      <w:pPr>
        <w:pStyle w:val="BodyText"/>
      </w:pPr>
      <w:r>
        <w:t xml:space="preserve">Un estudio británico temprano con 18 niños mostró ya los límites: solo en 8 niños aumentó la velocidad de crecimiento en los primeros seis meses en más de 2 cm por año; en 14 niños se formaron anticuerpos contra el péptido, sin influencia reconocible en el crecimiento</w:t>
      </w:r>
      <w:r>
        <w:rPr>
          <w:rStyle w:val="FootnoteReference"/>
        </w:rPr>
        <w:footnoteReference w:id="1243"/>
      </w:r>
      <w:r>
        <w:t xml:space="preserve">. En un estudio aleatorizado con 43 niños, los niños crecieron más despacio con sermorelina en dosis bajas; solo con hormona del crecimiento mejoró la talla en relación con la edad ósea</w:t>
      </w:r>
      <w:r>
        <w:rPr>
          <w:rStyle w:val="FootnoteReference"/>
        </w:rPr>
        <w:footnoteReference w:id="1244"/>
      </w:r>
      <w:r>
        <w:t xml:space="preserve">. Una revisión constató que la sermorelina es eficaz en una parte de los niños, pero menos que la hormona del crecimiento, y que faltan datos sobre la talla final</w:t>
      </w:r>
      <w:r>
        <w:rPr>
          <w:rStyle w:val="FootnoteReference"/>
        </w:rPr>
        <w:footnoteReference w:id="1245"/>
      </w:r>
      <w:r>
        <w:t xml:space="preserve">.</w:t>
      </w:r>
    </w:p>
    <w:p>
      <w:pPr>
        <w:pStyle w:val="BodyText"/>
      </w:pPr>
      <w:r>
        <w:t xml:space="preserve">También en niños con talla baja idiopática (es decir, sin déficit hormonal demostrable) aumentó la velocidad de crecimiento con dos inyecciones diarias en un pequeño estudio con 18 niños; tras la retirada volvió a caer por debajo del valor inicial, y la glucemia en ayunas y la insulina aumentaron durante el tratamiento</w:t>
      </w:r>
      <w:r>
        <w:rPr>
          <w:rStyle w:val="FootnoteReference"/>
        </w:rPr>
        <w:footnoteReference w:id="1246"/>
      </w:r>
      <w:r>
        <w:t xml:space="preserve">.</w:t>
      </w:r>
    </w:p>
    <w:bookmarkEnd w:id="1247"/>
    <w:bookmarkStart w:id="1252" w:name="adultos-mayores"/>
    <w:p>
      <w:pPr>
        <w:pStyle w:val="Heading4"/>
      </w:pPr>
      <w:r>
        <w:t xml:space="preserve">Adultos mayores</w:t>
      </w:r>
    </w:p>
    <w:p>
      <w:pPr>
        <w:pStyle w:val="FirstParagraph"/>
      </w:pPr>
      <w:r>
        <w:t xml:space="preserve">Para el marketing actual («antienvejecimiento») son decisivos los estudios con personas mayores. Hay pocos, y son muy pequeños:</w:t>
      </w:r>
    </w:p>
    <w:p>
      <w:pPr>
        <w:numPr>
          <w:ilvl w:val="0"/>
          <w:numId w:val="1148"/>
        </w:numPr>
        <w:pStyle w:val="Compact"/>
      </w:pPr>
      <w:r>
        <w:t xml:space="preserve">19 mujeres y hombres sanos de entre 55 y 71 años recibieron, tras cuatro semanas de placebo, un análogo de la sermorelina durante 16 semanas. La hormona del crecimiento y el IGF-1 aumentaron, el grosor de la piel aumentó en ambos sexos, y la masa libre de grasa y la sensibilidad a la insulina solo en los hombres. Los hombres refirieron un mejor bienestar y un aumento de la libido; la calidad del sueño no cambió. Como efecto secundario se produjo un aumento transitorio de los lípidos sanguíneos</w:t>
      </w:r>
      <w:r>
        <w:rPr>
          <w:rStyle w:val="FootnoteReference"/>
        </w:rPr>
        <w:footnoteReference w:id="1248"/>
      </w:r>
      <w:r>
        <w:t xml:space="preserve">. El mismo grupo describió cambios en las células inmunitarias</w:t>
      </w:r>
      <w:r>
        <w:rPr>
          <w:rStyle w:val="FootnoteReference"/>
        </w:rPr>
        <w:footnoteReference w:id="1249"/>
      </w:r>
      <w:r>
        <w:t xml:space="preserve">. El estudio era solo de simple ciego y no tenía un grupo de control paralelo.</w:t>
      </w:r>
    </w:p>
    <w:p>
      <w:pPr>
        <w:numPr>
          <w:ilvl w:val="0"/>
          <w:numId w:val="1148"/>
        </w:numPr>
        <w:pStyle w:val="Compact"/>
      </w:pPr>
      <w:r>
        <w:t xml:space="preserve">En 11 hombres sanos de entre 64 y 76 años, seis semanas de inyecciones nocturnas aumentaron la liberación nocturna de GH, pero no cambiaron ni el IGF-1 ni la masa muscular o grasa; dos de seis mediciones de fuerza mejoraron</w:t>
      </w:r>
      <w:r>
        <w:rPr>
          <w:rStyle w:val="FootnoteReference"/>
        </w:rPr>
        <w:footnoteReference w:id="1250"/>
      </w:r>
      <w:r>
        <w:t xml:space="preserve">.</w:t>
      </w:r>
    </w:p>
    <w:p>
      <w:pPr>
        <w:pStyle w:val="FirstParagraph"/>
      </w:pPr>
      <w:r>
        <w:t xml:space="preserve">Dos estudios posteriores sobre la GHRH en personas mayores se interrumpieron con 5 y 13 participantes, respectivamente</w:t>
      </w:r>
      <w:r>
        <w:rPr>
          <w:rStyle w:val="FootnoteReference"/>
        </w:rPr>
        <w:footnoteReference w:id="1251"/>
      </w:r>
      <w:r>
        <w:t xml:space="preserve">.</w:t>
      </w:r>
    </w:p>
    <w:bookmarkEnd w:id="1252"/>
    <w:bookmarkStart w:id="1255" w:name="diagnóstico"/>
    <w:p>
      <w:pPr>
        <w:pStyle w:val="Heading4"/>
      </w:pPr>
      <w:r>
        <w:t xml:space="preserve">Diagnóstico</w:t>
      </w:r>
    </w:p>
    <w:p>
      <w:pPr>
        <w:pStyle w:val="FirstParagraph"/>
      </w:pPr>
      <w:r>
        <w:t xml:space="preserve">Como sustancia de prueba, la sermorelina se administraba por vía intravenosa para comprobar si la hipófisis responde a la GHRH. Combinada con el aminoácido arginina, esta prueba se consideraba en adultos una alternativa a la penosa prueba de hipoglucemia insulínica</w:t>
      </w:r>
      <w:r>
        <w:rPr>
          <w:rStyle w:val="FootnoteReference"/>
        </w:rPr>
        <w:footnoteReference w:id="1253"/>
      </w:r>
      <w:r>
        <w:t xml:space="preserve">. Cuando el agente diagnóstico dejó de estar disponible en EE. UU., un estudio en curso sobre una nueva prueba (macimorelina) tuvo que modificar su diseño</w:t>
      </w:r>
      <w:r>
        <w:rPr>
          <w:rStyle w:val="FootnoteReference"/>
        </w:rPr>
        <w:footnoteReference w:id="1254"/>
      </w:r>
      <w:r>
        <w:t xml:space="preserve">.</w:t>
      </w:r>
    </w:p>
    <w:bookmarkEnd w:id="1255"/>
    <w:bookmarkStart w:id="1257" w:name="la-medicina-masculina-moderna"/>
    <w:p>
      <w:pPr>
        <w:pStyle w:val="Heading4"/>
      </w:pPr>
      <w:r>
        <w:t xml:space="preserve">La «medicina masculina» moderna</w:t>
      </w:r>
    </w:p>
    <w:p>
      <w:pPr>
        <w:pStyle w:val="FirstParagraph"/>
      </w:pPr>
      <w:r>
        <w:t xml:space="preserve">Una revisión retrospectiva de historias clínicas de una clínica masculina estadounidense describió a 14 hombres jóvenes en tratamiento con testosterona a quienes se prescribió una combinación de sermorelina, GHRP-2 y GHRP-6. El IGF-1 aumentó de media de 159,5 a 239,0 ng/ml</w:t>
      </w:r>
      <w:r>
        <w:rPr>
          <w:rStyle w:val="FootnoteReference"/>
        </w:rPr>
        <w:footnoteReference w:id="1256"/>
      </w:r>
      <w:r>
        <w:t xml:space="preserve">. De los 105 hombres iniciales, solo 14 cumplían los criterios de inclusión; el trabajo no permite afirmaciones sobre la masa muscular, la pérdida de grasa o la seguridad.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Grupo de estudio de Geref (Thorner 1996), PMID 8772599</w:t>
            </w:r>
          </w:p>
        </w:tc>
        <w:tc>
          <w:tcPr/>
          <w:p>
            <w:pPr>
              <w:pStyle w:val="Compact"/>
              <w:jc w:val="left"/>
            </w:pPr>
            <w:r>
              <w:t xml:space="preserve">110 niños con déficit de GH, abierto, sin grupo de control</w:t>
            </w:r>
          </w:p>
        </w:tc>
        <w:tc>
          <w:tcPr/>
          <w:p>
            <w:pPr>
              <w:pStyle w:val="Compact"/>
              <w:jc w:val="left"/>
            </w:pPr>
            <w:r>
              <w:t xml:space="preserve">12 meses</w:t>
            </w:r>
          </w:p>
        </w:tc>
        <w:tc>
          <w:tcPr/>
          <w:p>
            <w:pPr>
              <w:pStyle w:val="Compact"/>
              <w:jc w:val="left"/>
            </w:pPr>
            <w:r>
              <w:t xml:space="preserve">crecimiento 4,1 → 7,2 cm/año</w:t>
            </w:r>
          </w:p>
        </w:tc>
      </w:tr>
      <w:tr>
        <w:tc>
          <w:tcPr/>
          <w:p>
            <w:pPr>
              <w:pStyle w:val="Compact"/>
              <w:jc w:val="left"/>
            </w:pPr>
            <w:r>
              <w:t xml:space="preserve">Comparación con GH (Neyzi 1993), PMID 8329826</w:t>
            </w:r>
          </w:p>
        </w:tc>
        <w:tc>
          <w:tcPr/>
          <w:p>
            <w:pPr>
              <w:pStyle w:val="Compact"/>
              <w:jc w:val="left"/>
            </w:pPr>
            <w:r>
              <w:t xml:space="preserve">43 niños, aleatorizado (2 dosis de sermorelina frente a GH)</w:t>
            </w:r>
          </w:p>
        </w:tc>
        <w:tc>
          <w:tcPr/>
          <w:p>
            <w:pPr>
              <w:pStyle w:val="Compact"/>
              <w:jc w:val="left"/>
            </w:pPr>
            <w:r>
              <w:t xml:space="preserve">6 meses</w:t>
            </w:r>
          </w:p>
        </w:tc>
        <w:tc>
          <w:tcPr/>
          <w:p>
            <w:pPr>
              <w:pStyle w:val="Compact"/>
              <w:jc w:val="left"/>
            </w:pPr>
            <w:r>
              <w:t xml:space="preserve">dosis alta similar a la GH, baja más débil</w:t>
            </w:r>
          </w:p>
        </w:tc>
      </w:tr>
      <w:tr>
        <w:tc>
          <w:tcPr/>
          <w:p>
            <w:pPr>
              <w:pStyle w:val="Compact"/>
              <w:jc w:val="left"/>
            </w:pPr>
            <w:r>
              <w:t xml:space="preserve">Adultos mayores (Khorram 1997), PMID 9141536</w:t>
            </w:r>
          </w:p>
        </w:tc>
        <w:tc>
          <w:tcPr/>
          <w:p>
            <w:pPr>
              <w:pStyle w:val="Compact"/>
              <w:jc w:val="left"/>
            </w:pPr>
            <w:r>
              <w:t xml:space="preserve">19 personas sanas, 55–71 años, simple ciego, fase previa con placebo</w:t>
            </w:r>
          </w:p>
        </w:tc>
        <w:tc>
          <w:tcPr/>
          <w:p>
            <w:pPr>
              <w:pStyle w:val="Compact"/>
              <w:jc w:val="left"/>
            </w:pPr>
            <w:r>
              <w:t xml:space="preserve">5 meses</w:t>
            </w:r>
          </w:p>
        </w:tc>
        <w:tc>
          <w:tcPr/>
          <w:p>
            <w:pPr>
              <w:pStyle w:val="Compact"/>
              <w:jc w:val="left"/>
            </w:pPr>
            <w:r>
              <w:t xml:space="preserve">IGF-1 ↑, masa libre de grasa ↑ solo en hombres</w:t>
            </w:r>
          </w:p>
        </w:tc>
      </w:tr>
      <w:tr>
        <w:tc>
          <w:tcPr/>
          <w:p>
            <w:pPr>
              <w:pStyle w:val="Compact"/>
              <w:jc w:val="left"/>
            </w:pPr>
            <w:r>
              <w:t xml:space="preserve">Hombres mayores (Vittone 1997), PMID 9005976</w:t>
            </w:r>
          </w:p>
        </w:tc>
        <w:tc>
          <w:tcPr/>
          <w:p>
            <w:pPr>
              <w:pStyle w:val="Compact"/>
              <w:jc w:val="left"/>
            </w:pPr>
            <w:r>
              <w:t xml:space="preserve">11 personas sanas, 64–76 años, sin grupo de control</w:t>
            </w:r>
          </w:p>
        </w:tc>
        <w:tc>
          <w:tcPr/>
          <w:p>
            <w:pPr>
              <w:pStyle w:val="Compact"/>
              <w:jc w:val="left"/>
            </w:pPr>
            <w:r>
              <w:t xml:space="preserve">6 semanas</w:t>
            </w:r>
          </w:p>
        </w:tc>
        <w:tc>
          <w:tcPr/>
          <w:p>
            <w:pPr>
              <w:pStyle w:val="Compact"/>
              <w:jc w:val="left"/>
            </w:pPr>
            <w:r>
              <w:t xml:space="preserve">GH ↑, IGF-1 y composición corporal sin cambios</w:t>
            </w:r>
          </w:p>
        </w:tc>
      </w:tr>
      <w:tr>
        <w:tc>
          <w:tcPr/>
          <w:p>
            <w:pPr>
              <w:pStyle w:val="Compact"/>
              <w:jc w:val="left"/>
            </w:pPr>
            <w:r>
              <w:t xml:space="preserve">Clínica masculina (Sigalos 2017), PMID 28830317</w:t>
            </w:r>
          </w:p>
        </w:tc>
        <w:tc>
          <w:tcPr/>
          <w:p>
            <w:pPr>
              <w:pStyle w:val="Compact"/>
              <w:jc w:val="left"/>
            </w:pPr>
            <w:r>
              <w:t xml:space="preserve">14 hombres, retrospectivo, combinación con GHRP-2/-6</w:t>
            </w:r>
          </w:p>
        </w:tc>
        <w:tc>
          <w:tcPr/>
          <w:p>
            <w:pPr>
              <w:pStyle w:val="Compact"/>
              <w:jc w:val="left"/>
            </w:pPr>
            <w:r>
              <w:t xml:space="preserve">media de 134 días</w:t>
            </w:r>
          </w:p>
        </w:tc>
        <w:tc>
          <w:tcPr/>
          <w:p>
            <w:pPr>
              <w:pStyle w:val="Compact"/>
              <w:jc w:val="left"/>
            </w:pPr>
            <w:r>
              <w:t xml:space="preserve">IGF-1 159,5 → 239,0 ng/ml</w:t>
            </w:r>
          </w:p>
        </w:tc>
      </w:tr>
    </w:tbl>
    <w:bookmarkEnd w:id="1257"/>
    <w:bookmarkEnd w:id="1258"/>
    <w:bookmarkStart w:id="1261" w:name="estudios-en-animales-y-de-laboratorio-23"/>
    <w:p>
      <w:pPr>
        <w:pStyle w:val="Heading3"/>
      </w:pPr>
      <w:r>
        <w:t xml:space="preserve">Estudios en animales y de laboratorio</w:t>
      </w:r>
    </w:p>
    <w:p>
      <w:pPr>
        <w:pStyle w:val="FirstParagraph"/>
      </w:pPr>
      <w:r>
        <w:t xml:space="preserve">La propia sermorelina se estudió en el laboratorio sobre todo en relación con su descubrimiento y con variantes de acción más prolongada, por ejemplo variantes acopladas a polietilenglicol que en ratas y cerdos actuaron durante más tiempo que el péptido sin modificar</w:t>
      </w:r>
      <w:r>
        <w:rPr>
          <w:rStyle w:val="FootnoteReference"/>
        </w:rPr>
        <w:footnoteReference w:id="1259"/>
      </w:r>
      <w:r>
        <w:t xml:space="preserve">. Un trabajo puramente computacional que comparó datos de actividad génica de pacientes con glioma con una base de datos de fármacos citó la sermorelina como posible candidata contra los tumores cerebrales recurrentes</w:t>
      </w:r>
      <w:r>
        <w:rPr>
          <w:rStyle w:val="FootnoteReference"/>
        </w:rPr>
        <w:footnoteReference w:id="1260"/>
      </w:r>
      <w:r>
        <w:t xml:space="preserve">. Es una hipótesis informática sin confirmación en laboratorio ni en pacientes, y contrasta llamativamente con la preocupación de que estimular el eje del crecimiento pueda más bien favorecer los tumores.</w:t>
      </w:r>
    </w:p>
    <w:bookmarkEnd w:id="1261"/>
    <w:bookmarkStart w:id="1267" w:name="riesgos-y-efectos-adversos-23"/>
    <w:p>
      <w:pPr>
        <w:pStyle w:val="Heading3"/>
      </w:pPr>
      <w:r>
        <w:t xml:space="preserve">Riesgos y efectos adversos</w:t>
      </w:r>
    </w:p>
    <w:p>
      <w:pPr>
        <w:pStyle w:val="FirstParagraph"/>
      </w:pPr>
      <w:r>
        <w:rPr>
          <w:bCs/>
          <w:b/>
        </w:rPr>
        <w:t xml:space="preserve">Demostrado (a partir de los datos de autorización y de estudios):</w:t>
      </w:r>
      <w:r>
        <w:t xml:space="preserve"> </w:t>
      </w:r>
      <w:r>
        <w:t xml:space="preserve">el enrojecimiento facial transitorio (flush) y el dolor en el lugar de inyección fueron los efectos secundarios más frecuentes</w:t>
      </w:r>
      <w:r>
        <w:rPr>
          <w:rStyle w:val="FootnoteReference"/>
        </w:rPr>
        <w:footnoteReference w:id="1262"/>
      </w:r>
      <w:r>
        <w:t xml:space="preserve">. Los anticuerpos contra la sermorelina aparecieron con frecuencia en niños, sin consecuencias reconocibles</w:t>
      </w:r>
      <w:r>
        <w:rPr>
          <w:rStyle w:val="FootnoteReference"/>
        </w:rPr>
        <w:footnoteReference w:id="1263"/>
      </w:r>
      <w:r>
        <w:t xml:space="preserve">. En algunos estudios aumentaron transitoriamente la glucemia, la insulina o los lípidos sanguíneos</w:t>
      </w:r>
      <w:r>
        <w:rPr>
          <w:rStyle w:val="FootnoteReference"/>
        </w:rPr>
        <w:footnoteReference w:id="1264"/>
      </w:r>
      <w:r>
        <w:t xml:space="preserve">.</w:t>
      </w:r>
    </w:p>
    <w:p>
      <w:pPr>
        <w:pStyle w:val="BodyText"/>
      </w:pPr>
      <w:r>
        <w:rPr>
          <w:bCs/>
          <w:b/>
        </w:rPr>
        <w:t xml:space="preserve">Riesgos a largo plazo:</w:t>
      </w:r>
      <w:r>
        <w:t xml:space="preserve"> </w:t>
      </w:r>
      <w:r>
        <w:t xml:space="preserve">no existen datos sistemáticos a largo plazo sobre la sermorelina en adultos. Un informe de caso describe a un culturista aficionado de 62 años que había utilizado durante unos 20 años hormona del crecimiento y liberadores de GH (entre ellos sermorelina con GHRP-6) y desarrolló dificultades para tragar por un gran osteofito en la columna cervical; los autores consideran posible una relación, pero no demostrada</w:t>
      </w:r>
      <w:r>
        <w:rPr>
          <w:rStyle w:val="FootnoteReference"/>
        </w:rPr>
        <w:footnoteReference w:id="1265"/>
      </w:r>
      <w:r>
        <w:t xml:space="preserve">. Sobre la cuestión de fondo de si una elevación continuada del IGF-1 aumenta el riesgo de cáncer, véanse la introducción a este grupo y la Parte IV.</w:t>
      </w:r>
    </w:p>
    <w:p>
      <w:pPr>
        <w:pStyle w:val="BodyText"/>
      </w:pPr>
      <w:r>
        <w:rPr>
          <w:bCs/>
          <w:b/>
        </w:rPr>
        <w:t xml:space="preserve">Mercado gris:</w:t>
      </w:r>
      <w:r>
        <w:t xml:space="preserve"> </w:t>
      </w:r>
      <w:r>
        <w:t xml:space="preserve">en una operación aduanera europea se encontraron, entre los preparados inyectables incautados, además de hormona del crecimiento y melanotán II, también productos de sermorelina, sin etiquetado y en parte sin principio activo</w:t>
      </w:r>
      <w:r>
        <w:rPr>
          <w:rStyle w:val="FootnoteReference"/>
        </w:rPr>
        <w:footnoteReference w:id="1266"/>
      </w:r>
      <w:r>
        <w:t xml:space="preserve">.</w:t>
      </w:r>
    </w:p>
    <w:bookmarkEnd w:id="1267"/>
    <w:bookmarkStart w:id="1271" w:name="situación-legal-23"/>
    <w:p>
      <w:pPr>
        <w:pStyle w:val="Heading3"/>
      </w:pPr>
      <w:r>
        <w:t xml:space="preserve">Situación legal</w:t>
      </w:r>
    </w:p>
    <w:p>
      <w:pPr>
        <w:pStyle w:val="FirstParagraph"/>
      </w:pPr>
      <w:r>
        <w:rPr>
          <w:iCs/>
          <w:i/>
        </w:rPr>
        <w:t xml:space="preserve">Situación en 2026, compruébalo en su versión actual.</w:t>
      </w:r>
    </w:p>
    <w:p>
      <w:pPr>
        <w:numPr>
          <w:ilvl w:val="0"/>
          <w:numId w:val="1149"/>
        </w:numPr>
        <w:pStyle w:val="Compact"/>
      </w:pPr>
      <w:r>
        <w:rPr>
          <w:bCs/>
          <w:b/>
        </w:rPr>
        <w:t xml:space="preserve">Antecedentes de la autorización en EE. UU.:</w:t>
      </w:r>
      <w:r>
        <w:t xml:space="preserve"> </w:t>
      </w:r>
      <w:r>
        <w:t xml:space="preserve">Geref estuvo autorizado en EE. UU. primero como agente diagnóstico y, desde la década de 1990, para el tratamiento de niños con déficit de hormona del crecimiento. El fabricante interrumpió la distribución hacia finales de la década de 2000; según la información de acceso público, por motivos de fabricación o económicos y no por un problema de seguridad recién detectado. Que el agente diagnóstico desapareció por esas fechas está documentado en un estudio</w:t>
      </w:r>
      <w:r>
        <w:rPr>
          <w:rStyle w:val="FootnoteReference"/>
        </w:rPr>
        <w:footnoteReference w:id="1268"/>
      </w:r>
      <w:r>
        <w:t xml:space="preserve">. Hoy no existe ningún medicamento fabricado industrialmente con una autorización válida.</w:t>
      </w:r>
    </w:p>
    <w:p>
      <w:pPr>
        <w:numPr>
          <w:ilvl w:val="0"/>
          <w:numId w:val="1149"/>
        </w:numPr>
        <w:pStyle w:val="Compact"/>
      </w:pPr>
      <w:r>
        <w:rPr>
          <w:bCs/>
          <w:b/>
        </w:rPr>
        <w:t xml:space="preserve">EE. UU. hoy:</w:t>
      </w:r>
      <w:r>
        <w:t xml:space="preserve"> </w:t>
      </w:r>
      <w:r>
        <w:t xml:space="preserve">la sermorelina la elaboran farmacias de formulación magistral (compounding) y se prescribe sobre todo en consultas antienvejecimiento. Si esto es lícito, y en qué condiciones, depende de las cambiantes normas de la FDA para los principios activos de formulación magistral, que se debaten de forma controvertida en círculos especializados</w:t>
      </w:r>
      <w:r>
        <w:rPr>
          <w:rStyle w:val="FootnoteReference"/>
        </w:rPr>
        <w:footnoteReference w:id="1269"/>
      </w:r>
      <w:r>
        <w:t xml:space="preserve">.</w:t>
      </w:r>
    </w:p>
    <w:p>
      <w:pPr>
        <w:numPr>
          <w:ilvl w:val="0"/>
          <w:numId w:val="1149"/>
        </w:numPr>
        <w:pStyle w:val="Compact"/>
      </w:pPr>
      <w:r>
        <w:rPr>
          <w:bCs/>
          <w:b/>
        </w:rPr>
        <w:t xml:space="preserve">UE, Alemania, Austria:</w:t>
      </w:r>
      <w:r>
        <w:t xml:space="preserve"> </w:t>
      </w:r>
      <w:r>
        <w:t xml:space="preserve">sin autorización y sin ningún medicamento comercializado. La dispensación para uso en humanos sin autorización es ilegal según la respectiva ley del medicamento; las etiquetas «solo para fines de investigación» no cambian nada.</w:t>
      </w:r>
    </w:p>
    <w:p>
      <w:pPr>
        <w:numPr>
          <w:ilvl w:val="0"/>
          <w:numId w:val="1149"/>
        </w:numPr>
        <w:pStyle w:val="Compact"/>
      </w:pPr>
      <w:r>
        <w:rPr>
          <w:bCs/>
          <w:b/>
        </w:rPr>
        <w:t xml:space="preserve">WADA:</w:t>
      </w:r>
      <w:r>
        <w:t xml:space="preserve"> </w:t>
      </w:r>
      <w:r>
        <w:t xml:space="preserve">prohibida (S2). Se han desarrollado métodos de detección de la sermorelina y sus productos de degradación en orina</w:t>
      </w:r>
      <w:r>
        <w:rPr>
          <w:rStyle w:val="FootnoteReference"/>
        </w:rPr>
        <w:footnoteReference w:id="1270"/>
      </w:r>
      <w:r>
        <w:t xml:space="preserve">.</w:t>
      </w:r>
    </w:p>
    <w:bookmarkEnd w:id="1271"/>
    <w:bookmarkStart w:id="1272" w:name="estudios-en-curso-y-perspectivas-23"/>
    <w:p>
      <w:pPr>
        <w:pStyle w:val="Heading3"/>
      </w:pPr>
      <w:r>
        <w:t xml:space="preserve">Estudios en curso y perspectivas</w:t>
      </w:r>
    </w:p>
    <w:p>
      <w:pPr>
        <w:pStyle w:val="FirstParagraph"/>
      </w:pPr>
      <w:r>
        <w:t xml:space="preserve">En octubre de 2026 no figura en ClinicalTrials.gov ningún estudio clínico en curso con la propia sermorelina; las entradas del registro con este término de búsqueda se refieren a estudios de GHRH concluidos o a la tesamorelina.</w:t>
      </w:r>
      <w:r>
        <w:t xml:space="preserve"> </w:t>
      </w:r>
      <w:r>
        <w:rPr>
          <w:iCs/>
          <w:i/>
        </w:rPr>
        <w:t xml:space="preserve">Valoración del autor:</w:t>
      </w:r>
      <w:r>
        <w:t xml:space="preserve"> </w:t>
      </w:r>
      <w:r>
        <w:t xml:space="preserve">no se vislumbra un regreso como medicamento autorizado. La demanda seguirá impulsada por clínicas y proveedores en línea, no por nuevos datos de estudios.</w:t>
      </w:r>
    </w:p>
    <w:bookmarkEnd w:id="1272"/>
    <w:bookmarkStart w:id="1273" w:name="conclusión-23"/>
    <w:p>
      <w:pPr>
        <w:pStyle w:val="Heading3"/>
      </w:pPr>
      <w:r>
        <w:t xml:space="preserve">Conclusión</w:t>
      </w:r>
    </w:p>
    <w:p>
      <w:pPr>
        <w:pStyle w:val="FirstParagraph"/>
      </w:pPr>
      <w:r>
        <w:t xml:space="preserve">La sermorelina estimula de forma fiable la liberación propia de hormona del crecimiento y estuvo autorizada en EE. UU. para niños con déficit de hormona del crecimiento, aunque allí actuó de forma más débil que la propia hormona del crecimiento. Los estudios en adultos mayores incluyen cada uno solo entre diez y veinte personas y muestran, a lo sumo, efectos pequeños e inconsistentes. Faltan pruebas de un beneficio como producto «antienvejecimiento» o para mejorar el rendimiento, así como datos de seguridad a largo plazo.</w:t>
      </w:r>
    </w:p>
    <w:bookmarkEnd w:id="1273"/>
    <w:bookmarkEnd w:id="1274"/>
    <w:bookmarkStart w:id="1314" w:name="tesamorelina"/>
    <w:p>
      <w:pPr>
        <w:pStyle w:val="Heading2"/>
      </w:pPr>
      <w:r>
        <w:t xml:space="preserve">Tesamorelina</w:t>
      </w:r>
    </w:p>
    <w:p>
      <w:pPr>
        <w:pStyle w:val="FirstParagraph"/>
      </w:pPr>
      <w:r>
        <w:t xml:space="preserve">La tesamorelina es el único péptido de este grupo que hoy está autorizado en EE. UU. como medicamento para tratamiento continuado, aunque para una situación muy concreta: el exceso de grasa abdominal en personas con VIH. Precisamente por eso resulta instructiva. Con la tesamorelina puede mostrarse qué consigue realmente, en estudios rigurosos y controlados con placebo, un aumento de la secreción propia de hormona del crecimiento, y qué no. En internet, en cambio, se promociona a menudo como «péptido contra la grasa abdominal» para todo el mundo. Este capítulo separa el uso demostrado de las esperanzas.</w:t>
      </w:r>
    </w:p>
    <w:bookmarkStart w:id="1277" w:name="ficha-24"/>
    <w:p>
      <w:pPr>
        <w:pStyle w:val="Heading3"/>
      </w:pPr>
      <w:r>
        <w:t xml:space="preserve">Ficha</w:t>
      </w:r>
    </w:p>
    <w:p>
      <w:pPr>
        <w:numPr>
          <w:ilvl w:val="0"/>
          <w:numId w:val="1150"/>
        </w:numPr>
        <w:pStyle w:val="Compact"/>
      </w:pPr>
      <w:r>
        <w:rPr>
          <w:bCs/>
          <w:b/>
        </w:rPr>
        <w:t xml:space="preserve">Tipo y estructura:</w:t>
      </w:r>
      <w:r>
        <w:t xml:space="preserve"> </w:t>
      </w:r>
      <w:r>
        <w:t xml:space="preserve">péptido sintético de 44 aminoácidos; corresponde a la hormona liberadora de la hormona del crecimiento humana completa, GHRH(1-44)</w:t>
      </w:r>
      <w:r>
        <w:rPr>
          <w:rStyle w:val="FootnoteReference"/>
        </w:rPr>
        <w:footnoteReference w:id="1275"/>
      </w:r>
      <w:r>
        <w:t xml:space="preserve">, a cuyo extremo inicial se ha acoplado un grupo químico adicional que retrasa su rápida degradación en la sangre.</w:t>
      </w:r>
    </w:p>
    <w:p>
      <w:pPr>
        <w:numPr>
          <w:ilvl w:val="0"/>
          <w:numId w:val="1150"/>
        </w:numPr>
        <w:pStyle w:val="Compact"/>
      </w:pPr>
      <w:r>
        <w:rPr>
          <w:bCs/>
          <w:b/>
        </w:rPr>
        <w:t xml:space="preserve">Origen:</w:t>
      </w:r>
      <w:r>
        <w:t xml:space="preserve"> </w:t>
      </w:r>
      <w:r>
        <w:t xml:space="preserve">desarrollada por la empresa canadiense Theratechnologies (nombre de desarrollo TH9507).</w:t>
      </w:r>
    </w:p>
    <w:p>
      <w:pPr>
        <w:numPr>
          <w:ilvl w:val="0"/>
          <w:numId w:val="1150"/>
        </w:numPr>
        <w:pStyle w:val="Compact"/>
      </w:pPr>
      <w:r>
        <w:rPr>
          <w:bCs/>
          <w:b/>
        </w:rPr>
        <w:t xml:space="preserve">Mecanismo de acción:</w:t>
      </w:r>
      <w:r>
        <w:t xml:space="preserve"> </w:t>
      </w:r>
      <w:r>
        <w:t xml:space="preserve">se une, como la GHRH propia del organismo, a su receptor en la hipófisis y aumenta así la secreción propia de hormona del crecimiento (GH), que sigue siendo pulsátil; como consecuencia aumenta el mensajero IGF-1.</w:t>
      </w:r>
    </w:p>
    <w:p>
      <w:pPr>
        <w:numPr>
          <w:ilvl w:val="0"/>
          <w:numId w:val="1150"/>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sí (Egrifta, desde 2010) para reducir el exceso de grasa abdominal en adultos con VIH y lipodistrofia</w:t>
      </w:r>
      <w:r>
        <w:rPr>
          <w:rStyle w:val="FootnoteReference"/>
        </w:rPr>
        <w:footnoteReference w:id="1276"/>
      </w:r>
      <w:r>
        <w:t xml:space="preserve">.</w:t>
      </w:r>
    </w:p>
    <w:p>
      <w:pPr>
        <w:numPr>
          <w:ilvl w:val="0"/>
          <w:numId w:val="1150"/>
        </w:numPr>
        <w:pStyle w:val="Compact"/>
      </w:pPr>
      <w:r>
        <w:rPr>
          <w:bCs/>
          <w:b/>
        </w:rPr>
        <w:t xml:space="preserve">WADA:</w:t>
      </w:r>
      <w:r>
        <w:t xml:space="preserve"> </w:t>
      </w:r>
      <w:r>
        <w:t xml:space="preserve">prohibida, grupo S2 (hormonas peptídicas, factores de crecimiento, sustancias relacionadas), incluida expresamente como análogo de la GHRH.</w:t>
      </w:r>
    </w:p>
    <w:p>
      <w:pPr>
        <w:numPr>
          <w:ilvl w:val="0"/>
          <w:numId w:val="1150"/>
        </w:numPr>
        <w:pStyle w:val="Compact"/>
      </w:pPr>
      <w:r>
        <w:rPr>
          <w:bCs/>
          <w:b/>
        </w:rPr>
        <w:t xml:space="preserve">Nivel de evidencia: A</w:t>
      </w:r>
      <w:r>
        <w:t xml:space="preserve"> </w:t>
      </w:r>
      <w:r>
        <w:t xml:space="preserve">– dos grandes estudios de fase 3 con 806 participantes en total, varios estudios aleatorizados más, autorización en EE. UU.</w:t>
      </w:r>
    </w:p>
    <w:bookmarkEnd w:id="1277"/>
    <w:bookmarkStart w:id="1278" w:name="cómo-se-supone-que-actúa-24"/>
    <w:p>
      <w:pPr>
        <w:pStyle w:val="Heading3"/>
      </w:pPr>
      <w:r>
        <w:t xml:space="preserve">Cómo se supone que actúa</w:t>
      </w:r>
    </w:p>
    <w:p>
      <w:pPr>
        <w:pStyle w:val="FirstParagraph"/>
      </w:pPr>
      <w:r>
        <w:t xml:space="preserve">La hipófisis no libera la hormona del crecimiento de manera uniforme, sino en pulsos, sobre todo por la noche. Esto lo regulan dos antagonistas del diencéfalo: la GHRH acelera y la somatostatina frena. La propia hormona del crecimiento degrada grasa –en especial la grasa situada entre los órganos de la cavidad abdominal (grasa visceral)– y estimula al hígado a producir IGF-1, que media muchos de los efectos anabólicos.</w:t>
      </w:r>
    </w:p>
    <w:p>
      <w:pPr>
        <w:pStyle w:val="BodyText"/>
      </w:pPr>
      <w:r>
        <w:t xml:space="preserve">Con determinados tratamientos contra el VIH, sobre todo los más antiguos, algunas personas acumulan una cantidad llamativa de grasa abdominal, mientras que brazos y piernas tienden a adelgazar. Esta redistribución de la grasa se denomina lipodistrofia. En las personas afectadas, la secreción de hormona del crecimiento suele estar reducida. La idea de la tesamorelina: en lugar de inyectar hormona del crecimiento desde fuera, se estimula la propia hipófisis. Como se conservan los circuitos de retroalimentación del organismo, los niveles excesivos y sus efectos adversos deberían ser menos frecuentes que con la administración directa de GH, una suposición que los estudios respaldan en parte, pero no por completo.</w:t>
      </w:r>
    </w:p>
    <w:bookmarkEnd w:id="1278"/>
    <w:bookmarkStart w:id="1296" w:name="estudios-en-humanos-24"/>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23</w:t>
      </w:r>
      <w:r>
        <w:t xml:space="preserve"> </w:t>
      </w:r>
      <w:r>
        <w:t xml:space="preserve">estudios en humanos en PubMed (</w:t>
      </w:r>
      <w:r>
        <w:rPr>
          <w:rStyle w:val="VerbatimChar"/>
        </w:rPr>
        <w:t xml:space="preserve">humanstudien_alle</w:t>
      </w:r>
      <w:r>
        <w:t xml:space="preserve">) y</w:t>
      </w:r>
      <w:r>
        <w:t xml:space="preserve"> </w:t>
      </w:r>
      <w:r>
        <w:rPr>
          <w:bCs/>
          <w:b/>
        </w:rPr>
        <w:t xml:space="preserve">24</w:t>
      </w:r>
      <w:r>
        <w:t xml:space="preserve"> </w:t>
      </w:r>
      <w:r>
        <w:t xml:space="preserve">entradas en ClinicalTrials.gov; una de ellas (promotor «Hudson Biotech», con el añadido «Mock Study» en el título) es al parecer un registro ficticio de ejemplo y no se cuenta aquí, de modo que quedan</w:t>
      </w:r>
      <w:r>
        <w:t xml:space="preserve"> </w:t>
      </w:r>
      <w:r>
        <w:rPr>
          <w:bCs/>
          <w:b/>
        </w:rPr>
        <w:t xml:space="preserve">23</w:t>
      </w:r>
      <w:r>
        <w:t xml:space="preserve"> </w:t>
      </w:r>
      <w:r>
        <w:t xml:space="preserve">estudios registrados reales. A ello se suman tres revisiones sistemáticas con metaanálisis.</w:t>
      </w:r>
    </w:p>
    <w:bookmarkStart w:id="1284" w:name="los-estudios-de-autorización"/>
    <w:p>
      <w:pPr>
        <w:pStyle w:val="Heading4"/>
      </w:pPr>
      <w:r>
        <w:t xml:space="preserve">Los estudios de autorización</w:t>
      </w:r>
    </w:p>
    <w:p>
      <w:pPr>
        <w:pStyle w:val="FirstParagraph"/>
      </w:pPr>
      <w:r>
        <w:t xml:space="preserve">La autorización se basa en dos estudios de fase 3 de diseño casi idéntico en personas con VIH y exceso de grasa abdominal. En ambos, los participantes recibieron en proporción 2:1 tesamorelina o un medicamento simulado (placebo) inyectado diariamente bajo la piel; tras 26 semanas siguió una fase de extensión en la que una parte del grupo de tesamorelina continuó el tratamiento y otra pasó a placebo.</w:t>
      </w:r>
    </w:p>
    <w:p>
      <w:pPr>
        <w:pStyle w:val="BodyText"/>
      </w:pPr>
      <w:r>
        <w:t xml:space="preserve">En el primer estudio, con 412 participantes (86 % hombres), la grasa visceral, medida por tomografía computarizada, disminuyó un 15,2 % con tesamorelina y aumentó un 5,0 % con placebo. Los triglicéridos (grasas en sangre) bajaron 50 mg/dl frente a un aumento de 9 mg/dl. El IGF-1 aumentó un 81,0 %. Los valores de glucosa no difirieron de forma significativa; sin embargo, en el grupo de tesamorelina abandonaron más participantes por efectos adversos</w:t>
      </w:r>
      <w:r>
        <w:rPr>
          <w:rStyle w:val="FootnoteReference"/>
        </w:rPr>
        <w:footnoteReference w:id="1279"/>
      </w:r>
      <w:r>
        <w:t xml:space="preserve">. A lo largo de 52 semanas, con tratamiento continuado, la reducción de grasa abdominal se mantuvo en torno a −18 %; tras la suspensión, la grasa volvió</w:t>
      </w:r>
      <w:r>
        <w:rPr>
          <w:rStyle w:val="FootnoteReference"/>
        </w:rPr>
        <w:footnoteReference w:id="1280"/>
      </w:r>
      <w:r>
        <w:t xml:space="preserve">.</w:t>
      </w:r>
    </w:p>
    <w:p>
      <w:pPr>
        <w:pStyle w:val="BodyText"/>
      </w:pPr>
      <w:r>
        <w:t xml:space="preserve">El segundo estudio, con 404 participantes, lo confirmó: −10,9 % de grasa visceral con tesamorelina frente a −0,6 % con placebo a los seis meses, sin cambios en la grasa subcutánea de brazos, piernas y abdomen, y una rápida pérdida del efecto tras el cambio a placebo</w:t>
      </w:r>
      <w:r>
        <w:rPr>
          <w:rStyle w:val="FootnoteReference"/>
        </w:rPr>
        <w:footnoteReference w:id="1281"/>
      </w:r>
      <w:r>
        <w:t xml:space="preserve">.</w:t>
      </w:r>
    </w:p>
    <w:p>
      <w:pPr>
        <w:pStyle w:val="BodyText"/>
      </w:pPr>
      <w:r>
        <w:t xml:space="preserve">El análisis conjunto de ambos estudios con 806 personas mostró a las 26 semanas un efecto del tratamiento de −15,4 % en la grasa visceral, mejoras en los triglicéridos y en el cociente entre colesterol total y colesterol HDL, así como en la satisfacción con el aspecto del abdomen. Los autores no encontraron diferencias clínicamente relevantes en los valores de glucosa</w:t>
      </w:r>
      <w:r>
        <w:rPr>
          <w:rStyle w:val="FootnoteReference"/>
        </w:rPr>
        <w:footnoteReference w:id="1282"/>
      </w:r>
      <w:r>
        <w:t xml:space="preserve">. No todas las personas se benefician por igual: un análisis posterior definió de antemano como «respuesta» una reducción de la grasa abdominal de al menos un 8 %. En estos respondedores, los triglicéridos bajaron de forma claramente más marcada y la glucosa y la HbA1c se mantuvieron en gran medida estables; en los no respondedores, la glucosa en ayunas y la HbA1c aumentaron ligeramente (análisis a posteriori)</w:t>
      </w:r>
      <w:r>
        <w:rPr>
          <w:rStyle w:val="FootnoteReference"/>
        </w:rPr>
        <w:footnoteReference w:id="1283"/>
      </w:r>
      <w:r>
        <w:t xml:space="preserve">.</w:t>
      </w:r>
    </w:p>
    <w:bookmarkEnd w:id="1284"/>
    <w:bookmarkStart w:id="1287" w:name="grasa-hepática"/>
    <w:p>
      <w:pPr>
        <w:pStyle w:val="Heading4"/>
      </w:pPr>
      <w:r>
        <w:t xml:space="preserve">Grasa hepática</w:t>
      </w:r>
    </w:p>
    <w:p>
      <w:pPr>
        <w:pStyle w:val="FirstParagraph"/>
      </w:pPr>
      <w:r>
        <w:t xml:space="preserve">Especialmente interesante es el efecto sobre el hígado graso. En un estudio más pequeño con 50 personas con VIH disminuyó, además de la grasa abdominal, la grasa hepática; la glucosa en ayunas aumentó transitoriamente a las dos semanas, y a los seis meses ya no había diferencia significativa</w:t>
      </w:r>
      <w:r>
        <w:rPr>
          <w:rStyle w:val="FootnoteReference"/>
        </w:rPr>
        <w:footnoteReference w:id="1285"/>
      </w:r>
      <w:r>
        <w:t xml:space="preserve">. Un estudio aleatorizado y doble ciego posterior examinó específicamente a 61 personas con VIH y enfermedad del hígado graso no alcohólico durante doce meses con biopsias hepáticas. La fracción de grasa hepática bajó en términos absolutos 4,1 puntos porcentuales más que con placebo, y en términos relativos un 37 %; al final, el 35 % del grupo de tesamorelina, pero solo el 4 % del grupo placebo, quedaba por debajo del umbral de hígado graso del 5 %</w:t>
      </w:r>
      <w:r>
        <w:rPr>
          <w:rStyle w:val="FootnoteReference"/>
        </w:rPr>
        <w:footnoteReference w:id="1286"/>
      </w:r>
      <w:r>
        <w:t xml:space="preserve">. No se ha estudiado si esto previene a largo plazo la cirrosis o el cáncer de hígado.</w:t>
      </w:r>
    </w:p>
    <w:bookmarkEnd w:id="1287"/>
    <w:bookmarkStart w:id="1292" w:name="otras-aplicaciones"/>
    <w:p>
      <w:pPr>
        <w:pStyle w:val="Heading4"/>
      </w:pPr>
      <w:r>
        <w:t xml:space="preserve">Otras aplicaciones</w:t>
      </w:r>
    </w:p>
    <w:p>
      <w:pPr>
        <w:pStyle w:val="FirstParagraph"/>
      </w:pPr>
      <w:r>
        <w:t xml:space="preserve">Fuera del VIH solo hay estudios más pequeños:</w:t>
      </w:r>
    </w:p>
    <w:p>
      <w:pPr>
        <w:numPr>
          <w:ilvl w:val="0"/>
          <w:numId w:val="1151"/>
        </w:numPr>
        <w:pStyle w:val="Compact"/>
      </w:pPr>
      <w:r>
        <w:t xml:space="preserve">En 60 personas con obesidad abdominal y secreción reducida de GH (sin VIH), la tesamorelina redujo durante doce meses la grasa visceral, los triglicéridos, la proteína C reactiva y el grosor de la pared de la arteria carótida, sin empeorar los valores de glucosa</w:t>
      </w:r>
      <w:r>
        <w:rPr>
          <w:rStyle w:val="FootnoteReference"/>
        </w:rPr>
        <w:footnoteReference w:id="1288"/>
      </w:r>
      <w:r>
        <w:t xml:space="preserve">.</w:t>
      </w:r>
    </w:p>
    <w:p>
      <w:pPr>
        <w:numPr>
          <w:ilvl w:val="0"/>
          <w:numId w:val="1151"/>
        </w:numPr>
        <w:pStyle w:val="Compact"/>
      </w:pPr>
      <w:r>
        <w:t xml:space="preserve">En 53 personas con diabetes de tipo 2, ni la respuesta insulínica ni la HbA1c cambiaron frente a placebo a lo largo de doce semanas</w:t>
      </w:r>
      <w:r>
        <w:rPr>
          <w:rStyle w:val="FootnoteReference"/>
        </w:rPr>
        <w:footnoteReference w:id="1289"/>
      </w:r>
      <w:r>
        <w:t xml:space="preserve">.</w:t>
      </w:r>
    </w:p>
    <w:p>
      <w:pPr>
        <w:numPr>
          <w:ilvl w:val="0"/>
          <w:numId w:val="1151"/>
        </w:numPr>
        <w:pStyle w:val="Compact"/>
      </w:pPr>
      <w:r>
        <w:t xml:space="preserve">En un estudio con 152 adultos mayores (de 55 a 87 años), 66 de ellos con deterioro cognitivo leve, se observó a las 20 semanas un efecto favorable en la valoración global del rendimiento cognitivo, sobre todo en las funciones ejecutivas. Refirieron efectos adversos –en su mayoría leves– el 68 % con tesamorelina frente al 36 % con placebo</w:t>
      </w:r>
      <w:r>
        <w:rPr>
          <w:rStyle w:val="FootnoteReference"/>
        </w:rPr>
        <w:footnoteReference w:id="1290"/>
      </w:r>
      <w:r>
        <w:t xml:space="preserve">. Falta un estudio de confirmación.</w:t>
      </w:r>
    </w:p>
    <w:p>
      <w:pPr>
        <w:numPr>
          <w:ilvl w:val="0"/>
          <w:numId w:val="1151"/>
        </w:numPr>
        <w:pStyle w:val="Compact"/>
      </w:pPr>
      <w:r>
        <w:t xml:space="preserve">En 73 personas con VIH, obesidad abdominal y limitaciones cognitivas, un estudio abierto de fase 2 no mostró diferencias significativas en el rendimiento cognitivo frente al tratamiento estándar</w:t>
      </w:r>
      <w:r>
        <w:rPr>
          <w:rStyle w:val="FootnoteReference"/>
        </w:rPr>
        <w:footnoteReference w:id="1291"/>
      </w:r>
      <w:r>
        <w:t xml:space="preserve">.</w:t>
      </w:r>
    </w:p>
    <w:bookmarkEnd w:id="1292"/>
    <w:bookmarkStart w:id="1295" w:name="metaanálisis"/>
    <w:p>
      <w:pPr>
        <w:pStyle w:val="Heading4"/>
      </w:pPr>
      <w:r>
        <w:t xml:space="preserve">Metaanálisis</w:t>
      </w:r>
    </w:p>
    <w:p>
      <w:pPr>
        <w:pStyle w:val="FirstParagraph"/>
      </w:pPr>
      <w:r>
        <w:t xml:space="preserve">Dos metaanálisis del año 2026 resumen los estudios aleatorizados en la lipodistrofia asociada al VIH. Uno de ellos (cuatro estudios, 909 personas) encontró una reducción de la grasa visceral, del perímetro de cintura en 1,61 cm y de la grasa del tronco, así como un aumento de la masa libre de grasa de 1,42 kg; la tasa de abandono por efectos adversos tendía a ser mayor (razón de riesgos 2,25, por poco no significativa estadísticamente)</w:t>
      </w:r>
      <w:r>
        <w:rPr>
          <w:rStyle w:val="FootnoteReference"/>
        </w:rPr>
        <w:footnoteReference w:id="1293"/>
      </w:r>
      <w:r>
        <w:t xml:space="preserve">. El otro (cinco estudios) confirmó la disminución de la grasa hepática en 4,28 puntos porcentuales y citó como efectos adversos típicos los dolores articulares y musculares, las parestesias y las reacciones cutáneas en el lugar de inyección</w:t>
      </w:r>
      <w:r>
        <w:rPr>
          <w:rStyle w:val="FootnoteReference"/>
        </w:rPr>
        <w:footnoteReference w:id="1294"/>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3, estudio 1 (Falutz 2007), PMID 18057338</w:t>
            </w:r>
          </w:p>
        </w:tc>
        <w:tc>
          <w:tcPr/>
          <w:p>
            <w:pPr>
              <w:pStyle w:val="Compact"/>
              <w:jc w:val="left"/>
            </w:pPr>
            <w:r>
              <w:t xml:space="preserve">412 personas con VIH y grasa abdominal, ECA frente a placebo</w:t>
            </w:r>
          </w:p>
        </w:tc>
        <w:tc>
          <w:tcPr/>
          <w:p>
            <w:pPr>
              <w:pStyle w:val="Compact"/>
              <w:jc w:val="left"/>
            </w:pPr>
            <w:r>
              <w:t xml:space="preserve">26 semanas</w:t>
            </w:r>
          </w:p>
        </w:tc>
        <w:tc>
          <w:tcPr/>
          <w:p>
            <w:pPr>
              <w:pStyle w:val="Compact"/>
              <w:jc w:val="left"/>
            </w:pPr>
            <w:r>
              <w:t xml:space="preserve">grasa visceral −15,2 % frente a +5,0 %</w:t>
            </w:r>
          </w:p>
        </w:tc>
      </w:tr>
      <w:tr>
        <w:tc>
          <w:tcPr/>
          <w:p>
            <w:pPr>
              <w:pStyle w:val="Compact"/>
              <w:jc w:val="left"/>
            </w:pPr>
            <w:r>
              <w:t xml:space="preserve">Fase 3, estudio 2 (Falutz 2010), PMID 20101189</w:t>
            </w:r>
          </w:p>
        </w:tc>
        <w:tc>
          <w:tcPr/>
          <w:p>
            <w:pPr>
              <w:pStyle w:val="Compact"/>
              <w:jc w:val="left"/>
            </w:pPr>
            <w:r>
              <w:t xml:space="preserve">404 personas con VIH, ECA con fase de extensión</w:t>
            </w:r>
          </w:p>
        </w:tc>
        <w:tc>
          <w:tcPr/>
          <w:p>
            <w:pPr>
              <w:pStyle w:val="Compact"/>
              <w:jc w:val="left"/>
            </w:pPr>
            <w:r>
              <w:t xml:space="preserve">12 meses</w:t>
            </w:r>
          </w:p>
        </w:tc>
        <w:tc>
          <w:tcPr/>
          <w:p>
            <w:pPr>
              <w:pStyle w:val="Compact"/>
              <w:jc w:val="left"/>
            </w:pPr>
            <w:r>
              <w:t xml:space="preserve">−10,9 % frente a −0,6 % a los 6 meses; el efecto se pierde al suspender</w:t>
            </w:r>
          </w:p>
        </w:tc>
      </w:tr>
      <w:tr>
        <w:tc>
          <w:tcPr/>
          <w:p>
            <w:pPr>
              <w:pStyle w:val="Compact"/>
              <w:jc w:val="left"/>
            </w:pPr>
            <w:r>
              <w:t xml:space="preserve">Análisis agrupado (Falutz 2010), PMID 20554713</w:t>
            </w:r>
          </w:p>
        </w:tc>
        <w:tc>
          <w:tcPr/>
          <w:p>
            <w:pPr>
              <w:pStyle w:val="Compact"/>
              <w:jc w:val="left"/>
            </w:pPr>
            <w:r>
              <w:t xml:space="preserve">806 personas de ambos estudios de fase 3</w:t>
            </w:r>
          </w:p>
        </w:tc>
        <w:tc>
          <w:tcPr/>
          <w:p>
            <w:pPr>
              <w:pStyle w:val="Compact"/>
              <w:jc w:val="left"/>
            </w:pPr>
            <w:r>
              <w:t xml:space="preserve">26–52 semanas</w:t>
            </w:r>
          </w:p>
        </w:tc>
        <w:tc>
          <w:tcPr/>
          <w:p>
            <w:pPr>
              <w:pStyle w:val="Compact"/>
              <w:jc w:val="left"/>
            </w:pPr>
            <w:r>
              <w:t xml:space="preserve">efecto del tratamiento −15,4 %; glucosa sin cambios clínicamente relevantes</w:t>
            </w:r>
          </w:p>
        </w:tc>
      </w:tr>
      <w:tr>
        <w:tc>
          <w:tcPr/>
          <w:p>
            <w:pPr>
              <w:pStyle w:val="Compact"/>
              <w:jc w:val="left"/>
            </w:pPr>
            <w:r>
              <w:t xml:space="preserve">Hígado graso en el VIH (Stanley 2019), PMID 31611038</w:t>
            </w:r>
          </w:p>
        </w:tc>
        <w:tc>
          <w:tcPr/>
          <w:p>
            <w:pPr>
              <w:pStyle w:val="Compact"/>
              <w:jc w:val="left"/>
            </w:pPr>
            <w:r>
              <w:t xml:space="preserve">61 personas con VIH e hígado graso, ECA</w:t>
            </w:r>
          </w:p>
        </w:tc>
        <w:tc>
          <w:tcPr/>
          <w:p>
            <w:pPr>
              <w:pStyle w:val="Compact"/>
              <w:jc w:val="left"/>
            </w:pPr>
            <w:r>
              <w:t xml:space="preserve">12 meses</w:t>
            </w:r>
          </w:p>
        </w:tc>
        <w:tc>
          <w:tcPr/>
          <w:p>
            <w:pPr>
              <w:pStyle w:val="Compact"/>
              <w:jc w:val="left"/>
            </w:pPr>
            <w:r>
              <w:t xml:space="preserve">fracción de grasa hepática −4,1 puntos porcentuales frente a placebo</w:t>
            </w:r>
          </w:p>
        </w:tc>
      </w:tr>
      <w:tr>
        <w:tc>
          <w:tcPr/>
          <w:p>
            <w:pPr>
              <w:pStyle w:val="Compact"/>
              <w:jc w:val="left"/>
            </w:pPr>
            <w:r>
              <w:t xml:space="preserve">Sin VIH (Makimura 2012), PMID 23015655</w:t>
            </w:r>
          </w:p>
        </w:tc>
        <w:tc>
          <w:tcPr/>
          <w:p>
            <w:pPr>
              <w:pStyle w:val="Compact"/>
              <w:jc w:val="left"/>
            </w:pPr>
            <w:r>
              <w:t xml:space="preserve">60 adultos con obesidad abdominal, ECA</w:t>
            </w:r>
          </w:p>
        </w:tc>
        <w:tc>
          <w:tcPr/>
          <w:p>
            <w:pPr>
              <w:pStyle w:val="Compact"/>
              <w:jc w:val="left"/>
            </w:pPr>
            <w:r>
              <w:t xml:space="preserve">12 meses</w:t>
            </w:r>
          </w:p>
        </w:tc>
        <w:tc>
          <w:tcPr/>
          <w:p>
            <w:pPr>
              <w:pStyle w:val="Compact"/>
              <w:jc w:val="left"/>
            </w:pPr>
            <w:r>
              <w:t xml:space="preserve">grasa visceral −35 cm² frente a placebo</w:t>
            </w:r>
          </w:p>
        </w:tc>
      </w:tr>
      <w:tr>
        <w:tc>
          <w:tcPr/>
          <w:p>
            <w:pPr>
              <w:pStyle w:val="Compact"/>
              <w:jc w:val="left"/>
            </w:pPr>
            <w:r>
              <w:t xml:space="preserve">Cognición en la vejez (Baker 2012), PMID 22869065</w:t>
            </w:r>
          </w:p>
        </w:tc>
        <w:tc>
          <w:tcPr/>
          <w:p>
            <w:pPr>
              <w:pStyle w:val="Compact"/>
              <w:jc w:val="left"/>
            </w:pPr>
            <w:r>
              <w:t xml:space="preserve">152 personas mayores, 66 de ellas con deterioro cognitivo leve, ECA</w:t>
            </w:r>
          </w:p>
        </w:tc>
        <w:tc>
          <w:tcPr/>
          <w:p>
            <w:pPr>
              <w:pStyle w:val="Compact"/>
              <w:jc w:val="left"/>
            </w:pPr>
            <w:r>
              <w:t xml:space="preserve">20 semanas</w:t>
            </w:r>
          </w:p>
        </w:tc>
        <w:tc>
          <w:tcPr/>
          <w:p>
            <w:pPr>
              <w:pStyle w:val="Compact"/>
              <w:jc w:val="left"/>
            </w:pPr>
            <w:r>
              <w:t xml:space="preserve">efecto favorable en el rendimiento cognitivo; más efectos adversos</w:t>
            </w:r>
          </w:p>
        </w:tc>
      </w:tr>
      <w:tr>
        <w:tc>
          <w:tcPr/>
          <w:p>
            <w:pPr>
              <w:pStyle w:val="Compact"/>
              <w:jc w:val="left"/>
            </w:pPr>
            <w:r>
              <w:t xml:space="preserve">Metaanálisis (Ditta 2026), PMID 42538058</w:t>
            </w:r>
          </w:p>
        </w:tc>
        <w:tc>
          <w:tcPr/>
          <w:p>
            <w:pPr>
              <w:pStyle w:val="Compact"/>
              <w:jc w:val="left"/>
            </w:pPr>
            <w:r>
              <w:t xml:space="preserve">4 ECA, 909 personas con VIH</w:t>
            </w:r>
          </w:p>
        </w:tc>
        <w:tc>
          <w:tcPr/>
          <w:p>
            <w:pPr>
              <w:pStyle w:val="Compact"/>
              <w:jc w:val="left"/>
            </w:pPr>
            <w:r>
              <w:t xml:space="preserve">–</w:t>
            </w:r>
          </w:p>
        </w:tc>
        <w:tc>
          <w:tcPr/>
          <w:p>
            <w:pPr>
              <w:pStyle w:val="Compact"/>
              <w:jc w:val="left"/>
            </w:pPr>
            <w:r>
              <w:t xml:space="preserve">menos grasa visceral, +1,42 kg de masa libre de grasa</w:t>
            </w:r>
          </w:p>
        </w:tc>
      </w:tr>
    </w:tbl>
    <w:bookmarkEnd w:id="1295"/>
    <w:bookmarkEnd w:id="1296"/>
    <w:bookmarkStart w:id="1300" w:name="estudios-en-animales-y-de-laboratorio-24"/>
    <w:p>
      <w:pPr>
        <w:pStyle w:val="Heading3"/>
      </w:pPr>
      <w:r>
        <w:t xml:space="preserve">Estudios en animales y de laboratorio</w:t>
      </w:r>
    </w:p>
    <w:p>
      <w:pPr>
        <w:pStyle w:val="FirstParagraph"/>
      </w:pPr>
      <w:r>
        <w:t xml:space="preserve">Para la tesamorelina en sí existe comparativamente poca investigación propia en animales; su desarrollo se basó en la GHRH endógena, bien estudiada. Una revisión analiza si la estimulación del eje de la hormona del crecimiento podría favorecer la regeneración de nervios lesionados y se apoya para ello sobre todo en estudios en animales y de mecanismo</w:t>
      </w:r>
      <w:r>
        <w:rPr>
          <w:rStyle w:val="FootnoteReference"/>
        </w:rPr>
        <w:footnoteReference w:id="1297"/>
      </w:r>
      <w:r>
        <w:t xml:space="preserve">. Hay registrado un pequeño estudio de fase 2 al respecto en humanos</w:t>
      </w:r>
      <w:r>
        <w:rPr>
          <w:rStyle w:val="FootnoteReference"/>
        </w:rPr>
        <w:footnoteReference w:id="1298"/>
      </w:r>
      <w:r>
        <w:t xml:space="preserve">.</w:t>
      </w:r>
    </w:p>
    <w:p>
      <w:pPr>
        <w:pStyle w:val="BodyText"/>
      </w:pPr>
      <w:r>
        <w:t xml:space="preserve">Un análisis tisular de las biopsias hepáticas del estudio sobre hígado graso mostró que, con tesamorelina, los grupos de genes de la obtención de energía en las mitocondrias estaban más activos y los grupos de genes de la inflamación, la remodelación tisular y la división celular menos activos que con placebo</w:t>
      </w:r>
      <w:r>
        <w:rPr>
          <w:rStyle w:val="FootnoteReference"/>
        </w:rPr>
        <w:footnoteReference w:id="1299"/>
      </w:r>
      <w:r>
        <w:t xml:space="preserve">. Son hallazgos en muestras de tejido humano, pero no criterios de valoración clínicos.</w:t>
      </w:r>
    </w:p>
    <w:bookmarkEnd w:id="1300"/>
    <w:bookmarkStart w:id="1309" w:name="riesgos-y-efectos-adversos-24"/>
    <w:p>
      <w:pPr>
        <w:pStyle w:val="Heading3"/>
      </w:pPr>
      <w:r>
        <w:t xml:space="preserve">Riesgos y efectos adversos</w:t>
      </w:r>
    </w:p>
    <w:p>
      <w:pPr>
        <w:pStyle w:val="FirstParagraph"/>
      </w:pPr>
      <w:r>
        <w:rPr>
          <w:bCs/>
          <w:b/>
        </w:rPr>
        <w:t xml:space="preserve">Demostrado en los estudios:</w:t>
      </w:r>
    </w:p>
    <w:p>
      <w:pPr>
        <w:numPr>
          <w:ilvl w:val="0"/>
          <w:numId w:val="1152"/>
        </w:numPr>
        <w:pStyle w:val="Compact"/>
      </w:pPr>
      <w:r>
        <w:t xml:space="preserve">Reacciones en el lugar de inyección (enrojecimiento, picor): en el estudio sobre hígado graso, más frecuentes que con placebo, pero no graves</w:t>
      </w:r>
      <w:r>
        <w:rPr>
          <w:rStyle w:val="FootnoteReference"/>
        </w:rPr>
        <w:footnoteReference w:id="1301"/>
      </w:r>
      <w:r>
        <w:t xml:space="preserve">.</w:t>
      </w:r>
    </w:p>
    <w:p>
      <w:pPr>
        <w:numPr>
          <w:ilvl w:val="0"/>
          <w:numId w:val="1152"/>
        </w:numPr>
        <w:pStyle w:val="Compact"/>
      </w:pPr>
      <w:r>
        <w:t xml:space="preserve">Efectos típicos de la hormona del crecimiento, como dolores articulares y musculares y parestesias</w:t>
      </w:r>
      <w:r>
        <w:rPr>
          <w:rStyle w:val="FootnoteReference"/>
        </w:rPr>
        <w:footnoteReference w:id="1302"/>
      </w:r>
      <w:r>
        <w:t xml:space="preserve">.</w:t>
      </w:r>
    </w:p>
    <w:p>
      <w:pPr>
        <w:numPr>
          <w:ilvl w:val="0"/>
          <w:numId w:val="1152"/>
        </w:numPr>
        <w:pStyle w:val="Compact"/>
      </w:pPr>
      <w:r>
        <w:t xml:space="preserve">Glucosa: en los grandes estudios, sin empeoramiento clínicamente relevante en promedio, pero con un aumento transitorio de la glucosa en ayunas en las primeras semanas</w:t>
      </w:r>
      <w:r>
        <w:rPr>
          <w:rStyle w:val="FootnoteReference"/>
        </w:rPr>
        <w:footnoteReference w:id="1303"/>
      </w:r>
      <w:r>
        <w:t xml:space="preserve"> </w:t>
      </w:r>
      <w:r>
        <w:t xml:space="preserve">y un ligero aumento en las personas cuya grasa abdominal no respondió</w:t>
      </w:r>
      <w:r>
        <w:rPr>
          <w:rStyle w:val="FootnoteReference"/>
        </w:rPr>
        <w:footnoteReference w:id="1304"/>
      </w:r>
      <w:r>
        <w:t xml:space="preserve">. Las personas con diabetes deben estar bajo supervisión médica.</w:t>
      </w:r>
    </w:p>
    <w:p>
      <w:pPr>
        <w:numPr>
          <w:ilvl w:val="0"/>
          <w:numId w:val="1152"/>
        </w:numPr>
        <w:pStyle w:val="Compact"/>
      </w:pPr>
      <w:r>
        <w:t xml:space="preserve">Más abandonos del tratamiento por efectos adversos que con placebo</w:t>
      </w:r>
      <w:r>
        <w:rPr>
          <w:rStyle w:val="FootnoteReference"/>
        </w:rPr>
        <w:footnoteReference w:id="1305"/>
      </w:r>
      <w:r>
        <w:t xml:space="preserve">.</w:t>
      </w:r>
    </w:p>
    <w:p>
      <w:pPr>
        <w:numPr>
          <w:ilvl w:val="0"/>
          <w:numId w:val="1152"/>
        </w:numPr>
        <w:pStyle w:val="Compact"/>
      </w:pPr>
      <w:r>
        <w:t xml:space="preserve">El efecto no es duradero: tras la suspensión, la grasa abdominal vuelve</w:t>
      </w:r>
      <w:r>
        <w:rPr>
          <w:rStyle w:val="FootnoteReference"/>
        </w:rPr>
        <w:footnoteReference w:id="1306"/>
      </w:r>
      <w:r>
        <w:t xml:space="preserve">.</w:t>
      </w:r>
    </w:p>
    <w:p>
      <w:pPr>
        <w:pStyle w:val="FirstParagraph"/>
      </w:pPr>
      <w:r>
        <w:rPr>
          <w:bCs/>
          <w:b/>
        </w:rPr>
        <w:t xml:space="preserve">Abierto o teórico:</w:t>
      </w:r>
      <w:r>
        <w:t xml:space="preserve"> </w:t>
      </w:r>
      <w:r>
        <w:t xml:space="preserve">La tesamorelina eleva claramente el IGF-1, en el primer estudio de fase 3 un 81 %. En estudios observacionales, los niveles altos de IGF-1 se asocian a un riesgo algo mayor de algunos tipos de cáncer (detalles en la introducción a este grupo y en la Parte IV). De los propios estudios con tesamorelina no se deduce un mayor riesgo de cáncer, pero eran demasiado cortos para ello. Un estudio observacional a largo plazo del fabricante con 391 participantes</w:t>
      </w:r>
      <w:r>
        <w:rPr>
          <w:rStyle w:val="FootnoteReference"/>
        </w:rPr>
        <w:footnoteReference w:id="1307"/>
      </w:r>
      <w:r>
        <w:t xml:space="preserve"> </w:t>
      </w:r>
      <w:r>
        <w:t xml:space="preserve">y un estudio sobre la retinopatía diabética</w:t>
      </w:r>
      <w:r>
        <w:rPr>
          <w:rStyle w:val="FootnoteReference"/>
        </w:rPr>
        <w:footnoteReference w:id="1308"/>
      </w:r>
      <w:r>
        <w:t xml:space="preserve"> </w:t>
      </w:r>
      <w:r>
        <w:t xml:space="preserve">se interrumpieron antes de tiempo; no he encontrado en PubMed resultados publicados al respecto. Según la ficha técnica, la tesamorelina no debe utilizarse en caso de cáncer activo; los detalles los regula la ficha técnica, y su uso debe estar en manos médicas.</w:t>
      </w:r>
    </w:p>
    <w:bookmarkEnd w:id="1309"/>
    <w:bookmarkStart w:id="1311" w:name="situación-legal-24"/>
    <w:p>
      <w:pPr>
        <w:pStyle w:val="Heading3"/>
      </w:pPr>
      <w:r>
        <w:t xml:space="preserve">Situación legal</w:t>
      </w:r>
    </w:p>
    <w:p>
      <w:pPr>
        <w:pStyle w:val="FirstParagraph"/>
      </w:pPr>
      <w:r>
        <w:rPr>
          <w:iCs/>
          <w:i/>
        </w:rPr>
        <w:t xml:space="preserve">Situación en 2026; comprueba la información actualizada.</w:t>
      </w:r>
    </w:p>
    <w:p>
      <w:pPr>
        <w:numPr>
          <w:ilvl w:val="0"/>
          <w:numId w:val="1153"/>
        </w:numPr>
        <w:pStyle w:val="Compact"/>
      </w:pPr>
      <w:r>
        <w:rPr>
          <w:bCs/>
          <w:b/>
        </w:rPr>
        <w:t xml:space="preserve">UE:</w:t>
      </w:r>
      <w:r>
        <w:t xml:space="preserve"> </w:t>
      </w:r>
      <w:r>
        <w:t xml:space="preserve">no autorizada. La tesamorelina no se comercializa como medicamento en ningún Estado de la UE.</w:t>
      </w:r>
    </w:p>
    <w:p>
      <w:pPr>
        <w:numPr>
          <w:ilvl w:val="0"/>
          <w:numId w:val="1153"/>
        </w:numPr>
        <w:pStyle w:val="Compact"/>
      </w:pPr>
      <w:r>
        <w:rPr>
          <w:bCs/>
          <w:b/>
        </w:rPr>
        <w:t xml:space="preserve">Alemania y Austria:</w:t>
      </w:r>
      <w:r>
        <w:t xml:space="preserve"> </w:t>
      </w:r>
      <w:r>
        <w:t xml:space="preserve">sin autorización. Su obtención solo sería concebible, en su caso, mediante la importación individual, bajo responsabilidad médica, de un medicamento autorizado en el extranjero; la dispensación de productos del mercado gris para uso en humanos no está permitida.</w:t>
      </w:r>
    </w:p>
    <w:p>
      <w:pPr>
        <w:numPr>
          <w:ilvl w:val="0"/>
          <w:numId w:val="1153"/>
        </w:numPr>
        <w:pStyle w:val="Compact"/>
      </w:pPr>
      <w:r>
        <w:rPr>
          <w:bCs/>
          <w:b/>
        </w:rPr>
        <w:t xml:space="preserve">EE. UU.:</w:t>
      </w:r>
      <w:r>
        <w:t xml:space="preserve"> </w:t>
      </w:r>
      <w:r>
        <w:t xml:space="preserve">autorizada como Egrifta (con receta) exclusivamente para reducir el exceso de grasa abdominal en la lipodistrofia asociada al VIH. Cualquier otro uso –por ejemplo «para adelgazar» o «contra el envejecimiento»– es fuera de indicación (off-label).</w:t>
      </w:r>
    </w:p>
    <w:p>
      <w:pPr>
        <w:numPr>
          <w:ilvl w:val="0"/>
          <w:numId w:val="1153"/>
        </w:numPr>
        <w:pStyle w:val="Compact"/>
      </w:pPr>
      <w:r>
        <w:rPr>
          <w:bCs/>
          <w:b/>
        </w:rPr>
        <w:t xml:space="preserve">WADA:</w:t>
      </w:r>
      <w:r>
        <w:t xml:space="preserve"> </w:t>
      </w:r>
      <w:r>
        <w:t xml:space="preserve">prohibida (S2), en competición y fuera de ella. Los laboratorios antidopaje han desarrollado métodos de detección en orina para la tesamorelina y otros análogos de la GHRH</w:t>
      </w:r>
      <w:r>
        <w:rPr>
          <w:rStyle w:val="FootnoteReference"/>
        </w:rPr>
        <w:footnoteReference w:id="1310"/>
      </w:r>
      <w:r>
        <w:t xml:space="preserve">.</w:t>
      </w:r>
    </w:p>
    <w:bookmarkEnd w:id="1311"/>
    <w:bookmarkStart w:id="1312" w:name="estudios-en-curso-y-perspectivas-24"/>
    <w:p>
      <w:pPr>
        <w:pStyle w:val="Heading3"/>
      </w:pPr>
      <w:r>
        <w:t xml:space="preserve">Estudios en curso y perspectivas</w:t>
      </w:r>
    </w:p>
    <w:p>
      <w:pPr>
        <w:pStyle w:val="FirstParagraph"/>
      </w:pPr>
      <w:r>
        <w:t xml:space="preserve">En octubre de 2026 figuran en ClinicalTrials.gov, entre otros, los siguientes estudios abiertos: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Estado</w:t>
            </w:r>
          </w:p>
        </w:tc>
        <w:tc>
          <w:tcPr/>
          <w:p>
            <w:pPr>
              <w:pStyle w:val="Compact"/>
              <w:jc w:val="left"/>
            </w:pPr>
            <w:r>
              <w:t xml:space="preserve">Tema</w:t>
            </w:r>
          </w:p>
        </w:tc>
      </w:tr>
      <w:tr>
        <w:tc>
          <w:tcPr/>
          <w:p>
            <w:pPr>
              <w:pStyle w:val="Compact"/>
              <w:jc w:val="left"/>
            </w:pPr>
            <w:r>
              <w:t xml:space="preserve">NCT06554717</w:t>
            </w:r>
          </w:p>
        </w:tc>
        <w:tc>
          <w:tcPr/>
          <w:p>
            <w:pPr>
              <w:pStyle w:val="Compact"/>
              <w:jc w:val="left"/>
            </w:pPr>
            <w:r>
              <w:t xml:space="preserve">Fase 2, 100 personas</w:t>
            </w:r>
          </w:p>
        </w:tc>
        <w:tc>
          <w:tcPr/>
          <w:p>
            <w:pPr>
              <w:pStyle w:val="Compact"/>
              <w:jc w:val="left"/>
            </w:pPr>
            <w:r>
              <w:t xml:space="preserve">en reclutamiento (inicio 2025)</w:t>
            </w:r>
          </w:p>
        </w:tc>
        <w:tc>
          <w:tcPr/>
          <w:p>
            <w:pPr>
              <w:pStyle w:val="Compact"/>
              <w:jc w:val="left"/>
            </w:pPr>
            <w:r>
              <w:t xml:space="preserve">tesamorelina junto con entrenamiento en el VIH: capacidad física</w:t>
            </w:r>
          </w:p>
        </w:tc>
      </w:tr>
      <w:tr>
        <w:tc>
          <w:tcPr/>
          <w:p>
            <w:pPr>
              <w:pStyle w:val="Compact"/>
              <w:jc w:val="left"/>
            </w:pPr>
            <w:r>
              <w:t xml:space="preserve">NCT03150511</w:t>
            </w:r>
          </w:p>
        </w:tc>
        <w:tc>
          <w:tcPr/>
          <w:p>
            <w:pPr>
              <w:pStyle w:val="Compact"/>
              <w:jc w:val="left"/>
            </w:pPr>
            <w:r>
              <w:t xml:space="preserve">Fase 2, 36 personas</w:t>
            </w:r>
          </w:p>
        </w:tc>
        <w:tc>
          <w:tcPr/>
          <w:p>
            <w:pPr>
              <w:pStyle w:val="Compact"/>
              <w:jc w:val="left"/>
            </w:pPr>
            <w:r>
              <w:t xml:space="preserve">en reclutamiento (desde 2018)</w:t>
            </w:r>
          </w:p>
        </w:tc>
        <w:tc>
          <w:tcPr/>
          <w:p>
            <w:pPr>
              <w:pStyle w:val="Compact"/>
              <w:jc w:val="left"/>
            </w:pPr>
            <w:r>
              <w:t xml:space="preserve">recuperación tras lesión de nervios periféricos</w:t>
            </w:r>
          </w:p>
        </w:tc>
      </w:tr>
    </w:tbl>
    <w:p>
      <w:pPr>
        <w:pStyle w:val="BodyText"/>
      </w:pPr>
      <w:r>
        <w:rPr>
          <w:iCs/>
          <w:i/>
        </w:rPr>
        <w:t xml:space="preserve">Confirmado</w:t>
      </w:r>
      <w:r>
        <w:t xml:space="preserve"> </w:t>
      </w:r>
      <w:r>
        <w:t xml:space="preserve">está, por tanto, solo que se sigue investigando en pequeños estudios de fase 2.</w:t>
      </w:r>
      <w:r>
        <w:t xml:space="preserve"> </w:t>
      </w:r>
      <w:r>
        <w:rPr>
          <w:iCs/>
          <w:i/>
        </w:rPr>
        <w:t xml:space="preserve">Valoración del autor:</w:t>
      </w:r>
      <w:r>
        <w:t xml:space="preserve"> </w:t>
      </w:r>
      <w:r>
        <w:t xml:space="preserve">El hígado graso fuera del VIH sería el nuevo campo de aplicación más evidente, pero allí compiten ya otros principios activos con programas de estudio mucho más amplios. No se vislumbra una autorización en la UE en un futuro previsible.</w:t>
      </w:r>
    </w:p>
    <w:bookmarkEnd w:id="1312"/>
    <w:bookmarkStart w:id="1313" w:name="conclusión-24"/>
    <w:p>
      <w:pPr>
        <w:pStyle w:val="Heading3"/>
      </w:pPr>
      <w:r>
        <w:t xml:space="preserve">Conclusión</w:t>
      </w:r>
    </w:p>
    <w:p>
      <w:pPr>
        <w:pStyle w:val="FirstParagraph"/>
      </w:pPr>
      <w:r>
        <w:t xml:space="preserve">La tesamorelina es el péptido mejor estudiado del eje de la hormona del crecimiento: dos grandes estudios de fase 3 muestran que, en personas con VIH, reduce la grasa abdominal visceral en torno a un 15 a 18 % y disminuye también la grasa hepática. El efecto solo dura mientras dura el tratamiento, y no todas las personas responden. Para personas sanas, deportistas o como remedio «antienvejecimiento» no hay datos sólidos. La seguridad a largo plazo, en particular en relación con el IGF-1 elevado, no está definitivamente aclarada.</w:t>
      </w:r>
    </w:p>
    <w:bookmarkEnd w:id="1313"/>
    <w:bookmarkEnd w:id="1314"/>
    <w:bookmarkStart w:id="1339" w:name="cjc-1295"/>
    <w:p>
      <w:pPr>
        <w:pStyle w:val="Heading2"/>
      </w:pPr>
      <w:r>
        <w:t xml:space="preserve">CJC-1295</w:t>
      </w:r>
    </w:p>
    <w:p>
      <w:pPr>
        <w:pStyle w:val="FirstParagraph"/>
      </w:pPr>
      <w:r>
        <w:t xml:space="preserve">Con el nombre CJC-1295 se venden en internet dos sustancias distintas, y ese es el punto más importante de este capítulo. El CJC-1295 original de la empresa ConjuChem es una hormona liberadora de la hormona del crecimiento con un «ancla» química que, en la sangre, se fija a la proteína albúmina y prolonga el efecto hasta aproximadamente una semana. Además, los comerciantes del mercado gris ofrecen «CJC-1295 sin DAC», que en la literatura especializada suele denominarse «GRF (1-29) modificado». Para el primero existen dos pequeños estudios en personas sanas; para el segundo, ninguno.</w:t>
      </w:r>
    </w:p>
    <w:bookmarkStart w:id="1316" w:name="ficha-25"/>
    <w:p>
      <w:pPr>
        <w:pStyle w:val="Heading3"/>
      </w:pPr>
      <w:r>
        <w:t xml:space="preserve">Ficha</w:t>
      </w:r>
    </w:p>
    <w:p>
      <w:pPr>
        <w:numPr>
          <w:ilvl w:val="0"/>
          <w:numId w:val="1154"/>
        </w:numPr>
        <w:pStyle w:val="Compact"/>
      </w:pPr>
      <w:r>
        <w:rPr>
          <w:bCs/>
          <w:b/>
        </w:rPr>
        <w:t xml:space="preserve">Tipo y estructura:</w:t>
      </w:r>
      <w:r>
        <w:t xml:space="preserve"> </w:t>
      </w:r>
      <w:r>
        <w:t xml:space="preserve">análogo sintético de la hormona liberadora de la hormona del crecimiento, construido sobre sus primeros 29 aminoácidos con cuatro componentes sustituidos que dificultan su degradación.</w:t>
      </w:r>
    </w:p>
    <w:p>
      <w:pPr>
        <w:numPr>
          <w:ilvl w:val="1"/>
          <w:numId w:val="1155"/>
        </w:numPr>
        <w:pStyle w:val="Compact"/>
      </w:pPr>
      <w:r>
        <w:rPr>
          <w:iCs/>
          <w:i/>
        </w:rPr>
        <w:t xml:space="preserve">CJC-1295 con DAC</w:t>
      </w:r>
      <w:r>
        <w:t xml:space="preserve"> </w:t>
      </w:r>
      <w:r>
        <w:t xml:space="preserve">(Drug Affinity Complex): además, un ancla reactiva al final de la cadena que, tras la inyección, se une firmemente a la albúmina</w:t>
      </w:r>
      <w:r>
        <w:rPr>
          <w:rStyle w:val="FootnoteReference"/>
        </w:rPr>
        <w:footnoteReference w:id="1315"/>
      </w:r>
      <w:r>
        <w:t xml:space="preserve">.</w:t>
      </w:r>
    </w:p>
    <w:p>
      <w:pPr>
        <w:numPr>
          <w:ilvl w:val="1"/>
          <w:numId w:val="1155"/>
        </w:numPr>
        <w:pStyle w:val="Compact"/>
      </w:pPr>
      <w:r>
        <w:rPr>
          <w:iCs/>
          <w:i/>
        </w:rPr>
        <w:t xml:space="preserve">CJC-1295 sin DAC</w:t>
      </w:r>
      <w:r>
        <w:t xml:space="preserve"> </w:t>
      </w:r>
      <w:r>
        <w:t xml:space="preserve">(«Mod GRF 1-29»): la misma cadena sin ancla; duración de acción corta.</w:t>
      </w:r>
    </w:p>
    <w:p>
      <w:pPr>
        <w:numPr>
          <w:ilvl w:val="0"/>
          <w:numId w:val="1154"/>
        </w:numPr>
        <w:pStyle w:val="Compact"/>
      </w:pPr>
      <w:r>
        <w:rPr>
          <w:bCs/>
          <w:b/>
        </w:rPr>
        <w:t xml:space="preserve">Origen:</w:t>
      </w:r>
      <w:r>
        <w:t xml:space="preserve"> </w:t>
      </w:r>
      <w:r>
        <w:t xml:space="preserve">desarrollado por ConjuChem (Canadá) en la década de 2000; el desarrollo clínico no se continuó.</w:t>
      </w:r>
    </w:p>
    <w:p>
      <w:pPr>
        <w:numPr>
          <w:ilvl w:val="0"/>
          <w:numId w:val="1154"/>
        </w:numPr>
        <w:pStyle w:val="Compact"/>
      </w:pPr>
      <w:r>
        <w:rPr>
          <w:bCs/>
          <w:b/>
        </w:rPr>
        <w:t xml:space="preserve">Mecanismo de acción:</w:t>
      </w:r>
      <w:r>
        <w:t xml:space="preserve"> </w:t>
      </w:r>
      <w:r>
        <w:t xml:space="preserve">unión al receptor de GHRH de la hipófisis; aumento de la hormona del crecimiento y del IGF-1.</w:t>
      </w:r>
    </w:p>
    <w:p>
      <w:pPr>
        <w:numPr>
          <w:ilvl w:val="0"/>
          <w:numId w:val="1154"/>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54"/>
        </w:numPr>
        <w:pStyle w:val="Compact"/>
      </w:pPr>
      <w:r>
        <w:rPr>
          <w:bCs/>
          <w:b/>
        </w:rPr>
        <w:t xml:space="preserve">WADA:</w:t>
      </w:r>
      <w:r>
        <w:t xml:space="preserve"> </w:t>
      </w:r>
      <w:r>
        <w:t xml:space="preserve">prohibido, grupo S2; el CJC-1295 se menciona expresamente como análogo de la GHRH.</w:t>
      </w:r>
    </w:p>
    <w:p>
      <w:pPr>
        <w:numPr>
          <w:ilvl w:val="0"/>
          <w:numId w:val="1154"/>
        </w:numPr>
        <w:pStyle w:val="Compact"/>
      </w:pPr>
      <w:r>
        <w:rPr>
          <w:bCs/>
          <w:b/>
        </w:rPr>
        <w:t xml:space="preserve">Nivel de evidencia: C</w:t>
      </w:r>
      <w:r>
        <w:t xml:space="preserve"> </w:t>
      </w:r>
      <w:r>
        <w:t xml:space="preserve">– dos pequeños estudios de fase 1 en personas sanas (con DAC); ningún estudio sobre un beneficio clínico; para la variante sin DAC, ningún estudio en humanos.</w:t>
      </w:r>
    </w:p>
    <w:bookmarkEnd w:id="1316"/>
    <w:bookmarkStart w:id="1318" w:name="cómo-se-supone-que-actúa-25"/>
    <w:p>
      <w:pPr>
        <w:pStyle w:val="Heading3"/>
      </w:pPr>
      <w:r>
        <w:t xml:space="preserve">Cómo se supone que actúa</w:t>
      </w:r>
    </w:p>
    <w:p>
      <w:pPr>
        <w:pStyle w:val="FirstParagraph"/>
      </w:pPr>
      <w:r>
        <w:t xml:space="preserve">La GHRH natural se elimina de la sangre en cuestión de minutos por la enzima dipeptidil peptidasa-4 y a través de los riñones. El ancla DAC debía resolver este problema: tras la inyección reacciona con un grupo de azufre libre de la albúmina. El péptido «viaja» entonces sobre la albúmina, que tiene una vida de semanas, y se libera lentamente. En ratas, el CJC-1295 siguió siendo detectable en la sangre durante más de 72 horas</w:t>
      </w:r>
      <w:r>
        <w:rPr>
          <w:rStyle w:val="FootnoteReference"/>
        </w:rPr>
        <w:footnoteReference w:id="1317"/>
      </w:r>
      <w:r>
        <w:t xml:space="preserve">.</w:t>
      </w:r>
    </w:p>
    <w:p>
      <w:pPr>
        <w:pStyle w:val="BodyText"/>
      </w:pPr>
      <w:r>
        <w:t xml:space="preserve">Con ello, el CJC-1295 con DAC se diferencia radicalmente de todos los demás liberadores de GH: en lugar de impulsos breves, produce una estimulación continua de la hipófisis. Si esto es fisiológicamente favorable era una de las preguntas abiertas del desarrollo. La variante sin DAC, en cambio, actúa durante un tiempo tan breve como la sermorelina y en el mercado gris se ofrece a menudo combinada con liberadores de GH del grupo de la grelina (por ejemplo, la ipamorelina), una práctica para la que no existen estudios.</w:t>
      </w:r>
    </w:p>
    <w:bookmarkEnd w:id="1318"/>
    <w:bookmarkStart w:id="1324" w:name="estudios-en-humanos-25"/>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w:t>
      </w:r>
      <w:r>
        <w:t xml:space="preserve"> </w:t>
      </w:r>
      <w:r>
        <w:t xml:space="preserve">estudios en humanos en PubMed (</w:t>
      </w:r>
      <w:r>
        <w:rPr>
          <w:rStyle w:val="VerbatimChar"/>
        </w:rPr>
        <w:t xml:space="preserve">humanstudien_alle</w:t>
      </w:r>
      <w:r>
        <w:t xml:space="preserve">) y</w:t>
      </w:r>
      <w:r>
        <w:t xml:space="preserve"> </w:t>
      </w:r>
      <w:r>
        <w:rPr>
          <w:bCs/>
          <w:b/>
        </w:rPr>
        <w:t xml:space="preserve">1</w:t>
      </w:r>
      <w:r>
        <w:t xml:space="preserve"> </w:t>
      </w:r>
      <w:r>
        <w:t xml:space="preserve">entrada en ClinicalTrials.gov. Una búsqueda específica adicional encontró además un análisis posterior de muestras de sangre de uno de los dos estudios. Todos los trabajos se refieren al CJC-1295</w:t>
      </w:r>
      <w:r>
        <w:t xml:space="preserve"> </w:t>
      </w:r>
      <w:r>
        <w:rPr>
          <w:iCs/>
          <w:i/>
        </w:rPr>
        <w:t xml:space="preserve">con</w:t>
      </w:r>
      <w:r>
        <w:t xml:space="preserve"> </w:t>
      </w:r>
      <w:r>
        <w:t xml:space="preserve">DAC.</w:t>
      </w:r>
    </w:p>
    <w:p>
      <w:pPr>
        <w:pStyle w:val="BodyText"/>
      </w:pPr>
      <w:r>
        <w:rPr>
          <w:bCs/>
          <w:b/>
        </w:rPr>
        <w:t xml:space="preserve">Búsqueda de dosis en personas sanas:</w:t>
      </w:r>
      <w:r>
        <w:t xml:space="preserve"> </w:t>
      </w:r>
      <w:r>
        <w:t xml:space="preserve">En dos estudios aleatorizados, controlados con placebo y doble ciego con dosis crecientes, adultos sanos de entre 21 y 61 años recibieron una sola inyección o bien dos o tres inyecciones semanales o quincenales. Tras una única inyección, la hormona del crecimiento aumentó en promedio entre 2 y 10 veces durante seis días o más, y el IGF-1 entre 1,5 y 3 veces durante 9 a 11 días. La semivida fue de 5,8 a 8,1 días. Tras varias dosis, el IGF-1 se mantuvo por encima del valor inicial hasta 28 días. No se comunicaron efectos adversos graves</w:t>
      </w:r>
      <w:r>
        <w:rPr>
          <w:rStyle w:val="FootnoteReference"/>
        </w:rPr>
        <w:footnoteReference w:id="1319"/>
      </w:r>
      <w:r>
        <w:t xml:space="preserve">.</w:t>
      </w:r>
    </w:p>
    <w:p>
      <w:pPr>
        <w:pStyle w:val="BodyText"/>
      </w:pPr>
      <w:r>
        <w:rPr>
          <w:bCs/>
          <w:b/>
        </w:rPr>
        <w:t xml:space="preserve">Pulsatilidad:</w:t>
      </w:r>
      <w:r>
        <w:t xml:space="preserve"> </w:t>
      </w:r>
      <w:r>
        <w:t xml:space="preserve">Un segundo estudio examinó en hombres sanos de entre 20 y 40 años si se conserva el patrón pulsátil natural de la secreción de GH. Una semana después de la inyección, la frecuencia y la altura de los pulsos de GH no habían cambiado, pero el nivel basal entre pulsos era 7,5 veces mayor; la GH media aumentó un 46 % y el IGF-1 un 45 %</w:t>
      </w:r>
      <w:r>
        <w:rPr>
          <w:rStyle w:val="FootnoteReference"/>
        </w:rPr>
        <w:footnoteReference w:id="1320"/>
      </w:r>
      <w:r>
        <w:t xml:space="preserve">.</w:t>
      </w:r>
    </w:p>
    <w:p>
      <w:pPr>
        <w:pStyle w:val="BodyText"/>
      </w:pPr>
      <w:r>
        <w:rPr>
          <w:bCs/>
          <w:b/>
        </w:rPr>
        <w:t xml:space="preserve">Proteínas sanguíneas:</w:t>
      </w:r>
      <w:r>
        <w:t xml:space="preserve"> </w:t>
      </w:r>
      <w:r>
        <w:t xml:space="preserve">Un análisis de muestras de suero de 11 hombres jóvenes antes y una semana después de la inyección buscó nuevos marcadores del efecto de la hormona del crecimiento y encontró cambios en algunas proteínas sanguíneas</w:t>
      </w:r>
      <w:r>
        <w:rPr>
          <w:rStyle w:val="FootnoteReference"/>
        </w:rPr>
        <w:footnoteReference w:id="1321"/>
      </w:r>
      <w:r>
        <w:t xml:space="preserve">. Se trata de investigación básica sin conclusiones clínicas.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Búsqueda de dosis (Teichman 2006), PMID 16352683</w:t>
            </w:r>
          </w:p>
        </w:tc>
        <w:tc>
          <w:tcPr/>
          <w:p>
            <w:pPr>
              <w:pStyle w:val="Compact"/>
              <w:jc w:val="left"/>
            </w:pPr>
            <w:r>
              <w:t xml:space="preserve">adultos sanos de 21–61 años, dos ECA frente a placebo, dosis crecientes</w:t>
            </w:r>
          </w:p>
        </w:tc>
        <w:tc>
          <w:tcPr/>
          <w:p>
            <w:pPr>
              <w:pStyle w:val="Compact"/>
              <w:jc w:val="left"/>
            </w:pPr>
            <w:r>
              <w:t xml:space="preserve">28 o 49 días</w:t>
            </w:r>
          </w:p>
        </w:tc>
        <w:tc>
          <w:tcPr/>
          <w:p>
            <w:pPr>
              <w:pStyle w:val="Compact"/>
              <w:jc w:val="left"/>
            </w:pPr>
            <w:r>
              <w:t xml:space="preserve">GH aumentada 2–10 veces, IGF-1 1,5–3 veces; semivida 5,8–8,1 días</w:t>
            </w:r>
          </w:p>
        </w:tc>
      </w:tr>
      <w:tr>
        <w:tc>
          <w:tcPr/>
          <w:p>
            <w:pPr>
              <w:pStyle w:val="Compact"/>
              <w:jc w:val="left"/>
            </w:pPr>
            <w:r>
              <w:t xml:space="preserve">Pulsatilidad de la GH (Ionescu 2006), PMID 17018654</w:t>
            </w:r>
          </w:p>
        </w:tc>
        <w:tc>
          <w:tcPr/>
          <w:p>
            <w:pPr>
              <w:pStyle w:val="Compact"/>
              <w:jc w:val="left"/>
            </w:pPr>
            <w:r>
              <w:t xml:space="preserve">hombres sanos de 20–40 años, comparación antes-después</w:t>
            </w:r>
          </w:p>
        </w:tc>
        <w:tc>
          <w:tcPr/>
          <w:p>
            <w:pPr>
              <w:pStyle w:val="Compact"/>
              <w:jc w:val="left"/>
            </w:pPr>
            <w:r>
              <w:t xml:space="preserve">1 semana tras dosis única</w:t>
            </w:r>
          </w:p>
        </w:tc>
        <w:tc>
          <w:tcPr/>
          <w:p>
            <w:pPr>
              <w:pStyle w:val="Compact"/>
              <w:jc w:val="left"/>
            </w:pPr>
            <w:r>
              <w:t xml:space="preserve">pulsos conservados, GH basal ×7,5, IGF-1 +45 %</w:t>
            </w:r>
          </w:p>
        </w:tc>
      </w:tr>
      <w:tr>
        <w:tc>
          <w:tcPr/>
          <w:p>
            <w:pPr>
              <w:pStyle w:val="Compact"/>
              <w:jc w:val="left"/>
            </w:pPr>
            <w:r>
              <w:t xml:space="preserve">Grasa abdominal en el VIH, NCT00267527</w:t>
            </w:r>
          </w:p>
        </w:tc>
        <w:tc>
          <w:tcPr/>
          <w:p>
            <w:pPr>
              <w:pStyle w:val="Compact"/>
              <w:jc w:val="left"/>
            </w:pPr>
            <w:r>
              <w:t xml:space="preserve">120 personas previstas, fase 2, ECA</w:t>
            </w:r>
          </w:p>
        </w:tc>
        <w:tc>
          <w:tcPr/>
          <w:p>
            <w:pPr>
              <w:pStyle w:val="Compact"/>
              <w:jc w:val="left"/>
            </w:pPr>
            <w:r>
              <w:t xml:space="preserve">12 semanas previstas</w:t>
            </w:r>
          </w:p>
        </w:tc>
        <w:tc>
          <w:tcPr/>
          <w:p>
            <w:pPr>
              <w:pStyle w:val="Compact"/>
              <w:jc w:val="left"/>
            </w:pPr>
            <w:r>
              <w:t xml:space="preserve">interrumpido en 2006; sin resultados publicados</w:t>
            </w:r>
          </w:p>
        </w:tc>
      </w:tr>
    </w:tbl>
    <w:bookmarkStart w:id="1323" w:name="X6b06fcbe37593390d6049e1c9fb64ee00868fc3"/>
    <w:p>
      <w:pPr>
        <w:pStyle w:val="Heading4"/>
      </w:pPr>
      <w:r>
        <w:t xml:space="preserve">El estudio de fase 2 interrumpido y la muerte comunicada</w:t>
      </w:r>
    </w:p>
    <w:p>
      <w:pPr>
        <w:pStyle w:val="FirstParagraph"/>
      </w:pPr>
      <w:r>
        <w:t xml:space="preserve">A finales de 2005, ConjuChem inició un estudio de fase 2 aleatorizado y controlado con placebo con dos dosis de CJC-1295 en personas con VIH y exceso de grasa abdominal, es decir, en el mismo campo de aplicación en el que más tarde se autorizó la tesamorelina</w:t>
      </w:r>
      <w:r>
        <w:rPr>
          <w:rStyle w:val="FootnoteReference"/>
        </w:rPr>
        <w:footnoteReference w:id="1322"/>
      </w:r>
      <w:r>
        <w:t xml:space="preserve">. La entrada del registro indica el estado «interrumpido» (última actualización en octubre de 2006), pero ningún motivo de la interrupción y ningún resultado.</w:t>
      </w:r>
    </w:p>
    <w:p>
      <w:pPr>
        <w:pStyle w:val="BodyText"/>
      </w:pPr>
      <w:r>
        <w:t xml:space="preserve">En foros de internet y en algunas revisiones se afirma que el estudio se detuvo tras la muerte de un participante.</w:t>
      </w:r>
      <w:r>
        <w:t xml:space="preserve"> </w:t>
      </w:r>
      <w:r>
        <w:rPr>
          <w:bCs/>
          <w:b/>
        </w:rPr>
        <w:t xml:space="preserve">Esta muerte no está documentada en las fuentes revisadas para este libro:</w:t>
      </w:r>
      <w:r>
        <w:t xml:space="preserve"> </w:t>
      </w:r>
      <w:r>
        <w:t xml:space="preserve">ni la entrada del registro ni ninguna publicación en PubMed la recogen. Por tanto, no se puede confirmar que ocurriera ni valorar si guardaba relación con el principio activo. Solo está documentado que el estudio terminó antes de tiempo y que el CJC-1295 no se siguió desarrollando después.</w:t>
      </w:r>
    </w:p>
    <w:bookmarkEnd w:id="1323"/>
    <w:bookmarkEnd w:id="1324"/>
    <w:bookmarkStart w:id="1327" w:name="estudios-en-animales-y-de-laboratorio-25"/>
    <w:p>
      <w:pPr>
        <w:pStyle w:val="Heading3"/>
      </w:pPr>
      <w:r>
        <w:t xml:space="preserve">Estudios en animales y de laboratorio</w:t>
      </w:r>
    </w:p>
    <w:p>
      <w:pPr>
        <w:numPr>
          <w:ilvl w:val="0"/>
          <w:numId w:val="1156"/>
        </w:numPr>
        <w:pStyle w:val="Compact"/>
      </w:pPr>
      <w:r>
        <w:rPr>
          <w:bCs/>
          <w:b/>
        </w:rPr>
        <w:t xml:space="preserve">Ratas:</w:t>
      </w:r>
      <w:r>
        <w:t xml:space="preserve"> </w:t>
      </w:r>
      <w:r>
        <w:t xml:space="preserve">De tres variantes de ancla de albúmina probadas, el CJC-1295 fue el que más hormona del crecimiento liberó –en dos horas, aproximadamente cuatro veces más que el GRF(1-29) sin modificar– y permaneció más de 72 horas en la sangre</w:t>
      </w:r>
      <w:r>
        <w:rPr>
          <w:rStyle w:val="FootnoteReference"/>
        </w:rPr>
        <w:footnoteReference w:id="1325"/>
      </w:r>
      <w:r>
        <w:t xml:space="preserve">.</w:t>
      </w:r>
    </w:p>
    <w:p>
      <w:pPr>
        <w:numPr>
          <w:ilvl w:val="0"/>
          <w:numId w:val="1156"/>
        </w:numPr>
        <w:pStyle w:val="Compact"/>
      </w:pPr>
      <w:r>
        <w:rPr>
          <w:bCs/>
          <w:b/>
        </w:rPr>
        <w:t xml:space="preserve">Ratones:</w:t>
      </w:r>
      <w:r>
        <w:t xml:space="preserve"> </w:t>
      </w:r>
      <w:r>
        <w:t xml:space="preserve">En ratones sin GHRH propia, la administración diaria normalizó el peso y la longitud; la administración cada 48 o 72 horas no bastó para ello por completo. En la hipófisis aumentó el número de células productoras de GH</w:t>
      </w:r>
      <w:r>
        <w:rPr>
          <w:rStyle w:val="FootnoteReference"/>
        </w:rPr>
        <w:footnoteReference w:id="1326"/>
      </w:r>
      <w:r>
        <w:t xml:space="preserve">. Un aumento de las células hipofisarias es deseable cuando se quiere compensar una carencia; en personas sanas, su importancia a largo plazo es desconocida.</w:t>
      </w:r>
    </w:p>
    <w:bookmarkEnd w:id="1327"/>
    <w:bookmarkStart w:id="1332" w:name="riesgos-y-efectos-adversos-25"/>
    <w:p>
      <w:pPr>
        <w:pStyle w:val="Heading3"/>
      </w:pPr>
      <w:r>
        <w:t xml:space="preserve">Riesgos y efectos adversos</w:t>
      </w:r>
    </w:p>
    <w:p>
      <w:pPr>
        <w:pStyle w:val="FirstParagraph"/>
      </w:pPr>
      <w:r>
        <w:rPr>
          <w:bCs/>
          <w:b/>
        </w:rPr>
        <w:t xml:space="preserve">Demostrado en los estudios de fase 1:</w:t>
      </w:r>
      <w:r>
        <w:t xml:space="preserve"> </w:t>
      </w:r>
      <w:r>
        <w:t xml:space="preserve">ningún efecto adverso grave en pocas personas sanas tratadas durante poco tiempo; la tolerabilidad se describió como relativamente buena, sobre todo con las dosis más bajas</w:t>
      </w:r>
      <w:r>
        <w:rPr>
          <w:rStyle w:val="FootnoteReference"/>
        </w:rPr>
        <w:footnoteReference w:id="1328"/>
      </w:r>
      <w:r>
        <w:t xml:space="preserve">. Esta base de datos es demasiado pequeña para detectar riesgos raros o a largo plazo.</w:t>
      </w:r>
    </w:p>
    <w:p>
      <w:pPr>
        <w:pStyle w:val="BodyText"/>
      </w:pPr>
      <w:r>
        <w:rPr>
          <w:bCs/>
          <w:b/>
        </w:rPr>
        <w:t xml:space="preserve">Plausible, pero no estudiado:</w:t>
      </w:r>
      <w:r>
        <w:t xml:space="preserve"> </w:t>
      </w:r>
      <w:r>
        <w:t xml:space="preserve">La variante con DAC mantiene la hormona del crecimiento y el IGF-1 elevados de forma continuada durante días. Consecuencias típicas de unos niveles elevados de GH son la retención de líquidos, los dolores articulares, las molestias del túnel carpiano y el empeoramiento de la sensibilidad a la insulina. No se ha estudiado para el CJC-1295 si un IGF-1 elevado de forma continuada aumenta a largo plazo el riesgo de cáncer; sobre los datos generales, véanse la introducción de este grupo y la Parte IV.</w:t>
      </w:r>
    </w:p>
    <w:p>
      <w:pPr>
        <w:pStyle w:val="BodyText"/>
      </w:pPr>
      <w:r>
        <w:rPr>
          <w:bCs/>
          <w:b/>
        </w:rPr>
        <w:t xml:space="preserve">Mercado gris:</w:t>
      </w:r>
      <w:r>
        <w:t xml:space="preserve"> </w:t>
      </w:r>
      <w:r>
        <w:t xml:space="preserve">Ya en 2009, un laboratorio noruego analizó por encargo de la policía y las aduanas un preparado desconocido y encontró un péptido de 29 aminoácidos que correspondía a la secuencia vendida como CJC-1295</w:t>
      </w:r>
      <w:r>
        <w:rPr>
          <w:rStyle w:val="FootnoteReference"/>
        </w:rPr>
        <w:footnoteReference w:id="1329"/>
      </w:r>
      <w:r>
        <w:t xml:space="preserve">. Muestras de las aduanas danesas contenían «GRF 1-29 modificado» y miméticos de la grelina con un aminoácido glicina adicional no declarado</w:t>
      </w:r>
      <w:r>
        <w:rPr>
          <w:rStyle w:val="FootnoteReference"/>
        </w:rPr>
        <w:footnoteReference w:id="1330"/>
      </w:r>
      <w:r>
        <w:t xml:space="preserve">. Por tanto, quienes compran no pueden saber si reciben la variante con o sin DAC, una molécula modificada o algo completamente distinto. Un análisis de foros de culturismo muestra que también mujeres usan CJC-1295 para perder peso, para la piel o para el sueño, y que se basan para ello en relatos de experiencias en lugar de en estudios</w:t>
      </w:r>
      <w:r>
        <w:rPr>
          <w:rStyle w:val="FootnoteReference"/>
        </w:rPr>
        <w:footnoteReference w:id="1331"/>
      </w:r>
      <w:r>
        <w:t xml:space="preserve">.</w:t>
      </w:r>
    </w:p>
    <w:bookmarkEnd w:id="1332"/>
    <w:bookmarkStart w:id="1336" w:name="situación-legal-25"/>
    <w:p>
      <w:pPr>
        <w:pStyle w:val="Heading3"/>
      </w:pPr>
      <w:r>
        <w:t xml:space="preserve">Situación legal</w:t>
      </w:r>
    </w:p>
    <w:p>
      <w:pPr>
        <w:pStyle w:val="FirstParagraph"/>
      </w:pPr>
      <w:r>
        <w:rPr>
          <w:iCs/>
          <w:i/>
        </w:rPr>
        <w:t xml:space="preserve">Situación en 2026; comprueba la información actualizada.</w:t>
      </w:r>
    </w:p>
    <w:p>
      <w:pPr>
        <w:numPr>
          <w:ilvl w:val="0"/>
          <w:numId w:val="1157"/>
        </w:numPr>
        <w:pStyle w:val="Compact"/>
      </w:pPr>
      <w:r>
        <w:rPr>
          <w:bCs/>
          <w:b/>
        </w:rPr>
        <w:t xml:space="preserve">UE, Alemania, Austria:</w:t>
      </w:r>
      <w:r>
        <w:t xml:space="preserve"> </w:t>
      </w:r>
      <w:r>
        <w:t xml:space="preserve">sin autorización. El CJC-1295 es un principio activo no autorizado; su dispensación y comercio para uso en humanos no están permitidos según las leyes del medicamento, aunque los productos se declaren como «research peptide».</w:t>
      </w:r>
    </w:p>
    <w:p>
      <w:pPr>
        <w:numPr>
          <w:ilvl w:val="0"/>
          <w:numId w:val="1157"/>
        </w:numPr>
        <w:pStyle w:val="Compact"/>
      </w:pPr>
      <w:r>
        <w:rPr>
          <w:bCs/>
          <w:b/>
        </w:rPr>
        <w:t xml:space="preserve">EE. UU.:</w:t>
      </w:r>
      <w:r>
        <w:t xml:space="preserve"> </w:t>
      </w:r>
      <w:r>
        <w:t xml:space="preserve">sin autorización. La FDA ha clasificado el CJC-1295 –como varios otros péptidos de este libro– entre las sustancias de partida para farmacias de formulación magistral como sustancia con problemas de seguridad (categoría 2). Desde entonces, estas clasificaciones se han debatido de forma controvertida en el comité asesor competente y en círculos especializados</w:t>
      </w:r>
      <w:r>
        <w:rPr>
          <w:rStyle w:val="FootnoteReference"/>
        </w:rPr>
        <w:footnoteReference w:id="1333"/>
      </w:r>
      <w:r>
        <w:t xml:space="preserve">; son posibles cambios.</w:t>
      </w:r>
    </w:p>
    <w:p>
      <w:pPr>
        <w:numPr>
          <w:ilvl w:val="0"/>
          <w:numId w:val="1157"/>
        </w:numPr>
        <w:pStyle w:val="Compact"/>
      </w:pPr>
      <w:r>
        <w:rPr>
          <w:bCs/>
          <w:b/>
        </w:rPr>
        <w:t xml:space="preserve">WADA:</w:t>
      </w:r>
      <w:r>
        <w:t xml:space="preserve"> </w:t>
      </w:r>
      <w:r>
        <w:t xml:space="preserve">prohibido (S2). Se han descrito métodos de detección en orina para el CJC-1295 con y sin DAC</w:t>
      </w:r>
      <w:r>
        <w:rPr>
          <w:rStyle w:val="FootnoteReference"/>
        </w:rPr>
        <w:footnoteReference w:id="1334"/>
      </w:r>
      <w:r>
        <w:t xml:space="preserve">; también se busca en la hípica</w:t>
      </w:r>
      <w:r>
        <w:rPr>
          <w:rStyle w:val="FootnoteReference"/>
        </w:rPr>
        <w:footnoteReference w:id="1335"/>
      </w:r>
      <w:r>
        <w:t xml:space="preserve">.</w:t>
      </w:r>
    </w:p>
    <w:bookmarkEnd w:id="1336"/>
    <w:bookmarkStart w:id="1337" w:name="estudios-en-curso-y-perspectivas-25"/>
    <w:p>
      <w:pPr>
        <w:pStyle w:val="Heading3"/>
      </w:pPr>
      <w:r>
        <w:t xml:space="preserve">Estudios en curso y perspectivas</w:t>
      </w:r>
    </w:p>
    <w:p>
      <w:pPr>
        <w:pStyle w:val="FirstParagraph"/>
      </w:pPr>
      <w:r>
        <w:t xml:space="preserve">En octubre de 2026, aparte del estudio de fase 2 interrumpido en 2006, no figura ninguna entrada sobre el CJC-1295 en ClinicalTrials.gov.</w:t>
      </w:r>
      <w:r>
        <w:t xml:space="preserve"> </w:t>
      </w:r>
      <w:r>
        <w:rPr>
          <w:iCs/>
          <w:i/>
        </w:rPr>
        <w:t xml:space="preserve">Valoración del autor:</w:t>
      </w:r>
      <w:r>
        <w:t xml:space="preserve"> </w:t>
      </w:r>
      <w:r>
        <w:t xml:space="preserve">No se aprecia ningún desarrollo clínico posterior. El principio de «péptido con ancla de albúmina para un efecto más prolongado», en cambio, pervive en otros principios activos, por ejemplo en preparados de hormona del crecimiento de acción prolongada y en medicamentos GLP-1.</w:t>
      </w:r>
    </w:p>
    <w:bookmarkEnd w:id="1337"/>
    <w:bookmarkStart w:id="1338" w:name="conclusión-25"/>
    <w:p>
      <w:pPr>
        <w:pStyle w:val="Heading3"/>
      </w:pPr>
      <w:r>
        <w:t xml:space="preserve">Conclusión</w:t>
      </w:r>
    </w:p>
    <w:p>
      <w:pPr>
        <w:pStyle w:val="FirstParagraph"/>
      </w:pPr>
      <w:r>
        <w:t xml:space="preserve">El CJC-1295 con DAC eleva en personas sanas la hormona del crecimiento y el IGF-1 durante una a dos semanas tras una sola inyección; no se ha estudiado nada más en humanos. El único estudio en pacientes se interrumpió en 2006 sin un motivo publicado; una muerte que se afirma con frecuencia no está documentada en el registro ni en la literatura especializada. Para la variante sin DAC, la más vendida en internet, no existe ni un solo estudio en humanos, y los análisis de laboratorio muestran que el contenido de los productos del mercado gris es incierto.</w:t>
      </w:r>
    </w:p>
    <w:bookmarkEnd w:id="1338"/>
    <w:bookmarkEnd w:id="1339"/>
    <w:bookmarkStart w:id="1362" w:name="ipamorelina"/>
    <w:p>
      <w:pPr>
        <w:pStyle w:val="Heading2"/>
      </w:pPr>
      <w:r>
        <w:t xml:space="preserve">Ipamorelina</w:t>
      </w:r>
    </w:p>
    <w:p>
      <w:pPr>
        <w:pStyle w:val="FirstParagraph"/>
      </w:pPr>
      <w:r>
        <w:t xml:space="preserve">En los círculos del fitness y del antienvejecimiento, la ipamorelina se considera el liberador de hormona del crecimiento «limpio»: debería liberar hormona del crecimiento de forma selectiva, sin estimular las hormonas del estrés ni el apetito. Esta propiedad procede de experimentos con animales de la década de 1990. En humanos, la ipamorelina sí se evaluó clínicamente, pero no para el desarrollo muscular ni para el rejuvenecimiento, sino para algo completamente distinto: la parálisis intestinal tras operaciones abdominales. Allí no aportó ningún beneficio demostrable.</w:t>
      </w:r>
    </w:p>
    <w:bookmarkStart w:id="1341" w:name="ficha-26"/>
    <w:p>
      <w:pPr>
        <w:pStyle w:val="Heading3"/>
      </w:pPr>
      <w:r>
        <w:t xml:space="preserve">Ficha</w:t>
      </w:r>
    </w:p>
    <w:p>
      <w:pPr>
        <w:numPr>
          <w:ilvl w:val="0"/>
          <w:numId w:val="1158"/>
        </w:numPr>
        <w:pStyle w:val="Compact"/>
      </w:pPr>
      <w:r>
        <w:rPr>
          <w:bCs/>
          <w:b/>
        </w:rPr>
        <w:t xml:space="preserve">Tipo y estructura:</w:t>
      </w:r>
      <w:r>
        <w:t xml:space="preserve"> </w:t>
      </w:r>
      <w:r>
        <w:t xml:space="preserve">pentapéptido sintético (5 aminoácidos, en parte no naturales: Aib-His-D-2-Nal-D-Phe-Lys-NH2)</w:t>
      </w:r>
      <w:r>
        <w:rPr>
          <w:rStyle w:val="FootnoteReference"/>
        </w:rPr>
        <w:footnoteReference w:id="1340"/>
      </w:r>
      <w:r>
        <w:t xml:space="preserve">.</w:t>
      </w:r>
    </w:p>
    <w:p>
      <w:pPr>
        <w:numPr>
          <w:ilvl w:val="0"/>
          <w:numId w:val="1158"/>
        </w:numPr>
        <w:pStyle w:val="Compact"/>
      </w:pPr>
      <w:r>
        <w:rPr>
          <w:bCs/>
          <w:b/>
        </w:rPr>
        <w:t xml:space="preserve">Origen:</w:t>
      </w:r>
      <w:r>
        <w:t xml:space="preserve"> </w:t>
      </w:r>
      <w:r>
        <w:t xml:space="preserve">desarrollada por Novo Nordisk (Dinamarca) a partir de la familia de los péptidos liberadores de hormona del crecimiento (GHRP); posteriormente desarrollada por Helsinn para el ámbito gastrointestinal.</w:t>
      </w:r>
    </w:p>
    <w:p>
      <w:pPr>
        <w:numPr>
          <w:ilvl w:val="0"/>
          <w:numId w:val="1158"/>
        </w:numPr>
        <w:pStyle w:val="Compact"/>
      </w:pPr>
      <w:r>
        <w:rPr>
          <w:bCs/>
          <w:b/>
        </w:rPr>
        <w:t xml:space="preserve">Mecanismo de acción:</w:t>
      </w:r>
      <w:r>
        <w:t xml:space="preserve"> </w:t>
      </w:r>
      <w:r>
        <w:t xml:space="preserve">se une al receptor de la grelina (GHS-R1a) en la hipófisis y el diencéfalo, así como en el tracto gastrointestinal; provoca un breve pulso de hormona del crecimiento y debería estimular el movimiento intestinal.</w:t>
      </w:r>
    </w:p>
    <w:p>
      <w:pPr>
        <w:numPr>
          <w:ilvl w:val="0"/>
          <w:numId w:val="1158"/>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58"/>
        </w:numPr>
        <w:pStyle w:val="Compact"/>
      </w:pPr>
      <w:r>
        <w:rPr>
          <w:bCs/>
          <w:b/>
        </w:rPr>
        <w:t xml:space="preserve">WADA:</w:t>
      </w:r>
      <w:r>
        <w:t xml:space="preserve"> </w:t>
      </w:r>
      <w:r>
        <w:t xml:space="preserve">prohibida, grupo S2 (secretagogos de la hormona del crecimiento; la ipamorelina se menciona expresamente).</w:t>
      </w:r>
    </w:p>
    <w:p>
      <w:pPr>
        <w:numPr>
          <w:ilvl w:val="0"/>
          <w:numId w:val="1158"/>
        </w:numPr>
        <w:pStyle w:val="Compact"/>
      </w:pPr>
      <w:r>
        <w:rPr>
          <w:bCs/>
          <w:b/>
        </w:rPr>
        <w:t xml:space="preserve">Nivel de evidencia: B</w:t>
      </w:r>
      <w:r>
        <w:t xml:space="preserve"> </w:t>
      </w:r>
      <w:r>
        <w:t xml:space="preserve">– un estudio aleatorizado de fase 2 con 117 personas (sin demostración de eficacia) y un pequeño estudio farmacológico en personas sanas; un segundo estudio de fase 2 está concluido, pero no publicado.</w:t>
      </w:r>
    </w:p>
    <w:bookmarkEnd w:id="1341"/>
    <w:bookmarkStart w:id="1344" w:name="cómo-se-supone-que-actúa-26"/>
    <w:p>
      <w:pPr>
        <w:pStyle w:val="Heading3"/>
      </w:pPr>
      <w:r>
        <w:t xml:space="preserve">Cómo se supone que actúa</w:t>
      </w:r>
    </w:p>
    <w:p>
      <w:pPr>
        <w:pStyle w:val="FirstParagraph"/>
      </w:pPr>
      <w:r>
        <w:t xml:space="preserve">El receptor de la grelina es, junto al receptor de GHRH, el segundo gran regulador de la secreción de hormona del crecimiento. Su llave natural es la grelina, una hormona del estómago descubierta en 1999</w:t>
      </w:r>
      <w:r>
        <w:rPr>
          <w:rStyle w:val="FootnoteReference"/>
        </w:rPr>
        <w:footnoteReference w:id="1342"/>
      </w:r>
      <w:r>
        <w:t xml:space="preserve">. La grelina no solo aumenta la hormona del crecimiento, sino también el hambre, y estimula los movimientos del estómago y del intestino.</w:t>
      </w:r>
    </w:p>
    <w:p>
      <w:pPr>
        <w:pStyle w:val="BodyText"/>
      </w:pPr>
      <w:r>
        <w:t xml:space="preserve">Los liberadores sintéticos más antiguos, como el GHRP-6 o el GHRP-2, liberan, además de hormona del crecimiento, también el sistema de las hormonas del estrés (ACTH y cortisol) y la prolactina. La ipamorelina se desarrolló de forma deliberada para que faltara este efecto secundario: en cerdos liberó hormona del crecimiento con una intensidad similar a la del GHRP-6, mientras que la ACTH y el cortisol, incluso con dosis más de 200 veces mayores, no aumentaron más que con la GHRH</w:t>
      </w:r>
      <w:r>
        <w:rPr>
          <w:rStyle w:val="FootnoteReference"/>
        </w:rPr>
        <w:footnoteReference w:id="1343"/>
      </w:r>
      <w:r>
        <w:t xml:space="preserve">. No se ha estudiado sistemáticamente si esta selectividad se da en la misma medida en el ser humano.</w:t>
      </w:r>
    </w:p>
    <w:p>
      <w:pPr>
        <w:pStyle w:val="BodyText"/>
      </w:pPr>
      <w:r>
        <w:t xml:space="preserve">En la clínica interesaba sobre todo el efecto intestinal: tras las operaciones abdominales, la actividad intestinal suele detenerse durante días (íleo postoperatorio), lo que prolonga la estancia hospitalaria. Un mimético de la grelina que pudiera administrarse por vía intravenosa parecía una solución elegante.</w:t>
      </w:r>
    </w:p>
    <w:bookmarkEnd w:id="1344"/>
    <w:bookmarkStart w:id="1349" w:name="estudios-en-humanos-26"/>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w:t>
      </w:r>
      <w:r>
        <w:t xml:space="preserve"> </w:t>
      </w:r>
      <w:r>
        <w:t xml:space="preserve">estudios en humanos en PubMed (</w:t>
      </w:r>
      <w:r>
        <w:rPr>
          <w:rStyle w:val="VerbatimChar"/>
        </w:rPr>
        <w:t xml:space="preserve">humanstudien_alle</w:t>
      </w:r>
      <w:r>
        <w:t xml:space="preserve">) y</w:t>
      </w:r>
      <w:r>
        <w:t xml:space="preserve"> </w:t>
      </w:r>
      <w:r>
        <w:rPr>
          <w:bCs/>
          <w:b/>
        </w:rPr>
        <w:t xml:space="preserve">3</w:t>
      </w:r>
      <w:r>
        <w:t xml:space="preserve"> </w:t>
      </w:r>
      <w:r>
        <w:t xml:space="preserve">entradas en ClinicalTrials.gov. Una de estas entradas del registro</w:t>
      </w:r>
      <w:r>
        <w:rPr>
          <w:rStyle w:val="FootnoteReference"/>
        </w:rPr>
        <w:footnoteReference w:id="1345"/>
      </w:r>
      <w:r>
        <w:t xml:space="preserve"> </w:t>
      </w:r>
      <w:r>
        <w:t xml:space="preserve">se refiere a un estudio observacional sobre psicodélicos en veteranos y no examina la ipamorelina como medicamento en investigación; allí solo se enumera como uno de varios componentes de una «suplementación fisiológica» (junto con testosterona, aceite de pescado y vitaminas). Clínicamente relevantes son, por tanto, dos estudios sobre el íleo postoperatorio.</w:t>
      </w:r>
    </w:p>
    <w:p>
      <w:pPr>
        <w:pStyle w:val="BodyText"/>
      </w:pPr>
      <w:r>
        <w:rPr>
          <w:bCs/>
          <w:b/>
        </w:rPr>
        <w:t xml:space="preserve">Farmacología en personas sanas:</w:t>
      </w:r>
      <w:r>
        <w:t xml:space="preserve"> </w:t>
      </w:r>
      <w:r>
        <w:t xml:space="preserve">En un estudio con dosis crecientes, ocho hombres sanos por nivel de dosis recibieron una infusión de 15 minutos. La ipamorelina tuvo una semivida corta de unas 2 horas y provocó con todas las dosis un único pulso de GH, que alcanzó su máximo a los 40 minutos aproximadamente y después descendió con rapidez</w:t>
      </w:r>
      <w:r>
        <w:rPr>
          <w:rStyle w:val="FootnoteReference"/>
        </w:rPr>
        <w:footnoteReference w:id="1346"/>
      </w:r>
      <w:r>
        <w:t xml:space="preserve">.</w:t>
      </w:r>
    </w:p>
    <w:p>
      <w:pPr>
        <w:pStyle w:val="BodyText"/>
      </w:pPr>
      <w:r>
        <w:rPr>
          <w:bCs/>
          <w:b/>
        </w:rPr>
        <w:t xml:space="preserve">Íleo postoperatorio, primer estudio de fase 2:</w:t>
      </w:r>
      <w:r>
        <w:t xml:space="preserve"> </w:t>
      </w:r>
      <w:r>
        <w:t xml:space="preserve">En un estudio multicéntrico, doble ciego y controlado con placebo, 117 adultos recibieron tras una resección de intestino delgado o grueso, durante un máximo de siete días, ipamorelina o placebo en infusión dos veces al día. El tiempo medio hasta la primera comida sólida tolerada fue de 25,3 horas con ipamorelina y de 32,6 horas con placebo, una diferencia que no fue estadísticamente significativa (p = 0,15). Los demás objetivos de eficacia tampoco difirieron. Se produjeron efectos adversos en el 87,5 % con ipamorelina y en el 94,8 % con placebo, algo que no es inusual tras grandes operaciones abdominales</w:t>
      </w:r>
      <w:r>
        <w:rPr>
          <w:rStyle w:val="FootnoteReference"/>
        </w:rPr>
        <w:footnoteReference w:id="1347"/>
      </w:r>
      <w:r>
        <w:t xml:space="preserve">.</w:t>
      </w:r>
    </w:p>
    <w:p>
      <w:pPr>
        <w:pStyle w:val="BodyText"/>
      </w:pPr>
      <w:r>
        <w:rPr>
          <w:bCs/>
          <w:b/>
        </w:rPr>
        <w:t xml:space="preserve">Segundo estudio de fase 2:</w:t>
      </w:r>
      <w:r>
        <w:t xml:space="preserve"> </w:t>
      </w:r>
      <w:r>
        <w:t xml:space="preserve">Un estudio de seguimiento más grande, con 320 participantes, sobre la recuperación de la función gastrointestinal concluyó en 2014</w:t>
      </w:r>
      <w:r>
        <w:rPr>
          <w:rStyle w:val="FootnoteReference"/>
        </w:rPr>
        <w:footnoteReference w:id="1348"/>
      </w:r>
      <w:r>
        <w:t xml:space="preserve">. No he encontrado en PubMed ninguna publicación de los resultados, y la entrada del registro no contiene resultados. Después, el desarrollo no continuó.</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Farmacología (Gobburu 1999), PMID 10496658</w:t>
            </w:r>
          </w:p>
        </w:tc>
        <w:tc>
          <w:tcPr/>
          <w:p>
            <w:pPr>
              <w:pStyle w:val="Compact"/>
              <w:jc w:val="left"/>
            </w:pPr>
            <w:r>
              <w:t xml:space="preserve">hombres sanos, 5 niveles de dosis de 8 personas cada uno</w:t>
            </w:r>
          </w:p>
        </w:tc>
        <w:tc>
          <w:tcPr/>
          <w:p>
            <w:pPr>
              <w:pStyle w:val="Compact"/>
              <w:jc w:val="left"/>
            </w:pPr>
            <w:r>
              <w:t xml:space="preserve">infusión única</w:t>
            </w:r>
          </w:p>
        </w:tc>
        <w:tc>
          <w:tcPr/>
          <w:p>
            <w:pPr>
              <w:pStyle w:val="Compact"/>
              <w:jc w:val="left"/>
            </w:pPr>
            <w:r>
              <w:t xml:space="preserve">semivida aprox. 2 h; un pulso de GH por administración</w:t>
            </w:r>
          </w:p>
        </w:tc>
      </w:tr>
      <w:tr>
        <w:tc>
          <w:tcPr/>
          <w:p>
            <w:pPr>
              <w:pStyle w:val="Compact"/>
              <w:jc w:val="left"/>
            </w:pPr>
            <w:r>
              <w:t xml:space="preserve">Estudio de íleo 1 (Beck 2014), PMID 25331030</w:t>
            </w:r>
          </w:p>
        </w:tc>
        <w:tc>
          <w:tcPr/>
          <w:p>
            <w:pPr>
              <w:pStyle w:val="Compact"/>
              <w:jc w:val="left"/>
            </w:pPr>
            <w:r>
              <w:t xml:space="preserve">117 adultos tras resección intestinal, ECA frente a placebo</w:t>
            </w:r>
          </w:p>
        </w:tc>
        <w:tc>
          <w:tcPr/>
          <w:p>
            <w:pPr>
              <w:pStyle w:val="Compact"/>
              <w:jc w:val="left"/>
            </w:pPr>
            <w:r>
              <w:t xml:space="preserve">hasta 7 días</w:t>
            </w:r>
          </w:p>
        </w:tc>
        <w:tc>
          <w:tcPr/>
          <w:p>
            <w:pPr>
              <w:pStyle w:val="Compact"/>
              <w:jc w:val="left"/>
            </w:pPr>
            <w:r>
              <w:t xml:space="preserve">25,3 frente a 32,6 h hasta la primera comida, no significativo</w:t>
            </w:r>
          </w:p>
        </w:tc>
      </w:tr>
      <w:tr>
        <w:tc>
          <w:tcPr/>
          <w:p>
            <w:pPr>
              <w:pStyle w:val="Compact"/>
              <w:jc w:val="left"/>
            </w:pPr>
            <w:r>
              <w:t xml:space="preserve">Estudio de íleo 2, NCT01280344</w:t>
            </w:r>
          </w:p>
        </w:tc>
        <w:tc>
          <w:tcPr/>
          <w:p>
            <w:pPr>
              <w:pStyle w:val="Compact"/>
              <w:jc w:val="left"/>
            </w:pPr>
            <w:r>
              <w:t xml:space="preserve">320 adultos, fase 2 frente a placebo</w:t>
            </w:r>
          </w:p>
        </w:tc>
        <w:tc>
          <w:tcPr/>
          <w:p>
            <w:pPr>
              <w:pStyle w:val="Compact"/>
              <w:jc w:val="left"/>
            </w:pPr>
            <w:r>
              <w:t xml:space="preserve">–</w:t>
            </w:r>
          </w:p>
        </w:tc>
        <w:tc>
          <w:tcPr/>
          <w:p>
            <w:pPr>
              <w:pStyle w:val="Compact"/>
              <w:jc w:val="left"/>
            </w:pPr>
            <w:r>
              <w:t xml:space="preserve">concluido en 2014, resultados no publicados</w:t>
            </w:r>
          </w:p>
        </w:tc>
      </w:tr>
    </w:tbl>
    <w:p>
      <w:pPr>
        <w:pStyle w:val="BodyText"/>
      </w:pPr>
      <w:r>
        <w:rPr>
          <w:bCs/>
          <w:b/>
        </w:rPr>
        <w:t xml:space="preserve">No</w:t>
      </w:r>
      <w:r>
        <w:t xml:space="preserve"> </w:t>
      </w:r>
      <w:r>
        <w:t xml:space="preserve">existe ningún estudio publicado que haya examinado la ipamorelina en adultos sanos, deportistas o personas mayores en relación con la masa muscular, la pérdida de grasa, el sueño, la piel o el rendimiento.</w:t>
      </w:r>
    </w:p>
    <w:bookmarkEnd w:id="1349"/>
    <w:bookmarkStart w:id="1353" w:name="estudios-en-animales-y-de-laboratorio-26"/>
    <w:p>
      <w:pPr>
        <w:pStyle w:val="Heading3"/>
      </w:pPr>
      <w:r>
        <w:t xml:space="preserve">Estudios en animales y de laboratorio</w:t>
      </w:r>
    </w:p>
    <w:p>
      <w:pPr>
        <w:numPr>
          <w:ilvl w:val="0"/>
          <w:numId w:val="1159"/>
        </w:numPr>
        <w:pStyle w:val="Compact"/>
      </w:pPr>
      <w:r>
        <w:rPr>
          <w:bCs/>
          <w:b/>
        </w:rPr>
        <w:t xml:space="preserve">Intestino (ratas):</w:t>
      </w:r>
      <w:r>
        <w:t xml:space="preserve"> </w:t>
      </w:r>
      <w:r>
        <w:t xml:space="preserve">En ratas con parálisis intestinal provocada quirúrgicamente, una dosis única de ipamorelina acortó el tiempo hasta la primera deposición; las administraciones repetidas aumentaron la cantidad de heces, la ingesta de alimento y el aumento de peso</w:t>
      </w:r>
      <w:r>
        <w:rPr>
          <w:rStyle w:val="FootnoteReference"/>
        </w:rPr>
        <w:footnoteReference w:id="1350"/>
      </w:r>
      <w:r>
        <w:t xml:space="preserve">. Estos resultados fueron la base de los estudios de íleo en humanos, que no confirmaron el efecto.</w:t>
      </w:r>
    </w:p>
    <w:p>
      <w:pPr>
        <w:numPr>
          <w:ilvl w:val="0"/>
          <w:numId w:val="1159"/>
        </w:numPr>
        <w:pStyle w:val="Compact"/>
      </w:pPr>
      <w:r>
        <w:rPr>
          <w:bCs/>
          <w:b/>
        </w:rPr>
        <w:t xml:space="preserve">Hueso (ratas):</w:t>
      </w:r>
      <w:r>
        <w:t xml:space="preserve"> </w:t>
      </w:r>
      <w:r>
        <w:t xml:space="preserve">En ratas hembra adultas, la ipamorelina aumentó durante 15 días, de forma dependiente de la dosis, el crecimiento longitudinal de los huesos y el aumento de peso, sin elevar de forma medible el IGF-1</w:t>
      </w:r>
      <w:r>
        <w:rPr>
          <w:rStyle w:val="FootnoteReference"/>
        </w:rPr>
        <w:footnoteReference w:id="1351"/>
      </w:r>
      <w:r>
        <w:t xml:space="preserve">.</w:t>
      </w:r>
    </w:p>
    <w:p>
      <w:pPr>
        <w:numPr>
          <w:ilvl w:val="0"/>
          <w:numId w:val="1159"/>
        </w:numPr>
        <w:pStyle w:val="Compact"/>
      </w:pPr>
      <w:r>
        <w:rPr>
          <w:bCs/>
          <w:b/>
        </w:rPr>
        <w:t xml:space="preserve">Selectividad (cerdos, células de rata):</w:t>
      </w:r>
      <w:r>
        <w:t xml:space="preserve"> </w:t>
      </w:r>
      <w:r>
        <w:t xml:space="preserve">véase más arriba</w:t>
      </w:r>
      <w:r>
        <w:rPr>
          <w:rStyle w:val="FootnoteReference"/>
        </w:rPr>
        <w:footnoteReference w:id="1352"/>
      </w:r>
      <w:r>
        <w:t xml:space="preserve">.</w:t>
      </w:r>
    </w:p>
    <w:bookmarkEnd w:id="1353"/>
    <w:bookmarkStart w:id="1356" w:name="riesgos-y-efectos-adversos-26"/>
    <w:p>
      <w:pPr>
        <w:pStyle w:val="Heading3"/>
      </w:pPr>
      <w:r>
        <w:t xml:space="preserve">Riesgos y efectos adversos</w:t>
      </w:r>
    </w:p>
    <w:p>
      <w:pPr>
        <w:pStyle w:val="FirstParagraph"/>
      </w:pPr>
      <w:r>
        <w:rPr>
          <w:bCs/>
          <w:b/>
        </w:rPr>
        <w:t xml:space="preserve">Demostrado:</w:t>
      </w:r>
      <w:r>
        <w:t xml:space="preserve"> </w:t>
      </w:r>
      <w:r>
        <w:t xml:space="preserve">En el estudio de íleo, la ipamorelina se describió como bien tolerada durante un máximo de siete días, sin acumulación de efectos adversos frente a placebo</w:t>
      </w:r>
      <w:r>
        <w:rPr>
          <w:rStyle w:val="FootnoteReference"/>
        </w:rPr>
        <w:footnoteReference w:id="1354"/>
      </w:r>
      <w:r>
        <w:t xml:space="preserve">. Se trata de un uso breve en el hospital con administración intravenosa.</w:t>
      </w:r>
    </w:p>
    <w:p>
      <w:pPr>
        <w:pStyle w:val="BodyText"/>
      </w:pPr>
      <w:r>
        <w:rPr>
          <w:bCs/>
          <w:b/>
        </w:rPr>
        <w:t xml:space="preserve">Desconocido:</w:t>
      </w:r>
      <w:r>
        <w:t xml:space="preserve"> </w:t>
      </w:r>
      <w:r>
        <w:t xml:space="preserve">No hay datos sobre el uso repetido durante semanas o meses, como se describe en internet. En teoría cabe esperar los efectos de unos niveles elevados de GH (retención de líquidos, molestias articulares, menor sensibilidad a la insulina) y, a través del receptor de la grelina, un aumento del apetito. Sobre la cuestión de un riesgo de cáncer por un IGF-1 elevado de forma continuada, véanse la introducción de este grupo y la Parte IV.</w:t>
      </w:r>
    </w:p>
    <w:p>
      <w:pPr>
        <w:pStyle w:val="BodyText"/>
      </w:pPr>
      <w:r>
        <w:rPr>
          <w:bCs/>
          <w:b/>
        </w:rPr>
        <w:t xml:space="preserve">Mercado gris:</w:t>
      </w:r>
      <w:r>
        <w:t xml:space="preserve"> </w:t>
      </w:r>
      <w:r>
        <w:t xml:space="preserve">Los análisis de laboratorio de productos incautados encontraron «Gly-ipamorelina», es decir, ipamorelina con un aminoácido adicional no declarado al principio, probablemente para eludir los controles antidopaje</w:t>
      </w:r>
      <w:r>
        <w:rPr>
          <w:rStyle w:val="FootnoteReference"/>
        </w:rPr>
        <w:footnoteReference w:id="1355"/>
      </w:r>
      <w:r>
        <w:t xml:space="preserve">. Se desconoce cómo se comportan estas modificaciones en el organismo.</w:t>
      </w:r>
    </w:p>
    <w:bookmarkEnd w:id="1356"/>
    <w:bookmarkStart w:id="1359" w:name="situación-legal-26"/>
    <w:p>
      <w:pPr>
        <w:pStyle w:val="Heading3"/>
      </w:pPr>
      <w:r>
        <w:t xml:space="preserve">Situación legal</w:t>
      </w:r>
    </w:p>
    <w:p>
      <w:pPr>
        <w:pStyle w:val="FirstParagraph"/>
      </w:pPr>
      <w:r>
        <w:rPr>
          <w:iCs/>
          <w:i/>
        </w:rPr>
        <w:t xml:space="preserve">Situación en 2026; comprueba la información actualizada.</w:t>
      </w:r>
    </w:p>
    <w:p>
      <w:pPr>
        <w:numPr>
          <w:ilvl w:val="0"/>
          <w:numId w:val="1160"/>
        </w:numPr>
        <w:pStyle w:val="Compact"/>
      </w:pPr>
      <w:r>
        <w:rPr>
          <w:bCs/>
          <w:b/>
        </w:rPr>
        <w:t xml:space="preserve">UE, Alemania, Austria:</w:t>
      </w:r>
      <w:r>
        <w:t xml:space="preserve"> </w:t>
      </w:r>
      <w:r>
        <w:t xml:space="preserve">sin autorización; su dispensación para uso en humanos no está permitida.</w:t>
      </w:r>
    </w:p>
    <w:p>
      <w:pPr>
        <w:numPr>
          <w:ilvl w:val="0"/>
          <w:numId w:val="1160"/>
        </w:numPr>
        <w:pStyle w:val="Compact"/>
      </w:pPr>
      <w:r>
        <w:rPr>
          <w:bCs/>
          <w:b/>
        </w:rPr>
        <w:t xml:space="preserve">EE. UU.:</w:t>
      </w:r>
      <w:r>
        <w:t xml:space="preserve"> </w:t>
      </w:r>
      <w:r>
        <w:t xml:space="preserve">sin autorización. La FDA ha clasificado la ipamorelina entre las sustancias de partida para farmacias de formulación magistral como sustancia con problemas de seguridad (categoría 2); la clasificación de los péptidos se debate desde entonces de forma controvertida</w:t>
      </w:r>
      <w:r>
        <w:rPr>
          <w:rStyle w:val="FootnoteReference"/>
        </w:rPr>
        <w:footnoteReference w:id="1357"/>
      </w:r>
      <w:r>
        <w:t xml:space="preserve">.</w:t>
      </w:r>
    </w:p>
    <w:p>
      <w:pPr>
        <w:numPr>
          <w:ilvl w:val="0"/>
          <w:numId w:val="1160"/>
        </w:numPr>
        <w:pStyle w:val="Compact"/>
      </w:pPr>
      <w:r>
        <w:rPr>
          <w:bCs/>
          <w:b/>
        </w:rPr>
        <w:t xml:space="preserve">WADA:</w:t>
      </w:r>
      <w:r>
        <w:t xml:space="preserve"> </w:t>
      </w:r>
      <w:r>
        <w:t xml:space="preserve">prohibida (S2), en competición y fuera de ella. La ipamorelina y sus productos de degradación pueden detectarse en orina, también tras su uso como aerosol nasal</w:t>
      </w:r>
      <w:r>
        <w:rPr>
          <w:rStyle w:val="FootnoteReference"/>
        </w:rPr>
        <w:footnoteReference w:id="1358"/>
      </w:r>
      <w:r>
        <w:t xml:space="preserve">.</w:t>
      </w:r>
    </w:p>
    <w:bookmarkEnd w:id="1359"/>
    <w:bookmarkStart w:id="1360" w:name="estudios-en-curso-y-perspectivas-26"/>
    <w:p>
      <w:pPr>
        <w:pStyle w:val="Heading3"/>
      </w:pPr>
      <w:r>
        <w:t xml:space="preserve">Estudios en curso y perspectivas</w:t>
      </w:r>
    </w:p>
    <w:p>
      <w:pPr>
        <w:pStyle w:val="FirstParagraph"/>
      </w:pPr>
      <w:r>
        <w:t xml:space="preserve">En octubre de 2026 no figura en ClinicalTrials.gov ningún estudio en curso que examine la ipamorelina como medicamento en investigación.</w:t>
      </w:r>
      <w:r>
        <w:t xml:space="preserve"> </w:t>
      </w:r>
      <w:r>
        <w:rPr>
          <w:iCs/>
          <w:i/>
        </w:rPr>
        <w:t xml:space="preserve">Valoración del autor:</w:t>
      </w:r>
      <w:r>
        <w:t xml:space="preserve"> </w:t>
      </w:r>
      <w:r>
        <w:t xml:space="preserve">Tras el resultado negativo en el íleo postoperatorio, falta una empresa que siga desarrollando la sustancia. Lo más probable es que los nuevos datos procedan de informes de casos sobre usos del mercado gris.</w:t>
      </w:r>
    </w:p>
    <w:bookmarkEnd w:id="1360"/>
    <w:bookmarkStart w:id="1361" w:name="conclusión-26"/>
    <w:p>
      <w:pPr>
        <w:pStyle w:val="Heading3"/>
      </w:pPr>
      <w:r>
        <w:t xml:space="preserve">Conclusión</w:t>
      </w:r>
    </w:p>
    <w:p>
      <w:pPr>
        <w:pStyle w:val="FirstParagraph"/>
      </w:pPr>
      <w:r>
        <w:t xml:space="preserve">La ipamorelina es un agonista del receptor de la grelina desarrollado de forma específica que, en animales, libera hormona del crecimiento sin una secreción apreciable de hormonas del estrés. El único estudio de eficacia publicado en humanos –117 pacientes tras operaciones intestinales– no encontró ningún beneficio significativo; un estudio de seguimiento más grande quedó sin publicar. Para los usos promocionados en internet (desarrollo muscular, pérdida de grasa, sueño, antienvejecimiento) no hay estudios en humanos, y está demostrado que los productos del mercado gris contienen también moléculas modificadas.</w:t>
      </w:r>
    </w:p>
    <w:bookmarkEnd w:id="1361"/>
    <w:bookmarkEnd w:id="1362"/>
    <w:bookmarkStart w:id="1395" w:name="ghrp-2-pralmorelina"/>
    <w:p>
      <w:pPr>
        <w:pStyle w:val="Heading2"/>
      </w:pPr>
      <w:r>
        <w:t xml:space="preserve">GHRP-2 (pralmorelina)</w:t>
      </w:r>
    </w:p>
    <w:p>
      <w:pPr>
        <w:pStyle w:val="FirstParagraph"/>
      </w:pPr>
      <w:r>
        <w:t xml:space="preserve">El GHRP-2 es un pequeño péptido artificial de seis aminoácidos que estimula a la hipófisis a liberar hormona del crecimiento con más fuerza que casi cualquier otro estímulo conocido. Esta potencia lo ha convertido en Japón en un medicamento autorizado, no como tratamiento, sino como sustancia de prueba: con una sola inyección puede comprobarse si un adulto tiene un déficit de hormona del crecimiento. En el mercado gris, el mismo péptido se vende como «péptido para el músculo y antienvejecimiento». Para ello no hay pruebas.</w:t>
      </w:r>
    </w:p>
    <w:bookmarkStart w:id="1365" w:name="ficha-27"/>
    <w:p>
      <w:pPr>
        <w:pStyle w:val="Heading3"/>
      </w:pPr>
      <w:r>
        <w:t xml:space="preserve">Ficha</w:t>
      </w:r>
    </w:p>
    <w:p>
      <w:pPr>
        <w:numPr>
          <w:ilvl w:val="0"/>
          <w:numId w:val="1161"/>
        </w:numPr>
        <w:pStyle w:val="Compact"/>
      </w:pPr>
      <w:r>
        <w:rPr>
          <w:bCs/>
          <w:b/>
        </w:rPr>
        <w:t xml:space="preserve">Tipo y estructura:</w:t>
      </w:r>
      <w:r>
        <w:t xml:space="preserve"> </w:t>
      </w:r>
      <w:r>
        <w:t xml:space="preserve">hexapéptido sintético (D-Ala-D-2-Nal-Ala-Trp-D-Phe-Lys-NH2) con varios aminoácidos no naturales; nombres de desarrollo KP-102 y GPA-748, denominación común internacional pralmorelina</w:t>
      </w:r>
      <w:r>
        <w:rPr>
          <w:rStyle w:val="FootnoteReference"/>
        </w:rPr>
        <w:footnoteReference w:id="1363"/>
      </w:r>
      <w:r>
        <w:t xml:space="preserve">.</w:t>
      </w:r>
    </w:p>
    <w:p>
      <w:pPr>
        <w:numPr>
          <w:ilvl w:val="0"/>
          <w:numId w:val="1161"/>
        </w:numPr>
        <w:pStyle w:val="Compact"/>
      </w:pPr>
      <w:r>
        <w:rPr>
          <w:bCs/>
          <w:b/>
        </w:rPr>
        <w:t xml:space="preserve">Origen:</w:t>
      </w:r>
      <w:r>
        <w:t xml:space="preserve"> </w:t>
      </w:r>
      <w:r>
        <w:t xml:space="preserve">desarrollado en la década de 1990 a partir de la serie de péptidos liberadores de GH iniciada por Cyril Bowers (Universidad de Tulane, EE. UU.); derechos en manos de Kaken (Japón)</w:t>
      </w:r>
      <w:r>
        <w:rPr>
          <w:rStyle w:val="FootnoteReference"/>
        </w:rPr>
        <w:footnoteReference w:id="1364"/>
      </w:r>
      <w:r>
        <w:t xml:space="preserve">.</w:t>
      </w:r>
    </w:p>
    <w:p>
      <w:pPr>
        <w:numPr>
          <w:ilvl w:val="0"/>
          <w:numId w:val="1161"/>
        </w:numPr>
        <w:pStyle w:val="Compact"/>
      </w:pPr>
      <w:r>
        <w:rPr>
          <w:bCs/>
          <w:b/>
        </w:rPr>
        <w:t xml:space="preserve">Mecanismo de acción:</w:t>
      </w:r>
      <w:r>
        <w:t xml:space="preserve"> </w:t>
      </w:r>
      <w:r>
        <w:t xml:space="preserve">agonista del receptor de la grelina (GHS-R1a) en la hipófisis y el diencéfalo; libera hormona del crecimiento y, en menor medida, también ACTH, cortisol y prolactina; aumenta el apetito.</w:t>
      </w:r>
    </w:p>
    <w:p>
      <w:pPr>
        <w:numPr>
          <w:ilvl w:val="0"/>
          <w:numId w:val="1161"/>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r>
        <w:t xml:space="preserve"> </w:t>
      </w:r>
      <w:r>
        <w:rPr>
          <w:bCs/>
          <w:b/>
        </w:rPr>
        <w:t xml:space="preserve">Japón:</w:t>
      </w:r>
      <w:r>
        <w:t xml:space="preserve"> </w:t>
      </w:r>
      <w:r>
        <w:t xml:space="preserve">autorizado como agente diagnóstico de la función hipofisaria.</w:t>
      </w:r>
    </w:p>
    <w:p>
      <w:pPr>
        <w:numPr>
          <w:ilvl w:val="0"/>
          <w:numId w:val="1161"/>
        </w:numPr>
        <w:pStyle w:val="Compact"/>
      </w:pPr>
      <w:r>
        <w:rPr>
          <w:bCs/>
          <w:b/>
        </w:rPr>
        <w:t xml:space="preserve">WADA:</w:t>
      </w:r>
      <w:r>
        <w:t xml:space="preserve"> </w:t>
      </w:r>
      <w:r>
        <w:t xml:space="preserve">prohibido, grupo S2; el GHRP-2 (pralmorelina) se menciona expresamente como péptido liberador de hormona del crecimiento.</w:t>
      </w:r>
    </w:p>
    <w:p>
      <w:pPr>
        <w:numPr>
          <w:ilvl w:val="0"/>
          <w:numId w:val="1161"/>
        </w:numPr>
        <w:pStyle w:val="Compact"/>
      </w:pPr>
      <w:r>
        <w:rPr>
          <w:bCs/>
          <w:b/>
        </w:rPr>
        <w:t xml:space="preserve">Nivel de evidencia: B</w:t>
      </w:r>
      <w:r>
        <w:t xml:space="preserve"> </w:t>
      </w:r>
      <w:r>
        <w:t xml:space="preserve">– numerosos pequeños estudios aleatorizados sobre fisiología hormonal y un estudio de validación como agente diagnóstico; ningún estudio aleatorizado sobre un beneficio terapéutico.</w:t>
      </w:r>
    </w:p>
    <w:bookmarkEnd w:id="1365"/>
    <w:bookmarkStart w:id="1368" w:name="cómo-se-supone-que-actúa-27"/>
    <w:p>
      <w:pPr>
        <w:pStyle w:val="Heading3"/>
      </w:pPr>
      <w:r>
        <w:t xml:space="preserve">Cómo se supone que actúa</w:t>
      </w:r>
    </w:p>
    <w:p>
      <w:pPr>
        <w:pStyle w:val="FirstParagraph"/>
      </w:pPr>
      <w:r>
        <w:t xml:space="preserve">El GHRP-2 imita a la grelina, la hormona del hambre del estómago, que al mismo tiempo regula la secreción de hormona del crecimiento</w:t>
      </w:r>
      <w:r>
        <w:rPr>
          <w:rStyle w:val="FootnoteReference"/>
        </w:rPr>
        <w:footnoteReference w:id="1366"/>
      </w:r>
      <w:r>
        <w:t xml:space="preserve">. Históricamente fue al revés: primero existieron los GHRP sintéticos, se encontró su receptor y solo después se descubrió la grelina como su llave natural.</w:t>
      </w:r>
    </w:p>
    <w:p>
      <w:pPr>
        <w:pStyle w:val="BodyText"/>
      </w:pPr>
      <w:r>
        <w:t xml:space="preserve">El GHRP-2 actúa en dos niveles: directamente en la hipófisis e indirectamente a través del diencéfalo, donde atenúa el freno de la somatostatina y apoya la GHRH propia del organismo. Por eso, para su efecto completo necesita un diencéfalo intacto: en ratas sin hipófisis no tuvo ningún efecto, y en ratas con la conexión entre diencéfalo e hipófisis destruida, solo un efecto atenuado</w:t>
      </w:r>
      <w:r>
        <w:rPr>
          <w:rStyle w:val="FootnoteReference"/>
        </w:rPr>
        <w:footnoteReference w:id="1367"/>
      </w:r>
      <w:r>
        <w:t xml:space="preserve">. Si se administran juntos GHRP-2 y GHRH, la secreción es claramente mayor que la suma de los efectos individuales.</w:t>
      </w:r>
    </w:p>
    <w:bookmarkEnd w:id="1368"/>
    <w:bookmarkStart w:id="1382" w:name="estudios-en-humanos-27"/>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55</w:t>
      </w:r>
      <w:r>
        <w:t xml:space="preserve"> </w:t>
      </w:r>
      <w:r>
        <w:t xml:space="preserve">estudios en humanos en PubMed (</w:t>
      </w:r>
      <w:r>
        <w:rPr>
          <w:rStyle w:val="VerbatimChar"/>
        </w:rPr>
        <w:t xml:space="preserve">humanstudien_alle</w:t>
      </w:r>
      <w:r>
        <w:t xml:space="preserve">) y</w:t>
      </w:r>
      <w:r>
        <w:t xml:space="preserve"> </w:t>
      </w:r>
      <w:r>
        <w:rPr>
          <w:bCs/>
          <w:b/>
        </w:rPr>
        <w:t xml:space="preserve">ninguna</w:t>
      </w:r>
      <w:r>
        <w:t xml:space="preserve"> </w:t>
      </w:r>
      <w:r>
        <w:t xml:space="preserve">entrada en ClinicalTrials.gov. La cifra elevada engaña: la mayoría de los trabajos (sobre todo de un grupo de investigación de la Clínica Mayo) utilizan el GHRP-2 como herramienta para estudiar la regulación de la secreción de hormona del crecimiento en mujeres y hombres, bajo hormonas sexuales o en la vejez. No dicen nada sobre un beneficio para la salud.</w:t>
      </w:r>
    </w:p>
    <w:bookmarkStart w:id="1373" w:name="X66f2f04f0cbd577614d7cc631358cf7da38ae41"/>
    <w:p>
      <w:pPr>
        <w:pStyle w:val="Heading4"/>
      </w:pPr>
      <w:r>
        <w:t xml:space="preserve">Diagnóstico del déficit de hormona del crecimiento</w:t>
      </w:r>
    </w:p>
    <w:p>
      <w:pPr>
        <w:pStyle w:val="FirstParagraph"/>
      </w:pPr>
      <w:r>
        <w:t xml:space="preserve">La aplicación más importante es la prueba de GHRP-2. En un estudio de validación, 77 personas sanas y 58 pacientes con déficit grave confirmado de hormona del crecimiento recibieron una dosis única intravenosa. El pico de GH fue en promedio de 84,6 µg/l en las personas sanas y de 1,36 µg/l en las afectadas. La prueba fue bien reproducible y apenas se vio influida por la edad y el sobrepeso; un valor de corte de 15 µg/l correspondió al valor de corte habitual de la prueba de hipoglucemia insulínica</w:t>
      </w:r>
      <w:r>
        <w:rPr>
          <w:rStyle w:val="FootnoteReference"/>
        </w:rPr>
        <w:footnoteReference w:id="1369"/>
      </w:r>
      <w:r>
        <w:t xml:space="preserve">. En una comparación en 71 personas con tumores hipofisarios, la prueba de GHRP-2 alcanzó, frente a la prueba de insulina, una sensibilidad del 81,3 % y una especificidad del 94,5 %</w:t>
      </w:r>
      <w:r>
        <w:rPr>
          <w:rStyle w:val="FootnoteReference"/>
        </w:rPr>
        <w:footnoteReference w:id="1370"/>
      </w:r>
      <w:r>
        <w:t xml:space="preserve">.</w:t>
      </w:r>
    </w:p>
    <w:p>
      <w:pPr>
        <w:pStyle w:val="BodyText"/>
      </w:pPr>
      <w:r>
        <w:t xml:space="preserve">Como el GHRP-2 también libera ACTH, se examinó si la prueba detecta además una hipofunción del eje suprarrenal. Los resultados son dispares: en un estudio con 47 personas alcanzó una sensibilidad del 89,7 %</w:t>
      </w:r>
      <w:r>
        <w:rPr>
          <w:rStyle w:val="FootnoteReference"/>
        </w:rPr>
        <w:footnoteReference w:id="1371"/>
      </w:r>
      <w:r>
        <w:t xml:space="preserve">; en un análisis más amplio de 254 personas no resultó suficientemente fiable en conjunto (sensibilidad del 64 %, especificidad del 79 %); solo en hombres sin tumor hormonalmente activo obtuvo buenos resultados</w:t>
      </w:r>
      <w:r>
        <w:rPr>
          <w:rStyle w:val="FootnoteReference"/>
        </w:rPr>
        <w:footnoteReference w:id="1372"/>
      </w:r>
      <w:r>
        <w:t xml:space="preserve">.</w:t>
      </w:r>
    </w:p>
    <w:bookmarkEnd w:id="1373"/>
    <w:bookmarkStart w:id="1378" w:name="intentos-de-tratamiento-en-niños"/>
    <w:p>
      <w:pPr>
        <w:pStyle w:val="Heading4"/>
      </w:pPr>
      <w:r>
        <w:t xml:space="preserve">Intentos de tratamiento en niños</w:t>
      </w:r>
    </w:p>
    <w:p>
      <w:pPr>
        <w:pStyle w:val="FirstParagraph"/>
      </w:pPr>
      <w:r>
        <w:t xml:space="preserve">En la década de 1990 se probó el GHRP-2 como tratamiento para niños de talla baja. En seis niños con déficit de hormona del crecimiento, la secreción nocturna de GH aumentó de forma dependiente de la dosis, pero el IGF-1 no; la velocidad de crecimiento fue mayor durante el tratamiento</w:t>
      </w:r>
      <w:r>
        <w:rPr>
          <w:rStyle w:val="FootnoteReference"/>
        </w:rPr>
        <w:footnoteReference w:id="1374"/>
      </w:r>
      <w:r>
        <w:t xml:space="preserve">. Como aerosol nasal, el GHRP-2 aumentó en 15 niños la velocidad de crecimiento de 3,7 a 6,1 cm al año, de nuevo sin aumento del IGF-1</w:t>
      </w:r>
      <w:r>
        <w:rPr>
          <w:rStyle w:val="FootnoteReference"/>
        </w:rPr>
        <w:footnoteReference w:id="1375"/>
      </w:r>
      <w:r>
        <w:t xml:space="preserve">. De diez niños que recibieron GHRP-2 en comprimidos durante doce meses, siete refirieron un apetito claramente mayor en los primeros meses</w:t>
      </w:r>
      <w:r>
        <w:rPr>
          <w:rStyle w:val="FootnoteReference"/>
        </w:rPr>
        <w:footnoteReference w:id="1376"/>
      </w:r>
      <w:r>
        <w:t xml:space="preserve">. Su desarrollo posterior como tratamiento se abandonó en EE. UU.</w:t>
      </w:r>
      <w:r>
        <w:rPr>
          <w:rStyle w:val="FootnoteReference"/>
        </w:rPr>
        <w:footnoteReference w:id="1377"/>
      </w:r>
      <w:r>
        <w:t xml:space="preserve">.</w:t>
      </w:r>
    </w:p>
    <w:bookmarkEnd w:id="1378"/>
    <w:bookmarkStart w:id="1381" w:name="apetito-y-medicina-intensiva"/>
    <w:p>
      <w:pPr>
        <w:pStyle w:val="Heading4"/>
      </w:pPr>
      <w:r>
        <w:t xml:space="preserve">Apetito y medicina intensiva</w:t>
      </w:r>
    </w:p>
    <w:p>
      <w:pPr>
        <w:pStyle w:val="FirstParagraph"/>
      </w:pPr>
      <w:r>
        <w:t xml:space="preserve">En 19 adultos delgados y con sobrepeso, una infusión de GHRP-2 aumentó la cantidad de comida elegida libremente, de forma dependiente de la dosis, en un 10,2 % y un 33,5 % frente a placebo</w:t>
      </w:r>
      <w:r>
        <w:rPr>
          <w:rStyle w:val="FootnoteReference"/>
        </w:rPr>
        <w:footnoteReference w:id="1379"/>
      </w:r>
      <w:r>
        <w:t xml:space="preserve">. En 14 pacientes de cuidados intensivos de larga duración, una infusión de cinco días de GHRP-2 junto con la hormona liberadora de tirotropina TRH reactivó los ejes suprimidos de la GH y de la tiroides y desplazó los marcadores metabólicos hacia el anabolismo</w:t>
      </w:r>
      <w:r>
        <w:rPr>
          <w:rStyle w:val="FootnoteReference"/>
        </w:rPr>
        <w:footnoteReference w:id="1380"/>
      </w:r>
      <w:r>
        <w:t xml:space="preserve">. Nunca se comprobó en un estudio con criterios de valoración clínicos si esto modifica las posibilidades de supervivencia.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Diagnóstico (Chihara 2007), PMID 17609397</w:t>
            </w:r>
          </w:p>
        </w:tc>
        <w:tc>
          <w:tcPr/>
          <w:p>
            <w:pPr>
              <w:pStyle w:val="Compact"/>
              <w:jc w:val="left"/>
            </w:pPr>
            <w:r>
              <w:t xml:space="preserve">77 personas sanas, 58 afectadas con déficit de GH, validación controlada</w:t>
            </w:r>
          </w:p>
        </w:tc>
        <w:tc>
          <w:tcPr/>
          <w:p>
            <w:pPr>
              <w:pStyle w:val="Compact"/>
              <w:jc w:val="left"/>
            </w:pPr>
            <w:r>
              <w:t xml:space="preserve">prueba única</w:t>
            </w:r>
          </w:p>
        </w:tc>
        <w:tc>
          <w:tcPr/>
          <w:p>
            <w:pPr>
              <w:pStyle w:val="Compact"/>
              <w:jc w:val="left"/>
            </w:pPr>
            <w:r>
              <w:t xml:space="preserve">pico de GH 84,6 frente a 1,36 µg/l; valor de corte 15 µg/l</w:t>
            </w:r>
          </w:p>
        </w:tc>
      </w:tr>
      <w:tr>
        <w:tc>
          <w:tcPr/>
          <w:p>
            <w:pPr>
              <w:pStyle w:val="Compact"/>
              <w:jc w:val="left"/>
            </w:pPr>
            <w:r>
              <w:t xml:space="preserve">Diagnóstico (Kinoshita 2013), PMID 23079545</w:t>
            </w:r>
          </w:p>
        </w:tc>
        <w:tc>
          <w:tcPr/>
          <w:p>
            <w:pPr>
              <w:pStyle w:val="Compact"/>
              <w:jc w:val="left"/>
            </w:pPr>
            <w:r>
              <w:t xml:space="preserve">71 personas con tumores hipofisarios, comparación con la prueba de insulina</w:t>
            </w:r>
          </w:p>
        </w:tc>
        <w:tc>
          <w:tcPr/>
          <w:p>
            <w:pPr>
              <w:pStyle w:val="Compact"/>
              <w:jc w:val="left"/>
            </w:pPr>
            <w:r>
              <w:t xml:space="preserve">prueba única</w:t>
            </w:r>
          </w:p>
        </w:tc>
        <w:tc>
          <w:tcPr/>
          <w:p>
            <w:pPr>
              <w:pStyle w:val="Compact"/>
              <w:jc w:val="left"/>
            </w:pPr>
            <w:r>
              <w:t xml:space="preserve">sensibilidad 81,3 %, especificidad 94,5 %</w:t>
            </w:r>
          </w:p>
        </w:tc>
      </w:tr>
      <w:tr>
        <w:tc>
          <w:tcPr/>
          <w:p>
            <w:pPr>
              <w:pStyle w:val="Compact"/>
              <w:jc w:val="left"/>
            </w:pPr>
            <w:r>
              <w:t xml:space="preserve">Niños, aerosol nasal (Pihoker 1997), PMID 9390009</w:t>
            </w:r>
          </w:p>
        </w:tc>
        <w:tc>
          <w:tcPr/>
          <w:p>
            <w:pPr>
              <w:pStyle w:val="Compact"/>
              <w:jc w:val="left"/>
            </w:pPr>
            <w:r>
              <w:t xml:space="preserve">15 niños de talla baja, sin grupo control</w:t>
            </w:r>
          </w:p>
        </w:tc>
        <w:tc>
          <w:tcPr/>
          <w:p>
            <w:pPr>
              <w:pStyle w:val="Compact"/>
              <w:jc w:val="left"/>
            </w:pPr>
            <w:r>
              <w:t xml:space="preserve">6–24 meses</w:t>
            </w:r>
          </w:p>
        </w:tc>
        <w:tc>
          <w:tcPr/>
          <w:p>
            <w:pPr>
              <w:pStyle w:val="Compact"/>
              <w:jc w:val="left"/>
            </w:pPr>
            <w:r>
              <w:t xml:space="preserve">crecimiento 3,7 → 6,1 cm/año</w:t>
            </w:r>
          </w:p>
        </w:tc>
      </w:tr>
      <w:tr>
        <w:tc>
          <w:tcPr/>
          <w:p>
            <w:pPr>
              <w:pStyle w:val="Compact"/>
              <w:jc w:val="left"/>
            </w:pPr>
            <w:r>
              <w:t xml:space="preserve">Apetito (Laferrère 2006), PMID 16861611</w:t>
            </w:r>
          </w:p>
        </w:tc>
        <w:tc>
          <w:tcPr/>
          <w:p>
            <w:pPr>
              <w:pStyle w:val="Compact"/>
              <w:jc w:val="left"/>
            </w:pPr>
            <w:r>
              <w:t xml:space="preserve">19 adultos, ECA cruzado frente a placebo</w:t>
            </w:r>
          </w:p>
        </w:tc>
        <w:tc>
          <w:tcPr/>
          <w:p>
            <w:pPr>
              <w:pStyle w:val="Compact"/>
              <w:jc w:val="left"/>
            </w:pPr>
            <w:r>
              <w:t xml:space="preserve">3 infusiones únicas</w:t>
            </w:r>
          </w:p>
        </w:tc>
        <w:tc>
          <w:tcPr/>
          <w:p>
            <w:pPr>
              <w:pStyle w:val="Compact"/>
              <w:jc w:val="left"/>
            </w:pPr>
            <w:r>
              <w:t xml:space="preserve">cantidad de comida +10,2 % y +33,5 %</w:t>
            </w:r>
          </w:p>
        </w:tc>
      </w:tr>
      <w:tr>
        <w:tc>
          <w:tcPr/>
          <w:p>
            <w:pPr>
              <w:pStyle w:val="Compact"/>
              <w:jc w:val="left"/>
            </w:pPr>
            <w:r>
              <w:t xml:space="preserve">Medicina intensiva (Van den Berghe 1999), PMID 10199772</w:t>
            </w:r>
          </w:p>
        </w:tc>
        <w:tc>
          <w:tcPr/>
          <w:p>
            <w:pPr>
              <w:pStyle w:val="Compact"/>
              <w:jc w:val="left"/>
            </w:pPr>
            <w:r>
              <w:t xml:space="preserve">14 pacientes de cuidados intensivos de larga duración, diseño cruzado aleatorizado</w:t>
            </w:r>
          </w:p>
        </w:tc>
        <w:tc>
          <w:tcPr/>
          <w:p>
            <w:pPr>
              <w:pStyle w:val="Compact"/>
              <w:jc w:val="left"/>
            </w:pPr>
            <w:r>
              <w:t xml:space="preserve">5 días</w:t>
            </w:r>
          </w:p>
        </w:tc>
        <w:tc>
          <w:tcPr/>
          <w:p>
            <w:pPr>
              <w:pStyle w:val="Compact"/>
              <w:jc w:val="left"/>
            </w:pPr>
            <w:r>
              <w:t xml:space="preserve">ejes de la GH y de la tiroides reactivados</w:t>
            </w:r>
          </w:p>
        </w:tc>
      </w:tr>
    </w:tbl>
    <w:bookmarkEnd w:id="1381"/>
    <w:bookmarkEnd w:id="1382"/>
    <w:bookmarkStart w:id="1385" w:name="estudios-en-animales-y-de-laboratorio-27"/>
    <w:p>
      <w:pPr>
        <w:pStyle w:val="Heading3"/>
      </w:pPr>
      <w:r>
        <w:t xml:space="preserve">Estudios en animales y de laboratorio</w:t>
      </w:r>
    </w:p>
    <w:p>
      <w:pPr>
        <w:pStyle w:val="FirstParagraph"/>
      </w:pPr>
      <w:r>
        <w:t xml:space="preserve">En ratas despiertas, el GHRP-2 liberó más hormona del crecimiento que la GHRH y actuó también en perros, en los que la GHRH fracasó; en ratas aumentó la ACTH y la corticosterona, pero no la prolactina, y aceleró el crecimiento a lo largo de tres semanas</w:t>
      </w:r>
      <w:r>
        <w:rPr>
          <w:rStyle w:val="FootnoteReference"/>
        </w:rPr>
        <w:footnoteReference w:id="1383"/>
      </w:r>
      <w:r>
        <w:t xml:space="preserve">. En cerdos, el GHRP-2 fue especialmente potente en un estudio comparativo, pero, a diferencia de la ipamorelina, liberó también ACTH y cortisol</w:t>
      </w:r>
      <w:r>
        <w:rPr>
          <w:rStyle w:val="FootnoteReference"/>
        </w:rPr>
        <w:footnoteReference w:id="1384"/>
      </w:r>
      <w:r>
        <w:t xml:space="preserve">.</w:t>
      </w:r>
    </w:p>
    <w:bookmarkEnd w:id="1385"/>
    <w:bookmarkStart w:id="1390" w:name="riesgos-y-efectos-adversos-27"/>
    <w:p>
      <w:pPr>
        <w:pStyle w:val="Heading3"/>
      </w:pPr>
      <w:r>
        <w:t xml:space="preserve">Riesgos y efectos adversos</w:t>
      </w:r>
    </w:p>
    <w:p>
      <w:pPr>
        <w:pStyle w:val="FirstParagraph"/>
      </w:pPr>
      <w:r>
        <w:rPr>
          <w:bCs/>
          <w:b/>
        </w:rPr>
        <w:t xml:space="preserve">Demostrado:</w:t>
      </w:r>
      <w:r>
        <w:t xml:space="preserve"> </w:t>
      </w:r>
      <w:r>
        <w:t xml:space="preserve">En los estudios, el GHRP-2 se toleró bien a corto plazo. Se han descrito repetidamente un aumento del apetito</w:t>
      </w:r>
      <w:r>
        <w:rPr>
          <w:rStyle w:val="FootnoteReference"/>
        </w:rPr>
        <w:footnoteReference w:id="1386"/>
      </w:r>
      <w:r>
        <w:t xml:space="preserve"> </w:t>
      </w:r>
      <w:r>
        <w:t xml:space="preserve">y la liberación de ACTH y cortisol</w:t>
      </w:r>
      <w:r>
        <w:rPr>
          <w:rStyle w:val="FootnoteReference"/>
        </w:rPr>
        <w:footnoteReference w:id="1387"/>
      </w:r>
      <w:r>
        <w:t xml:space="preserve">. Una revisión sobre los liberadores de GH menciona además un posible aumento de la glucosa por una menor sensibilidad a la insulina y reclama datos a largo plazo sobre cáncer y mortalidad</w:t>
      </w:r>
      <w:r>
        <w:rPr>
          <w:rStyle w:val="FootnoteReference"/>
        </w:rPr>
        <w:footnoteReference w:id="1388"/>
      </w:r>
      <w:r>
        <w:t xml:space="preserve">.</w:t>
      </w:r>
    </w:p>
    <w:p>
      <w:pPr>
        <w:pStyle w:val="BodyText"/>
      </w:pPr>
      <w:r>
        <w:rPr>
          <w:bCs/>
          <w:b/>
        </w:rPr>
        <w:t xml:space="preserve">Desconocido:</w:t>
      </w:r>
      <w:r>
        <w:t xml:space="preserve"> </w:t>
      </w:r>
      <w:r>
        <w:t xml:space="preserve">No hay datos sobre el uso durante meses o años en adultos. Sobre la cuestión de si una hormona del crecimiento/IGF-1 elevada de forma continuada aumenta el riesgo de cáncer, véanse la introducción de este grupo y la Parte IV.</w:t>
      </w:r>
    </w:p>
    <w:p>
      <w:pPr>
        <w:pStyle w:val="BodyText"/>
      </w:pPr>
      <w:r>
        <w:rPr>
          <w:bCs/>
          <w:b/>
        </w:rPr>
        <w:t xml:space="preserve">Mercado gris:</w:t>
      </w:r>
      <w:r>
        <w:t xml:space="preserve"> </w:t>
      </w:r>
      <w:r>
        <w:t xml:space="preserve">En productos incautados se encontró «Gly-GHRP-2», es decir, GHRP-2 con un aminoácido adicional no declarado</w:t>
      </w:r>
      <w:r>
        <w:rPr>
          <w:rStyle w:val="FootnoteReference"/>
        </w:rPr>
        <w:footnoteReference w:id="1389"/>
      </w:r>
      <w:r>
        <w:t xml:space="preserve">.</w:t>
      </w:r>
    </w:p>
    <w:bookmarkEnd w:id="1390"/>
    <w:bookmarkStart w:id="1392" w:name="situación-legal-27"/>
    <w:p>
      <w:pPr>
        <w:pStyle w:val="Heading3"/>
      </w:pPr>
      <w:r>
        <w:t xml:space="preserve">Situación legal</w:t>
      </w:r>
    </w:p>
    <w:p>
      <w:pPr>
        <w:pStyle w:val="FirstParagraph"/>
      </w:pPr>
      <w:r>
        <w:rPr>
          <w:iCs/>
          <w:i/>
        </w:rPr>
        <w:t xml:space="preserve">Situación en 2026; comprueba la información actualizada.</w:t>
      </w:r>
    </w:p>
    <w:p>
      <w:pPr>
        <w:numPr>
          <w:ilvl w:val="0"/>
          <w:numId w:val="1162"/>
        </w:numPr>
        <w:pStyle w:val="Compact"/>
      </w:pPr>
      <w:r>
        <w:rPr>
          <w:bCs/>
          <w:b/>
        </w:rPr>
        <w:t xml:space="preserve">Japón:</w:t>
      </w:r>
      <w:r>
        <w:t xml:space="preserve"> </w:t>
      </w:r>
      <w:r>
        <w:t xml:space="preserve">autorizado como agente diagnóstico; uso exclusivamente en el marco de pruebas funcionales médicas.</w:t>
      </w:r>
    </w:p>
    <w:p>
      <w:pPr>
        <w:numPr>
          <w:ilvl w:val="0"/>
          <w:numId w:val="1162"/>
        </w:numPr>
        <w:pStyle w:val="Compact"/>
      </w:pPr>
      <w:r>
        <w:rPr>
          <w:bCs/>
          <w:b/>
        </w:rPr>
        <w:t xml:space="preserve">UE, Alemania, Austria:</w:t>
      </w:r>
      <w:r>
        <w:t xml:space="preserve"> </w:t>
      </w:r>
      <w:r>
        <w:t xml:space="preserve">sin autorización; su dispensación para uso en humanos no está permitida.</w:t>
      </w:r>
    </w:p>
    <w:p>
      <w:pPr>
        <w:numPr>
          <w:ilvl w:val="0"/>
          <w:numId w:val="1162"/>
        </w:numPr>
        <w:pStyle w:val="Compact"/>
      </w:pPr>
      <w:r>
        <w:rPr>
          <w:bCs/>
          <w:b/>
        </w:rPr>
        <w:t xml:space="preserve">EE. UU.:</w:t>
      </w:r>
      <w:r>
        <w:t xml:space="preserve"> </w:t>
      </w:r>
      <w:r>
        <w:t xml:space="preserve">sin autorización.</w:t>
      </w:r>
    </w:p>
    <w:p>
      <w:pPr>
        <w:numPr>
          <w:ilvl w:val="0"/>
          <w:numId w:val="1162"/>
        </w:numPr>
        <w:pStyle w:val="Compact"/>
      </w:pPr>
      <w:r>
        <w:rPr>
          <w:bCs/>
          <w:b/>
        </w:rPr>
        <w:t xml:space="preserve">WADA:</w:t>
      </w:r>
      <w:r>
        <w:t xml:space="preserve"> </w:t>
      </w:r>
      <w:r>
        <w:t xml:space="preserve">prohibido (S2). El GHRP-2 y sus productos de degradación son detectables en orina hasta 47 horas después de su administración como aerosol nasal en un voluntario</w:t>
      </w:r>
      <w:r>
        <w:rPr>
          <w:rStyle w:val="FootnoteReference"/>
        </w:rPr>
        <w:footnoteReference w:id="1391"/>
      </w:r>
      <w:r>
        <w:t xml:space="preserve">.</w:t>
      </w:r>
    </w:p>
    <w:bookmarkEnd w:id="1392"/>
    <w:bookmarkStart w:id="1393" w:name="estudios-en-curso-y-perspectivas-27"/>
    <w:p>
      <w:pPr>
        <w:pStyle w:val="Heading3"/>
      </w:pPr>
      <w:r>
        <w:t xml:space="preserve">Estudios en curso y perspectivas</w:t>
      </w:r>
    </w:p>
    <w:p>
      <w:pPr>
        <w:pStyle w:val="FirstParagraph"/>
      </w:pPr>
      <w:r>
        <w:t xml:space="preserve">En octubre de 2026 no figura en ClinicalTrials.gov ningún estudio con GHRP-2 o pralmorelina.</w:t>
      </w:r>
      <w:r>
        <w:t xml:space="preserve"> </w:t>
      </w:r>
      <w:r>
        <w:rPr>
          <w:iCs/>
          <w:i/>
        </w:rPr>
        <w:t xml:space="preserve">Valoración del autor:</w:t>
      </w:r>
      <w:r>
        <w:t xml:space="preserve"> </w:t>
      </w:r>
      <w:r>
        <w:t xml:space="preserve">El GHRP-2 seguirá siendo una herramienta del diagnóstico en Japón y de la investigación hormonal. En otros países compite como sustancia de prueba con la macimorelina, disponible en forma oral.</w:t>
      </w:r>
    </w:p>
    <w:bookmarkEnd w:id="1393"/>
    <w:bookmarkStart w:id="1394" w:name="conclusión-27"/>
    <w:p>
      <w:pPr>
        <w:pStyle w:val="Heading3"/>
      </w:pPr>
      <w:r>
        <w:t xml:space="preserve">Conclusión</w:t>
      </w:r>
    </w:p>
    <w:p>
      <w:pPr>
        <w:pStyle w:val="FirstParagraph"/>
      </w:pPr>
      <w:r>
        <w:t xml:space="preserve">El GHRP-2 es uno de los desencadenantes más potentes conocidos de la secreción de hormona del crecimiento y está establecido en Japón como agente diagnóstico del déficit de hormona del crecimiento. Los intentos de tratamiento en niños mostraron solo efectos modestos y no se continuaron. Para el desarrollo muscular, la pérdida de grasa o el «antienvejecimiento» en personas sanas no hay estudios; sí están demostrados, en cambio, efectos secundarios como el hambre intensa y la activación de las hormonas del estrés.</w:t>
      </w:r>
    </w:p>
    <w:bookmarkEnd w:id="1394"/>
    <w:bookmarkEnd w:id="1395"/>
    <w:bookmarkStart w:id="1425" w:name="ghrp-6"/>
    <w:p>
      <w:pPr>
        <w:pStyle w:val="Heading2"/>
      </w:pPr>
      <w:r>
        <w:t xml:space="preserve">GHRP-6</w:t>
      </w:r>
    </w:p>
    <w:p>
      <w:pPr>
        <w:pStyle w:val="FirstParagraph"/>
      </w:pPr>
      <w:r>
        <w:t xml:space="preserve">El GHRP-6 es el antepasado de todos los péptidos liberadores de hormona del crecimiento. En 1984, el endocrinólogo estadounidense Cyril Bowers describió un hexapéptido artificial que libera hormona del crecimiento de forma específica, 15 años antes de que se conociera su homólogo natural, la grelina. En la investigación, el GHRP-6 se convirtió en la herramienta estándar para evaluar el eje de la hormona del crecimiento. En los círculos del culturismo, en cambio, se considera un potenciador de GH barato con el efecto secundario del «hambre voraz». Nunca llegó a ser un medicamento.</w:t>
      </w:r>
    </w:p>
    <w:bookmarkStart w:id="1397" w:name="ficha-28"/>
    <w:p>
      <w:pPr>
        <w:pStyle w:val="Heading3"/>
      </w:pPr>
      <w:r>
        <w:t xml:space="preserve">Ficha</w:t>
      </w:r>
    </w:p>
    <w:p>
      <w:pPr>
        <w:numPr>
          <w:ilvl w:val="0"/>
          <w:numId w:val="1163"/>
        </w:numPr>
        <w:pStyle w:val="Compact"/>
      </w:pPr>
      <w:r>
        <w:rPr>
          <w:bCs/>
          <w:b/>
        </w:rPr>
        <w:t xml:space="preserve">Tipo y estructura:</w:t>
      </w:r>
      <w:r>
        <w:t xml:space="preserve"> </w:t>
      </w:r>
      <w:r>
        <w:t xml:space="preserve">hexapéptido sintético His-D-Trp-Ala-Trp-D-Phe-Lys-NH2 con dos D-aminoácidos no naturales</w:t>
      </w:r>
      <w:r>
        <w:rPr>
          <w:rStyle w:val="FootnoteReference"/>
        </w:rPr>
        <w:footnoteReference w:id="1396"/>
      </w:r>
      <w:r>
        <w:t xml:space="preserve">.</w:t>
      </w:r>
    </w:p>
    <w:p>
      <w:pPr>
        <w:numPr>
          <w:ilvl w:val="0"/>
          <w:numId w:val="1163"/>
        </w:numPr>
        <w:pStyle w:val="Compact"/>
      </w:pPr>
      <w:r>
        <w:rPr>
          <w:bCs/>
          <w:b/>
        </w:rPr>
        <w:t xml:space="preserve">Origen:</w:t>
      </w:r>
      <w:r>
        <w:t xml:space="preserve"> </w:t>
      </w:r>
      <w:r>
        <w:t xml:space="preserve">Universidad de Tulane (EE. UU.), a principios de la década de 1980.</w:t>
      </w:r>
    </w:p>
    <w:p>
      <w:pPr>
        <w:numPr>
          <w:ilvl w:val="0"/>
          <w:numId w:val="1163"/>
        </w:numPr>
        <w:pStyle w:val="Compact"/>
      </w:pPr>
      <w:r>
        <w:rPr>
          <w:bCs/>
          <w:b/>
        </w:rPr>
        <w:t xml:space="preserve">Mecanismo de acción:</w:t>
      </w:r>
      <w:r>
        <w:t xml:space="preserve"> </w:t>
      </w:r>
      <w:r>
        <w:t xml:space="preserve">agonista del receptor de la grelina (GHS-R1a) en la hipófisis y el diencéfalo; libera hormona del crecimiento y, además, ACTH, cortisol y prolactina; aumenta el apetito.</w:t>
      </w:r>
    </w:p>
    <w:p>
      <w:pPr>
        <w:numPr>
          <w:ilvl w:val="0"/>
          <w:numId w:val="1163"/>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 Tampoco está autorizado como medicamento en ningún otro lugar (situación en 2026).</w:t>
      </w:r>
    </w:p>
    <w:p>
      <w:pPr>
        <w:numPr>
          <w:ilvl w:val="0"/>
          <w:numId w:val="1163"/>
        </w:numPr>
        <w:pStyle w:val="Compact"/>
      </w:pPr>
      <w:r>
        <w:rPr>
          <w:bCs/>
          <w:b/>
        </w:rPr>
        <w:t xml:space="preserve">WADA:</w:t>
      </w:r>
      <w:r>
        <w:t xml:space="preserve"> </w:t>
      </w:r>
      <w:r>
        <w:t xml:space="preserve">prohibido, grupo S2; el GHRP-6 se menciona expresamente como péptido liberador de hormona del crecimiento.</w:t>
      </w:r>
    </w:p>
    <w:p>
      <w:pPr>
        <w:numPr>
          <w:ilvl w:val="0"/>
          <w:numId w:val="1163"/>
        </w:numPr>
        <w:pStyle w:val="Compact"/>
      </w:pPr>
      <w:r>
        <w:rPr>
          <w:bCs/>
          <w:b/>
        </w:rPr>
        <w:t xml:space="preserve">Nivel de evidencia: C</w:t>
      </w:r>
      <w:r>
        <w:t xml:space="preserve"> </w:t>
      </w:r>
      <w:r>
        <w:t xml:space="preserve">– muchos estudios pequeños sobre fisiología hormonal y diagnóstico, con entre 10 y 250 personas cada uno, pero ni un solo estudio controlado sobre un beneficio terapéutico.</w:t>
      </w:r>
    </w:p>
    <w:bookmarkEnd w:id="1397"/>
    <w:bookmarkStart w:id="1400" w:name="cómo-se-supone-que-actúa-28"/>
    <w:p>
      <w:pPr>
        <w:pStyle w:val="Heading3"/>
      </w:pPr>
      <w:r>
        <w:t xml:space="preserve">Cómo se supone que actúa</w:t>
      </w:r>
    </w:p>
    <w:p>
      <w:pPr>
        <w:pStyle w:val="FirstParagraph"/>
      </w:pPr>
      <w:r>
        <w:t xml:space="preserve">Bowers y sus colegas mostraron en 1984 que el hexapéptido libera hormona del crecimiento en cuestión de minutos en ratas, monos, corderos y terneros, sin influir en otras hormonas hipofisarias como la LH, la FSH o la TSH; las ratas que lo recibieron de forma repetida ganaron más peso</w:t>
      </w:r>
      <w:r>
        <w:rPr>
          <w:rStyle w:val="FootnoteReference"/>
        </w:rPr>
        <w:footnoteReference w:id="1398"/>
      </w:r>
      <w:r>
        <w:t xml:space="preserve">. Más tarde se descubrió que el GHRP-6 actúa sobre el mismo receptor que la hormona gástrica grelina</w:t>
      </w:r>
      <w:r>
        <w:rPr>
          <w:rStyle w:val="FootnoteReference"/>
        </w:rPr>
        <w:footnoteReference w:id="1399"/>
      </w:r>
      <w:r>
        <w:t xml:space="preserve">.</w:t>
      </w:r>
    </w:p>
    <w:p>
      <w:pPr>
        <w:pStyle w:val="BodyText"/>
      </w:pPr>
      <w:r>
        <w:t xml:space="preserve">Como el GHRP-2, el GHRP-6 actúa con más fuerza cuando interviene la GHRH propia del diencéfalo. Si se combinan ambos, la secreción de hormona del crecimiento es mayor que la suma de los efectos individuales. Precisamente esta propiedad hizo interesante al GHRP-6 como agente diagnóstico. A diferencia de la ipamorelina, el GHRP-6 activa también el eje de las hormonas del estrés (ACTH y cortisol).</w:t>
      </w:r>
    </w:p>
    <w:bookmarkEnd w:id="1400"/>
    <w:bookmarkStart w:id="1411" w:name="estudios-en-humanos-28"/>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40</w:t>
      </w:r>
      <w:r>
        <w:t xml:space="preserve"> </w:t>
      </w:r>
      <w:r>
        <w:t xml:space="preserve">estudios en humanos en PubMed (</w:t>
      </w:r>
      <w:r>
        <w:rPr>
          <w:rStyle w:val="VerbatimChar"/>
        </w:rPr>
        <w:t xml:space="preserve">humanstudien_alle</w:t>
      </w:r>
      <w:r>
        <w:t xml:space="preserve">) y</w:t>
      </w:r>
      <w:r>
        <w:t xml:space="preserve"> </w:t>
      </w:r>
      <w:r>
        <w:rPr>
          <w:bCs/>
          <w:b/>
        </w:rPr>
        <w:t xml:space="preserve">ninguna</w:t>
      </w:r>
      <w:r>
        <w:t xml:space="preserve"> </w:t>
      </w:r>
      <w:r>
        <w:t xml:space="preserve">entrada en ClinicalTrials.gov. Casi todos los trabajos utilizan el GHRP-6 como sustancia de prueba administrada una sola vez para estudiar la regulación hormonal en enfermedades como el síndrome de Cushing, el hipertiroidismo, el sobrepeso o en la vejez. Uno de los estudios de esta lista se realizó en perros.</w:t>
      </w:r>
    </w:p>
    <w:bookmarkStart w:id="1405" w:name="X5a0b53440420f7045178917f4ac0464fa1821f6"/>
    <w:p>
      <w:pPr>
        <w:pStyle w:val="Heading4"/>
      </w:pPr>
      <w:r>
        <w:t xml:space="preserve">Diagnóstico del déficit de hormona del crecimiento</w:t>
      </w:r>
    </w:p>
    <w:p>
      <w:pPr>
        <w:pStyle w:val="FirstParagraph"/>
      </w:pPr>
      <w:r>
        <w:t xml:space="preserve">El estudio más conocido se publicó en 2000 en la revista Lancet: 125 adultos con enfermedades de la hipófisis y 125 personas sanas recibieron GHRH más GHRP-6 como prueba combinada. El pico medio de GH fue de 59,2 µg/l en las personas sanas y de 4,1 µg/l en las afectadas; un valor de corte de 15 µg/l separó de forma fiable ambos grupos. No se produjeron efectos adversos, y la edad, el sexo y la grasa corporal no influyeron en el resultado</w:t>
      </w:r>
      <w:r>
        <w:rPr>
          <w:rStyle w:val="FootnoteReference"/>
        </w:rPr>
        <w:footnoteReference w:id="1401"/>
      </w:r>
      <w:r>
        <w:t xml:space="preserve">. En un estudio más pequeño con 20 personas, la prueba identificó correctamente todos los casos de déficit de hormona del crecimiento; como único efecto adverso se observó una sensación de calor (rubefacción)</w:t>
      </w:r>
      <w:r>
        <w:rPr>
          <w:rStyle w:val="FootnoteReference"/>
        </w:rPr>
        <w:footnoteReference w:id="1402"/>
      </w:r>
      <w:r>
        <w:t xml:space="preserve">. En 21 adultos a los que previamente se les había diagnosticado un déficit con pruebas convencionales, alrededor del 40 % respondió a la combinación de forma clara</w:t>
      </w:r>
      <w:r>
        <w:rPr>
          <w:rStyle w:val="FootnoteReference"/>
        </w:rPr>
        <w:footnoteReference w:id="1403"/>
      </w:r>
      <w:r>
        <w:t xml:space="preserve">, un indicio de que distintas pruebas responden a preguntas diferentes.</w:t>
      </w:r>
    </w:p>
    <w:p>
      <w:pPr>
        <w:pStyle w:val="BodyText"/>
      </w:pPr>
      <w:r>
        <w:t xml:space="preserve">Como prueba de la hipofunción del eje suprarrenal, en cambio, el GHRP-6 solo resultó útil de forma limitada: en 49 pacientes alcanzó, en comparación con la prueba de insulina, una sensibilidad del 71,0 % y una especificidad del 77,8 %</w:t>
      </w:r>
      <w:r>
        <w:rPr>
          <w:rStyle w:val="FootnoteReference"/>
        </w:rPr>
        <w:footnoteReference w:id="1404"/>
      </w:r>
      <w:r>
        <w:t xml:space="preserve">.</w:t>
      </w:r>
    </w:p>
    <w:bookmarkEnd w:id="1405"/>
    <w:bookmarkStart w:id="1410" w:name="farmacología-sueño-vejez"/>
    <w:p>
      <w:pPr>
        <w:pStyle w:val="Heading4"/>
      </w:pPr>
      <w:r>
        <w:t xml:space="preserve">Farmacología, sueño, vejez</w:t>
      </w:r>
    </w:p>
    <w:p>
      <w:pPr>
        <w:numPr>
          <w:ilvl w:val="0"/>
          <w:numId w:val="1164"/>
        </w:numPr>
        <w:pStyle w:val="Compact"/>
      </w:pPr>
      <w:r>
        <w:rPr>
          <w:bCs/>
          <w:b/>
        </w:rPr>
        <w:t xml:space="preserve">Farmacocinética:</w:t>
      </w:r>
      <w:r>
        <w:t xml:space="preserve"> </w:t>
      </w:r>
      <w:r>
        <w:t xml:space="preserve">En nueve hombres sanos, la semivida de eliminación tras la administración intravenosa fue en promedio de 2,5 horas</w:t>
      </w:r>
      <w:r>
        <w:rPr>
          <w:rStyle w:val="FootnoteReference"/>
        </w:rPr>
        <w:footnoteReference w:id="1406"/>
      </w:r>
      <w:r>
        <w:t xml:space="preserve">.</w:t>
      </w:r>
    </w:p>
    <w:p>
      <w:pPr>
        <w:numPr>
          <w:ilvl w:val="0"/>
          <w:numId w:val="1164"/>
        </w:numPr>
        <w:pStyle w:val="Compact"/>
      </w:pPr>
      <w:r>
        <w:rPr>
          <w:bCs/>
          <w:b/>
        </w:rPr>
        <w:t xml:space="preserve">Sueño:</w:t>
      </w:r>
      <w:r>
        <w:t xml:space="preserve"> </w:t>
      </w:r>
      <w:r>
        <w:t xml:space="preserve">En hombres sanos, el GHRP-6 aumentó por la noche la hormona del crecimiento, la ACTH y el cortisol y prolongó el sueño ligero (fase 2), pero no el sueño profundo</w:t>
      </w:r>
      <w:r>
        <w:rPr>
          <w:rStyle w:val="FootnoteReference"/>
        </w:rPr>
        <w:footnoteReference w:id="1407"/>
      </w:r>
      <w:r>
        <w:t xml:space="preserve">.</w:t>
      </w:r>
    </w:p>
    <w:p>
      <w:pPr>
        <w:numPr>
          <w:ilvl w:val="0"/>
          <w:numId w:val="1164"/>
        </w:numPr>
        <w:pStyle w:val="Compact"/>
      </w:pPr>
      <w:r>
        <w:rPr>
          <w:bCs/>
          <w:b/>
        </w:rPr>
        <w:t xml:space="preserve">Vejez:</w:t>
      </w:r>
      <w:r>
        <w:t xml:space="preserve"> </w:t>
      </w:r>
      <w:r>
        <w:t xml:space="preserve">En nueve adultos jóvenes y nueve mayores, la hipófisis respondió con menos fuerza a la GHRH en la vejez, pero no al GHRP-6</w:t>
      </w:r>
      <w:r>
        <w:rPr>
          <w:rStyle w:val="FootnoteReference"/>
        </w:rPr>
        <w:footnoteReference w:id="1408"/>
      </w:r>
      <w:r>
        <w:t xml:space="preserve">.</w:t>
      </w:r>
    </w:p>
    <w:p>
      <w:pPr>
        <w:numPr>
          <w:ilvl w:val="0"/>
          <w:numId w:val="1164"/>
        </w:numPr>
        <w:pStyle w:val="Compact"/>
      </w:pPr>
      <w:r>
        <w:rPr>
          <w:bCs/>
          <w:b/>
        </w:rPr>
        <w:t xml:space="preserve">Niños:</w:t>
      </w:r>
      <w:r>
        <w:t xml:space="preserve"> </w:t>
      </w:r>
      <w:r>
        <w:t xml:space="preserve">En comprimidos, el GHRP-6 provocó en niños de talla baja sin déficit hormonal un aumento de la GH similar al obtenido tras la inyección de GHRH</w:t>
      </w:r>
      <w:r>
        <w:rPr>
          <w:rStyle w:val="FootnoteReference"/>
        </w:rPr>
        <w:footnoteReference w:id="1409"/>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Diagnóstico (Popovic 2000), PMID 11030292</w:t>
            </w:r>
          </w:p>
        </w:tc>
        <w:tc>
          <w:tcPr/>
          <w:p>
            <w:pPr>
              <w:pStyle w:val="Compact"/>
              <w:jc w:val="left"/>
            </w:pPr>
            <w:r>
              <w:t xml:space="preserve">125 personas afectadas, 125 sanas; estudio comparativo multicéntrico</w:t>
            </w:r>
          </w:p>
        </w:tc>
        <w:tc>
          <w:tcPr/>
          <w:p>
            <w:pPr>
              <w:pStyle w:val="Compact"/>
              <w:jc w:val="left"/>
            </w:pPr>
            <w:r>
              <w:t xml:space="preserve">prueba única</w:t>
            </w:r>
          </w:p>
        </w:tc>
        <w:tc>
          <w:tcPr/>
          <w:p>
            <w:pPr>
              <w:pStyle w:val="Compact"/>
              <w:jc w:val="left"/>
            </w:pPr>
            <w:r>
              <w:t xml:space="preserve">pico de GH 59,2 frente a 4,1 µg/l; valor de corte 15 µg/l</w:t>
            </w:r>
          </w:p>
        </w:tc>
      </w:tr>
      <w:tr>
        <w:tc>
          <w:tcPr/>
          <w:p>
            <w:pPr>
              <w:pStyle w:val="Compact"/>
              <w:jc w:val="left"/>
            </w:pPr>
            <w:r>
              <w:t xml:space="preserve">Diagnóstico (Petersenn 2002), PMID 11980622</w:t>
            </w:r>
          </w:p>
        </w:tc>
        <w:tc>
          <w:tcPr/>
          <w:p>
            <w:pPr>
              <w:pStyle w:val="Compact"/>
              <w:jc w:val="left"/>
            </w:pPr>
            <w:r>
              <w:t xml:space="preserve">20 personas, comparación con la prueba de insulina</w:t>
            </w:r>
          </w:p>
        </w:tc>
        <w:tc>
          <w:tcPr/>
          <w:p>
            <w:pPr>
              <w:pStyle w:val="Compact"/>
              <w:jc w:val="left"/>
            </w:pPr>
            <w:r>
              <w:t xml:space="preserve">pruebas únicas</w:t>
            </w:r>
          </w:p>
        </w:tc>
        <w:tc>
          <w:tcPr/>
          <w:p>
            <w:pPr>
              <w:pStyle w:val="Compact"/>
              <w:jc w:val="left"/>
            </w:pPr>
            <w:r>
              <w:t xml:space="preserve">todos los casos con déficit de GH identificados</w:t>
            </w:r>
          </w:p>
        </w:tc>
      </w:tr>
      <w:tr>
        <w:tc>
          <w:tcPr/>
          <w:p>
            <w:pPr>
              <w:pStyle w:val="Compact"/>
              <w:jc w:val="left"/>
            </w:pPr>
            <w:r>
              <w:t xml:space="preserve">Prueba suprarrenal (Alaioubi 2010), PMID 19946832</w:t>
            </w:r>
          </w:p>
        </w:tc>
        <w:tc>
          <w:tcPr/>
          <w:p>
            <w:pPr>
              <w:pStyle w:val="Compact"/>
              <w:jc w:val="left"/>
            </w:pPr>
            <w:r>
              <w:t xml:space="preserve">49 personas afectadas, 20 sanas</w:t>
            </w:r>
          </w:p>
        </w:tc>
        <w:tc>
          <w:tcPr/>
          <w:p>
            <w:pPr>
              <w:pStyle w:val="Compact"/>
              <w:jc w:val="left"/>
            </w:pPr>
            <w:r>
              <w:t xml:space="preserve">prueba única</w:t>
            </w:r>
          </w:p>
        </w:tc>
        <w:tc>
          <w:tcPr/>
          <w:p>
            <w:pPr>
              <w:pStyle w:val="Compact"/>
              <w:jc w:val="left"/>
            </w:pPr>
            <w:r>
              <w:t xml:space="preserve">sensibilidad 71,0 %, especificidad 77,8 %</w:t>
            </w:r>
          </w:p>
        </w:tc>
      </w:tr>
      <w:tr>
        <w:tc>
          <w:tcPr/>
          <w:p>
            <w:pPr>
              <w:pStyle w:val="Compact"/>
              <w:jc w:val="left"/>
            </w:pPr>
            <w:r>
              <w:t xml:space="preserve">Farmacocinética (Cabrales 2013), PMID 23099431</w:t>
            </w:r>
          </w:p>
        </w:tc>
        <w:tc>
          <w:tcPr/>
          <w:p>
            <w:pPr>
              <w:pStyle w:val="Compact"/>
              <w:jc w:val="left"/>
            </w:pPr>
            <w:r>
              <w:t xml:space="preserve">9 hombres sanos, fase 1</w:t>
            </w:r>
          </w:p>
        </w:tc>
        <w:tc>
          <w:tcPr/>
          <w:p>
            <w:pPr>
              <w:pStyle w:val="Compact"/>
              <w:jc w:val="left"/>
            </w:pPr>
            <w:r>
              <w:t xml:space="preserve">dosis únicas</w:t>
            </w:r>
          </w:p>
        </w:tc>
        <w:tc>
          <w:tcPr/>
          <w:p>
            <w:pPr>
              <w:pStyle w:val="Compact"/>
              <w:jc w:val="left"/>
            </w:pPr>
            <w:r>
              <w:t xml:space="preserve">semivida 2,5 h</w:t>
            </w:r>
          </w:p>
        </w:tc>
      </w:tr>
      <w:tr>
        <w:tc>
          <w:tcPr/>
          <w:p>
            <w:pPr>
              <w:pStyle w:val="Compact"/>
              <w:jc w:val="left"/>
            </w:pPr>
            <w:r>
              <w:t xml:space="preserve">Sueño (Frieboes 1995), PMID 7617137</w:t>
            </w:r>
          </w:p>
        </w:tc>
        <w:tc>
          <w:tcPr/>
          <w:p>
            <w:pPr>
              <w:pStyle w:val="Compact"/>
              <w:jc w:val="left"/>
            </w:pPr>
            <w:r>
              <w:t xml:space="preserve">hombres sanos, comparación con placebo</w:t>
            </w:r>
          </w:p>
        </w:tc>
        <w:tc>
          <w:tcPr/>
          <w:p>
            <w:pPr>
              <w:pStyle w:val="Compact"/>
              <w:jc w:val="left"/>
            </w:pPr>
            <w:r>
              <w:t xml:space="preserve">1 noche</w:t>
            </w:r>
          </w:p>
        </w:tc>
        <w:tc>
          <w:tcPr/>
          <w:p>
            <w:pPr>
              <w:pStyle w:val="Compact"/>
              <w:jc w:val="left"/>
            </w:pPr>
            <w:r>
              <w:t xml:space="preserve">GH, ACTH, cortisol ↑; sueño profundo sin cambios</w:t>
            </w:r>
          </w:p>
        </w:tc>
      </w:tr>
    </w:tbl>
    <w:bookmarkEnd w:id="1410"/>
    <w:bookmarkEnd w:id="1411"/>
    <w:bookmarkStart w:id="1415" w:name="estudios-en-animales-y-de-laboratorio-28"/>
    <w:p>
      <w:pPr>
        <w:pStyle w:val="Heading3"/>
      </w:pPr>
      <w:r>
        <w:t xml:space="preserve">Estudios en animales y de laboratorio</w:t>
      </w:r>
    </w:p>
    <w:p>
      <w:pPr>
        <w:pStyle w:val="FirstParagraph"/>
      </w:pPr>
      <w:r>
        <w:t xml:space="preserve">Gran parte de la investigación más reciente se refiere a la protección de órganos:</w:t>
      </w:r>
    </w:p>
    <w:p>
      <w:pPr>
        <w:numPr>
          <w:ilvl w:val="0"/>
          <w:numId w:val="1165"/>
        </w:numPr>
        <w:pStyle w:val="Compact"/>
      </w:pPr>
      <w:r>
        <w:rPr>
          <w:bCs/>
          <w:b/>
        </w:rPr>
        <w:t xml:space="preserve">Corazón (ratas):</w:t>
      </w:r>
      <w:r>
        <w:t xml:space="preserve"> </w:t>
      </w:r>
      <w:r>
        <w:t xml:space="preserve">En ratas que recibieron el fármaco antineoplásico cardiotóxico doxorrubicina, la administración simultánea de GHRP-6 impidió la dilatación de los ventrículos y conservó la función de bombeo</w:t>
      </w:r>
      <w:r>
        <w:rPr>
          <w:rStyle w:val="FootnoteReference"/>
        </w:rPr>
        <w:footnoteReference w:id="1412"/>
      </w:r>
      <w:r>
        <w:t xml:space="preserve">.</w:t>
      </w:r>
    </w:p>
    <w:p>
      <w:pPr>
        <w:numPr>
          <w:ilvl w:val="0"/>
          <w:numId w:val="1165"/>
        </w:numPr>
        <w:pStyle w:val="Compact"/>
      </w:pPr>
      <w:r>
        <w:rPr>
          <w:bCs/>
          <w:b/>
        </w:rPr>
        <w:t xml:space="preserve">Fallo multiorgánico (ratas, cultivos celulares):</w:t>
      </w:r>
      <w:r>
        <w:t xml:space="preserve"> </w:t>
      </w:r>
      <w:r>
        <w:t xml:space="preserve">Tras la interrupción transitoria del riego sanguíneo hepático, el GHRP-6 redujo los daños hepáticos e intestinales; en cultivos celulares aceleró la migración de células intestinales</w:t>
      </w:r>
      <w:r>
        <w:rPr>
          <w:rStyle w:val="FootnoteReference"/>
        </w:rPr>
        <w:footnoteReference w:id="1413"/>
      </w:r>
      <w:r>
        <w:t xml:space="preserve">.</w:t>
      </w:r>
    </w:p>
    <w:p>
      <w:pPr>
        <w:numPr>
          <w:ilvl w:val="0"/>
          <w:numId w:val="1165"/>
        </w:numPr>
        <w:pStyle w:val="Compact"/>
      </w:pPr>
      <w:r>
        <w:rPr>
          <w:bCs/>
          <w:b/>
        </w:rPr>
        <w:t xml:space="preserve">Sistema nervioso (ratas, ratones):</w:t>
      </w:r>
      <w:r>
        <w:t xml:space="preserve"> </w:t>
      </w:r>
      <w:r>
        <w:t xml:space="preserve">En un modelo animal de esclerosis múltiple, solo la combinación de GHRP-6 con el factor de crecimiento EGF mejoró la evolución de la enfermedad, no el GHRP-6 solo</w:t>
      </w:r>
      <w:r>
        <w:rPr>
          <w:rStyle w:val="FootnoteReference"/>
        </w:rPr>
        <w:footnoteReference w:id="1414"/>
      </w:r>
      <w:r>
        <w:t xml:space="preserve">.</w:t>
      </w:r>
    </w:p>
    <w:p>
      <w:pPr>
        <w:pStyle w:val="FirstParagraph"/>
      </w:pPr>
      <w:r>
        <w:t xml:space="preserve">Ninguno de estos enfoques ha dado lugar hasta ahora a un estudio controlado publicado en humanos.</w:t>
      </w:r>
    </w:p>
    <w:bookmarkEnd w:id="1415"/>
    <w:bookmarkStart w:id="1420" w:name="riesgos-y-efectos-adversos-28"/>
    <w:p>
      <w:pPr>
        <w:pStyle w:val="Heading3"/>
      </w:pPr>
      <w:r>
        <w:t xml:space="preserve">Riesgos y efectos adversos</w:t>
      </w:r>
    </w:p>
    <w:p>
      <w:pPr>
        <w:pStyle w:val="FirstParagraph"/>
      </w:pPr>
      <w:r>
        <w:rPr>
          <w:bCs/>
          <w:b/>
        </w:rPr>
        <w:t xml:space="preserve">Demostrado en los estudios a corto plazo:</w:t>
      </w:r>
      <w:r>
        <w:t xml:space="preserve"> </w:t>
      </w:r>
      <w:r>
        <w:t xml:space="preserve">sensación de calor (rubefacción)</w:t>
      </w:r>
      <w:r>
        <w:rPr>
          <w:rStyle w:val="FootnoteReference"/>
        </w:rPr>
        <w:footnoteReference w:id="1416"/>
      </w:r>
      <w:r>
        <w:t xml:space="preserve">; aumento de la ACTH, el cortisol y la prolactina</w:t>
      </w:r>
      <w:r>
        <w:rPr>
          <w:rStyle w:val="FootnoteReference"/>
        </w:rPr>
        <w:footnoteReference w:id="1417"/>
      </w:r>
      <w:r>
        <w:t xml:space="preserve">; hambre como efecto conocido de la grelina. En los estudios diagnósticos con dosis únicas no se produjeron, por lo demás, efectos adversos relevantes.</w:t>
      </w:r>
    </w:p>
    <w:p>
      <w:pPr>
        <w:pStyle w:val="BodyText"/>
      </w:pPr>
      <w:r>
        <w:rPr>
          <w:bCs/>
          <w:b/>
        </w:rPr>
        <w:t xml:space="preserve">Desconocido:</w:t>
      </w:r>
      <w:r>
        <w:t xml:space="preserve"> </w:t>
      </w:r>
      <w:r>
        <w:t xml:space="preserve">No hay estudios en humanos sobre el uso repetido durante semanas o meses. Con un uso continuado son concebibles las consecuencias conocidas de unos niveles elevados de hormona del crecimiento y de una estimulación repetida del cortisol, por ejemplo un empeoramiento de la regulación de la glucosa. Un informe de caso describe a un culturista que durante décadas utilizó hormona del crecimiento y liberadores –entre ellos una combinación de sermorelina y GHRP-6– y desarrolló un gran osteofito en la columna cervical; no está demostrada una relación causal</w:t>
      </w:r>
      <w:r>
        <w:rPr>
          <w:rStyle w:val="FootnoteReference"/>
        </w:rPr>
        <w:footnoteReference w:id="1418"/>
      </w:r>
      <w:r>
        <w:t xml:space="preserve">. Sobre la cuestión del cáncer, véanse la introducción de este grupo y la Parte IV.</w:t>
      </w:r>
    </w:p>
    <w:p>
      <w:pPr>
        <w:pStyle w:val="BodyText"/>
      </w:pPr>
      <w:r>
        <w:rPr>
          <w:bCs/>
          <w:b/>
        </w:rPr>
        <w:t xml:space="preserve">Mercado gris:</w:t>
      </w:r>
      <w:r>
        <w:t xml:space="preserve"> </w:t>
      </w:r>
      <w:r>
        <w:t xml:space="preserve">En productos incautados se detectó «Gly-GHRP-6», una modificación no declarada con un aminoácido adicional</w:t>
      </w:r>
      <w:r>
        <w:rPr>
          <w:rStyle w:val="FootnoteReference"/>
        </w:rPr>
        <w:footnoteReference w:id="1419"/>
      </w:r>
      <w:r>
        <w:t xml:space="preserve">.</w:t>
      </w:r>
    </w:p>
    <w:bookmarkEnd w:id="1420"/>
    <w:bookmarkStart w:id="1422" w:name="situación-legal-28"/>
    <w:p>
      <w:pPr>
        <w:pStyle w:val="Heading3"/>
      </w:pPr>
      <w:r>
        <w:t xml:space="preserve">Situación legal</w:t>
      </w:r>
    </w:p>
    <w:p>
      <w:pPr>
        <w:pStyle w:val="FirstParagraph"/>
      </w:pPr>
      <w:r>
        <w:rPr>
          <w:iCs/>
          <w:i/>
        </w:rPr>
        <w:t xml:space="preserve">Situación en 2026; comprueba la información actualizada.</w:t>
      </w:r>
    </w:p>
    <w:p>
      <w:pPr>
        <w:numPr>
          <w:ilvl w:val="0"/>
          <w:numId w:val="1166"/>
        </w:numPr>
        <w:pStyle w:val="Compact"/>
      </w:pPr>
      <w:r>
        <w:rPr>
          <w:bCs/>
          <w:b/>
        </w:rPr>
        <w:t xml:space="preserve">UE, Alemania, Austria, EE. UU.:</w:t>
      </w:r>
      <w:r>
        <w:t xml:space="preserve"> </w:t>
      </w:r>
      <w:r>
        <w:t xml:space="preserve">sin autorización como medicamento; su dispensación para uso en humanos no está permitida. En la investigación, el GHRP-6 se utiliza en el marco de estudios aprobados.</w:t>
      </w:r>
    </w:p>
    <w:p>
      <w:pPr>
        <w:numPr>
          <w:ilvl w:val="0"/>
          <w:numId w:val="1166"/>
        </w:numPr>
        <w:pStyle w:val="Compact"/>
      </w:pPr>
      <w:r>
        <w:rPr>
          <w:bCs/>
          <w:b/>
        </w:rPr>
        <w:t xml:space="preserve">WADA:</w:t>
      </w:r>
      <w:r>
        <w:t xml:space="preserve"> </w:t>
      </w:r>
      <w:r>
        <w:t xml:space="preserve">prohibido (S2). El GHRP-6 se excreta en su mayor parte sin cambios por la orina y, tras su administración como aerosol nasal en un voluntario, fue detectable durante 23 horas</w:t>
      </w:r>
      <w:r>
        <w:rPr>
          <w:rStyle w:val="FootnoteReference"/>
        </w:rPr>
        <w:footnoteReference w:id="1421"/>
      </w:r>
      <w:r>
        <w:t xml:space="preserve">.</w:t>
      </w:r>
    </w:p>
    <w:bookmarkEnd w:id="1422"/>
    <w:bookmarkStart w:id="1423" w:name="estudios-en-curso-y-perspectivas-28"/>
    <w:p>
      <w:pPr>
        <w:pStyle w:val="Heading3"/>
      </w:pPr>
      <w:r>
        <w:t xml:space="preserve">Estudios en curso y perspectivas</w:t>
      </w:r>
    </w:p>
    <w:p>
      <w:pPr>
        <w:pStyle w:val="FirstParagraph"/>
      </w:pPr>
      <w:r>
        <w:t xml:space="preserve">En octubre de 2026 no figura en ClinicalTrials.gov ningún estudio con GHRP-6.</w:t>
      </w:r>
      <w:r>
        <w:t xml:space="preserve"> </w:t>
      </w:r>
      <w:r>
        <w:rPr>
          <w:iCs/>
          <w:i/>
        </w:rPr>
        <w:t xml:space="preserve">Valoración del autor:</w:t>
      </w:r>
      <w:r>
        <w:t xml:space="preserve"> </w:t>
      </w:r>
      <w:r>
        <w:t xml:space="preserve">Los trabajos en animales sobre protección de órganos son la única línea de desarrollo reconocible; si darán lugar a estudios en humanos es una cuestión abierta. Para el diagnóstico, el GHRP-6 ha sido sustituido en gran medida por otras pruebas.</w:t>
      </w:r>
    </w:p>
    <w:bookmarkEnd w:id="1423"/>
    <w:bookmarkStart w:id="1424" w:name="conclusión-28"/>
    <w:p>
      <w:pPr>
        <w:pStyle w:val="Heading3"/>
      </w:pPr>
      <w:r>
        <w:t xml:space="preserve">Conclusión</w:t>
      </w:r>
    </w:p>
    <w:p>
      <w:pPr>
        <w:pStyle w:val="FirstParagraph"/>
      </w:pPr>
      <w:r>
        <w:t xml:space="preserve">El GHRP-6 fue el primer péptido artificial que libera hormona del crecimiento de forma específica y contribuyó de manera decisiva al descubrimiento del sistema de la grelina. En humanos se ha estudiado casi exclusivamente como sustancia de prueba administrada una sola vez, entre otros en un gran estudio publicado en Lancet sobre el diagnóstico del déficit de hormona del crecimiento. No existe un beneficio terapéutico demostrado, y faltan por completo datos sobre el uso repetido, tal como se promociona en el mercado gris.</w:t>
      </w:r>
    </w:p>
    <w:bookmarkEnd w:id="1424"/>
    <w:bookmarkEnd w:id="1425"/>
    <w:bookmarkStart w:id="1458" w:name="hexarelina"/>
    <w:p>
      <w:pPr>
        <w:pStyle w:val="Heading2"/>
      </w:pPr>
      <w:r>
        <w:t xml:space="preserve">Hexarelina</w:t>
      </w:r>
    </w:p>
    <w:p>
      <w:pPr>
        <w:pStyle w:val="FirstParagraph"/>
      </w:pPr>
      <w:r>
        <w:t xml:space="preserve">La hexarelina es un pariente cercano del GHRP-6 y uno de los liberadores artificiales de hormona del crecimiento más potentes que existen. En la década de 1990 se estudió intensamente en humanos, sobre todo en Italia. En ese contexto se observó algo inesperado: la hexarelina parece actuar directamente sobre el corazón, con independencia de la hormona del crecimiento. Aun así, no llegó a autorizarse. Uno de los motivos fue una debilidad típica de esta clase de sustancias: con el uso continuado, el efecto disminuye.</w:t>
      </w:r>
    </w:p>
    <w:bookmarkStart w:id="1428" w:name="ficha-29"/>
    <w:p>
      <w:pPr>
        <w:pStyle w:val="Heading3"/>
      </w:pPr>
      <w:r>
        <w:t xml:space="preserve">Ficha</w:t>
      </w:r>
    </w:p>
    <w:p>
      <w:pPr>
        <w:numPr>
          <w:ilvl w:val="0"/>
          <w:numId w:val="1167"/>
        </w:numPr>
        <w:pStyle w:val="Compact"/>
      </w:pPr>
      <w:r>
        <w:rPr>
          <w:bCs/>
          <w:b/>
        </w:rPr>
        <w:t xml:space="preserve">Tipo y estructura:</w:t>
      </w:r>
      <w:r>
        <w:t xml:space="preserve"> </w:t>
      </w:r>
      <w:r>
        <w:t xml:space="preserve">hexapéptido sintético His-D-2-metil-Trp-Ala-Trp-D-Phe-Lys-NH2; se diferencia del GHRP-6 por un grupo metilo adicional en el segundo componente</w:t>
      </w:r>
      <w:r>
        <w:rPr>
          <w:rStyle w:val="FootnoteReference"/>
        </w:rPr>
        <w:footnoteReference w:id="1426"/>
      </w:r>
      <w:r>
        <w:t xml:space="preserve">.</w:t>
      </w:r>
    </w:p>
    <w:p>
      <w:pPr>
        <w:numPr>
          <w:ilvl w:val="0"/>
          <w:numId w:val="1167"/>
        </w:numPr>
        <w:pStyle w:val="Compact"/>
      </w:pPr>
      <w:r>
        <w:rPr>
          <w:bCs/>
          <w:b/>
        </w:rPr>
        <w:t xml:space="preserve">Origen:</w:t>
      </w:r>
      <w:r>
        <w:t xml:space="preserve"> </w:t>
      </w:r>
      <w:r>
        <w:t xml:space="preserve">desarrollada a principios de la década de 1990 como modificación del GHRP-6; gran parte de la investigación clínica procede de centros universitarios italianos.</w:t>
      </w:r>
    </w:p>
    <w:p>
      <w:pPr>
        <w:numPr>
          <w:ilvl w:val="0"/>
          <w:numId w:val="1167"/>
        </w:numPr>
        <w:pStyle w:val="Compact"/>
      </w:pPr>
      <w:r>
        <w:rPr>
          <w:bCs/>
          <w:b/>
        </w:rPr>
        <w:t xml:space="preserve">Mecanismo de acción:</w:t>
      </w:r>
      <w:r>
        <w:t xml:space="preserve"> </w:t>
      </w:r>
      <w:r>
        <w:t xml:space="preserve">agonista del receptor de la grelina (GHS-R1a); libera hormona del crecimiento, ACTH, cortisol y prolactina. Además, la hexarelina se une al receptor CD36 del tejido cardiaco, a través del cual se suponen efectos cardiacos independientes de la GH</w:t>
      </w:r>
      <w:r>
        <w:rPr>
          <w:rStyle w:val="FootnoteReference"/>
        </w:rPr>
        <w:footnoteReference w:id="1427"/>
      </w:r>
      <w:r>
        <w:t xml:space="preserve">.</w:t>
      </w:r>
    </w:p>
    <w:p>
      <w:pPr>
        <w:numPr>
          <w:ilvl w:val="0"/>
          <w:numId w:val="1167"/>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67"/>
        </w:numPr>
        <w:pStyle w:val="Compact"/>
      </w:pPr>
      <w:r>
        <w:rPr>
          <w:bCs/>
          <w:b/>
        </w:rPr>
        <w:t xml:space="preserve">WADA:</w:t>
      </w:r>
      <w:r>
        <w:t xml:space="preserve"> </w:t>
      </w:r>
      <w:r>
        <w:t xml:space="preserve">prohibida, grupo S2; la hexarelina se menciona expresamente como péptido liberador de hormona del crecimiento.</w:t>
      </w:r>
    </w:p>
    <w:p>
      <w:pPr>
        <w:numPr>
          <w:ilvl w:val="0"/>
          <w:numId w:val="1167"/>
        </w:numPr>
        <w:pStyle w:val="Compact"/>
      </w:pPr>
      <w:r>
        <w:rPr>
          <w:bCs/>
          <w:b/>
        </w:rPr>
        <w:t xml:space="preserve">Nivel de evidencia: C</w:t>
      </w:r>
      <w:r>
        <w:t xml:space="preserve"> </w:t>
      </w:r>
      <w:r>
        <w:t xml:space="preserve">– numerosos estudios pequeños, muchos de ellos aleatorizados, pero casi exclusivamente con dosis únicas y variables hormonales o de fisiología circulatoria; ningún estudio sobre un criterio de valoración clínico.</w:t>
      </w:r>
    </w:p>
    <w:bookmarkEnd w:id="1428"/>
    <w:bookmarkStart w:id="1430" w:name="cómo-se-supone-que-actúa-29"/>
    <w:p>
      <w:pPr>
        <w:pStyle w:val="Heading3"/>
      </w:pPr>
      <w:r>
        <w:t xml:space="preserve">Cómo se supone que actúa</w:t>
      </w:r>
    </w:p>
    <w:p>
      <w:pPr>
        <w:pStyle w:val="FirstParagraph"/>
      </w:pPr>
      <w:r>
        <w:t xml:space="preserve">Como el GHRP-6 y el GHRP-2, la hexarelina imita a la hormona gástrica grelina y estimula así la secreción de hormona del crecimiento. Su efecto depende de una conexión intacta entre el diencéfalo y la hipófisis: en niños y adultos en los que esta conexión estaba interrumpida anatómicamente, la respuesta de GH no se produjo o estuvo muy atenuada, mientras que en el déficit idiopático fue intensa</w:t>
      </w:r>
      <w:r>
        <w:rPr>
          <w:rStyle w:val="FootnoteReference"/>
        </w:rPr>
        <w:footnoteReference w:id="1429"/>
      </w:r>
      <w:r>
        <w:t xml:space="preserve">.</w:t>
      </w:r>
    </w:p>
    <w:p>
      <w:pPr>
        <w:pStyle w:val="BodyText"/>
      </w:pPr>
      <w:r>
        <w:t xml:space="preserve">La segunda idea, independiente, se refiere al corazón. Los receptores de la grelina y la molécula captadora CD36 también se encuentran en el músculo cardiaco. Por eso, la hexarelina podría aumentar directamente la fuerza de bombeo del corazón, un posible enfoque en la insuficiencia cardiaca, independiente de la hormona del crecimiento.</w:t>
      </w:r>
    </w:p>
    <w:bookmarkEnd w:id="1430"/>
    <w:bookmarkStart w:id="1444" w:name="estudios-en-humanos-29"/>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58</w:t>
      </w:r>
      <w:r>
        <w:t xml:space="preserve"> </w:t>
      </w:r>
      <w:r>
        <w:t xml:space="preserve">estudios en humanos en PubMed (</w:t>
      </w:r>
      <w:r>
        <w:rPr>
          <w:rStyle w:val="VerbatimChar"/>
        </w:rPr>
        <w:t xml:space="preserve">humanstudien_alle</w:t>
      </w:r>
      <w:r>
        <w:t xml:space="preserve">) y</w:t>
      </w:r>
      <w:r>
        <w:t xml:space="preserve"> </w:t>
      </w:r>
      <w:r>
        <w:rPr>
          <w:bCs/>
          <w:b/>
        </w:rPr>
        <w:t xml:space="preserve">ninguna</w:t>
      </w:r>
      <w:r>
        <w:t xml:space="preserve"> </w:t>
      </w:r>
      <w:r>
        <w:t xml:space="preserve">entrada en ClinicalTrials.gov. La mayoría de los estudios datan de 1994 a 2004 y examinan con dosis únicas cómo depende la respuesta hormonal de la edad, el sexo, la alimentación, los medicamentos o las enfermedades. Algunas entradas de la lista tratan principalmente de la grelina o del GHRP-6 y utilizan la hexarelina solo como comparación.</w:t>
      </w:r>
    </w:p>
    <w:bookmarkStart w:id="1434" w:name="efecto-hormonal-y-dosis"/>
    <w:p>
      <w:pPr>
        <w:pStyle w:val="Heading4"/>
      </w:pPr>
      <w:r>
        <w:t xml:space="preserve">Efecto hormonal y dosis</w:t>
      </w:r>
    </w:p>
    <w:p>
      <w:pPr>
        <w:pStyle w:val="FirstParagraph"/>
      </w:pPr>
      <w:r>
        <w:t xml:space="preserve">En un estudio doble ciego y controlado con placebo con doce hombres sanos, la hormona del crecimiento aumentó tras la administración intravenosa de forma dependiente de la dosis, con un pico a los 30 minutos aproximadamente y retorno al valor inicial en cuatro horas</w:t>
      </w:r>
      <w:r>
        <w:rPr>
          <w:rStyle w:val="FootnoteReference"/>
        </w:rPr>
        <w:footnoteReference w:id="1431"/>
      </w:r>
      <w:r>
        <w:t xml:space="preserve">. La hexarelina liberó también prolactina y cortisol de forma dependiente de la dosis; combinada con GHRH, bastó una dosis baja de hexarelina para una secreción masiva de GH sin aumento del cortisol</w:t>
      </w:r>
      <w:r>
        <w:rPr>
          <w:rStyle w:val="FootnoteReference"/>
        </w:rPr>
        <w:footnoteReference w:id="1432"/>
      </w:r>
      <w:r>
        <w:t xml:space="preserve">. La activación del eje de las hormonas del estrés se produce al parecer a través del diencéfalo; en un estudio con 15 hombres jóvenes, la hexarelina aumentó también el apetito a corto plazo</w:t>
      </w:r>
      <w:r>
        <w:rPr>
          <w:rStyle w:val="FootnoteReference"/>
        </w:rPr>
        <w:footnoteReference w:id="1433"/>
      </w:r>
      <w:r>
        <w:t xml:space="preserve">.</w:t>
      </w:r>
    </w:p>
    <w:bookmarkEnd w:id="1434"/>
    <w:bookmarkStart w:id="1439" w:name="X6f7e7e1612560f2a857ff146084b75e9edaaf2f"/>
    <w:p>
      <w:pPr>
        <w:pStyle w:val="Heading4"/>
      </w:pPr>
      <w:r>
        <w:t xml:space="preserve">Administración prolongada: el efecto disminuye</w:t>
      </w:r>
    </w:p>
    <w:p>
      <w:pPr>
        <w:pStyle w:val="FirstParagraph"/>
      </w:pPr>
      <w:r>
        <w:t xml:space="preserve">Para un tratamiento es decisivo si el efecto se mantiene con la administración repetida. En adultos que se inyectaron hexarelina bajo la piel dos veces al día durante 16 semanas, la respuesta de GH disminuyó claramente y solo se recuperó cuatro semanas después de la suspensión. El IGF-1, la grasa corporal, la masa muscular y la densidad ósea no cambiaron de forma significativa</w:t>
      </w:r>
      <w:r>
        <w:rPr>
          <w:rStyle w:val="FootnoteReference"/>
        </w:rPr>
        <w:footnoteReference w:id="1435"/>
      </w:r>
      <w:r>
        <w:t xml:space="preserve">. En el mismo estudio, la respuesta del cortisol también se atenuó de forma transitoria</w:t>
      </w:r>
      <w:r>
        <w:rPr>
          <w:rStyle w:val="FootnoteReference"/>
        </w:rPr>
        <w:footnoteReference w:id="1436"/>
      </w:r>
      <w:r>
        <w:t xml:space="preserve">.</w:t>
      </w:r>
    </w:p>
    <w:p>
      <w:pPr>
        <w:pStyle w:val="BodyText"/>
      </w:pPr>
      <w:r>
        <w:t xml:space="preserve">En niños de talla baja, el panorama fue algo más favorable: con aerosol nasal, la velocidad de crecimiento de ocho niños aumentó de 5,3 a 8,3 cm al año y el IGF-1 aumentó</w:t>
      </w:r>
      <w:r>
        <w:rPr>
          <w:rStyle w:val="FootnoteReference"/>
        </w:rPr>
        <w:footnoteReference w:id="1437"/>
      </w:r>
      <w:r>
        <w:t xml:space="preserve">. Un estudio de seguimiento con siete niños mostró que la respuesta de GH de la hipófisis se había reducido aproximadamente a la mitad ya a los siete días, pero el crecimiento más rápido se mantuvo de todos modos</w:t>
      </w:r>
      <w:r>
        <w:rPr>
          <w:rStyle w:val="FootnoteReference"/>
        </w:rPr>
        <w:footnoteReference w:id="1438"/>
      </w:r>
      <w:r>
        <w:t xml:space="preserve">.</w:t>
      </w:r>
    </w:p>
    <w:bookmarkEnd w:id="1439"/>
    <w:bookmarkStart w:id="1443" w:name="efectos-cardiacos"/>
    <w:p>
      <w:pPr>
        <w:pStyle w:val="Heading4"/>
      </w:pPr>
      <w:r>
        <w:t xml:space="preserve">Efectos cardiacos</w:t>
      </w:r>
    </w:p>
    <w:p>
      <w:pPr>
        <w:pStyle w:val="FirstParagraph"/>
      </w:pPr>
      <w:r>
        <w:t xml:space="preserve">Varios estudios pequeños de un grupo de trabajo italiano examinaron el corazón:</w:t>
      </w:r>
    </w:p>
    <w:p>
      <w:pPr>
        <w:numPr>
          <w:ilvl w:val="0"/>
          <w:numId w:val="1168"/>
        </w:numPr>
        <w:pStyle w:val="Compact"/>
      </w:pPr>
      <w:r>
        <w:t xml:space="preserve">En siete hombres con déficit de hormona del crecimiento y nueve personas de control sanas, la fracción de eyección del ventrículo izquierdo (la proporción de sangre que el ventrículo izquierdo expulsa en cada latido) aumentó tras una dosis única de hexarelina en ambos grupos, aunque las personas afectadas apenas liberaron hormona del crecimiento. Los autores deducen un efecto independiente de la GH</w:t>
      </w:r>
      <w:r>
        <w:rPr>
          <w:rStyle w:val="FootnoteReference"/>
        </w:rPr>
        <w:footnoteReference w:id="1440"/>
      </w:r>
      <w:r>
        <w:t xml:space="preserve">.</w:t>
      </w:r>
    </w:p>
    <w:p>
      <w:pPr>
        <w:numPr>
          <w:ilvl w:val="0"/>
          <w:numId w:val="1168"/>
        </w:numPr>
        <w:pStyle w:val="Compact"/>
      </w:pPr>
      <w:r>
        <w:t xml:space="preserve">En pacientes con miocardiopatía dilatada grave, en cambio, este efecto no se produjo</w:t>
      </w:r>
      <w:r>
        <w:rPr>
          <w:rStyle w:val="FootnoteReference"/>
        </w:rPr>
        <w:footnoteReference w:id="1441"/>
      </w:r>
      <w:r>
        <w:t xml:space="preserve">.</w:t>
      </w:r>
    </w:p>
    <w:p>
      <w:pPr>
        <w:numPr>
          <w:ilvl w:val="0"/>
          <w:numId w:val="1168"/>
        </w:numPr>
        <w:pStyle w:val="Compact"/>
      </w:pPr>
      <w:r>
        <w:t xml:space="preserve">En 24 hombres con cardiopatía coronaria durante una operación de bypass, la hexarelina aumentó la fracción de eyección y el gasto cardiaco durante un máximo de 90 minutos, mientras que la GHRH, la hormona del crecimiento y el placebo no tuvieron efecto</w:t>
      </w:r>
      <w:r>
        <w:rPr>
          <w:rStyle w:val="FootnoteReference"/>
        </w:rPr>
        <w:footnoteReference w:id="144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Búsqueda de dosis (Imbimbo 1994), PMID 7957536</w:t>
            </w:r>
          </w:p>
        </w:tc>
        <w:tc>
          <w:tcPr/>
          <w:p>
            <w:pPr>
              <w:pStyle w:val="Compact"/>
              <w:jc w:val="left"/>
            </w:pPr>
            <w:r>
              <w:t xml:space="preserve">12 hombres sanos, doble ciego, placebo, dosis crecientes</w:t>
            </w:r>
          </w:p>
        </w:tc>
        <w:tc>
          <w:tcPr/>
          <w:p>
            <w:pPr>
              <w:pStyle w:val="Compact"/>
              <w:jc w:val="left"/>
            </w:pPr>
            <w:r>
              <w:t xml:space="preserve">dosis únicas</w:t>
            </w:r>
          </w:p>
        </w:tc>
        <w:tc>
          <w:tcPr/>
          <w:p>
            <w:pPr>
              <w:pStyle w:val="Compact"/>
              <w:jc w:val="left"/>
            </w:pPr>
            <w:r>
              <w:t xml:space="preserve">pico de GH a los 30 min aprox., dependiente de la dosis</w:t>
            </w:r>
          </w:p>
        </w:tc>
      </w:tr>
      <w:tr>
        <w:tc>
          <w:tcPr/>
          <w:p>
            <w:pPr>
              <w:pStyle w:val="Compact"/>
              <w:jc w:val="left"/>
            </w:pPr>
            <w:r>
              <w:t xml:space="preserve">Administración prolongada (Rahim 1998), PMID 9589671</w:t>
            </w:r>
          </w:p>
        </w:tc>
        <w:tc>
          <w:tcPr/>
          <w:p>
            <w:pPr>
              <w:pStyle w:val="Compact"/>
              <w:jc w:val="left"/>
            </w:pPr>
            <w:r>
              <w:t xml:space="preserve">adultos, sin grupo control</w:t>
            </w:r>
          </w:p>
        </w:tc>
        <w:tc>
          <w:tcPr/>
          <w:p>
            <w:pPr>
              <w:pStyle w:val="Compact"/>
              <w:jc w:val="left"/>
            </w:pPr>
            <w:r>
              <w:t xml:space="preserve">16 semanas</w:t>
            </w:r>
          </w:p>
        </w:tc>
        <w:tc>
          <w:tcPr/>
          <w:p>
            <w:pPr>
              <w:pStyle w:val="Compact"/>
              <w:jc w:val="left"/>
            </w:pPr>
            <w:r>
              <w:t xml:space="preserve">respuesta de GH atenuada; IGF-1 y composición corporal sin cambios</w:t>
            </w:r>
          </w:p>
        </w:tc>
      </w:tr>
      <w:tr>
        <w:tc>
          <w:tcPr/>
          <w:p>
            <w:pPr>
              <w:pStyle w:val="Compact"/>
              <w:jc w:val="left"/>
            </w:pPr>
            <w:r>
              <w:t xml:space="preserve">Niños, aerosol nasal (Laron 1995), PMID 8548949</w:t>
            </w:r>
          </w:p>
        </w:tc>
        <w:tc>
          <w:tcPr/>
          <w:p>
            <w:pPr>
              <w:pStyle w:val="Compact"/>
              <w:jc w:val="left"/>
            </w:pPr>
            <w:r>
              <w:t xml:space="preserve">8 niños de talla baja, sin grupo control</w:t>
            </w:r>
          </w:p>
        </w:tc>
        <w:tc>
          <w:tcPr/>
          <w:p>
            <w:pPr>
              <w:pStyle w:val="Compact"/>
              <w:jc w:val="left"/>
            </w:pPr>
            <w:r>
              <w:t xml:space="preserve">hasta 8 meses</w:t>
            </w:r>
          </w:p>
        </w:tc>
        <w:tc>
          <w:tcPr/>
          <w:p>
            <w:pPr>
              <w:pStyle w:val="Compact"/>
              <w:jc w:val="left"/>
            </w:pPr>
            <w:r>
              <w:t xml:space="preserve">crecimiento 5,3 → 8,3 cm/año</w:t>
            </w:r>
          </w:p>
        </w:tc>
      </w:tr>
      <w:tr>
        <w:tc>
          <w:tcPr/>
          <w:p>
            <w:pPr>
              <w:pStyle w:val="Compact"/>
              <w:jc w:val="left"/>
            </w:pPr>
            <w:r>
              <w:t xml:space="preserve">Corazón, déficit de GH (Bisi 1999), PMID 10528131</w:t>
            </w:r>
          </w:p>
        </w:tc>
        <w:tc>
          <w:tcPr/>
          <w:p>
            <w:pPr>
              <w:pStyle w:val="Compact"/>
              <w:jc w:val="left"/>
            </w:pPr>
            <w:r>
              <w:t xml:space="preserve">7 hombres con déficit de GH, 9 personas sanas</w:t>
            </w:r>
          </w:p>
        </w:tc>
        <w:tc>
          <w:tcPr/>
          <w:p>
            <w:pPr>
              <w:pStyle w:val="Compact"/>
              <w:jc w:val="left"/>
            </w:pPr>
            <w:r>
              <w:t xml:space="preserve">dosis única</w:t>
            </w:r>
          </w:p>
        </w:tc>
        <w:tc>
          <w:tcPr/>
          <w:p>
            <w:pPr>
              <w:pStyle w:val="Compact"/>
              <w:jc w:val="left"/>
            </w:pPr>
            <w:r>
              <w:t xml:space="preserve">fracción de eyección 50 → 57 % y 63 → 70 %</w:t>
            </w:r>
          </w:p>
        </w:tc>
      </w:tr>
      <w:tr>
        <w:tc>
          <w:tcPr/>
          <w:p>
            <w:pPr>
              <w:pStyle w:val="Compact"/>
              <w:jc w:val="left"/>
            </w:pPr>
            <w:r>
              <w:t xml:space="preserve">Corazón, cirugía de bypass (Broglio 2002), PMID 12144941</w:t>
            </w:r>
          </w:p>
        </w:tc>
        <w:tc>
          <w:tcPr/>
          <w:p>
            <w:pPr>
              <w:pStyle w:val="Compact"/>
              <w:jc w:val="left"/>
            </w:pPr>
            <w:r>
              <w:t xml:space="preserve">24 hombres con cardiopatía coronaria, comparación con GHRH, GH, placebo</w:t>
            </w:r>
          </w:p>
        </w:tc>
        <w:tc>
          <w:tcPr/>
          <w:p>
            <w:pPr>
              <w:pStyle w:val="Compact"/>
              <w:jc w:val="left"/>
            </w:pPr>
            <w:r>
              <w:t xml:space="preserve">dosis única</w:t>
            </w:r>
          </w:p>
        </w:tc>
        <w:tc>
          <w:tcPr/>
          <w:p>
            <w:pPr>
              <w:pStyle w:val="Compact"/>
              <w:jc w:val="left"/>
            </w:pPr>
            <w:r>
              <w:t xml:space="preserve">fracción de eyección y gasto cardiaco ↑</w:t>
            </w:r>
          </w:p>
        </w:tc>
      </w:tr>
    </w:tbl>
    <w:bookmarkEnd w:id="1443"/>
    <w:bookmarkEnd w:id="1444"/>
    <w:bookmarkStart w:id="1448" w:name="estudios-en-animales-y-de-laboratorio-29"/>
    <w:p>
      <w:pPr>
        <w:pStyle w:val="Heading3"/>
      </w:pPr>
      <w:r>
        <w:t xml:space="preserve">Estudios en animales y de laboratorio</w:t>
      </w:r>
    </w:p>
    <w:p>
      <w:pPr>
        <w:numPr>
          <w:ilvl w:val="0"/>
          <w:numId w:val="1169"/>
        </w:numPr>
        <w:pStyle w:val="Compact"/>
      </w:pPr>
      <w:r>
        <w:rPr>
          <w:bCs/>
          <w:b/>
        </w:rPr>
        <w:t xml:space="preserve">Infarto de miocardio (ratas, ratones):</w:t>
      </w:r>
      <w:r>
        <w:t xml:space="preserve"> </w:t>
      </w:r>
      <w:r>
        <w:t xml:space="preserve">En ratas, cuatro semanas después de un infarto provocado artificialmente, la hexarelina mejoró durante dos semanas el volumen sistólico y redujo la resistencia vascular de forma similar a la hormona del crecimiento</w:t>
      </w:r>
      <w:r>
        <w:rPr>
          <w:rStyle w:val="FootnoteReference"/>
        </w:rPr>
        <w:footnoteReference w:id="1445"/>
      </w:r>
      <w:r>
        <w:t xml:space="preserve">. En ratones tras un infarto conservó la función de bombeo y redujo la cicatrización del músculo cardiaco</w:t>
      </w:r>
      <w:r>
        <w:rPr>
          <w:rStyle w:val="FootnoteReference"/>
        </w:rPr>
        <w:footnoteReference w:id="1446"/>
      </w:r>
      <w:r>
        <w:t xml:space="preserve">.</w:t>
      </w:r>
    </w:p>
    <w:p>
      <w:pPr>
        <w:numPr>
          <w:ilvl w:val="0"/>
          <w:numId w:val="1169"/>
        </w:numPr>
        <w:pStyle w:val="Compact"/>
      </w:pPr>
      <w:r>
        <w:rPr>
          <w:bCs/>
          <w:b/>
        </w:rPr>
        <w:t xml:space="preserve">Mecanismo:</w:t>
      </w:r>
      <w:r>
        <w:t xml:space="preserve"> </w:t>
      </w:r>
      <w:r>
        <w:t xml:space="preserve">Una revisión describe el CD36 como receptor cardiaco específico de la hexarelina, que mediaría los efectos protectores</w:t>
      </w:r>
      <w:r>
        <w:rPr>
          <w:rStyle w:val="FootnoteReference"/>
        </w:rPr>
        <w:footnoteReference w:id="1447"/>
      </w:r>
      <w:r>
        <w:t xml:space="preserve">.</w:t>
      </w:r>
    </w:p>
    <w:bookmarkEnd w:id="1448"/>
    <w:bookmarkStart w:id="1453" w:name="riesgos-y-efectos-adversos-29"/>
    <w:p>
      <w:pPr>
        <w:pStyle w:val="Heading3"/>
      </w:pPr>
      <w:r>
        <w:t xml:space="preserve">Riesgos y efectos adversos</w:t>
      </w:r>
    </w:p>
    <w:p>
      <w:pPr>
        <w:pStyle w:val="FirstParagraph"/>
      </w:pPr>
      <w:r>
        <w:rPr>
          <w:bCs/>
          <w:b/>
        </w:rPr>
        <w:t xml:space="preserve">Demostrado:</w:t>
      </w:r>
      <w:r>
        <w:t xml:space="preserve"> </w:t>
      </w:r>
      <w:r>
        <w:t xml:space="preserve">aumento del cortisol, la ACTH y la prolactina</w:t>
      </w:r>
      <w:r>
        <w:rPr>
          <w:rStyle w:val="FootnoteReference"/>
        </w:rPr>
        <w:footnoteReference w:id="1449"/>
      </w:r>
      <w:r>
        <w:t xml:space="preserve">; aumento del apetito a corto plazo</w:t>
      </w:r>
      <w:r>
        <w:rPr>
          <w:rStyle w:val="FootnoteReference"/>
        </w:rPr>
        <w:footnoteReference w:id="1450"/>
      </w:r>
      <w:r>
        <w:t xml:space="preserve">; disminución del efecto con la administración continuada</w:t>
      </w:r>
      <w:r>
        <w:rPr>
          <w:rStyle w:val="FootnoteReference"/>
        </w:rPr>
        <w:footnoteReference w:id="1451"/>
      </w:r>
      <w:r>
        <w:t xml:space="preserve">. En los estudios pequeños no se comunicaron efectos adversos graves; en los niños, los autores no encontraron efectos indeseados</w:t>
      </w:r>
      <w:r>
        <w:rPr>
          <w:rStyle w:val="FootnoteReference"/>
        </w:rPr>
        <w:footnoteReference w:id="1452"/>
      </w:r>
      <w:r>
        <w:t xml:space="preserve">.</w:t>
      </w:r>
    </w:p>
    <w:p>
      <w:pPr>
        <w:pStyle w:val="BodyText"/>
      </w:pPr>
      <w:r>
        <w:rPr>
          <w:bCs/>
          <w:b/>
        </w:rPr>
        <w:t xml:space="preserve">Desconocido:</w:t>
      </w:r>
      <w:r>
        <w:t xml:space="preserve"> </w:t>
      </w:r>
      <w:r>
        <w:t xml:space="preserve">Faltan datos de seguridad a largo plazo, en particular sobre el corazón. Que una sustancia aumente de forma aguda la fuerza de bombeo no dice nada sobre si a largo plazo beneficia o perjudica en la insuficiencia cardiaca; eso solo podría aclararse en estudios propios a largo plazo con criterios de valoración clínicos, que no existen. Sobre la cuestión de un riesgo de cáncer con una hormona del crecimiento elevada de forma continuada, véanse la introducción de este grupo y la Parte IV.</w:t>
      </w:r>
    </w:p>
    <w:bookmarkEnd w:id="1453"/>
    <w:bookmarkStart w:id="1455" w:name="situación-legal-29"/>
    <w:p>
      <w:pPr>
        <w:pStyle w:val="Heading3"/>
      </w:pPr>
      <w:r>
        <w:t xml:space="preserve">Situación legal</w:t>
      </w:r>
    </w:p>
    <w:p>
      <w:pPr>
        <w:pStyle w:val="FirstParagraph"/>
      </w:pPr>
      <w:r>
        <w:rPr>
          <w:iCs/>
          <w:i/>
        </w:rPr>
        <w:t xml:space="preserve">Situación en 2026; comprueba la información actualizada.</w:t>
      </w:r>
    </w:p>
    <w:p>
      <w:pPr>
        <w:numPr>
          <w:ilvl w:val="0"/>
          <w:numId w:val="1170"/>
        </w:numPr>
        <w:pStyle w:val="Compact"/>
      </w:pPr>
      <w:r>
        <w:rPr>
          <w:bCs/>
          <w:b/>
        </w:rPr>
        <w:t xml:space="preserve">UE, Alemania, Austria, EE. UU.:</w:t>
      </w:r>
      <w:r>
        <w:t xml:space="preserve"> </w:t>
      </w:r>
      <w:r>
        <w:t xml:space="preserve">sin autorización como medicamento; su dispensación para uso en humanos no está permitida.</w:t>
      </w:r>
    </w:p>
    <w:p>
      <w:pPr>
        <w:numPr>
          <w:ilvl w:val="0"/>
          <w:numId w:val="1170"/>
        </w:numPr>
        <w:pStyle w:val="Compact"/>
      </w:pPr>
      <w:r>
        <w:rPr>
          <w:bCs/>
          <w:b/>
        </w:rPr>
        <w:t xml:space="preserve">WADA:</w:t>
      </w:r>
      <w:r>
        <w:t xml:space="preserve"> </w:t>
      </w:r>
      <w:r>
        <w:t xml:space="preserve">prohibida (S2). La hexarelina se degrada en gran medida en el organismo; sus productos de degradación siguen siendo detectables en orina después de que desaparezca la sustancia original</w:t>
      </w:r>
      <w:r>
        <w:rPr>
          <w:rStyle w:val="FootnoteReference"/>
        </w:rPr>
        <w:footnoteReference w:id="1454"/>
      </w:r>
      <w:r>
        <w:t xml:space="preserve">.</w:t>
      </w:r>
    </w:p>
    <w:bookmarkEnd w:id="1455"/>
    <w:bookmarkStart w:id="1456" w:name="estudios-en-curso-y-perspectivas-29"/>
    <w:p>
      <w:pPr>
        <w:pStyle w:val="Heading3"/>
      </w:pPr>
      <w:r>
        <w:t xml:space="preserve">Estudios en curso y perspectivas</w:t>
      </w:r>
    </w:p>
    <w:p>
      <w:pPr>
        <w:pStyle w:val="FirstParagraph"/>
      </w:pPr>
      <w:r>
        <w:t xml:space="preserve">En octubre de 2026 no figura en ClinicalTrials.gov ningún estudio con hexarelina.</w:t>
      </w:r>
      <w:r>
        <w:t xml:space="preserve"> </w:t>
      </w:r>
      <w:r>
        <w:rPr>
          <w:iCs/>
          <w:i/>
        </w:rPr>
        <w:t xml:space="preserve">Valoración del autor:</w:t>
      </w:r>
      <w:r>
        <w:t xml:space="preserve"> </w:t>
      </w:r>
      <w:r>
        <w:t xml:space="preserve">La investigación cardiaca continúa, pero solo en modelos animales. Un desarrollo clínico requeriría una empresa que posea los derechos y financie estudios, y actualmente no se aprecia ninguna.</w:t>
      </w:r>
    </w:p>
    <w:bookmarkEnd w:id="1456"/>
    <w:bookmarkStart w:id="1457" w:name="conclusión-29"/>
    <w:p>
      <w:pPr>
        <w:pStyle w:val="Heading3"/>
      </w:pPr>
      <w:r>
        <w:t xml:space="preserve">Conclusión</w:t>
      </w:r>
    </w:p>
    <w:p>
      <w:pPr>
        <w:pStyle w:val="FirstParagraph"/>
      </w:pPr>
      <w:r>
        <w:t xml:space="preserve">En humanos, la hexarelina libera con fuerza hormona del crecimiento, pero también hormonas del estrés y prolactina, y con la administración continuada el efecto disminuye claramente; el IGF-1 y la composición corporal no cambiaron en un estudio de 16 semanas. Son interesantes algunos estudios pequeños en los que una dosis única aumentó la fuerza de bombeo del corazón, al parecer con independencia de la hormona del crecimiento. Si de ello surgirá algún día un beneficio para las personas con enfermedades cardiacas es una cuestión completamente abierta; para el desarrollo muscular o el rejuvenecimiento no hay pruebas.</w:t>
      </w:r>
    </w:p>
    <w:bookmarkEnd w:id="1457"/>
    <w:bookmarkEnd w:id="1458"/>
    <w:bookmarkStart w:id="1490" w:name="macimorelina"/>
    <w:p>
      <w:pPr>
        <w:pStyle w:val="Heading2"/>
      </w:pPr>
      <w:r>
        <w:t xml:space="preserve">Macimorelina</w:t>
      </w:r>
    </w:p>
    <w:p>
      <w:pPr>
        <w:pStyle w:val="FirstParagraph"/>
      </w:pPr>
      <w:r>
        <w:t xml:space="preserve">La macimorelina es el miembro más sobrio de este grupo y, precisamente por eso, un buen contraejemplo de los péptidos del mercado gris. No se utiliza como tratamiento, sino como prueba: una persona bebe una solución con macimorelina y a continuación se le extrae sangre varias veces. Si la hormona del crecimiento apenas aumenta, eso indica un déficit de hormona del crecimiento. Para ello, la macimorelina está autorizada en EE. UU. y en la UE. Es un ejemplo de cómo un mimético de la grelina puede convertirse en un verdadero medicamento mediante estudios comparativos rigurosos.</w:t>
      </w:r>
    </w:p>
    <w:bookmarkStart w:id="1460" w:name="ficha-30"/>
    <w:p>
      <w:pPr>
        <w:pStyle w:val="Heading3"/>
      </w:pPr>
      <w:r>
        <w:t xml:space="preserve">Ficha</w:t>
      </w:r>
    </w:p>
    <w:p>
      <w:pPr>
        <w:numPr>
          <w:ilvl w:val="0"/>
          <w:numId w:val="1171"/>
        </w:numPr>
        <w:pStyle w:val="Compact"/>
      </w:pPr>
      <w:r>
        <w:rPr>
          <w:bCs/>
          <w:b/>
        </w:rPr>
        <w:t xml:space="preserve">Tipo y estructura:</w:t>
      </w:r>
      <w:r>
        <w:t xml:space="preserve"> </w:t>
      </w:r>
      <w:r>
        <w:t xml:space="preserve">pequeña molécula de tipo peptídico (peptidomimético) que es eficaz tras ser tragada</w:t>
      </w:r>
      <w:r>
        <w:rPr>
          <w:rStyle w:val="FootnoteReference"/>
        </w:rPr>
        <w:footnoteReference w:id="1459"/>
      </w:r>
      <w:r>
        <w:t xml:space="preserve">. Denominaciones anteriores: EP01572, ARD-07, AEZS-130.</w:t>
      </w:r>
    </w:p>
    <w:p>
      <w:pPr>
        <w:numPr>
          <w:ilvl w:val="0"/>
          <w:numId w:val="1171"/>
        </w:numPr>
        <w:pStyle w:val="Compact"/>
      </w:pPr>
      <w:r>
        <w:rPr>
          <w:bCs/>
          <w:b/>
        </w:rPr>
        <w:t xml:space="preserve">Origen:</w:t>
      </w:r>
      <w:r>
        <w:t xml:space="preserve"> </w:t>
      </w:r>
      <w:r>
        <w:t xml:space="preserve">desarrollada a partir de la investigación sobre liberadores de hormona del crecimiento activos por vía oral; autorizada a solicitud de Aeterna Zentaris.</w:t>
      </w:r>
    </w:p>
    <w:p>
      <w:pPr>
        <w:numPr>
          <w:ilvl w:val="0"/>
          <w:numId w:val="1171"/>
        </w:numPr>
        <w:pStyle w:val="Compact"/>
      </w:pPr>
      <w:r>
        <w:rPr>
          <w:bCs/>
          <w:b/>
        </w:rPr>
        <w:t xml:space="preserve">Mecanismo de acción:</w:t>
      </w:r>
      <w:r>
        <w:t xml:space="preserve"> </w:t>
      </w:r>
      <w:r>
        <w:t xml:space="preserve">agonista del receptor de la grelina (GHS-R1a); provoca una única secreción de hormona del crecimiento cuya magnitud refleja la capacidad funcional de la hipófisis.</w:t>
      </w:r>
    </w:p>
    <w:p>
      <w:pPr>
        <w:numPr>
          <w:ilvl w:val="0"/>
          <w:numId w:val="1171"/>
        </w:numPr>
        <w:pStyle w:val="Compact"/>
      </w:pPr>
      <w:r>
        <w:rPr>
          <w:bCs/>
          <w:b/>
        </w:rPr>
        <w:t xml:space="preserve">Autorización EE. UU.:</w:t>
      </w:r>
      <w:r>
        <w:t xml:space="preserve"> </w:t>
      </w:r>
      <w:r>
        <w:t xml:space="preserve">sí (Macrilen, desde 2017) para el diagnóstico del déficit de hormona del crecimiento en adultos.</w:t>
      </w:r>
      <w:r>
        <w:t xml:space="preserve"> </w:t>
      </w:r>
      <w:r>
        <w:rPr>
          <w:bCs/>
          <w:b/>
        </w:rPr>
        <w:t xml:space="preserve">Autorización UE:</w:t>
      </w:r>
      <w:r>
        <w:t xml:space="preserve"> </w:t>
      </w:r>
      <w:r>
        <w:t xml:space="preserve">sí (autorización centralizada en 2019) para la misma indicación. Sobre la disponibilidad actual en los distintos países, véase más abajo.</w:t>
      </w:r>
    </w:p>
    <w:p>
      <w:pPr>
        <w:numPr>
          <w:ilvl w:val="0"/>
          <w:numId w:val="1171"/>
        </w:numPr>
        <w:pStyle w:val="Compact"/>
      </w:pPr>
      <w:r>
        <w:rPr>
          <w:bCs/>
          <w:b/>
        </w:rPr>
        <w:t xml:space="preserve">WADA:</w:t>
      </w:r>
      <w:r>
        <w:t xml:space="preserve"> </w:t>
      </w:r>
      <w:r>
        <w:t xml:space="preserve">prohibida, grupo S2 (secretagogos de la hormona del crecimiento; la macimorelina se menciona expresamente).</w:t>
      </w:r>
    </w:p>
    <w:p>
      <w:pPr>
        <w:numPr>
          <w:ilvl w:val="0"/>
          <w:numId w:val="1171"/>
        </w:numPr>
        <w:pStyle w:val="Compact"/>
      </w:pPr>
      <w:r>
        <w:rPr>
          <w:bCs/>
          <w:b/>
        </w:rPr>
        <w:t xml:space="preserve">Nivel de evidencia: A</w:t>
      </w:r>
      <w:r>
        <w:t xml:space="preserve"> </w:t>
      </w:r>
      <w:r>
        <w:t xml:space="preserve">– dos estudios de fase 3 sobre la exactitud diagnóstica, autorización en EE. UU. y la UE. Limitación: se trata de un agente diagnóstico, no de un tratamiento.</w:t>
      </w:r>
    </w:p>
    <w:bookmarkEnd w:id="1460"/>
    <w:bookmarkStart w:id="1461" w:name="cómo-se-supone-que-actúa-30"/>
    <w:p>
      <w:pPr>
        <w:pStyle w:val="Heading3"/>
      </w:pPr>
      <w:r>
        <w:t xml:space="preserve">Cómo se supone que actúa</w:t>
      </w:r>
    </w:p>
    <w:p>
      <w:pPr>
        <w:pStyle w:val="FirstParagraph"/>
      </w:pPr>
      <w:r>
        <w:t xml:space="preserve">El diagnóstico de un déficit de hormona del crecimiento en adultos es difícil. Un único valor en sangre no basta, porque la hormona del crecimiento se libera en pulsos. Se necesita una prueba de estimulación: se estimula específicamente la hipófisis y se mide cuánta hormona del crecimiento libera.</w:t>
      </w:r>
    </w:p>
    <w:p>
      <w:pPr>
        <w:pStyle w:val="BodyText"/>
      </w:pPr>
      <w:r>
        <w:t xml:space="preserve">La prueba de referencia es la prueba de hipoglucemia insulínica (prueba de tolerancia a la insulina, PTI). En ella se reduce intencionadamente y de forma marcada la glucosa con insulina; es desagradable, requiere supervisión médica y no está permitida en caso de enfermedades cardiacas o convulsiones. La macimorelina ofrece una alternativa: activa el receptor de la grelina, que desencadena directamente la secreción de hormona del crecimiento, sin bajar la glucosa. Como se toma por vía oral, tampoco es necesaria una infusión.</w:t>
      </w:r>
    </w:p>
    <w:bookmarkEnd w:id="1461"/>
    <w:bookmarkStart w:id="1475" w:name="estudios-en-humanos-30"/>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4</w:t>
      </w:r>
      <w:r>
        <w:t xml:space="preserve"> </w:t>
      </w:r>
      <w:r>
        <w:t xml:space="preserve">estudios en humanos en PubMed (</w:t>
      </w:r>
      <w:r>
        <w:rPr>
          <w:rStyle w:val="VerbatimChar"/>
        </w:rPr>
        <w:t xml:space="preserve">humanstudien_alle</w:t>
      </w:r>
      <w:r>
        <w:t xml:space="preserve">) y</w:t>
      </w:r>
      <w:r>
        <w:t xml:space="preserve"> </w:t>
      </w:r>
      <w:r>
        <w:rPr>
          <w:bCs/>
          <w:b/>
        </w:rPr>
        <w:t xml:space="preserve">6</w:t>
      </w:r>
      <w:r>
        <w:t xml:space="preserve"> </w:t>
      </w:r>
      <w:r>
        <w:t xml:space="preserve">entradas en ClinicalTrials.gov. Una búsqueda específica adicional encontró más estudios, entre ellos el primer estudio de fase 3, un estudio en niños, varios trabajos en personas sanas y un análisis de la práctica clínica.</w:t>
      </w:r>
    </w:p>
    <w:bookmarkStart w:id="1464" w:name="farmacología-inicial"/>
    <w:p>
      <w:pPr>
        <w:pStyle w:val="Heading4"/>
      </w:pPr>
      <w:r>
        <w:t xml:space="preserve">Farmacología inicial</w:t>
      </w:r>
    </w:p>
    <w:p>
      <w:pPr>
        <w:pStyle w:val="FirstParagraph"/>
      </w:pPr>
      <w:r>
        <w:t xml:space="preserve">Ya en 2007, un estudio con 36 hombres sanos mostró que la sustancia (entonces EP01572) pasa a la sangre rápidamente y de forma dependiente de la dosis tras ser tragada y libera con fuerza hormona del crecimiento</w:t>
      </w:r>
      <w:r>
        <w:rPr>
          <w:rStyle w:val="FootnoteReference"/>
        </w:rPr>
        <w:footnoteReference w:id="1462"/>
      </w:r>
      <w:r>
        <w:t xml:space="preserve">. En un estudio aleatorizado de fase 1 con 28 personas sanas, la semivida fue de 3,5 horas para las dos dosis más bajas; el pico de GH se produjo a los 45 a 60 minutos. La ACTH, el cortisol y la prolactina aumentaron de forma transitoria</w:t>
      </w:r>
      <w:r>
        <w:rPr>
          <w:rStyle w:val="FootnoteReference"/>
        </w:rPr>
        <w:footnoteReference w:id="1463"/>
      </w:r>
      <w:r>
        <w:t xml:space="preserve">.</w:t>
      </w:r>
    </w:p>
    <w:bookmarkEnd w:id="1464"/>
    <w:bookmarkStart w:id="1468" w:name="los-estudios-de-autorización-1"/>
    <w:p>
      <w:pPr>
        <w:pStyle w:val="Heading4"/>
      </w:pPr>
      <w:r>
        <w:t xml:space="preserve">Los estudios de autorización</w:t>
      </w:r>
    </w:p>
    <w:p>
      <w:pPr>
        <w:pStyle w:val="FirstParagraph"/>
      </w:pPr>
      <w:r>
        <w:rPr>
          <w:bCs/>
          <w:b/>
        </w:rPr>
        <w:t xml:space="preserve">Primer estudio de fase 3:</w:t>
      </w:r>
      <w:r>
        <w:t xml:space="preserve"> </w:t>
      </w:r>
      <w:r>
        <w:t xml:space="preserve">En un estudio multicéntrico abierto se comparó la macimorelina con la prueba combinada de arginina y GHRH, habitual en aquel momento. Se analizaron 50 adultos con déficit de hormona del crecimiento y 48 personas sanas. El pico de GH fue en promedio de 2,36 ng/ml en las personas afectadas y de 17,71 ng/ml en las sanas. Con un valor de corte de 2,7 ng/ml, la prueba alcanzó una sensibilidad del 82 % y una especificidad del 92 %. Como único efecto adverso grave relacionado con el medicamento se comunicó una prolongación asintomática del intervalo QT en el ECG. Durante el estudio, el preparado de GHRH (sermorelina) se retiró del mercado en EE. UU., por lo que una parte de los participantes solo se sometió a la prueba con macimorelina</w:t>
      </w:r>
      <w:r>
        <w:rPr>
          <w:rStyle w:val="FootnoteReference"/>
        </w:rPr>
        <w:footnoteReference w:id="1465"/>
      </w:r>
      <w:r>
        <w:t xml:space="preserve">.</w:t>
      </w:r>
    </w:p>
    <w:p>
      <w:pPr>
        <w:pStyle w:val="BodyText"/>
      </w:pPr>
      <w:r>
        <w:rPr>
          <w:bCs/>
          <w:b/>
        </w:rPr>
        <w:t xml:space="preserve">Segundo estudio de fase 3 (base de la autorización):</w:t>
      </w:r>
      <w:r>
        <w:t xml:space="preserve"> </w:t>
      </w:r>
      <w:r>
        <w:t xml:space="preserve">En un estudio cruzado aleatorizado, adultos con probabilidad alta, media y baja de déficit de hormona del crecimiento, así como personas sanas de comparación, se sometieron tanto a la prueba de macimorelina como a la prueba de insulina. El 99 % de las pruebas de macimorelina, pero solo el 82 % de las pruebas de insulina, fueron evaluables. Con los valores de corte de 2,8 ng/ml (macimorelina) y 5,1 ng/ml (PTI), la sensibilidad fue del 87 % y la especificidad del 96 %; al repetir la prueba, el resultado coincidió en el 97 %. No se produjeron efectos adversos graves por la macimorelina. Un valor de corte único de 5,1 ng/ml para ambas pruebas dio en un análisis a posteriori una sensibilidad del 92 % con una especificidad del 96 %</w:t>
      </w:r>
      <w:r>
        <w:rPr>
          <w:rStyle w:val="FootnoteReference"/>
        </w:rPr>
        <w:footnoteReference w:id="1466"/>
      </w:r>
      <w:r>
        <w:t xml:space="preserve">. Otros análisis mostraron que la edad, el peso corporal y el sexo no influían de forma esencial en la exactitud de la prueba</w:t>
      </w:r>
      <w:r>
        <w:rPr>
          <w:rStyle w:val="FootnoteReference"/>
        </w:rPr>
        <w:footnoteReference w:id="1467"/>
      </w:r>
      <w:r>
        <w:t xml:space="preserve">.</w:t>
      </w:r>
    </w:p>
    <w:bookmarkEnd w:id="1468"/>
    <w:bookmarkStart w:id="1470" w:name="experiencia-en-la-práctica-clínica"/>
    <w:p>
      <w:pPr>
        <w:pStyle w:val="Heading4"/>
      </w:pPr>
      <w:r>
        <w:t xml:space="preserve">Experiencia en la práctica clínica</w:t>
      </w:r>
    </w:p>
    <w:p>
      <w:pPr>
        <w:pStyle w:val="FirstParagraph"/>
      </w:pPr>
      <w:r>
        <w:t xml:space="preserve">Un análisis retrospectivo de 37 pacientes de una clínica encontró que, con el valor de corte de 2,8 ng/ml autorizado en EE. UU., el 40,5 % se clasificaba como déficit de hormona del crecimiento, mientras que con 5,1 ng/ml lo hacía el 54,0 %. Las clasificaciones discrepantes afectaban sobre todo a personas con sobrepeso importante y baja probabilidad pretest</w:t>
      </w:r>
      <w:r>
        <w:rPr>
          <w:rStyle w:val="FootnoteReference"/>
        </w:rPr>
        <w:footnoteReference w:id="1469"/>
      </w:r>
      <w:r>
        <w:t xml:space="preserve">. Esto muestra que el valor de corte no es una cuestión trivial y que, en caso de sobrepeso importante, conviene interpretar el resultado con cautela.</w:t>
      </w:r>
    </w:p>
    <w:bookmarkEnd w:id="1470"/>
    <w:bookmarkStart w:id="1474" w:name="niños-y-otras-aplicaciones"/>
    <w:p>
      <w:pPr>
        <w:pStyle w:val="Heading4"/>
      </w:pPr>
      <w:r>
        <w:t xml:space="preserve">Niños y otras aplicaciones</w:t>
      </w:r>
    </w:p>
    <w:p>
      <w:pPr>
        <w:numPr>
          <w:ilvl w:val="0"/>
          <w:numId w:val="1172"/>
        </w:numPr>
        <w:pStyle w:val="Compact"/>
      </w:pPr>
      <w:r>
        <w:rPr>
          <w:bCs/>
          <w:b/>
        </w:rPr>
        <w:t xml:space="preserve">Niños:</w:t>
      </w:r>
      <w:r>
        <w:t xml:space="preserve"> </w:t>
      </w:r>
      <w:r>
        <w:t xml:space="preserve">Un estudio abierto de búsqueda de dosis con 24 niños y adolescentes con sospecha de déficit de hormona del crecimiento no encontró efectos adversos atribuibles a la macimorelina</w:t>
      </w:r>
      <w:r>
        <w:rPr>
          <w:rStyle w:val="FootnoteReference"/>
        </w:rPr>
        <w:footnoteReference w:id="1471"/>
      </w:r>
      <w:r>
        <w:t xml:space="preserve">. El posterior estudio de fase 3 DETECT con 101 niños</w:t>
      </w:r>
      <w:r>
        <w:rPr>
          <w:rStyle w:val="FootnoteReference"/>
        </w:rPr>
        <w:footnoteReference w:id="1472"/>
      </w:r>
      <w:r>
        <w:t xml:space="preserve"> </w:t>
      </w:r>
      <w:r>
        <w:t xml:space="preserve">concluyó en junio de 2024; no hay resultados depositados en el registro y no he encontrado ninguna publicación en PubMed.</w:t>
      </w:r>
    </w:p>
    <w:p>
      <w:pPr>
        <w:numPr>
          <w:ilvl w:val="0"/>
          <w:numId w:val="1172"/>
        </w:numPr>
        <w:pStyle w:val="Compact"/>
      </w:pPr>
      <w:r>
        <w:rPr>
          <w:bCs/>
          <w:b/>
        </w:rPr>
        <w:t xml:space="preserve">Caquexia tumoral:</w:t>
      </w:r>
      <w:r>
        <w:t xml:space="preserve"> </w:t>
      </w:r>
      <w:r>
        <w:t xml:space="preserve">En un estudio piloto con 15 pacientes con cáncer y pérdida de peso patológica, la macimorelina se toleró bien durante una semana; el peso y la calidad de vida mejoraron numéricamente, pero sin diferencia significativa frente a placebo</w:t>
      </w:r>
      <w:r>
        <w:rPr>
          <w:rStyle w:val="FootnoteReference"/>
        </w:rPr>
        <w:footnoteReference w:id="14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3, estudio 1 (Garcia 2013), PMID 23559086</w:t>
            </w:r>
          </w:p>
        </w:tc>
        <w:tc>
          <w:tcPr/>
          <w:p>
            <w:pPr>
              <w:pStyle w:val="Compact"/>
              <w:jc w:val="left"/>
            </w:pPr>
            <w:r>
              <w:t xml:space="preserve">50 adultos con déficit de GH, 48 personas sanas; comparación con arginina+GHRH</w:t>
            </w:r>
          </w:p>
        </w:tc>
        <w:tc>
          <w:tcPr/>
          <w:p>
            <w:pPr>
              <w:pStyle w:val="Compact"/>
              <w:jc w:val="left"/>
            </w:pPr>
            <w:r>
              <w:t xml:space="preserve">prueba única</w:t>
            </w:r>
          </w:p>
        </w:tc>
        <w:tc>
          <w:tcPr/>
          <w:p>
            <w:pPr>
              <w:pStyle w:val="Compact"/>
              <w:jc w:val="left"/>
            </w:pPr>
            <w:r>
              <w:t xml:space="preserve">sensibilidad 82 %, especificidad 92 %</w:t>
            </w:r>
          </w:p>
        </w:tc>
      </w:tr>
      <w:tr>
        <w:tc>
          <w:tcPr/>
          <w:p>
            <w:pPr>
              <w:pStyle w:val="Compact"/>
              <w:jc w:val="left"/>
            </w:pPr>
            <w:r>
              <w:t xml:space="preserve">Fase 3, estudio 2 (Garcia 2018), PMID 29860473</w:t>
            </w:r>
          </w:p>
        </w:tc>
        <w:tc>
          <w:tcPr/>
          <w:p>
            <w:pPr>
              <w:pStyle w:val="Compact"/>
              <w:jc w:val="left"/>
            </w:pPr>
            <w:r>
              <w:t xml:space="preserve">adultos con distinta probabilidad pretest y personas sanas; estudio cruzado aleatorizado frente a PTI</w:t>
            </w:r>
          </w:p>
        </w:tc>
        <w:tc>
          <w:tcPr/>
          <w:p>
            <w:pPr>
              <w:pStyle w:val="Compact"/>
              <w:jc w:val="left"/>
            </w:pPr>
            <w:r>
              <w:t xml:space="preserve">pruebas únicas</w:t>
            </w:r>
          </w:p>
        </w:tc>
        <w:tc>
          <w:tcPr/>
          <w:p>
            <w:pPr>
              <w:pStyle w:val="Compact"/>
              <w:jc w:val="left"/>
            </w:pPr>
            <w:r>
              <w:t xml:space="preserve">sensibilidad 87 %, especificidad 96 %; reproducibilidad 97 %</w:t>
            </w:r>
          </w:p>
        </w:tc>
      </w:tr>
      <w:tr>
        <w:tc>
          <w:tcPr/>
          <w:p>
            <w:pPr>
              <w:pStyle w:val="Compact"/>
              <w:jc w:val="left"/>
            </w:pPr>
            <w:r>
              <w:t xml:space="preserve">Estudio QT (Lissy 2021), PMID 32961034</w:t>
            </w:r>
          </w:p>
        </w:tc>
        <w:tc>
          <w:tcPr/>
          <w:p>
            <w:pPr>
              <w:pStyle w:val="Compact"/>
              <w:jc w:val="left"/>
            </w:pPr>
            <w:r>
              <w:t xml:space="preserve">60 personas sanas, aleatorizado, placebo y moxifloxacino</w:t>
            </w:r>
          </w:p>
        </w:tc>
        <w:tc>
          <w:tcPr/>
          <w:p>
            <w:pPr>
              <w:pStyle w:val="Compact"/>
              <w:jc w:val="left"/>
            </w:pPr>
            <w:r>
              <w:t xml:space="preserve">dosis únicas</w:t>
            </w:r>
          </w:p>
        </w:tc>
        <w:tc>
          <w:tcPr/>
          <w:p>
            <w:pPr>
              <w:pStyle w:val="Compact"/>
              <w:jc w:val="left"/>
            </w:pPr>
            <w:r>
              <w:t xml:space="preserve">prolongación del QT de hasta 9,61 ms con dosis excesiva</w:t>
            </w:r>
          </w:p>
        </w:tc>
      </w:tr>
      <w:tr>
        <w:tc>
          <w:tcPr/>
          <w:p>
            <w:pPr>
              <w:pStyle w:val="Compact"/>
              <w:jc w:val="left"/>
            </w:pPr>
            <w:r>
              <w:t xml:space="preserve">Datos de práctica clínica (Yadav 2026), PMID 41793495</w:t>
            </w:r>
          </w:p>
        </w:tc>
        <w:tc>
          <w:tcPr/>
          <w:p>
            <w:pPr>
              <w:pStyle w:val="Compact"/>
              <w:jc w:val="left"/>
            </w:pPr>
            <w:r>
              <w:t xml:space="preserve">37 personas, retrospectivo</w:t>
            </w:r>
          </w:p>
        </w:tc>
        <w:tc>
          <w:tcPr/>
          <w:p>
            <w:pPr>
              <w:pStyle w:val="Compact"/>
              <w:jc w:val="left"/>
            </w:pPr>
            <w:r>
              <w:t xml:space="preserve">prueba única</w:t>
            </w:r>
          </w:p>
        </w:tc>
        <w:tc>
          <w:tcPr/>
          <w:p>
            <w:pPr>
              <w:pStyle w:val="Compact"/>
              <w:jc w:val="left"/>
            </w:pPr>
            <w:r>
              <w:t xml:space="preserve">el valor de corte influye en el diagnóstico, sobre todo en la obesidad</w:t>
            </w:r>
          </w:p>
        </w:tc>
      </w:tr>
      <w:tr>
        <w:tc>
          <w:tcPr/>
          <w:p>
            <w:pPr>
              <w:pStyle w:val="Compact"/>
              <w:jc w:val="left"/>
            </w:pPr>
            <w:r>
              <w:t xml:space="preserve">Caquexia (Herodes 2023), PMID 36860137</w:t>
            </w:r>
          </w:p>
        </w:tc>
        <w:tc>
          <w:tcPr/>
          <w:p>
            <w:pPr>
              <w:pStyle w:val="Compact"/>
              <w:jc w:val="left"/>
            </w:pPr>
            <w:r>
              <w:t xml:space="preserve">15 pacientes con cáncer, estudio piloto ECA</w:t>
            </w:r>
          </w:p>
        </w:tc>
        <w:tc>
          <w:tcPr/>
          <w:p>
            <w:pPr>
              <w:pStyle w:val="Compact"/>
              <w:jc w:val="left"/>
            </w:pPr>
            <w:r>
              <w:t xml:space="preserve">1 semana</w:t>
            </w:r>
          </w:p>
        </w:tc>
        <w:tc>
          <w:tcPr/>
          <w:p>
            <w:pPr>
              <w:pStyle w:val="Compact"/>
              <w:jc w:val="left"/>
            </w:pPr>
            <w:r>
              <w:t xml:space="preserve">bien tolerada, sin efecto significativo</w:t>
            </w:r>
          </w:p>
        </w:tc>
      </w:tr>
    </w:tbl>
    <w:bookmarkEnd w:id="1474"/>
    <w:bookmarkEnd w:id="1475"/>
    <w:bookmarkStart w:id="1478" w:name="estudios-en-animales-y-de-laboratorio-30"/>
    <w:p>
      <w:pPr>
        <w:pStyle w:val="Heading3"/>
      </w:pPr>
      <w:r>
        <w:t xml:space="preserve">Estudios en animales y de laboratorio</w:t>
      </w:r>
    </w:p>
    <w:p>
      <w:pPr>
        <w:pStyle w:val="FirstParagraph"/>
      </w:pPr>
      <w:r>
        <w:t xml:space="preserve">En ratones con epilepsia difícil de tratar, la macimorelina redujo durante las dos semanas de tratamiento el número y la duración de las crisis, pero no modificó la evolución de la enfermedad</w:t>
      </w:r>
      <w:r>
        <w:rPr>
          <w:rStyle w:val="FootnoteReference"/>
        </w:rPr>
        <w:footnoteReference w:id="1476"/>
      </w:r>
      <w:r>
        <w:t xml:space="preserve">. Los estudios estructurales muestran cómo se une la macimorelina en el receptor de la grelina</w:t>
      </w:r>
      <w:r>
        <w:rPr>
          <w:rStyle w:val="FootnoteReference"/>
        </w:rPr>
        <w:footnoteReference w:id="1477"/>
      </w:r>
      <w:r>
        <w:t xml:space="preserve">. Para el uso autorizado, estos trabajos no son relevantes.</w:t>
      </w:r>
    </w:p>
    <w:bookmarkEnd w:id="1478"/>
    <w:bookmarkStart w:id="1483" w:name="riesgos-y-efectos-adversos-30"/>
    <w:p>
      <w:pPr>
        <w:pStyle w:val="Heading3"/>
      </w:pPr>
      <w:r>
        <w:t xml:space="preserve">Riesgos y efectos adversos</w:t>
      </w:r>
    </w:p>
    <w:p>
      <w:pPr>
        <w:pStyle w:val="FirstParagraph"/>
      </w:pPr>
      <w:r>
        <w:rPr>
          <w:bCs/>
          <w:b/>
        </w:rPr>
        <w:t xml:space="preserve">Demostrado:</w:t>
      </w:r>
      <w:r>
        <w:t xml:space="preserve"> </w:t>
      </w:r>
      <w:r>
        <w:t xml:space="preserve">La macimorelina solo se toma una vez por prueba; los efectos adversos son, en consecuencia, limitados. En el estudio de autorización no se produjeron efectos adversos graves por la macimorelina</w:t>
      </w:r>
      <w:r>
        <w:rPr>
          <w:rStyle w:val="FootnoteReference"/>
        </w:rPr>
        <w:footnoteReference w:id="1479"/>
      </w:r>
      <w:r>
        <w:t xml:space="preserve">. La ACTH, el cortisol y la prolactina aumentan de forma transitoria</w:t>
      </w:r>
      <w:r>
        <w:rPr>
          <w:rStyle w:val="FootnoteReference"/>
        </w:rPr>
        <w:footnoteReference w:id="1480"/>
      </w:r>
      <w:r>
        <w:t xml:space="preserve">.</w:t>
      </w:r>
    </w:p>
    <w:p>
      <w:pPr>
        <w:pStyle w:val="BodyText"/>
      </w:pPr>
      <w:r>
        <w:rPr>
          <w:bCs/>
          <w:b/>
        </w:rPr>
        <w:t xml:space="preserve">Prolongación del QT:</w:t>
      </w:r>
      <w:r>
        <w:t xml:space="preserve"> </w:t>
      </w:r>
      <w:r>
        <w:t xml:space="preserve">En un estudio exhaustivo del ECG con 60 personas sanas, una dosis única deliberadamente excesiva (supraterapéutica) prolongó el intervalo QT –una medida de la repolarización del corazón– en promedio hasta 9,61 milisegundos; el límite superior del intervalo de confianza superó el umbral regulatorio de 10 milisegundos</w:t>
      </w:r>
      <w:r>
        <w:rPr>
          <w:rStyle w:val="FootnoteReference"/>
        </w:rPr>
        <w:footnoteReference w:id="1481"/>
      </w:r>
      <w:r>
        <w:t xml:space="preserve">. Por eso se recomienda precaución en personas que toman otros medicamentos que prolongan el QT. Los detalles sobre contraindicaciones e interacciones los regula la ficha técnica; la prueba la realiza personal médico.</w:t>
      </w:r>
    </w:p>
    <w:p>
      <w:pPr>
        <w:pStyle w:val="BodyText"/>
      </w:pPr>
      <w:r>
        <w:rPr>
          <w:bCs/>
          <w:b/>
        </w:rPr>
        <w:t xml:space="preserve">Diagnósticos erróneos:</w:t>
      </w:r>
      <w:r>
        <w:t xml:space="preserve"> </w:t>
      </w:r>
      <w:r>
        <w:t xml:space="preserve">Como cualquier prueba de estimulación, la prueba de macimorelina también puede dar resultados falsos positivos y falsos negativos, sobre todo en caso de sobrepeso importante</w:t>
      </w:r>
      <w:r>
        <w:rPr>
          <w:rStyle w:val="FootnoteReference"/>
        </w:rPr>
        <w:footnoteReference w:id="1482"/>
      </w:r>
      <w:r>
        <w:t xml:space="preserve">.</w:t>
      </w:r>
    </w:p>
    <w:p>
      <w:pPr>
        <w:pStyle w:val="BodyText"/>
      </w:pPr>
      <w:r>
        <w:t xml:space="preserve">Con una administración única no cabe esperar un riesgo de cáncer; el debate sobre un IGF-1 elevado de forma continuada (véase la introducción de este grupo) no afecta, por tanto, a la macimorelina.</w:t>
      </w:r>
    </w:p>
    <w:bookmarkEnd w:id="1483"/>
    <w:bookmarkStart w:id="1485" w:name="situación-legal-30"/>
    <w:p>
      <w:pPr>
        <w:pStyle w:val="Heading3"/>
      </w:pPr>
      <w:r>
        <w:t xml:space="preserve">Situación legal</w:t>
      </w:r>
    </w:p>
    <w:p>
      <w:pPr>
        <w:pStyle w:val="FirstParagraph"/>
      </w:pPr>
      <w:r>
        <w:rPr>
          <w:iCs/>
          <w:i/>
        </w:rPr>
        <w:t xml:space="preserve">Situación en 2026; comprueba la información actualizada.</w:t>
      </w:r>
    </w:p>
    <w:p>
      <w:pPr>
        <w:numPr>
          <w:ilvl w:val="0"/>
          <w:numId w:val="1173"/>
        </w:numPr>
        <w:pStyle w:val="Compact"/>
      </w:pPr>
      <w:r>
        <w:rPr>
          <w:bCs/>
          <w:b/>
        </w:rPr>
        <w:t xml:space="preserve">UE:</w:t>
      </w:r>
      <w:r>
        <w:t xml:space="preserve"> </w:t>
      </w:r>
      <w:r>
        <w:t xml:space="preserve">autorización centralizada para el diagnóstico del déficit de hormona del crecimiento en adultos. Si el preparado se comercializa realmente en Alemania y Austria depende de las decisiones de distribución del titular de la autorización y debe comprobarse en su versión actual.</w:t>
      </w:r>
    </w:p>
    <w:p>
      <w:pPr>
        <w:numPr>
          <w:ilvl w:val="0"/>
          <w:numId w:val="1173"/>
        </w:numPr>
        <w:pStyle w:val="Compact"/>
      </w:pPr>
      <w:r>
        <w:rPr>
          <w:bCs/>
          <w:b/>
        </w:rPr>
        <w:t xml:space="preserve">EE. UU.:</w:t>
      </w:r>
      <w:r>
        <w:t xml:space="preserve"> </w:t>
      </w:r>
      <w:r>
        <w:t xml:space="preserve">autorizada (Macrilen) para la misma indicación; los derechos de distribución han cambiado de manos en los últimos años.</w:t>
      </w:r>
    </w:p>
    <w:p>
      <w:pPr>
        <w:numPr>
          <w:ilvl w:val="0"/>
          <w:numId w:val="1173"/>
        </w:numPr>
        <w:pStyle w:val="Compact"/>
      </w:pPr>
      <w:r>
        <w:rPr>
          <w:bCs/>
          <w:b/>
        </w:rPr>
        <w:t xml:space="preserve">Uso:</w:t>
      </w:r>
      <w:r>
        <w:t xml:space="preserve"> </w:t>
      </w:r>
      <w:r>
        <w:t xml:space="preserve">exclusivamente como prueba funcional realizada por personal médico según la ficha técnica; sin autorización terapéutica.</w:t>
      </w:r>
    </w:p>
    <w:p>
      <w:pPr>
        <w:numPr>
          <w:ilvl w:val="0"/>
          <w:numId w:val="1173"/>
        </w:numPr>
        <w:pStyle w:val="Compact"/>
      </w:pPr>
      <w:r>
        <w:rPr>
          <w:bCs/>
          <w:b/>
        </w:rPr>
        <w:t xml:space="preserve">WADA:</w:t>
      </w:r>
      <w:r>
        <w:t xml:space="preserve"> </w:t>
      </w:r>
      <w:r>
        <w:t xml:space="preserve">prohibida (S2). Para los controles antidopaje se han caracterizado productos de degradación de la macimorelina y de miméticos de la grelina relacionados</w:t>
      </w:r>
      <w:r>
        <w:rPr>
          <w:rStyle w:val="FootnoteReference"/>
        </w:rPr>
        <w:footnoteReference w:id="1484"/>
      </w:r>
      <w:r>
        <w:t xml:space="preserve">.</w:t>
      </w:r>
    </w:p>
    <w:bookmarkEnd w:id="1485"/>
    <w:bookmarkStart w:id="1488" w:name="estudios-en-curso-y-perspectivas-30"/>
    <w:p>
      <w:pPr>
        <w:pStyle w:val="Heading3"/>
      </w:pPr>
      <w:r>
        <w:t xml:space="preserve">Estudios en curso y perspectivas</w:t>
      </w:r>
    </w:p>
    <w:p>
      <w:pPr>
        <w:pStyle w:val="FirstParagraph"/>
      </w:pPr>
      <w:r>
        <w:rPr>
          <w:iCs/>
          <w:i/>
        </w:rPr>
        <w:t xml:space="preserve">Confirmado:</w:t>
      </w:r>
      <w:r>
        <w:t xml:space="preserve"> </w:t>
      </w:r>
      <w:r>
        <w:t xml:space="preserve">El estudio en niños DETECT</w:t>
      </w:r>
      <w:r>
        <w:rPr>
          <w:rStyle w:val="FootnoteReference"/>
        </w:rPr>
        <w:footnoteReference w:id="1486"/>
      </w:r>
      <w:r>
        <w:t xml:space="preserve"> </w:t>
      </w:r>
      <w:r>
        <w:t xml:space="preserve">ha concluido; los resultados están pendientes. Otro estudio examinó cómo influye la macimorelina en la hormona copeptina</w:t>
      </w:r>
      <w:r>
        <w:rPr>
          <w:rStyle w:val="FootnoteReference"/>
        </w:rPr>
        <w:footnoteReference w:id="1487"/>
      </w:r>
      <w:r>
        <w:t xml:space="preserve">.</w:t>
      </w:r>
      <w:r>
        <w:t xml:space="preserve"> </w:t>
      </w:r>
      <w:r>
        <w:rPr>
          <w:iCs/>
          <w:i/>
        </w:rPr>
        <w:t xml:space="preserve">Valoración del autor:</w:t>
      </w:r>
      <w:r>
        <w:t xml:space="preserve"> </w:t>
      </w:r>
      <w:r>
        <w:t xml:space="preserve">Una ampliación de la autorización a niños sería el siguiente paso lógico, pero depende del resultado del estudio DETECT. Un uso terapéutico, por ejemplo en la caquexia, no se vislumbra según los datos disponibles.</w:t>
      </w:r>
    </w:p>
    <w:bookmarkEnd w:id="1488"/>
    <w:bookmarkStart w:id="1489" w:name="conclusión-30"/>
    <w:p>
      <w:pPr>
        <w:pStyle w:val="Heading3"/>
      </w:pPr>
      <w:r>
        <w:t xml:space="preserve">Conclusión</w:t>
      </w:r>
    </w:p>
    <w:p>
      <w:pPr>
        <w:pStyle w:val="FirstParagraph"/>
      </w:pPr>
      <w:r>
        <w:t xml:space="preserve">La macimorelina es un agente diagnóstico autorizado en EE. UU. y en la UE: una prueba que se bebe una sola vez detecta un déficit de hormona del crecimiento en adultos con una fiabilidad similar a la de la exigente prueba de insulina, con una sensibilidad del 87 % y una especificidad del 96 % en el estudio de autorización. El efecto adverso conocido más importante es una ligera prolongación del intervalo QT con una dosis excesiva. La macimorelina no está pensada ni estudiada para un tratamiento, para el desarrollo muscular ni como remedio «antienvejecimiento».</w:t>
      </w:r>
    </w:p>
    <w:bookmarkEnd w:id="1489"/>
    <w:bookmarkEnd w:id="1490"/>
    <w:bookmarkStart w:id="1530" w:name="mecasermina-igf-1"/>
    <w:p>
      <w:pPr>
        <w:pStyle w:val="Heading2"/>
      </w:pPr>
      <w:r>
        <w:t xml:space="preserve">Mecasermina (IGF-1)</w:t>
      </w:r>
    </w:p>
    <w:p>
      <w:pPr>
        <w:pStyle w:val="FirstParagraph"/>
      </w:pPr>
      <w:r>
        <w:t xml:space="preserve">La mecasermina es IGF-1 humano obtenido mediante ingeniería genética, es decir, el mensajero a través del cual la hormona del crecimiento ejerce gran parte de su efecto. Como medicamento (Increlex) está autorizada para un grupo muy poco frecuente de niños: niños cuyo organismo produce suficiente hormona del crecimiento, pero no responde a ella y, por tanto, apenas fabrica IGF-1. La mecasermina es así un ejemplo poco habitual de péptido autorizado dentro de este grupo y, al mismo tiempo, el principio activo en el que se plantea con mayor claridad la cuestión de la hipoglucemia y del riesgo de cáncer por IGF-1.</w:t>
      </w:r>
    </w:p>
    <w:bookmarkStart w:id="1491" w:name="ficha-31"/>
    <w:p>
      <w:pPr>
        <w:pStyle w:val="Heading3"/>
      </w:pPr>
      <w:r>
        <w:t xml:space="preserve">Ficha</w:t>
      </w:r>
    </w:p>
    <w:p>
      <w:pPr>
        <w:numPr>
          <w:ilvl w:val="0"/>
          <w:numId w:val="1174"/>
        </w:numPr>
        <w:pStyle w:val="Compact"/>
      </w:pPr>
      <w:r>
        <w:rPr>
          <w:bCs/>
          <w:b/>
        </w:rPr>
        <w:t xml:space="preserve">Tipo y estructura:</w:t>
      </w:r>
      <w:r>
        <w:t xml:space="preserve"> </w:t>
      </w:r>
      <w:r>
        <w:t xml:space="preserve">IGF-1 humano recombinante (producido mediante ingeniería genética en bacterias) de 70 aminoácidos, idéntico a la hormona propia del organismo.</w:t>
      </w:r>
    </w:p>
    <w:p>
      <w:pPr>
        <w:numPr>
          <w:ilvl w:val="0"/>
          <w:numId w:val="1174"/>
        </w:numPr>
        <w:pStyle w:val="Compact"/>
      </w:pPr>
      <w:r>
        <w:rPr>
          <w:bCs/>
          <w:b/>
        </w:rPr>
        <w:t xml:space="preserve">Origen:</w:t>
      </w:r>
      <w:r>
        <w:t xml:space="preserve"> </w:t>
      </w:r>
      <w:r>
        <w:t xml:space="preserve">el IGF-1 se describió en la década de 1970 como «somatomedina»; la mecasermina fue desarrollada por Tercica y comercializada por Ipsen, actualmente por otro titular de la autorización.</w:t>
      </w:r>
    </w:p>
    <w:p>
      <w:pPr>
        <w:numPr>
          <w:ilvl w:val="0"/>
          <w:numId w:val="1174"/>
        </w:numPr>
        <w:pStyle w:val="Compact"/>
      </w:pPr>
      <w:r>
        <w:rPr>
          <w:bCs/>
          <w:b/>
        </w:rPr>
        <w:t xml:space="preserve">Mecanismo de acción:</w:t>
      </w:r>
      <w:r>
        <w:t xml:space="preserve"> </w:t>
      </w:r>
      <w:r>
        <w:t xml:space="preserve">se une al receptor de IGF-1 y sustituye directamente el IGF-1 que falta; favorece el crecimiento, es anabólica y –a dosis más altas– reduce la glucosa de forma similar a la insulina.</w:t>
      </w:r>
    </w:p>
    <w:p>
      <w:pPr>
        <w:numPr>
          <w:ilvl w:val="0"/>
          <w:numId w:val="1174"/>
        </w:numPr>
        <w:pStyle w:val="Compact"/>
      </w:pPr>
      <w:r>
        <w:rPr>
          <w:bCs/>
          <w:b/>
        </w:rPr>
        <w:t xml:space="preserve">Autorización UE:</w:t>
      </w:r>
      <w:r>
        <w:t xml:space="preserve"> </w:t>
      </w:r>
      <w:r>
        <w:t xml:space="preserve">sí (Increlex) para el tratamiento a largo plazo de los trastornos del crecimiento en niños y adolescentes con déficit primario grave de IGF-1.</w:t>
      </w:r>
      <w:r>
        <w:t xml:space="preserve"> </w:t>
      </w:r>
      <w:r>
        <w:rPr>
          <w:bCs/>
          <w:b/>
        </w:rPr>
        <w:t xml:space="preserve">Autorización EE. UU.:</w:t>
      </w:r>
      <w:r>
        <w:t xml:space="preserve"> </w:t>
      </w:r>
      <w:r>
        <w:t xml:space="preserve">sí (Increlex), misma indicación.</w:t>
      </w:r>
    </w:p>
    <w:p>
      <w:pPr>
        <w:numPr>
          <w:ilvl w:val="0"/>
          <w:numId w:val="1174"/>
        </w:numPr>
        <w:pStyle w:val="Compact"/>
      </w:pPr>
      <w:r>
        <w:rPr>
          <w:bCs/>
          <w:b/>
        </w:rPr>
        <w:t xml:space="preserve">WADA:</w:t>
      </w:r>
      <w:r>
        <w:t xml:space="preserve"> </w:t>
      </w:r>
      <w:r>
        <w:t xml:space="preserve">prohibida, grupo S2 (el IGF-1 y sus análogos como factores de crecimiento).</w:t>
      </w:r>
    </w:p>
    <w:p>
      <w:pPr>
        <w:numPr>
          <w:ilvl w:val="0"/>
          <w:numId w:val="1174"/>
        </w:numPr>
        <w:pStyle w:val="Compact"/>
      </w:pPr>
      <w:r>
        <w:rPr>
          <w:bCs/>
          <w:b/>
        </w:rPr>
        <w:t xml:space="preserve">Nivel de evidencia: A</w:t>
      </w:r>
      <w:r>
        <w:t xml:space="preserve"> </w:t>
      </w:r>
      <w:r>
        <w:t xml:space="preserve">– autorizada en la UE y EE. UU. Limitación: debido a la rareza de la enfermedad, la autorización se basa en estudios abiertos a largo plazo y en registros, no en grandes estudios aleatorizados. Existen estudios aleatorizados sobre otras aplicaciones, por ejemplo la ELA (negativos).</w:t>
      </w:r>
    </w:p>
    <w:bookmarkEnd w:id="1491"/>
    <w:bookmarkStart w:id="1493" w:name="cómo-se-supone-que-actúa-31"/>
    <w:p>
      <w:pPr>
        <w:pStyle w:val="Heading3"/>
      </w:pPr>
      <w:r>
        <w:t xml:space="preserve">Cómo se supone que actúa</w:t>
      </w:r>
    </w:p>
    <w:p>
      <w:pPr>
        <w:pStyle w:val="FirstParagraph"/>
      </w:pPr>
      <w:r>
        <w:t xml:space="preserve">La hormona del crecimiento de la hipófisis actúa sobre todo sobre el hígado, que a continuación produce IGF-1. El IGF-1 hace entonces que los huesos crezcan en longitud y favorece la formación de músculo y otros tejidos. En algunos niños, esta cadena está interrumpida: su receptor de la hormona del crecimiento no funciona debido a una alteración genética o la transmisión de la señal está alterada. El ejemplo clásico es el síndrome de Laron. Estos niños tienen mucha hormona del crecimiento, pero apenas IGF-1, y las inyecciones de hormona del crecimiento no les ayudan. Sin tratamiento, de adultos a menudo solo alcanzan entre 120 y 130 cm</w:t>
      </w:r>
      <w:r>
        <w:rPr>
          <w:rStyle w:val="FootnoteReference"/>
        </w:rPr>
        <w:footnoteReference w:id="1492"/>
      </w:r>
      <w:r>
        <w:t xml:space="preserve">.</w:t>
      </w:r>
    </w:p>
    <w:p>
      <w:pPr>
        <w:pStyle w:val="BodyText"/>
      </w:pPr>
      <w:r>
        <w:t xml:space="preserve">La mecasermina se salta el paso defectuoso y aporta IGF-1 directamente. Como el IGF-1 se parece a la insulina, puede reducir la glucosa: es el efecto adverso más importante.</w:t>
      </w:r>
    </w:p>
    <w:bookmarkEnd w:id="1493"/>
    <w:bookmarkStart w:id="1509" w:name="estudios-en-humanos-31"/>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21</w:t>
      </w:r>
      <w:r>
        <w:t xml:space="preserve"> </w:t>
      </w:r>
      <w:r>
        <w:t xml:space="preserve">estudios en humanos en PubMed (</w:t>
      </w:r>
      <w:r>
        <w:rPr>
          <w:rStyle w:val="VerbatimChar"/>
        </w:rPr>
        <w:t xml:space="preserve">humanstudien_alle</w:t>
      </w:r>
      <w:r>
        <w:t xml:space="preserve">) y</w:t>
      </w:r>
      <w:r>
        <w:t xml:space="preserve"> </w:t>
      </w:r>
      <w:r>
        <w:rPr>
          <w:bCs/>
          <w:b/>
        </w:rPr>
        <w:t xml:space="preserve">37</w:t>
      </w:r>
      <w:r>
        <w:t xml:space="preserve"> </w:t>
      </w:r>
      <w:r>
        <w:t xml:space="preserve">entradas en ClinicalTrials.gov; algunas de estas entradas del registro tratan otros temas y solo aparecen por el término de búsqueda. A ello se suman tres revisiones sistemáticas. Una búsqueda específica adicional encontró los importantes estudios a largo plazo y análisis de registros sobre la indicación autorizada.</w:t>
      </w:r>
    </w:p>
    <w:bookmarkStart w:id="1499" w:name="déficit-primario-grave-de-igf-1-en-niños"/>
    <w:p>
      <w:pPr>
        <w:pStyle w:val="Heading4"/>
      </w:pPr>
      <w:r>
        <w:t xml:space="preserve">Déficit primario grave de IGF-1 en niños</w:t>
      </w:r>
    </w:p>
    <w:p>
      <w:pPr>
        <w:pStyle w:val="FirstParagraph"/>
      </w:pPr>
      <w:r>
        <w:t xml:space="preserve">La base de la autorización es un estudio, mayoritariamente abierto, de hasta doce años de duración con 76 niños con déficit de IGF-1 por resistencia a la hormona del crecimiento. La velocidad de crecimiento aumentó de un promedio de 2,8 cm al año antes del tratamiento a 8,0 cm en el primer año de tratamiento; en los años siguientes descendió, pero se mantuvo por encima del valor inicial hasta ocho años. El efecto adverso más frecuente fue la hipoglucemia (en el 49 % de los niños, aunque ya se había observado antes del inicio del tratamiento), seguida de alteraciones del tejido adiposo en el lugar de inyección (32 %) y aumento de tamaño de las amígdalas y las vegetaciones (22 %)</w:t>
      </w:r>
      <w:r>
        <w:rPr>
          <w:rStyle w:val="FootnoteReference"/>
        </w:rPr>
        <w:footnoteReference w:id="1494"/>
      </w:r>
      <w:r>
        <w:t xml:space="preserve">.</w:t>
      </w:r>
    </w:p>
    <w:p>
      <w:pPr>
        <w:pStyle w:val="BodyText"/>
      </w:pPr>
      <w:r>
        <w:t xml:space="preserve">Desde 2008, un registro europeo, actualmente mundial, recoge datos de la práctica clínica</w:t>
      </w:r>
      <w:r>
        <w:rPr>
          <w:rStyle w:val="FootnoteReference"/>
        </w:rPr>
        <w:footnoteReference w:id="1495"/>
      </w:r>
      <w:r>
        <w:t xml:space="preserve">. En 138 niños prepúberes no tratados previamente, la talla mejoró en el primer año; los niños con síndrome de Laron respondieron algo mejor, y entre los demás el 56 % se consideró respondedor. El 65,3 % de los niños tuvo al menos un efecto indeseado, con mayor frecuencia una hipoglucemia</w:t>
      </w:r>
      <w:r>
        <w:rPr>
          <w:rStyle w:val="FootnoteReference"/>
        </w:rPr>
        <w:footnoteReference w:id="1496"/>
      </w:r>
      <w:r>
        <w:t xml:space="preserve">. 102 niños y adolescentes que ya habían alcanzado casi su talla definitiva ganaron en promedio 0,9 desviaciones estándar de talla, y 1,4 si el tratamiento se inició antes de la pubertad. Casi la mitad de estos niños tratados de forma precoz alcanzó una talla dentro del rango normal; en el síndrome de Laron, solo el 10,5 %</w:t>
      </w:r>
      <w:r>
        <w:rPr>
          <w:rStyle w:val="FootnoteReference"/>
        </w:rPr>
        <w:footnoteReference w:id="1497"/>
      </w:r>
      <w:r>
        <w:t xml:space="preserve">. Las hipoglucemias graves fueron poco frecuentes, con 0,01 episodios por paciente y año de tratamiento; el riesgo era mayor sobre todo en niños con síndrome de Laron o con hipoglucemias previas</w:t>
      </w:r>
      <w:r>
        <w:rPr>
          <w:rStyle w:val="FootnoteReference"/>
        </w:rPr>
        <w:footnoteReference w:id="1498"/>
      </w:r>
      <w:r>
        <w:t xml:space="preserve">.</w:t>
      </w:r>
    </w:p>
    <w:bookmarkEnd w:id="1499"/>
    <w:bookmarkStart w:id="1508" w:name="otras-aplicaciones-1"/>
    <w:p>
      <w:pPr>
        <w:pStyle w:val="Heading4"/>
      </w:pPr>
      <w:r>
        <w:t xml:space="preserve">Otras aplicaciones</w:t>
      </w:r>
    </w:p>
    <w:p>
      <w:pPr>
        <w:numPr>
          <w:ilvl w:val="0"/>
          <w:numId w:val="1175"/>
        </w:numPr>
        <w:pStyle w:val="Compact"/>
      </w:pPr>
      <w:r>
        <w:rPr>
          <w:bCs/>
          <w:b/>
        </w:rPr>
        <w:t xml:space="preserve">ELA:</w:t>
      </w:r>
      <w:r>
        <w:t xml:space="preserve"> </w:t>
      </w:r>
      <w:r>
        <w:t xml:space="preserve">En un estudio de fase 3 con 330 personas con esclerosis lateral amiotrófica, el IGF-1 no mostró a lo largo de dos años ninguna diferencia frente a placebo, ni en la fuerza muscular ni en la supervivencia sin traqueotomía</w:t>
      </w:r>
      <w:r>
        <w:rPr>
          <w:rStyle w:val="FootnoteReference"/>
        </w:rPr>
        <w:footnoteReference w:id="1500"/>
      </w:r>
      <w:r>
        <w:t xml:space="preserve">.</w:t>
      </w:r>
    </w:p>
    <w:p>
      <w:pPr>
        <w:numPr>
          <w:ilvl w:val="0"/>
          <w:numId w:val="1175"/>
        </w:numPr>
        <w:pStyle w:val="Compact"/>
      </w:pPr>
      <w:r>
        <w:rPr>
          <w:bCs/>
          <w:b/>
        </w:rPr>
        <w:t xml:space="preserve">Distrofia muscular de Duchenne:</w:t>
      </w:r>
      <w:r>
        <w:t xml:space="preserve"> </w:t>
      </w:r>
      <w:r>
        <w:t xml:space="preserve">En 17 niños tratados frente a 21 controles, los niños crecieron más rápido durante seis meses (6,5 frente a 3,3 cm al año), pero la distancia recorrida en la prueba de 6 minutos no cambió</w:t>
      </w:r>
      <w:r>
        <w:rPr>
          <w:rStyle w:val="FootnoteReference"/>
        </w:rPr>
        <w:footnoteReference w:id="1501"/>
      </w:r>
      <w:r>
        <w:t xml:space="preserve">.</w:t>
      </w:r>
    </w:p>
    <w:p>
      <w:pPr>
        <w:numPr>
          <w:ilvl w:val="0"/>
          <w:numId w:val="1175"/>
        </w:numPr>
        <w:pStyle w:val="Compact"/>
      </w:pPr>
      <w:r>
        <w:rPr>
          <w:bCs/>
          <w:b/>
        </w:rPr>
        <w:t xml:space="preserve">Síndrome de Rett:</w:t>
      </w:r>
      <w:r>
        <w:t xml:space="preserve"> </w:t>
      </w:r>
      <w:r>
        <w:t xml:space="preserve">Una revisión sistemática describe indicios de conservación de capacidades sociales y cognitivas, pero con resultados heterogéneos, y reclama estudios más amplios</w:t>
      </w:r>
      <w:r>
        <w:rPr>
          <w:rStyle w:val="FootnoteReference"/>
        </w:rPr>
        <w:footnoteReference w:id="1502"/>
      </w:r>
      <w:r>
        <w:t xml:space="preserve">.</w:t>
      </w:r>
    </w:p>
    <w:p>
      <w:pPr>
        <w:numPr>
          <w:ilvl w:val="0"/>
          <w:numId w:val="1175"/>
        </w:numPr>
        <w:pStyle w:val="Compact"/>
      </w:pPr>
      <w:r>
        <w:rPr>
          <w:bCs/>
          <w:b/>
        </w:rPr>
        <w:t xml:space="preserve">Prematuros:</w:t>
      </w:r>
      <w:r>
        <w:t xml:space="preserve"> </w:t>
      </w:r>
      <w:r>
        <w:t xml:space="preserve">El IGF-1 junto con su proteína de unión IGFBP-3 no previno en 121 prematuros extremos la retinopatía del prematuro, pero redujo la displasia broncopulmonar grave (21,3 % frente a 44,9 %). Se produjeron acontecimientos graves mortales en el 19,7 % de los niños tratados y en el 11,7 % de los controles</w:t>
      </w:r>
      <w:r>
        <w:rPr>
          <w:rStyle w:val="FootnoteReference"/>
        </w:rPr>
        <w:footnoteReference w:id="1503"/>
      </w:r>
      <w:r>
        <w:t xml:space="preserve">. Hay en curso un estudio de seguimiento sobre el desarrollo pulmonar</w:t>
      </w:r>
      <w:r>
        <w:rPr>
          <w:rStyle w:val="FootnoteReference"/>
        </w:rPr>
        <w:footnoteReference w:id="1504"/>
      </w:r>
      <w:r>
        <w:t xml:space="preserve">.</w:t>
      </w:r>
    </w:p>
    <w:p>
      <w:pPr>
        <w:numPr>
          <w:ilvl w:val="0"/>
          <w:numId w:val="1175"/>
        </w:numPr>
        <w:pStyle w:val="Compact"/>
      </w:pPr>
      <w:r>
        <w:rPr>
          <w:bCs/>
          <w:b/>
        </w:rPr>
        <w:t xml:space="preserve">Anorexia:</w:t>
      </w:r>
      <w:r>
        <w:t xml:space="preserve"> </w:t>
      </w:r>
      <w:r>
        <w:t xml:space="preserve">En 90 mujeres con anorexia nerviosa, un tratamiento de seis meses con IGF-1, seguido de un medicamento para el hueso, aumentó la densidad ósea de la columna más que el placebo</w:t>
      </w:r>
      <w:r>
        <w:rPr>
          <w:rStyle w:val="FootnoteReference"/>
        </w:rPr>
        <w:footnoteReference w:id="1505"/>
      </w:r>
      <w:r>
        <w:t xml:space="preserve">.</w:t>
      </w:r>
    </w:p>
    <w:p>
      <w:pPr>
        <w:numPr>
          <w:ilvl w:val="0"/>
          <w:numId w:val="1175"/>
        </w:numPr>
        <w:pStyle w:val="Compact"/>
      </w:pPr>
      <w:r>
        <w:rPr>
          <w:bCs/>
          <w:b/>
        </w:rPr>
        <w:t xml:space="preserve">Adultos con síndrome de Laron:</w:t>
      </w:r>
      <w:r>
        <w:t xml:space="preserve"> </w:t>
      </w:r>
      <w:r>
        <w:t xml:space="preserve">En diez adultos, tras ocho semanas de IGF-1, la proporción de grasa disminuyó y la masa magra aumentó</w:t>
      </w:r>
      <w:r>
        <w:rPr>
          <w:rStyle w:val="FootnoteReference"/>
        </w:rPr>
        <w:footnoteReference w:id="1506"/>
      </w:r>
      <w:r>
        <w:t xml:space="preserve">.</w:t>
      </w:r>
    </w:p>
    <w:p>
      <w:pPr>
        <w:numPr>
          <w:ilvl w:val="0"/>
          <w:numId w:val="1175"/>
        </w:numPr>
        <w:pStyle w:val="Compact"/>
      </w:pPr>
      <w:r>
        <w:rPr>
          <w:bCs/>
          <w:b/>
        </w:rPr>
        <w:t xml:space="preserve">Deportistas:</w:t>
      </w:r>
      <w:r>
        <w:t xml:space="preserve"> </w:t>
      </w:r>
      <w:r>
        <w:t xml:space="preserve">En un estudio aleatorizado y doble ciego con 56 deportistas aficionados durante 28 días, con IGF-1/IGFBP-3 cambiaron los lípidos en sangre y los valores de insulina</w:t>
      </w:r>
      <w:r>
        <w:rPr>
          <w:rStyle w:val="FootnoteReference"/>
        </w:rPr>
        <w:footnoteReference w:id="1507"/>
      </w:r>
      <w:r>
        <w:t xml:space="preserve">. Este estudio no aporta datos de rendimiento.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Estudio a largo plazo (Chernausek 2007), PMID 17192294</w:t>
            </w:r>
          </w:p>
        </w:tc>
        <w:tc>
          <w:tcPr/>
          <w:p>
            <w:pPr>
              <w:pStyle w:val="Compact"/>
              <w:jc w:val="left"/>
            </w:pPr>
            <w:r>
              <w:t xml:space="preserve">76 niños con resistencia a la GH, mayoritariamente abierto</w:t>
            </w:r>
          </w:p>
        </w:tc>
        <w:tc>
          <w:tcPr/>
          <w:p>
            <w:pPr>
              <w:pStyle w:val="Compact"/>
              <w:jc w:val="left"/>
            </w:pPr>
            <w:r>
              <w:t xml:space="preserve">hasta 12 años</w:t>
            </w:r>
          </w:p>
        </w:tc>
        <w:tc>
          <w:tcPr/>
          <w:p>
            <w:pPr>
              <w:pStyle w:val="Compact"/>
              <w:jc w:val="left"/>
            </w:pPr>
            <w:r>
              <w:t xml:space="preserve">crecimiento 2,8 → 8,0 cm/año en el 1.er año; hipoglucemia en el 49 %</w:t>
            </w:r>
          </w:p>
        </w:tc>
      </w:tr>
      <w:tr>
        <w:tc>
          <w:tcPr/>
          <w:p>
            <w:pPr>
              <w:pStyle w:val="Compact"/>
              <w:jc w:val="left"/>
            </w:pPr>
            <w:r>
              <w:t xml:space="preserve">Registro (Bang 2021), PMID 33434161</w:t>
            </w:r>
          </w:p>
        </w:tc>
        <w:tc>
          <w:tcPr/>
          <w:p>
            <w:pPr>
              <w:pStyle w:val="Compact"/>
              <w:jc w:val="left"/>
            </w:pPr>
            <w:r>
              <w:t xml:space="preserve">242 niños, 138 de ellos prepúberes no tratados; observacional</w:t>
            </w:r>
          </w:p>
        </w:tc>
        <w:tc>
          <w:tcPr/>
          <w:p>
            <w:pPr>
              <w:pStyle w:val="Compact"/>
              <w:jc w:val="left"/>
            </w:pPr>
            <w:r>
              <w:t xml:space="preserve">hasta 5 años</w:t>
            </w:r>
          </w:p>
        </w:tc>
        <w:tc>
          <w:tcPr/>
          <w:p>
            <w:pPr>
              <w:pStyle w:val="Compact"/>
              <w:jc w:val="left"/>
            </w:pPr>
            <w:r>
              <w:t xml:space="preserve">aumento de talla; 65,3 % con efectos adversos</w:t>
            </w:r>
          </w:p>
        </w:tc>
      </w:tr>
      <w:tr>
        <w:tc>
          <w:tcPr/>
          <w:p>
            <w:pPr>
              <w:pStyle w:val="Compact"/>
              <w:jc w:val="left"/>
            </w:pPr>
            <w:r>
              <w:t xml:space="preserve">Registro, talla final (Ramon-Krauel 2026), PMID 40626687</w:t>
            </w:r>
          </w:p>
        </w:tc>
        <w:tc>
          <w:tcPr/>
          <w:p>
            <w:pPr>
              <w:pStyle w:val="Compact"/>
              <w:jc w:val="left"/>
            </w:pPr>
            <w:r>
              <w:t xml:space="preserve">102 adolescentes con talla final casi alcanzada</w:t>
            </w:r>
          </w:p>
        </w:tc>
        <w:tc>
          <w:tcPr/>
          <w:p>
            <w:pPr>
              <w:pStyle w:val="Compact"/>
              <w:jc w:val="left"/>
            </w:pPr>
            <w:r>
              <w:t xml:space="preserve">mediana 3,9 años</w:t>
            </w:r>
          </w:p>
        </w:tc>
        <w:tc>
          <w:tcPr/>
          <w:p>
            <w:pPr>
              <w:pStyle w:val="Compact"/>
              <w:jc w:val="left"/>
            </w:pPr>
            <w:r>
              <w:t xml:space="preserve">+0,9 DE (tratamiento precoz +1,4 DE)</w:t>
            </w:r>
          </w:p>
        </w:tc>
      </w:tr>
      <w:tr>
        <w:tc>
          <w:tcPr/>
          <w:p>
            <w:pPr>
              <w:pStyle w:val="Compact"/>
              <w:jc w:val="left"/>
            </w:pPr>
            <w:r>
              <w:t xml:space="preserve">ELA (Sorenson 2008), PMID 19029516</w:t>
            </w:r>
          </w:p>
        </w:tc>
        <w:tc>
          <w:tcPr/>
          <w:p>
            <w:pPr>
              <w:pStyle w:val="Compact"/>
              <w:jc w:val="left"/>
            </w:pPr>
            <w:r>
              <w:t xml:space="preserve">330 personas con ELA, ECA frente a placebo</w:t>
            </w:r>
          </w:p>
        </w:tc>
        <w:tc>
          <w:tcPr/>
          <w:p>
            <w:pPr>
              <w:pStyle w:val="Compact"/>
              <w:jc w:val="left"/>
            </w:pPr>
            <w:r>
              <w:t xml:space="preserve">2 años</w:t>
            </w:r>
          </w:p>
        </w:tc>
        <w:tc>
          <w:tcPr/>
          <w:p>
            <w:pPr>
              <w:pStyle w:val="Compact"/>
              <w:jc w:val="left"/>
            </w:pPr>
            <w:r>
              <w:t xml:space="preserve">sin beneficio</w:t>
            </w:r>
          </w:p>
        </w:tc>
      </w:tr>
      <w:tr>
        <w:tc>
          <w:tcPr/>
          <w:p>
            <w:pPr>
              <w:pStyle w:val="Compact"/>
              <w:jc w:val="left"/>
            </w:pPr>
            <w:r>
              <w:t xml:space="preserve">Prematuros (Ley 2019), PMID 30471715</w:t>
            </w:r>
          </w:p>
        </w:tc>
        <w:tc>
          <w:tcPr/>
          <w:p>
            <w:pPr>
              <w:pStyle w:val="Compact"/>
              <w:jc w:val="left"/>
            </w:pPr>
            <w:r>
              <w:t xml:space="preserve">121 prematuros extremos, ECA frente a tratamiento estándar</w:t>
            </w:r>
          </w:p>
        </w:tc>
        <w:tc>
          <w:tcPr/>
          <w:p>
            <w:pPr>
              <w:pStyle w:val="Compact"/>
              <w:jc w:val="left"/>
            </w:pPr>
            <w:r>
              <w:t xml:space="preserve">hasta la semana 40</w:t>
            </w:r>
          </w:p>
        </w:tc>
        <w:tc>
          <w:tcPr/>
          <w:p>
            <w:pPr>
              <w:pStyle w:val="Compact"/>
              <w:jc w:val="left"/>
            </w:pPr>
            <w:r>
              <w:t xml:space="preserve">sin efecto en la retina; menos DBP grave</w:t>
            </w:r>
          </w:p>
        </w:tc>
      </w:tr>
    </w:tbl>
    <w:bookmarkEnd w:id="1508"/>
    <w:bookmarkEnd w:id="1509"/>
    <w:bookmarkStart w:id="1512" w:name="estudios-en-animales-y-de-laboratorio-31"/>
    <w:p>
      <w:pPr>
        <w:pStyle w:val="Heading3"/>
      </w:pPr>
      <w:r>
        <w:t xml:space="preserve">Estudios en animales y de laboratorio</w:t>
      </w:r>
    </w:p>
    <w:p>
      <w:pPr>
        <w:pStyle w:val="FirstParagraph"/>
      </w:pPr>
      <w:r>
        <w:t xml:space="preserve">Los efectos del IGF-1 sobre el crecimiento, el músculo y el metabolismo se han estudiado de forma muy amplia en estudios con animales y células y constituyen la base del tratamiento. Para la cuestión de la seguridad son importantes los experimentos celulares con suero sanguíneo de personas con síndrome de Laron: las células tratadas con este suero pobre en IGF-1 y expuestas después a estrés oxidativo presentaban menos roturas del ADN, y las células dañadas morían con más frecuencia</w:t>
      </w:r>
      <w:r>
        <w:rPr>
          <w:rStyle w:val="FootnoteReference"/>
        </w:rPr>
        <w:footnoteReference w:id="1510"/>
      </w:r>
      <w:r>
        <w:t xml:space="preserve">. Al añadir IGF-1 al suero, estas diferencias desaparecían</w:t>
      </w:r>
      <w:r>
        <w:rPr>
          <w:rStyle w:val="FootnoteReference"/>
        </w:rPr>
        <w:footnoteReference w:id="1511"/>
      </w:r>
      <w:r>
        <w:t xml:space="preserve">. Es decir, el IGF-1 tiende a mantener con vida también las células dañadas, un posible mecanismo de riesgo de cáncer.</w:t>
      </w:r>
    </w:p>
    <w:bookmarkEnd w:id="1512"/>
    <w:bookmarkStart w:id="1523" w:name="riesgos-y-efectos-adversos-31"/>
    <w:p>
      <w:pPr>
        <w:pStyle w:val="Heading3"/>
      </w:pPr>
      <w:r>
        <w:t xml:space="preserve">Riesgos y efectos adversos</w:t>
      </w:r>
    </w:p>
    <w:p>
      <w:pPr>
        <w:pStyle w:val="FirstParagraph"/>
      </w:pPr>
      <w:r>
        <w:rPr>
          <w:bCs/>
          <w:b/>
        </w:rPr>
        <w:t xml:space="preserve">Demostrado:</w:t>
      </w:r>
    </w:p>
    <w:p>
      <w:pPr>
        <w:numPr>
          <w:ilvl w:val="0"/>
          <w:numId w:val="1176"/>
        </w:numPr>
        <w:pStyle w:val="Compact"/>
      </w:pPr>
      <w:r>
        <w:rPr>
          <w:bCs/>
          <w:b/>
        </w:rPr>
        <w:t xml:space="preserve">Hipoglucemia (bajada de azúcar):</w:t>
      </w:r>
      <w:r>
        <w:t xml:space="preserve"> </w:t>
      </w:r>
      <w:r>
        <w:t xml:space="preserve">el efecto adverso más frecuente e importante, sobre todo en niños pequeños, en el síndrome de Laron y tras hipoglucemias previas</w:t>
      </w:r>
      <w:r>
        <w:rPr>
          <w:rStyle w:val="FootnoteReference"/>
        </w:rPr>
        <w:footnoteReference w:id="1513"/>
      </w:r>
      <w:r>
        <w:t xml:space="preserve">. Por ello, la ficha técnica prescribe una estrecha relación temporal con las comidas; los detalles los regula ella misma.</w:t>
      </w:r>
    </w:p>
    <w:p>
      <w:pPr>
        <w:numPr>
          <w:ilvl w:val="0"/>
          <w:numId w:val="1176"/>
        </w:numPr>
        <w:pStyle w:val="Compact"/>
      </w:pPr>
      <w:r>
        <w:rPr>
          <w:bCs/>
          <w:b/>
        </w:rPr>
        <w:t xml:space="preserve">Aumento de tamaño de las amígdalas y las vegetaciones</w:t>
      </w:r>
      <w:r>
        <w:t xml:space="preserve"> </w:t>
      </w:r>
      <w:r>
        <w:t xml:space="preserve">(22 %) y alteraciones del tejido adiposo en el lugar de inyección (32 %)</w:t>
      </w:r>
      <w:r>
        <w:rPr>
          <w:rStyle w:val="FootnoteReference"/>
        </w:rPr>
        <w:footnoteReference w:id="1514"/>
      </w:r>
      <w:r>
        <w:t xml:space="preserve">.</w:t>
      </w:r>
    </w:p>
    <w:p>
      <w:pPr>
        <w:numPr>
          <w:ilvl w:val="0"/>
          <w:numId w:val="1176"/>
        </w:numPr>
        <w:pStyle w:val="Compact"/>
      </w:pPr>
      <w:r>
        <w:t xml:space="preserve">En el estudio con prematuros, con IGF-1/IGFBP-3 se produjeron numéricamente más acontecimientos graves mortales que con el tratamiento estándar</w:t>
      </w:r>
      <w:r>
        <w:rPr>
          <w:rStyle w:val="FootnoteReference"/>
        </w:rPr>
        <w:footnoteReference w:id="1515"/>
      </w:r>
      <w:r>
        <w:t xml:space="preserve">; el estudio no estaba diseñado para valorar esta diferencia.</w:t>
      </w:r>
    </w:p>
    <w:p>
      <w:pPr>
        <w:pStyle w:val="FirstParagraph"/>
      </w:pPr>
      <w:r>
        <w:rPr>
          <w:bCs/>
          <w:b/>
        </w:rPr>
        <w:t xml:space="preserve">Riesgo de cáncer: qué está demostrado y qué no:</w:t>
      </w:r>
    </w:p>
    <w:p>
      <w:pPr>
        <w:pStyle w:val="BodyText"/>
      </w:pPr>
      <w:r>
        <w:t xml:space="preserve">El IGF-1 es una señal de crecimiento y supervivencia para las células. La preocupación de que más IGF-1 aumente el riesgo de cáncer es, por tanto, biológicamente plausible y está respaldada por varios tipos de hallazgos:</w:t>
      </w:r>
    </w:p>
    <w:p>
      <w:pPr>
        <w:numPr>
          <w:ilvl w:val="0"/>
          <w:numId w:val="1177"/>
        </w:numPr>
        <w:pStyle w:val="Compact"/>
      </w:pPr>
      <w:r>
        <w:rPr>
          <w:iCs/>
          <w:i/>
        </w:rPr>
        <w:t xml:space="preserve">Estudios observacionales:</w:t>
      </w:r>
      <w:r>
        <w:t xml:space="preserve"> </w:t>
      </w:r>
      <w:r>
        <w:t xml:space="preserve">Las personas con niveles más altos de IGF-1 en sangre padecen con algo más de frecuencia cáncer de próstata y cáncer de mama antes de la menopausia</w:t>
      </w:r>
      <w:r>
        <w:rPr>
          <w:rStyle w:val="FootnoteReference"/>
        </w:rPr>
        <w:footnoteReference w:id="1516"/>
      </w:r>
      <w:r>
        <w:t xml:space="preserve">. En el UK Biobank, cada aumento de 5 nmol/l se asoció a un riesgo de cáncer de mama un 11 % mayor</w:t>
      </w:r>
      <w:r>
        <w:rPr>
          <w:rStyle w:val="FootnoteReference"/>
        </w:rPr>
        <w:footnoteReference w:id="1517"/>
      </w:r>
      <w:r>
        <w:t xml:space="preserve">; se observan relaciones similares para el cáncer colorrectal</w:t>
      </w:r>
      <w:r>
        <w:rPr>
          <w:rStyle w:val="FootnoteReference"/>
        </w:rPr>
        <w:footnoteReference w:id="1518"/>
      </w:r>
      <w:r>
        <w:t xml:space="preserve"> </w:t>
      </w:r>
      <w:r>
        <w:t xml:space="preserve">y el cáncer de próstata</w:t>
      </w:r>
      <w:r>
        <w:rPr>
          <w:rStyle w:val="FootnoteReference"/>
        </w:rPr>
        <w:footnoteReference w:id="1519"/>
      </w:r>
      <w:r>
        <w:t xml:space="preserve">.</w:t>
      </w:r>
    </w:p>
    <w:p>
      <w:pPr>
        <w:numPr>
          <w:ilvl w:val="0"/>
          <w:numId w:val="1177"/>
        </w:numPr>
        <w:pStyle w:val="Compact"/>
      </w:pPr>
      <w:r>
        <w:rPr>
          <w:iCs/>
          <w:i/>
        </w:rPr>
        <w:t xml:space="preserve">Análisis genéticos (aleatorización mendeliana):</w:t>
      </w:r>
      <w:r>
        <w:t xml:space="preserve"> </w:t>
      </w:r>
      <w:r>
        <w:t xml:space="preserve">También las personas con niveles de IGF-1 más altos por causas genéticas padecen con algo más de frecuencia cáncer de mama y colorrectal, un indicio de que la relación podría ser causal</w:t>
      </w:r>
      <w:r>
        <w:rPr>
          <w:rStyle w:val="FootnoteReference"/>
        </w:rPr>
        <w:footnoteReference w:id="1520"/>
      </w:r>
      <w:r>
        <w:t xml:space="preserve">.</w:t>
      </w:r>
    </w:p>
    <w:p>
      <w:pPr>
        <w:numPr>
          <w:ilvl w:val="0"/>
          <w:numId w:val="1177"/>
        </w:numPr>
        <w:pStyle w:val="Compact"/>
      </w:pPr>
      <w:r>
        <w:rPr>
          <w:iCs/>
          <w:i/>
        </w:rPr>
        <w:t xml:space="preserve">La imagen opuesta:</w:t>
      </w:r>
      <w:r>
        <w:t xml:space="preserve"> </w:t>
      </w:r>
      <w:r>
        <w:t xml:space="preserve">En un grupo ecuatoriano con síndrome de Laron, es decir, con déficit de IGF-1 de por vida, a lo largo de 22 años de observación solo se produjo un único cáncer, no mortal, frente al 17 % en familiares no afectados</w:t>
      </w:r>
      <w:r>
        <w:rPr>
          <w:rStyle w:val="FootnoteReference"/>
        </w:rPr>
        <w:footnoteReference w:id="1521"/>
      </w:r>
      <w:r>
        <w:t xml:space="preserve">.</w:t>
      </w:r>
    </w:p>
    <w:p>
      <w:pPr>
        <w:pStyle w:val="FirstParagraph"/>
      </w:pPr>
      <w:r>
        <w:t xml:space="preserve">Lo importante es la magnitud: los aumentos de riesgo medidos con un IGF-1 naturalmente más alto son moderados (según la comparación y el tipo de cáncer, en su mayoría entre aproximadamente un 5 y un 65 % en términos relativos). En los niños para los que está autorizada la mecasermina se sustituye una hormona ausente, no se eleva en exceso un nivel normal. Aun así, tras la comercialización se notificaron casos de neoplasias benignas y malignas en niños tratados; la ficha técnica en la UE y EE. UU. se completó a raíz de ello con las correspondientes advertencias, y la mecasermina no debe utilizarse en caso de cáncer activo o sospechado (situación en 2026; para más detalles, véase la ficha técnica actual). Si existe una relación causal no puede aclararse a partir de notificaciones aisladas; el registro a largo plazo</w:t>
      </w:r>
      <w:r>
        <w:rPr>
          <w:rStyle w:val="FootnoteReference"/>
        </w:rPr>
        <w:footnoteReference w:id="1522"/>
      </w:r>
      <w:r>
        <w:t xml:space="preserve"> </w:t>
      </w:r>
      <w:r>
        <w:t xml:space="preserve">debe aportar datos al respecto.</w:t>
      </w:r>
    </w:p>
    <w:p>
      <w:pPr>
        <w:pStyle w:val="BodyText"/>
      </w:pPr>
      <w:r>
        <w:t xml:space="preserve">Para los adultos que usan IGF-1 sin déficit con el fin de mejorar el rendimiento o «rejuvenecer», estas consideraciones deben tomarse mucho más en serio: en ese caso se elevaría de forma continuada un nivel normal, justo la situación que en los estudios observacionales se asocia a un riesgo mayor. El tema se trata en detalle en la Parte IV.</w:t>
      </w:r>
    </w:p>
    <w:bookmarkEnd w:id="1523"/>
    <w:bookmarkStart w:id="1526" w:name="situación-legal-31"/>
    <w:p>
      <w:pPr>
        <w:pStyle w:val="Heading3"/>
      </w:pPr>
      <w:r>
        <w:t xml:space="preserve">Situación legal</w:t>
      </w:r>
    </w:p>
    <w:p>
      <w:pPr>
        <w:pStyle w:val="FirstParagraph"/>
      </w:pPr>
      <w:r>
        <w:rPr>
          <w:iCs/>
          <w:i/>
        </w:rPr>
        <w:t xml:space="preserve">Situación en 2026; comprueba la información actualizada.</w:t>
      </w:r>
    </w:p>
    <w:p>
      <w:pPr>
        <w:numPr>
          <w:ilvl w:val="0"/>
          <w:numId w:val="1178"/>
        </w:numPr>
        <w:pStyle w:val="Compact"/>
      </w:pPr>
      <w:r>
        <w:rPr>
          <w:bCs/>
          <w:b/>
        </w:rPr>
        <w:t xml:space="preserve">UE, Alemania, Austria:</w:t>
      </w:r>
      <w:r>
        <w:t xml:space="preserve"> </w:t>
      </w:r>
      <w:r>
        <w:t xml:space="preserve">autorizada (Increlex) exclusivamente para niños y adolescentes con déficit primario grave de IGF-1; con receta, tratamiento por médicas y médicos con experiencia en endocrinología pediátrica según la ficha técnica. La autorización de la UE está vinculada a la recogida de datos en el registro a largo plazo</w:t>
      </w:r>
      <w:r>
        <w:rPr>
          <w:rStyle w:val="FootnoteReference"/>
        </w:rPr>
        <w:footnoteReference w:id="1524"/>
      </w:r>
      <w:r>
        <w:t xml:space="preserve">.</w:t>
      </w:r>
    </w:p>
    <w:p>
      <w:pPr>
        <w:numPr>
          <w:ilvl w:val="0"/>
          <w:numId w:val="1178"/>
        </w:numPr>
        <w:pStyle w:val="Compact"/>
      </w:pPr>
      <w:r>
        <w:rPr>
          <w:bCs/>
          <w:b/>
        </w:rPr>
        <w:t xml:space="preserve">EE. UU.:</w:t>
      </w:r>
      <w:r>
        <w:t xml:space="preserve"> </w:t>
      </w:r>
      <w:r>
        <w:t xml:space="preserve">autorizada (Increlex) para la misma indicación.</w:t>
      </w:r>
    </w:p>
    <w:p>
      <w:pPr>
        <w:numPr>
          <w:ilvl w:val="0"/>
          <w:numId w:val="1178"/>
        </w:numPr>
        <w:pStyle w:val="Compact"/>
      </w:pPr>
      <w:r>
        <w:rPr>
          <w:bCs/>
          <w:b/>
        </w:rPr>
        <w:t xml:space="preserve">Otras aplicaciones</w:t>
      </w:r>
      <w:r>
        <w:t xml:space="preserve"> </w:t>
      </w:r>
      <w:r>
        <w:t xml:space="preserve">(adultos, deporte, antienvejecimiento) no están autorizadas.</w:t>
      </w:r>
    </w:p>
    <w:p>
      <w:pPr>
        <w:numPr>
          <w:ilvl w:val="0"/>
          <w:numId w:val="1178"/>
        </w:numPr>
        <w:pStyle w:val="Compact"/>
      </w:pPr>
      <w:r>
        <w:rPr>
          <w:bCs/>
          <w:b/>
        </w:rPr>
        <w:t xml:space="preserve">WADA:</w:t>
      </w:r>
      <w:r>
        <w:t xml:space="preserve"> </w:t>
      </w:r>
      <w:r>
        <w:t xml:space="preserve">prohibida (S2). Para detectar el abuso de IGF-1 se están desarrollando métodos basados en marcadores, similares a los de la prueba de la hormona del crecimiento</w:t>
      </w:r>
      <w:r>
        <w:rPr>
          <w:rStyle w:val="FootnoteReference"/>
        </w:rPr>
        <w:footnoteReference w:id="1525"/>
      </w:r>
      <w:r>
        <w:t xml:space="preserve">.</w:t>
      </w:r>
    </w:p>
    <w:bookmarkEnd w:id="1526"/>
    <w:bookmarkStart w:id="1528" w:name="estudios-en-curso-y-perspectivas-31"/>
    <w:p>
      <w:pPr>
        <w:pStyle w:val="Heading3"/>
      </w:pPr>
      <w:r>
        <w:t xml:space="preserve">Estudios en curso y perspectivas</w:t>
      </w:r>
    </w:p>
    <w:p>
      <w:pPr>
        <w:pStyle w:val="FirstParagraph"/>
      </w:pPr>
      <w:r>
        <w:rPr>
          <w:iCs/>
          <w:i/>
        </w:rPr>
        <w:t xml:space="preserve">Confirmado:</w:t>
      </w:r>
      <w:r>
        <w:t xml:space="preserve"> </w:t>
      </w:r>
      <w:r>
        <w:t xml:space="preserve">El registro mundial de Increlex</w:t>
      </w:r>
      <w:r>
        <w:rPr>
          <w:rStyle w:val="FootnoteReference"/>
        </w:rPr>
        <w:footnoteReference w:id="1527"/>
      </w:r>
      <w:r>
        <w:t xml:space="preserve"> </w:t>
      </w:r>
      <w:r>
        <w:t xml:space="preserve">se prolonga, según su entrada, hasta finales de 2027. Un estudio de fase 2 con IGF-1/IGFBP-3 para la prevención de la displasia broncopulmonar en prematuros extremos (NCT03253263, 295 niños) está activo, pero ya no recluta.</w:t>
      </w:r>
      <w:r>
        <w:t xml:space="preserve"> </w:t>
      </w:r>
      <w:r>
        <w:rPr>
          <w:iCs/>
          <w:i/>
        </w:rPr>
        <w:t xml:space="preserve">Valoración del autor:</w:t>
      </w:r>
      <w:r>
        <w:t xml:space="preserve"> </w:t>
      </w:r>
      <w:r>
        <w:t xml:space="preserve">No se vislumbran nuevas autorizaciones para adultos; la importancia de la mecasermina seguirá limitada a trastornos del crecimiento poco frecuentes y, en su caso, a la medicina de los prematuros.</w:t>
      </w:r>
    </w:p>
    <w:bookmarkEnd w:id="1528"/>
    <w:bookmarkStart w:id="1529" w:name="conclusión-31"/>
    <w:p>
      <w:pPr>
        <w:pStyle w:val="Heading3"/>
      </w:pPr>
      <w:r>
        <w:t xml:space="preserve">Conclusión</w:t>
      </w:r>
    </w:p>
    <w:p>
      <w:pPr>
        <w:pStyle w:val="FirstParagraph"/>
      </w:pPr>
      <w:r>
        <w:t xml:space="preserve">La mecasermina sustituye el IGF-1 que falta en niños con déficit primario grave de IGF-1 y mejora claramente su crecimiento, sobre todo cuando el tratamiento se inicia de forma precoz. El efecto adverso más frecuente es la hipoglucemia; tras notificaciones de neoplasias, se endurecieron las advertencias. En otras aplicaciones, por ejemplo en la ELA, el IGF-1 no aportó ningún beneficio. En personas sanas, su uso no está demostrado ni es justificable, porque un IGF-1 elevado de forma continuada se asocia en grandes estudios observacionales y genéticos a un riesgo de cáncer algo mayor.</w:t>
      </w:r>
    </w:p>
    <w:bookmarkEnd w:id="1529"/>
    <w:bookmarkEnd w:id="1530"/>
    <w:bookmarkStart w:id="1560" w:name="igf-1-lr3"/>
    <w:p>
      <w:pPr>
        <w:pStyle w:val="Heading2"/>
      </w:pPr>
      <w:r>
        <w:t xml:space="preserve">IGF-1 LR3</w:t>
      </w:r>
    </w:p>
    <w:p>
      <w:pPr>
        <w:pStyle w:val="FirstParagraph"/>
      </w:pPr>
      <w:r>
        <w:t xml:space="preserve">El IGF-1 LR3 (en forma completa «Long-R3-IGF-I») no es un medicamento, sino un reactivo de laboratorio. Se desarrolló para que los cultivos celulares crecieran mejor en biotecnología y se emplea en experimentos con animales. Que se venda en internet en viales para inyección es un ejemplo paradigmático del mercado de los «research peptides»: una sustancia que nunca estuvo pensada para personas, nunca se probó en personas y cuyas propiedades refuerzan precisamente los riesgos que preocupan en el caso del IGF-1 natural.</w:t>
      </w:r>
    </w:p>
    <w:bookmarkStart w:id="1532" w:name="ficha-32"/>
    <w:p>
      <w:pPr>
        <w:pStyle w:val="Heading3"/>
      </w:pPr>
      <w:r>
        <w:t xml:space="preserve">Ficha</w:t>
      </w:r>
    </w:p>
    <w:p>
      <w:pPr>
        <w:numPr>
          <w:ilvl w:val="0"/>
          <w:numId w:val="1179"/>
        </w:numPr>
        <w:pStyle w:val="Compact"/>
      </w:pPr>
      <w:r>
        <w:rPr>
          <w:bCs/>
          <w:b/>
        </w:rPr>
        <w:t xml:space="preserve">Tipo y estructura:</w:t>
      </w:r>
      <w:r>
        <w:t xml:space="preserve"> </w:t>
      </w:r>
      <w:r>
        <w:t xml:space="preserve">IGF-1 humano modificado: en la posición 3 se encuentra el aminoácido arginina («R3») y al principio se añadió una cadena adicional de aminoácidos («Long»). Ambas modificaciones reducen fuertemente la unión a las proteínas de unión de IGF</w:t>
      </w:r>
      <w:r>
        <w:rPr>
          <w:rStyle w:val="FootnoteReference"/>
        </w:rPr>
        <w:footnoteReference w:id="1531"/>
      </w:r>
      <w:r>
        <w:t xml:space="preserve">.</w:t>
      </w:r>
    </w:p>
    <w:p>
      <w:pPr>
        <w:numPr>
          <w:ilvl w:val="0"/>
          <w:numId w:val="1179"/>
        </w:numPr>
        <w:pStyle w:val="Compact"/>
      </w:pPr>
      <w:r>
        <w:rPr>
          <w:bCs/>
          <w:b/>
        </w:rPr>
        <w:t xml:space="preserve">Origen:</w:t>
      </w:r>
      <w:r>
        <w:t xml:space="preserve"> </w:t>
      </w:r>
      <w:r>
        <w:t xml:space="preserve">descrito a principios de la década de 1990 como herramienta de investigación; hoy disponible comercialmente como aditivo para medios de cultivo celular.</w:t>
      </w:r>
    </w:p>
    <w:p>
      <w:pPr>
        <w:numPr>
          <w:ilvl w:val="0"/>
          <w:numId w:val="1179"/>
        </w:numPr>
        <w:pStyle w:val="Compact"/>
      </w:pPr>
      <w:r>
        <w:rPr>
          <w:bCs/>
          <w:b/>
        </w:rPr>
        <w:t xml:space="preserve">Mecanismo de acción:</w:t>
      </w:r>
      <w:r>
        <w:t xml:space="preserve"> </w:t>
      </w:r>
      <w:r>
        <w:t xml:space="preserve">se une, como el IGF-1, al receptor de IGF-1; como apenas es captado por las proteínas de unión, en la sangre se encuentra mayoritariamente en forma libre y, por tanto, directamente activa.</w:t>
      </w:r>
    </w:p>
    <w:p>
      <w:pPr>
        <w:numPr>
          <w:ilvl w:val="0"/>
          <w:numId w:val="1179"/>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 No está autorizado como medicamento en ningún lugar ni se ha solicitado nunca.</w:t>
      </w:r>
    </w:p>
    <w:p>
      <w:pPr>
        <w:numPr>
          <w:ilvl w:val="0"/>
          <w:numId w:val="1179"/>
        </w:numPr>
        <w:pStyle w:val="Compact"/>
      </w:pPr>
      <w:r>
        <w:rPr>
          <w:bCs/>
          <w:b/>
        </w:rPr>
        <w:t xml:space="preserve">WADA:</w:t>
      </w:r>
      <w:r>
        <w:t xml:space="preserve"> </w:t>
      </w:r>
      <w:r>
        <w:t xml:space="preserve">prohibido, grupo S2 (análogos del IGF-1 como factores de crecimiento).</w:t>
      </w:r>
    </w:p>
    <w:p>
      <w:pPr>
        <w:numPr>
          <w:ilvl w:val="0"/>
          <w:numId w:val="1179"/>
        </w:numPr>
        <w:pStyle w:val="Compact"/>
      </w:pPr>
      <w:r>
        <w:rPr>
          <w:bCs/>
          <w:b/>
        </w:rPr>
        <w:t xml:space="preserve">Nivel de evidencia: D</w:t>
      </w:r>
      <w:r>
        <w:t xml:space="preserve"> </w:t>
      </w:r>
      <w:r>
        <w:t xml:space="preserve">– ni un solo estudio en humanos; solo estudios en animales y de laboratorio.</w:t>
      </w:r>
    </w:p>
    <w:bookmarkEnd w:id="1532"/>
    <w:bookmarkStart w:id="1536" w:name="cómo-se-supone-que-actúa-32"/>
    <w:p>
      <w:pPr>
        <w:pStyle w:val="Heading3"/>
      </w:pPr>
      <w:r>
        <w:t xml:space="preserve">Cómo se supone que actúa</w:t>
      </w:r>
    </w:p>
    <w:p>
      <w:pPr>
        <w:pStyle w:val="FirstParagraph"/>
      </w:pPr>
      <w:r>
        <w:t xml:space="preserve">En la sangre, casi todo el IGF-1 está unido a proteínas de unión, sobre todo a la IGFBP-3. Estas proteínas actúan como un amortiguador: prolongan la vida del IGF-1, pero también lo mantienen alejado de las células y atenúan así su efecto. En experimentos celulares, la IGFBP-3 inhibió la activación del receptor de IGF-1 por el IGF-1 y también por el Long-R3-IGF-I, al captar estos mensajeros</w:t>
      </w:r>
      <w:r>
        <w:rPr>
          <w:rStyle w:val="FootnoteReference"/>
        </w:rPr>
        <w:footnoteReference w:id="1533"/>
      </w:r>
      <w:r>
        <w:t xml:space="preserve">.</w:t>
      </w:r>
    </w:p>
    <w:p>
      <w:pPr>
        <w:pStyle w:val="BodyText"/>
      </w:pPr>
      <w:r>
        <w:t xml:space="preserve">El LR3 se modificó de modo que escapara en gran medida a este amortiguador. En ratas se encontraba en la sangre mayoritariamente como péptido libre y –en animales no gestantes– se eliminaba de la sangre unas diez veces más rápido que el IGF-1; es decir, desaparece rápidamente hacia los tejidos</w:t>
      </w:r>
      <w:r>
        <w:rPr>
          <w:rStyle w:val="FootnoteReference"/>
        </w:rPr>
        <w:footnoteReference w:id="1534"/>
      </w:r>
      <w:r>
        <w:t xml:space="preserve">. En ratas diabéticas fue entre 2,5 y 3 veces más eficaz que el IGF-1 para restablecer el crecimiento</w:t>
      </w:r>
      <w:r>
        <w:rPr>
          <w:rStyle w:val="FootnoteReference"/>
        </w:rPr>
        <w:footnoteReference w:id="1535"/>
      </w:r>
      <w:r>
        <w:t xml:space="preserve">. En el mercado gris se deriva de ello la expectativa de que el LR3 desarrolle en el ser humano más músculo que el IGF-1 natural. No hay pruebas de ello.</w:t>
      </w:r>
    </w:p>
    <w:bookmarkEnd w:id="1536"/>
    <w:bookmarkStart w:id="1540" w:name="estudios-en-humanos-32"/>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w:t>
      </w:r>
      <w:r>
        <w:t xml:space="preserve"> </w:t>
      </w:r>
      <w:r>
        <w:rPr>
          <w:bCs/>
          <w:b/>
        </w:rPr>
        <w:t xml:space="preserve">no</w:t>
      </w:r>
      <w:r>
        <w:t xml:space="preserve"> </w:t>
      </w:r>
      <w:r>
        <w:t xml:space="preserve">encontró ningún estudio en humanos en PubMed (</w:t>
      </w:r>
      <w:r>
        <w:rPr>
          <w:rStyle w:val="VerbatimChar"/>
        </w:rPr>
        <w:t xml:space="preserve">humanstudien_alle</w:t>
      </w:r>
      <w:r>
        <w:t xml:space="preserve">: 0) ni</w:t>
      </w:r>
      <w:r>
        <w:t xml:space="preserve"> </w:t>
      </w:r>
      <w:r>
        <w:rPr>
          <w:bCs/>
          <w:b/>
        </w:rPr>
        <w:t xml:space="preserve">ninguna</w:t>
      </w:r>
      <w:r>
        <w:t xml:space="preserve"> </w:t>
      </w:r>
      <w:r>
        <w:t xml:space="preserve">entrada en ClinicalTrials.gov. Tampoco una búsqueda específica adicional de estudios piloto, informes de casos de intoxicaciones o efectos adversos dio con ninguna publicación en la que personas hubieran recibido IGF-1 LR3.</w:t>
      </w:r>
    </w:p>
    <w:p>
      <w:pPr>
        <w:pStyle w:val="BodyText"/>
      </w:pPr>
      <w:r>
        <w:t xml:space="preserve">Solo se encontró lo siguiente:</w:t>
      </w:r>
    </w:p>
    <w:p>
      <w:pPr>
        <w:numPr>
          <w:ilvl w:val="0"/>
          <w:numId w:val="1180"/>
        </w:numPr>
        <w:pStyle w:val="Compact"/>
      </w:pPr>
      <w:r>
        <w:rPr>
          <w:bCs/>
          <w:b/>
        </w:rPr>
        <w:t xml:space="preserve">Análisis del mercado gris:</w:t>
      </w:r>
      <w:r>
        <w:t xml:space="preserve"> </w:t>
      </w:r>
      <w:r>
        <w:t xml:space="preserve">Un laboratorio antidopaje encontró en un vial inyectable del mercado negro Long-R3-IGF-I con una llamada etiqueta His (His-tag), un apéndice de seis componentes de histidina que se utiliza en la fabricación de proteínas de laboratorio para su purificación. Los autores suponen que se trataba de un subproducto de la investigación bioquímica, no de un preparado fabricado para inyección; el efecto de esta variante en el ser humano es completamente desconocido</w:t>
      </w:r>
      <w:r>
        <w:rPr>
          <w:rStyle w:val="FootnoteReference"/>
        </w:rPr>
        <w:footnoteReference w:id="1537"/>
      </w:r>
      <w:r>
        <w:t xml:space="preserve">. Otro grupo de trabajo encontró en productos del mercado negro numerosos indicios de formas peptídicas de baja calidad y oxidadas</w:t>
      </w:r>
      <w:r>
        <w:rPr>
          <w:rStyle w:val="FootnoteReference"/>
        </w:rPr>
        <w:footnoteReference w:id="1538"/>
      </w:r>
      <w:r>
        <w:t xml:space="preserve">.</w:t>
      </w:r>
    </w:p>
    <w:p>
      <w:pPr>
        <w:numPr>
          <w:ilvl w:val="0"/>
          <w:numId w:val="1180"/>
        </w:numPr>
        <w:pStyle w:val="Compact"/>
      </w:pPr>
      <w:r>
        <w:rPr>
          <w:bCs/>
          <w:b/>
        </w:rPr>
        <w:t xml:space="preserve">Revisiones sobre dopaje:</w:t>
      </w:r>
      <w:r>
        <w:t xml:space="preserve"> </w:t>
      </w:r>
      <w:r>
        <w:t xml:space="preserve">El IGF-1 y sus análogos se promocionan en internet y pueden conseguirse en el mercado negro desde hace años</w:t>
      </w:r>
      <w:r>
        <w:rPr>
          <w:rStyle w:val="FootnoteReference"/>
        </w:rPr>
        <w:footnoteReference w:id="1539"/>
      </w:r>
      <w:r>
        <w:t xml:space="preserve">.</w:t>
      </w:r>
    </w:p>
    <w:bookmarkEnd w:id="1540"/>
    <w:bookmarkStart w:id="1548" w:name="estudios-en-animales-y-de-laboratorio-32"/>
    <w:p>
      <w:pPr>
        <w:pStyle w:val="Heading3"/>
      </w:pPr>
      <w:r>
        <w:t xml:space="preserve">Estudios en animales y de laboratorio</w:t>
      </w:r>
    </w:p>
    <w:p>
      <w:pPr>
        <w:pStyle w:val="FirstParagraph"/>
      </w:pPr>
      <w:r>
        <w:t xml:space="preserve">Casi toda la investigación sobre el LR3 procede de la biología de los animales de granja y del desarrollo:</w:t>
      </w:r>
    </w:p>
    <w:p>
      <w:pPr>
        <w:numPr>
          <w:ilvl w:val="0"/>
          <w:numId w:val="1181"/>
        </w:numPr>
        <w:pStyle w:val="Compact"/>
      </w:pPr>
      <w:r>
        <w:rPr>
          <w:bCs/>
          <w:b/>
        </w:rPr>
        <w:t xml:space="preserve">Ratas:</w:t>
      </w:r>
      <w:r>
        <w:t xml:space="preserve"> </w:t>
      </w:r>
      <w:r>
        <w:t xml:space="preserve">distribución rápida hacia los tejidos, mayoritariamente como péptido libre</w:t>
      </w:r>
      <w:r>
        <w:rPr>
          <w:rStyle w:val="FootnoteReference"/>
        </w:rPr>
        <w:footnoteReference w:id="1541"/>
      </w:r>
      <w:r>
        <w:t xml:space="preserve">; mayor efecto sobre el crecimiento que el IGF-1 en ratas diabéticas, sin reducir la excreción de glucosa en la orina</w:t>
      </w:r>
      <w:r>
        <w:rPr>
          <w:rStyle w:val="FootnoteReference"/>
        </w:rPr>
        <w:footnoteReference w:id="1542"/>
      </w:r>
      <w:r>
        <w:t xml:space="preserve">.</w:t>
      </w:r>
    </w:p>
    <w:p>
      <w:pPr>
        <w:numPr>
          <w:ilvl w:val="0"/>
          <w:numId w:val="1181"/>
        </w:numPr>
        <w:pStyle w:val="Compact"/>
      </w:pPr>
      <w:r>
        <w:rPr>
          <w:bCs/>
          <w:b/>
        </w:rPr>
        <w:t xml:space="preserve">Cerdos:</w:t>
      </w:r>
      <w:r>
        <w:t xml:space="preserve"> </w:t>
      </w:r>
      <w:r>
        <w:t xml:space="preserve">Una infusión de cuatro días</w:t>
      </w:r>
      <w:r>
        <w:t xml:space="preserve"> </w:t>
      </w:r>
      <w:r>
        <w:rPr>
          <w:bCs/>
          <w:b/>
        </w:rPr>
        <w:t xml:space="preserve">redujo</w:t>
      </w:r>
      <w:r>
        <w:t xml:space="preserve"> </w:t>
      </w:r>
      <w:r>
        <w:t xml:space="preserve">en cerdos de engorde el aumento de peso y la ingesta de alimento y suprimió los niveles propios de hormona del crecimiento, IGF-1, IGFBP-3 e insulina</w:t>
      </w:r>
      <w:r>
        <w:rPr>
          <w:rStyle w:val="FootnoteReference"/>
        </w:rPr>
        <w:footnoteReference w:id="1543"/>
      </w:r>
      <w:r>
        <w:t xml:space="preserve">.</w:t>
      </w:r>
    </w:p>
    <w:p>
      <w:pPr>
        <w:numPr>
          <w:ilvl w:val="0"/>
          <w:numId w:val="1181"/>
        </w:numPr>
        <w:pStyle w:val="Compact"/>
      </w:pPr>
      <w:r>
        <w:rPr>
          <w:bCs/>
          <w:b/>
        </w:rPr>
        <w:t xml:space="preserve">Cobayas:</w:t>
      </w:r>
      <w:r>
        <w:t xml:space="preserve"> </w:t>
      </w:r>
      <w:r>
        <w:t xml:space="preserve">Órganos como el intestino, los riñones, el bazo y las glándulas suprarrenales aumentaron de peso, pero el crecimiento corporal en conjunto no aumentó</w:t>
      </w:r>
      <w:r>
        <w:rPr>
          <w:rStyle w:val="FootnoteReference"/>
        </w:rPr>
        <w:footnoteReference w:id="1544"/>
      </w:r>
      <w:r>
        <w:t xml:space="preserve">.</w:t>
      </w:r>
    </w:p>
    <w:p>
      <w:pPr>
        <w:numPr>
          <w:ilvl w:val="0"/>
          <w:numId w:val="1181"/>
        </w:numPr>
        <w:pStyle w:val="Compact"/>
      </w:pPr>
      <w:r>
        <w:rPr>
          <w:bCs/>
          <w:b/>
        </w:rPr>
        <w:t xml:space="preserve">Fetos de oveja:</w:t>
      </w:r>
      <w:r>
        <w:t xml:space="preserve"> </w:t>
      </w:r>
      <w:r>
        <w:t xml:space="preserve">En fetos de crecimiento normal, el LR3 redujo la secreción de insulina; una infusión breve disminuyó los niveles de insulina bajo sobrecarga de glucosa en un 66 %</w:t>
      </w:r>
      <w:r>
        <w:rPr>
          <w:rStyle w:val="FootnoteReference"/>
        </w:rPr>
        <w:footnoteReference w:id="1545"/>
      </w:r>
      <w:r>
        <w:t xml:space="preserve">. En fetos con retraso del crecimiento, un tratamiento de una semana no mejoró el crecimiento</w:t>
      </w:r>
      <w:r>
        <w:rPr>
          <w:rStyle w:val="FootnoteReference"/>
        </w:rPr>
        <w:footnoteReference w:id="1546"/>
      </w:r>
      <w:r>
        <w:t xml:space="preserve">.</w:t>
      </w:r>
    </w:p>
    <w:p>
      <w:pPr>
        <w:numPr>
          <w:ilvl w:val="0"/>
          <w:numId w:val="1181"/>
        </w:numPr>
        <w:pStyle w:val="Compact"/>
      </w:pPr>
      <w:r>
        <w:rPr>
          <w:bCs/>
          <w:b/>
        </w:rPr>
        <w:t xml:space="preserve">Ratones:</w:t>
      </w:r>
      <w:r>
        <w:t xml:space="preserve"> </w:t>
      </w:r>
      <w:r>
        <w:t xml:space="preserve">En un modelo de alzhéimer, el LR3 en aerosol nasal modificó los depósitos de amiloide, pero no impidió la pérdida de memoria</w:t>
      </w:r>
      <w:r>
        <w:rPr>
          <w:rStyle w:val="FootnoteReference"/>
        </w:rPr>
        <w:footnoteReference w:id="1547"/>
      </w:r>
      <w:r>
        <w:t xml:space="preserve">.</w:t>
      </w:r>
    </w:p>
    <w:p>
      <w:pPr>
        <w:pStyle w:val="FirstParagraph"/>
      </w:pPr>
      <w:r>
        <w:t xml:space="preserve">Los datos en animales son contradictorios: según la especie, el LR3 favoreció el crecimiento, no tuvo efecto o incluso lo inhibió. No es posible trasladarlo al ser humano.</w:t>
      </w:r>
    </w:p>
    <w:bookmarkEnd w:id="1548"/>
    <w:bookmarkStart w:id="1555" w:name="riesgos-y-efectos-adversos-32"/>
    <w:p>
      <w:pPr>
        <w:pStyle w:val="Heading3"/>
      </w:pPr>
      <w:r>
        <w:t xml:space="preserve">Riesgos y efectos adversos</w:t>
      </w:r>
    </w:p>
    <w:p>
      <w:pPr>
        <w:pStyle w:val="FirstParagraph"/>
      </w:pPr>
      <w:r>
        <w:t xml:space="preserve">Como no hay estudios en humanos, los riesgos solo pueden deducirse de la biología y de la experiencia con el IGF-1 natural (mecasermina). Estas deducciones son</w:t>
      </w:r>
      <w:r>
        <w:t xml:space="preserve"> </w:t>
      </w:r>
      <w:r>
        <w:rPr>
          <w:bCs/>
          <w:b/>
        </w:rPr>
        <w:t xml:space="preserve">teóricas</w:t>
      </w:r>
      <w:r>
        <w:t xml:space="preserve">, pero están bien fundamentadas:</w:t>
      </w:r>
    </w:p>
    <w:p>
      <w:pPr>
        <w:numPr>
          <w:ilvl w:val="0"/>
          <w:numId w:val="1182"/>
        </w:numPr>
        <w:pStyle w:val="Compact"/>
      </w:pPr>
      <w:r>
        <w:rPr>
          <w:bCs/>
          <w:b/>
        </w:rPr>
        <w:t xml:space="preserve">Hipoglucemia (bajada de azúcar):</w:t>
      </w:r>
      <w:r>
        <w:t xml:space="preserve"> </w:t>
      </w:r>
      <w:r>
        <w:t xml:space="preserve">A dosis más altas, el IGF-1 actúa de forma similar a la insulina. Con la mecasermina autorizada, la hipoglucemia es el efecto adverso más frecuente, aunque en ese caso el amortiguador de las proteínas de unión se mantiene en gran medida</w:t>
      </w:r>
      <w:r>
        <w:rPr>
          <w:rStyle w:val="FootnoteReference"/>
        </w:rPr>
        <w:footnoteReference w:id="1549"/>
      </w:r>
      <w:r>
        <w:t xml:space="preserve">. Un análogo que escapa deliberadamente a este amortiguador podría actuar con más fuerza y de forma menos previsible. Esto no se ha medido en humanos. En los experimentos con animales, en parte bajaron los niveles de insulina</w:t>
      </w:r>
      <w:r>
        <w:rPr>
          <w:rStyle w:val="FootnoteReference"/>
        </w:rPr>
        <w:footnoteReference w:id="1550"/>
      </w:r>
      <w:r>
        <w:t xml:space="preserve">, lo que podría alterar adicionalmente la regulación de la glucosa.</w:t>
      </w:r>
    </w:p>
    <w:p>
      <w:pPr>
        <w:numPr>
          <w:ilvl w:val="0"/>
          <w:numId w:val="1182"/>
        </w:numPr>
        <w:pStyle w:val="Compact"/>
      </w:pPr>
      <w:r>
        <w:rPr>
          <w:bCs/>
          <w:b/>
        </w:rPr>
        <w:t xml:space="preserve">Crecimiento de órganos y tejidos:</w:t>
      </w:r>
      <w:r>
        <w:t xml:space="preserve"> </w:t>
      </w:r>
      <w:r>
        <w:t xml:space="preserve">En cobayas aumentaron de tamaño los órganos internos</w:t>
      </w:r>
      <w:r>
        <w:rPr>
          <w:rStyle w:val="FootnoteReference"/>
        </w:rPr>
        <w:footnoteReference w:id="1551"/>
      </w:r>
      <w:r>
        <w:t xml:space="preserve">. No está claro si ocurre algo similar en el ser humano.</w:t>
      </w:r>
    </w:p>
    <w:p>
      <w:pPr>
        <w:numPr>
          <w:ilvl w:val="0"/>
          <w:numId w:val="1182"/>
        </w:numPr>
        <w:pStyle w:val="Compact"/>
      </w:pPr>
      <w:r>
        <w:rPr>
          <w:bCs/>
          <w:b/>
        </w:rPr>
        <w:t xml:space="preserve">Teoría del cáncer:</w:t>
      </w:r>
      <w:r>
        <w:t xml:space="preserve"> </w:t>
      </w:r>
      <w:r>
        <w:t xml:space="preserve">El IGF-1 favorece la división y la supervivencia celulares. En grandes estudios observacionales y genéticos, los niveles más altos de IGF-1 se asocian a un riesgo algo mayor de cáncer de mama y de próstata</w:t>
      </w:r>
      <w:r>
        <w:rPr>
          <w:rStyle w:val="FootnoteReference"/>
        </w:rPr>
        <w:footnoteReference w:id="1552"/>
      </w:r>
      <w:r>
        <w:t xml:space="preserve">, y las personas con déficit congénito de IGF-1 padecen cáncer con una rareza llamativa</w:t>
      </w:r>
      <w:r>
        <w:rPr>
          <w:rStyle w:val="FootnoteReference"/>
        </w:rPr>
        <w:footnoteReference w:id="1553"/>
      </w:r>
      <w:r>
        <w:t xml:space="preserve">. Un análogo que actúa con más fuerza y sin amortiguación sobre el receptor de IGF-1 refuerza precisamente esta vía de señalización. No se ha estudiado si esto aumenta de forma medible el riesgo de cáncer en el ser humano, y tampoco se estudiará por falta de estudios. La preocupación se basa en la plausibilidad, no en informes de casos.</w:t>
      </w:r>
    </w:p>
    <w:p>
      <w:pPr>
        <w:numPr>
          <w:ilvl w:val="0"/>
          <w:numId w:val="1182"/>
        </w:numPr>
        <w:pStyle w:val="Compact"/>
      </w:pPr>
      <w:r>
        <w:rPr>
          <w:bCs/>
          <w:b/>
        </w:rPr>
        <w:t xml:space="preserve">Calidad del producto:</w:t>
      </w:r>
      <w:r>
        <w:t xml:space="preserve"> </w:t>
      </w:r>
      <w:r>
        <w:t xml:space="preserve">Los preparados del mercado negro encontrados contenían variantes de laboratorio con apéndice de purificación y péptidos oxidados</w:t>
      </w:r>
      <w:r>
        <w:rPr>
          <w:rStyle w:val="FootnoteReference"/>
        </w:rPr>
        <w:footnoteReference w:id="1554"/>
      </w:r>
      <w:r>
        <w:t xml:space="preserve">. A ello se suman los riesgos generales de las inyecciones no estériles. Los reactivos para cultivo celular no están sujetos a ningún control farmacéutico.</w:t>
      </w:r>
    </w:p>
    <w:bookmarkEnd w:id="1555"/>
    <w:bookmarkStart w:id="1557" w:name="situación-legal-32"/>
    <w:p>
      <w:pPr>
        <w:pStyle w:val="Heading3"/>
      </w:pPr>
      <w:r>
        <w:t xml:space="preserve">Situación legal</w:t>
      </w:r>
    </w:p>
    <w:p>
      <w:pPr>
        <w:pStyle w:val="FirstParagraph"/>
      </w:pPr>
      <w:r>
        <w:rPr>
          <w:iCs/>
          <w:i/>
        </w:rPr>
        <w:t xml:space="preserve">Situación en 2026; comprueba la información actualizada.</w:t>
      </w:r>
    </w:p>
    <w:p>
      <w:pPr>
        <w:numPr>
          <w:ilvl w:val="0"/>
          <w:numId w:val="1183"/>
        </w:numPr>
        <w:pStyle w:val="Compact"/>
      </w:pPr>
      <w:r>
        <w:rPr>
          <w:bCs/>
          <w:b/>
        </w:rPr>
        <w:t xml:space="preserve">UE, Alemania, Austria:</w:t>
      </w:r>
      <w:r>
        <w:t xml:space="preserve"> </w:t>
      </w:r>
      <w:r>
        <w:t xml:space="preserve">no es un medicamento, no tiene autorización y tampoco se ha solicitado. Como reactivo de laboratorio puede venderse para la investigación; su dispensación para uso en humanos no está permitida según las leyes del medicamento.</w:t>
      </w:r>
    </w:p>
    <w:p>
      <w:pPr>
        <w:numPr>
          <w:ilvl w:val="0"/>
          <w:numId w:val="1183"/>
        </w:numPr>
        <w:pStyle w:val="Compact"/>
      </w:pPr>
      <w:r>
        <w:rPr>
          <w:bCs/>
          <w:b/>
        </w:rPr>
        <w:t xml:space="preserve">EE. UU.:</w:t>
      </w:r>
      <w:r>
        <w:t xml:space="preserve"> </w:t>
      </w:r>
      <w:r>
        <w:t xml:space="preserve">sin autorización; distribución solo como sustancia química de investigación.</w:t>
      </w:r>
    </w:p>
    <w:p>
      <w:pPr>
        <w:numPr>
          <w:ilvl w:val="0"/>
          <w:numId w:val="1183"/>
        </w:numPr>
        <w:pStyle w:val="Compact"/>
      </w:pPr>
      <w:r>
        <w:rPr>
          <w:bCs/>
          <w:b/>
        </w:rPr>
        <w:t xml:space="preserve">WADA:</w:t>
      </w:r>
      <w:r>
        <w:t xml:space="preserve"> </w:t>
      </w:r>
      <w:r>
        <w:t xml:space="preserve">prohibido (S2). Se ha desarrollado un método de detección en sangre para el LR3 y análogos del IGF-1 relacionados; en ratas, el LR3 sin modificar desaparecía ya al cabo de unas 4 horas, y los productos de degradación eran detectables hasta 16 horas</w:t>
      </w:r>
      <w:r>
        <w:rPr>
          <w:rStyle w:val="FootnoteReference"/>
        </w:rPr>
        <w:footnoteReference w:id="1556"/>
      </w:r>
      <w:r>
        <w:t xml:space="preserve">.</w:t>
      </w:r>
    </w:p>
    <w:bookmarkEnd w:id="1557"/>
    <w:bookmarkStart w:id="1558" w:name="estudios-en-curso-y-perspectivas-32"/>
    <w:p>
      <w:pPr>
        <w:pStyle w:val="Heading3"/>
      </w:pPr>
      <w:r>
        <w:t xml:space="preserve">Estudios en curso y perspectivas</w:t>
      </w:r>
    </w:p>
    <w:p>
      <w:pPr>
        <w:pStyle w:val="FirstParagraph"/>
      </w:pPr>
      <w:r>
        <w:t xml:space="preserve">En octubre de 2026 no figura en ClinicalTrials.gov ningún estudio con IGF-1 LR3.</w:t>
      </w:r>
      <w:r>
        <w:t xml:space="preserve"> </w:t>
      </w:r>
      <w:r>
        <w:rPr>
          <w:iCs/>
          <w:i/>
        </w:rPr>
        <w:t xml:space="preserve">Valoración del autor:</w:t>
      </w:r>
      <w:r>
        <w:t xml:space="preserve"> </w:t>
      </w:r>
      <w:r>
        <w:t xml:space="preserve">No cabe esperar un desarrollo como medicamento. El LR3 seguirá siendo una herramienta para el cultivo celular y la investigación con animales.</w:t>
      </w:r>
    </w:p>
    <w:bookmarkEnd w:id="1558"/>
    <w:bookmarkStart w:id="1559" w:name="conclusión-32"/>
    <w:p>
      <w:pPr>
        <w:pStyle w:val="Heading3"/>
      </w:pPr>
      <w:r>
        <w:t xml:space="preserve">Conclusión</w:t>
      </w:r>
    </w:p>
    <w:p>
      <w:pPr>
        <w:pStyle w:val="FirstParagraph"/>
      </w:pPr>
      <w:r>
        <w:t xml:space="preserve">El IGF-1 LR3 es un reactivo de laboratorio que nunca se ha estudiado en humanos. En experimentos con animales, según la especie, favoreció el crecimiento, no tuvo efecto o incluso lo inhibió. Su propiedad especial –la falta de unión a las proteínas de unión amortiguadoras– hace esperar un mayor riesgo de hipoglucemia y una señalización del crecimiento reforzada. Está demostrado que los productos del mercado negro contenían variantes de laboratorio que nunca estuvieron pensadas para inyección.</w:t>
      </w:r>
    </w:p>
    <w:bookmarkEnd w:id="1559"/>
    <w:bookmarkEnd w:id="1560"/>
    <w:bookmarkStart w:id="1602" w:name="ibutamoreno-mk-677"/>
    <w:p>
      <w:pPr>
        <w:pStyle w:val="Heading2"/>
      </w:pPr>
      <w:r>
        <w:t xml:space="preserve">Ibutamoreno (MK-677)</w:t>
      </w:r>
    </w:p>
    <w:p>
      <w:pPr>
        <w:pStyle w:val="FirstParagraph"/>
      </w:pPr>
      <w:r>
        <w:rPr>
          <w:iCs/>
          <w:i/>
        </w:rPr>
        <w:t xml:space="preserve">Capítulo comparativo:</w:t>
      </w:r>
      <w:r>
        <w:t xml:space="preserve"> </w:t>
      </w:r>
      <w:r>
        <w:t xml:space="preserve">El ibutamoreno no es un péptido. Es una molécula pequeña y sintética que se toma por vía oral en comprimidos o en forma líquida, y precisamente por eso figura en este libro: como comparación. Actúa sobre el mismo receptor que la ipamorelina, el GHRP-2 o la hexarelina, es decir, sobre el receptor de la grelina, y eleva la hormona del crecimiento y el IGF-1 durante meses. El ibutamoreno fue evaluado en las décadas de 1990 y 2000 por la farmacéutica Merck en varios estudios aleatorizados de mayor tamaño. Estos estudios muestran con bastante precisión qué aporta una estimulación continuada del eje de la hormona del crecimiento en personas mayores y dónde están los riesgos. En el mercado gris, el ibutamoreno se vende hoy sobre todo como «suplemento similar a los SARM».</w:t>
      </w:r>
    </w:p>
    <w:bookmarkStart w:id="1562" w:name="ficha-33"/>
    <w:p>
      <w:pPr>
        <w:pStyle w:val="Heading3"/>
      </w:pPr>
      <w:r>
        <w:t xml:space="preserve">Ficha</w:t>
      </w:r>
    </w:p>
    <w:p>
      <w:pPr>
        <w:numPr>
          <w:ilvl w:val="0"/>
          <w:numId w:val="1184"/>
        </w:numPr>
        <w:pStyle w:val="Compact"/>
      </w:pPr>
      <w:r>
        <w:rPr>
          <w:bCs/>
          <w:b/>
        </w:rPr>
        <w:t xml:space="preserve">Tipo y estructura:</w:t>
      </w:r>
      <w:r>
        <w:t xml:space="preserve"> </w:t>
      </w:r>
      <w:r>
        <w:t xml:space="preserve">molécula sintética pequeña, no un péptido («non-peptide agonist»; Liu 2021, PMID 34737341); activa por vía oral. Nombres de desarrollo MK-677 o MK-0677, actualmente en desarrollo como LUM-201</w:t>
      </w:r>
      <w:r>
        <w:rPr>
          <w:rStyle w:val="FootnoteReference"/>
        </w:rPr>
        <w:footnoteReference w:id="1561"/>
      </w:r>
      <w:r>
        <w:t xml:space="preserve">.</w:t>
      </w:r>
    </w:p>
    <w:p>
      <w:pPr>
        <w:numPr>
          <w:ilvl w:val="0"/>
          <w:numId w:val="1184"/>
        </w:numPr>
        <w:pStyle w:val="Compact"/>
      </w:pPr>
      <w:r>
        <w:rPr>
          <w:bCs/>
          <w:b/>
        </w:rPr>
        <w:t xml:space="preserve">Origen:</w:t>
      </w:r>
      <w:r>
        <w:t xml:space="preserve"> </w:t>
      </w:r>
      <w:r>
        <w:t xml:space="preserve">desarrollado por Merck (EE. UU.) en la década de 1990 como «peptidomimético» de los péptidos liberadores de hormona del crecimiento.</w:t>
      </w:r>
    </w:p>
    <w:p>
      <w:pPr>
        <w:numPr>
          <w:ilvl w:val="0"/>
          <w:numId w:val="1184"/>
        </w:numPr>
        <w:pStyle w:val="Compact"/>
      </w:pPr>
      <w:r>
        <w:rPr>
          <w:bCs/>
          <w:b/>
        </w:rPr>
        <w:t xml:space="preserve">Mecanismo de acción:</w:t>
      </w:r>
      <w:r>
        <w:t xml:space="preserve"> </w:t>
      </w:r>
      <w:r>
        <w:t xml:space="preserve">agonista del receptor de la grelina (GHS-R1a); amplifica los pulsos de GH existentes y eleva el IGF-1 de forma continuada; aumenta el apetito.</w:t>
      </w:r>
    </w:p>
    <w:p>
      <w:pPr>
        <w:numPr>
          <w:ilvl w:val="0"/>
          <w:numId w:val="1184"/>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84"/>
        </w:numPr>
        <w:pStyle w:val="Compact"/>
      </w:pPr>
      <w:r>
        <w:rPr>
          <w:bCs/>
          <w:b/>
        </w:rPr>
        <w:t xml:space="preserve">WADA:</w:t>
      </w:r>
      <w:r>
        <w:t xml:space="preserve"> </w:t>
      </w:r>
      <w:r>
        <w:t xml:space="preserve">prohibido, grupo S2 (secretagogos de la hormona del crecimiento; el ibutamoreno se menciona expresamente).</w:t>
      </w:r>
    </w:p>
    <w:p>
      <w:pPr>
        <w:numPr>
          <w:ilvl w:val="0"/>
          <w:numId w:val="1184"/>
        </w:numPr>
        <w:pStyle w:val="Compact"/>
      </w:pPr>
      <w:r>
        <w:rPr>
          <w:bCs/>
          <w:b/>
        </w:rPr>
        <w:t xml:space="preserve">Nivel de evidencia: B</w:t>
      </w:r>
      <w:r>
        <w:t xml:space="preserve"> </w:t>
      </w:r>
      <w:r>
        <w:t xml:space="preserve">– varios estudios aleatorizados y controlados con placebo con hasta 563 participantes, pero sin autorización y sin ningún estudio con un resultado clínico principal positivo.</w:t>
      </w:r>
    </w:p>
    <w:bookmarkEnd w:id="1562"/>
    <w:bookmarkStart w:id="1564" w:name="cómo-se-supone-que-actúa-33"/>
    <w:p>
      <w:pPr>
        <w:pStyle w:val="Heading3"/>
      </w:pPr>
      <w:r>
        <w:t xml:space="preserve">Cómo se supone que actúa</w:t>
      </w:r>
    </w:p>
    <w:p>
      <w:pPr>
        <w:pStyle w:val="FirstParagraph"/>
      </w:pPr>
      <w:r>
        <w:t xml:space="preserve">El ibutamoreno imita a la grelina. A diferencia de los péptidos del grupo, no se destruye en el estómago y actúa durante el tiempo suficiente como para que una toma diaria refuerce la secreción de hormona del crecimiento a lo largo de todo el día. En personas mayores sanas, en un estudio casi duplicó la concentración media de hormona del crecimiento en 24 horas; el número de pulsos de GH no cambió, pero su altura aumentó. Al cabo de cuatro semanas, el IGF-1 alcanzó valores como los de los adultos jóvenes</w:t>
      </w:r>
      <w:r>
        <w:rPr>
          <w:rStyle w:val="FootnoteReference"/>
        </w:rPr>
        <w:footnoteReference w:id="1563"/>
      </w:r>
      <w:r>
        <w:t xml:space="preserve">.</w:t>
      </w:r>
    </w:p>
    <w:p>
      <w:pPr>
        <w:pStyle w:val="BodyText"/>
      </w:pPr>
      <w:r>
        <w:t xml:space="preserve">La esperanza de Merck era compensar así el descenso del eje de la hormona del crecimiento en la vejez, denominado «somatopausia»: pérdida muscular (sarcopenia), fragilidad, pérdida ósea y recuperación lenta tras las lesiones.</w:t>
      </w:r>
    </w:p>
    <w:bookmarkEnd w:id="1564"/>
    <w:bookmarkStart w:id="1579" w:name="estudios-en-humanos-33"/>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19</w:t>
      </w:r>
      <w:r>
        <w:t xml:space="preserve"> </w:t>
      </w:r>
      <w:r>
        <w:t xml:space="preserve">estudios en humanos en PubMed (</w:t>
      </w:r>
      <w:r>
        <w:rPr>
          <w:rStyle w:val="VerbatimChar"/>
        </w:rPr>
        <w:t xml:space="preserve">humanstudien_alle</w:t>
      </w:r>
      <w:r>
        <w:t xml:space="preserve">) y</w:t>
      </w:r>
      <w:r>
        <w:t xml:space="preserve"> </w:t>
      </w:r>
      <w:r>
        <w:rPr>
          <w:bCs/>
          <w:b/>
        </w:rPr>
        <w:t xml:space="preserve">8</w:t>
      </w:r>
      <w:r>
        <w:t xml:space="preserve"> </w:t>
      </w:r>
      <w:r>
        <w:t xml:space="preserve">entradas en ClinicalTrials.gov.</w:t>
      </w:r>
    </w:p>
    <w:bookmarkStart w:id="1566" w:name="adultos-mayores-sanos"/>
    <w:p>
      <w:pPr>
        <w:pStyle w:val="Heading4"/>
      </w:pPr>
      <w:r>
        <w:t xml:space="preserve">Adultos mayores sanos</w:t>
      </w:r>
    </w:p>
    <w:p>
      <w:pPr>
        <w:pStyle w:val="FirstParagraph"/>
      </w:pPr>
      <w:r>
        <w:t xml:space="preserve">El estudio más importante duró dos años: 65 mujeres y hombres sanos de entre 60 y 81 años recibieron diariamente ibutamoreno o placebo. La hormona del crecimiento y el IGF-1 aumentaron hasta valores de adultos jóvenes. La masa libre de grasa aumentó 1,1 kg con ibutamoreno y disminuyó 0,5 kg con placebo. La grasa abdominal no cambió, el peso corporal aumentó 2,7 kg (placebo: 0,8 kg) y la grasa de brazos y piernas aumentó más. El aumento de la masa libre de grasa</w:t>
      </w:r>
      <w:r>
        <w:t xml:space="preserve"> </w:t>
      </w:r>
      <w:r>
        <w:rPr>
          <w:bCs/>
          <w:b/>
        </w:rPr>
        <w:t xml:space="preserve">no</w:t>
      </w:r>
      <w:r>
        <w:t xml:space="preserve"> </w:t>
      </w:r>
      <w:r>
        <w:t xml:space="preserve">se tradujo en más fuerza ni en una mejor función; los autores admiten que el estudio era demasiado pequeño para ello. La glucosa en ayunas aumentó en promedio 0,3 mmol/l (5 mg/dl) y la sensibilidad a la insulina disminuyó. Los efectos adversos más frecuentes fueron un aumento inicial del apetito, una ligera retención de líquidos en las piernas y dolores musculares</w:t>
      </w:r>
      <w:r>
        <w:rPr>
          <w:rStyle w:val="FootnoteReference"/>
        </w:rPr>
        <w:footnoteReference w:id="1565"/>
      </w:r>
      <w:r>
        <w:t xml:space="preserve">.</w:t>
      </w:r>
    </w:p>
    <w:bookmarkEnd w:id="1566"/>
    <w:bookmarkStart w:id="1569" w:name="fractura-de-cadera"/>
    <w:p>
      <w:pPr>
        <w:pStyle w:val="Heading4"/>
      </w:pPr>
      <w:r>
        <w:t xml:space="preserve">Fractura de cadera</w:t>
      </w:r>
    </w:p>
    <w:p>
      <w:pPr>
        <w:pStyle w:val="FirstParagraph"/>
      </w:pPr>
      <w:r>
        <w:t xml:space="preserve">Dos estudios examinaron si el ibutamoreno ayuda a las personas mayores a recuperarse tras una fractura de cadera:</w:t>
      </w:r>
    </w:p>
    <w:p>
      <w:pPr>
        <w:numPr>
          <w:ilvl w:val="0"/>
          <w:numId w:val="1185"/>
        </w:numPr>
        <w:pStyle w:val="Compact"/>
      </w:pPr>
      <w:r>
        <w:t xml:space="preserve">En el primer estudio, con 161 pacientes de 13 centros, el IGF-1 aumentó un 84 % (placebo: 17 %). En las pruebas funcionales se observaron en parte tendencias favorables, pero ninguna diferencia estadísticamente significativa</w:t>
      </w:r>
      <w:r>
        <w:rPr>
          <w:rStyle w:val="FootnoteReference"/>
        </w:rPr>
        <w:footnoteReference w:id="1567"/>
      </w:r>
      <w:r>
        <w:t xml:space="preserve">.</w:t>
      </w:r>
    </w:p>
    <w:p>
      <w:pPr>
        <w:numPr>
          <w:ilvl w:val="0"/>
          <w:numId w:val="1185"/>
        </w:numPr>
        <w:pStyle w:val="Compact"/>
      </w:pPr>
      <w:r>
        <w:t xml:space="preserve">El segundo estudio, con 123 pacientes,</w:t>
      </w:r>
      <w:r>
        <w:t xml:space="preserve"> </w:t>
      </w:r>
      <w:r>
        <w:rPr>
          <w:bCs/>
          <w:b/>
        </w:rPr>
        <w:t xml:space="preserve">se interrumpió antes de tiempo porque en un número limitado de personas tratadas apareció una insuficiencia cardiaca</w:t>
      </w:r>
      <w:r>
        <w:t xml:space="preserve">. La velocidad de la marcha había mejorado ligeramente, la mayoría de las demás medidas funcionales no; los autores valoraron como desfavorable el perfil de seguridad en este grupo de pacientes</w:t>
      </w:r>
      <w:r>
        <w:rPr>
          <w:rStyle w:val="FootnoteReference"/>
        </w:rPr>
        <w:footnoteReference w:id="1568"/>
      </w:r>
      <w:r>
        <w:t xml:space="preserve">.</w:t>
      </w:r>
    </w:p>
    <w:p>
      <w:pPr>
        <w:pStyle w:val="FirstParagraph"/>
      </w:pPr>
      <w:r>
        <w:t xml:space="preserve">Otra entrada de Merck sobre la sarcopenia tras fractura de cadera (NCT00128115, 83 personas) figura como interrumpida, sin indicación de motivos ni resultados.</w:t>
      </w:r>
    </w:p>
    <w:bookmarkEnd w:id="1569"/>
    <w:bookmarkStart w:id="1571" w:name="enfermedad-de-alzheimer"/>
    <w:p>
      <w:pPr>
        <w:pStyle w:val="Heading4"/>
      </w:pPr>
      <w:r>
        <w:t xml:space="preserve">Enfermedad de Alzheimer</w:t>
      </w:r>
    </w:p>
    <w:p>
      <w:pPr>
        <w:pStyle w:val="FirstParagraph"/>
      </w:pPr>
      <w:r>
        <w:t xml:space="preserve">En un gran estudio, 563 personas con demencia de alzhéimer leve a moderada recibieron durante un año ibutamoreno o placebo. El IGF-1 aumentó un 60,1 % a las seis semanas y un 72,9 % a los doce meses. En ninguna de las cuatro escalas de rendimiento cognitivo, capacidad para las actividades cotidianas e impresión global difirió la evolución respecto al placebo</w:t>
      </w:r>
      <w:r>
        <w:rPr>
          <w:rStyle w:val="FootnoteReference"/>
        </w:rPr>
        <w:footnoteReference w:id="1570"/>
      </w:r>
      <w:r>
        <w:t xml:space="preserve">.</w:t>
      </w:r>
    </w:p>
    <w:bookmarkEnd w:id="1571"/>
    <w:bookmarkStart w:id="1578" w:name="otros-estudios-1"/>
    <w:p>
      <w:pPr>
        <w:pStyle w:val="Heading4"/>
      </w:pPr>
      <w:r>
        <w:t xml:space="preserve">Otros estudios</w:t>
      </w:r>
    </w:p>
    <w:p>
      <w:pPr>
        <w:numPr>
          <w:ilvl w:val="0"/>
          <w:numId w:val="1186"/>
        </w:numPr>
        <w:pStyle w:val="Compact"/>
      </w:pPr>
      <w:r>
        <w:rPr>
          <w:bCs/>
          <w:b/>
        </w:rPr>
        <w:t xml:space="preserve">Hombres con sobrepeso:</w:t>
      </w:r>
      <w:r>
        <w:t xml:space="preserve"> </w:t>
      </w:r>
      <w:r>
        <w:t xml:space="preserve">En 24 hombres, a lo largo de ocho semanas aumentó la masa libre de grasa, mientras que la grasa total y la abdominal no cambiaron; en la prueba de sobrecarga de glucosa empeoró la regulación de la glucosa</w:t>
      </w:r>
      <w:r>
        <w:rPr>
          <w:rStyle w:val="FootnoteReference"/>
        </w:rPr>
        <w:footnoteReference w:id="1572"/>
      </w:r>
      <w:r>
        <w:t xml:space="preserve">.</w:t>
      </w:r>
    </w:p>
    <w:p>
      <w:pPr>
        <w:numPr>
          <w:ilvl w:val="0"/>
          <w:numId w:val="1186"/>
        </w:numPr>
        <w:pStyle w:val="Compact"/>
      </w:pPr>
      <w:r>
        <w:rPr>
          <w:bCs/>
          <w:b/>
        </w:rPr>
        <w:t xml:space="preserve">Osteoporosis:</w:t>
      </w:r>
      <w:r>
        <w:t xml:space="preserve"> </w:t>
      </w:r>
      <w:r>
        <w:t xml:space="preserve">En 292 mujeres posmenopáusicas, el ibutamoreno junto con el medicamento para el hueso alendronato aumentó la densidad ósea más que el alendronato solo únicamente en el cuello femoral, no en la columna ni en la cadera total</w:t>
      </w:r>
      <w:r>
        <w:rPr>
          <w:rStyle w:val="FootnoteReference"/>
        </w:rPr>
        <w:footnoteReference w:id="1573"/>
      </w:r>
      <w:r>
        <w:t xml:space="preserve">.</w:t>
      </w:r>
    </w:p>
    <w:p>
      <w:pPr>
        <w:numPr>
          <w:ilvl w:val="0"/>
          <w:numId w:val="1186"/>
        </w:numPr>
        <w:pStyle w:val="Compact"/>
      </w:pPr>
      <w:r>
        <w:rPr>
          <w:bCs/>
          <w:b/>
        </w:rPr>
        <w:t xml:space="preserve">Sueño:</w:t>
      </w:r>
      <w:r>
        <w:t xml:space="preserve"> </w:t>
      </w:r>
      <w:r>
        <w:t xml:space="preserve">En pequeños estudios con ocho personas jóvenes y seis mayores se prolongaron el sueño profundo y el sueño REM, respectivamente</w:t>
      </w:r>
      <w:r>
        <w:rPr>
          <w:rStyle w:val="FootnoteReference"/>
        </w:rPr>
        <w:footnoteReference w:id="1574"/>
      </w:r>
      <w:r>
        <w:t xml:space="preserve">.</w:t>
      </w:r>
    </w:p>
    <w:p>
      <w:pPr>
        <w:numPr>
          <w:ilvl w:val="0"/>
          <w:numId w:val="1186"/>
        </w:numPr>
        <w:pStyle w:val="Compact"/>
      </w:pPr>
      <w:r>
        <w:rPr>
          <w:bCs/>
          <w:b/>
        </w:rPr>
        <w:t xml:space="preserve">Diálisis:</w:t>
      </w:r>
      <w:r>
        <w:t xml:space="preserve"> </w:t>
      </w:r>
      <w:r>
        <w:t xml:space="preserve">En 22 pacientes en diálisis, el IGF-1 aumentó un 65 % más que con placebo, sin efectos adversos graves</w:t>
      </w:r>
      <w:r>
        <w:rPr>
          <w:rStyle w:val="FootnoteReference"/>
        </w:rPr>
        <w:footnoteReference w:id="1575"/>
      </w:r>
      <w:r>
        <w:t xml:space="preserve">.</w:t>
      </w:r>
    </w:p>
    <w:p>
      <w:pPr>
        <w:numPr>
          <w:ilvl w:val="0"/>
          <w:numId w:val="1186"/>
        </w:numPr>
        <w:pStyle w:val="Compact"/>
      </w:pPr>
      <w:r>
        <w:rPr>
          <w:bCs/>
          <w:b/>
        </w:rPr>
        <w:t xml:space="preserve">Niños con déficit de hormona del crecimiento:</w:t>
      </w:r>
      <w:r>
        <w:t xml:space="preserve"> </w:t>
      </w:r>
      <w:r>
        <w:t xml:space="preserve">Ya en 2001, el ibutamoreno aumentó la hormona del crecimiento y el IGF-1 en 18 niños</w:t>
      </w:r>
      <w:r>
        <w:rPr>
          <w:rStyle w:val="FootnoteReference"/>
        </w:rPr>
        <w:footnoteReference w:id="1576"/>
      </w:r>
      <w:r>
        <w:t xml:space="preserve">. Con el nombre LUM-201, en un estudio con 68 niños provocó respuestas de GH más altas que las pruebas de estimulación habituales</w:t>
      </w:r>
      <w:r>
        <w:rPr>
          <w:rStyle w:val="FootnoteReference"/>
        </w:rPr>
        <w:footnoteReference w:id="1577"/>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Personas mayores sanas (Nass 2008), PMID 18981485</w:t>
            </w:r>
          </w:p>
        </w:tc>
        <w:tc>
          <w:tcPr/>
          <w:p>
            <w:pPr>
              <w:pStyle w:val="Compact"/>
              <w:jc w:val="left"/>
            </w:pPr>
            <w:r>
              <w:t xml:space="preserve">65 personas de 60–81 años, ECA frente a placebo</w:t>
            </w:r>
          </w:p>
        </w:tc>
        <w:tc>
          <w:tcPr/>
          <w:p>
            <w:pPr>
              <w:pStyle w:val="Compact"/>
              <w:jc w:val="left"/>
            </w:pPr>
            <w:r>
              <w:t xml:space="preserve">2 años</w:t>
            </w:r>
          </w:p>
        </w:tc>
        <w:tc>
          <w:tcPr/>
          <w:p>
            <w:pPr>
              <w:pStyle w:val="Compact"/>
              <w:jc w:val="left"/>
            </w:pPr>
            <w:r>
              <w:t xml:space="preserve">masa libre de grasa +1,1 frente a −0,5 kg; fuerza y función sin cambios; glucosa en ayunas ↑</w:t>
            </w:r>
          </w:p>
        </w:tc>
      </w:tr>
      <w:tr>
        <w:tc>
          <w:tcPr/>
          <w:p>
            <w:pPr>
              <w:pStyle w:val="Compact"/>
              <w:jc w:val="left"/>
            </w:pPr>
            <w:r>
              <w:t xml:space="preserve">Fractura de cadera 1 (Bach 2004), PMID 15066065</w:t>
            </w:r>
          </w:p>
        </w:tc>
        <w:tc>
          <w:tcPr/>
          <w:p>
            <w:pPr>
              <w:pStyle w:val="Compact"/>
              <w:jc w:val="left"/>
            </w:pPr>
            <w:r>
              <w:t xml:space="preserve">161 personas mayores tras fractura de cadera, ECA</w:t>
            </w:r>
          </w:p>
        </w:tc>
        <w:tc>
          <w:tcPr/>
          <w:p>
            <w:pPr>
              <w:pStyle w:val="Compact"/>
              <w:jc w:val="left"/>
            </w:pPr>
            <w:r>
              <w:t xml:space="preserve">6 meses</w:t>
            </w:r>
          </w:p>
        </w:tc>
        <w:tc>
          <w:tcPr/>
          <w:p>
            <w:pPr>
              <w:pStyle w:val="Compact"/>
              <w:jc w:val="left"/>
            </w:pPr>
            <w:r>
              <w:t xml:space="preserve">IGF-1 +84 %; función no significativamente mejor</w:t>
            </w:r>
          </w:p>
        </w:tc>
      </w:tr>
      <w:tr>
        <w:tc>
          <w:tcPr/>
          <w:p>
            <w:pPr>
              <w:pStyle w:val="Compact"/>
              <w:jc w:val="left"/>
            </w:pPr>
            <w:r>
              <w:t xml:space="preserve">Fractura de cadera 2 (Adunsky 2011), PMID 21067829</w:t>
            </w:r>
          </w:p>
        </w:tc>
        <w:tc>
          <w:tcPr/>
          <w:p>
            <w:pPr>
              <w:pStyle w:val="Compact"/>
              <w:jc w:val="left"/>
            </w:pPr>
            <w:r>
              <w:t xml:space="preserve">123 personas mayores tras fractura de cadera, ECA</w:t>
            </w:r>
          </w:p>
        </w:tc>
        <w:tc>
          <w:tcPr/>
          <w:p>
            <w:pPr>
              <w:pStyle w:val="Compact"/>
              <w:jc w:val="left"/>
            </w:pPr>
            <w:r>
              <w:t xml:space="preserve">24 semanas previstas</w:t>
            </w:r>
          </w:p>
        </w:tc>
        <w:tc>
          <w:tcPr/>
          <w:p>
            <w:pPr>
              <w:pStyle w:val="Compact"/>
              <w:jc w:val="left"/>
            </w:pPr>
            <w:r>
              <w:t xml:space="preserve">interrupción por señal de insuficiencia cardiaca</w:t>
            </w:r>
          </w:p>
        </w:tc>
      </w:tr>
      <w:tr>
        <w:tc>
          <w:tcPr/>
          <w:p>
            <w:pPr>
              <w:pStyle w:val="Compact"/>
              <w:jc w:val="left"/>
            </w:pPr>
            <w:r>
              <w:t xml:space="preserve">Alzhéimer (Sevigny 2008), PMID 19015485</w:t>
            </w:r>
          </w:p>
        </w:tc>
        <w:tc>
          <w:tcPr/>
          <w:p>
            <w:pPr>
              <w:pStyle w:val="Compact"/>
              <w:jc w:val="left"/>
            </w:pPr>
            <w:r>
              <w:t xml:space="preserve">563 personas con alzhéimer, ECA</w:t>
            </w:r>
          </w:p>
        </w:tc>
        <w:tc>
          <w:tcPr/>
          <w:p>
            <w:pPr>
              <w:pStyle w:val="Compact"/>
              <w:jc w:val="left"/>
            </w:pPr>
            <w:r>
              <w:t xml:space="preserve">12 meses</w:t>
            </w:r>
          </w:p>
        </w:tc>
        <w:tc>
          <w:tcPr/>
          <w:p>
            <w:pPr>
              <w:pStyle w:val="Compact"/>
              <w:jc w:val="left"/>
            </w:pPr>
            <w:r>
              <w:t xml:space="preserve">IGF-1 +72,9 %; sin efecto en la evolución de la enfermedad</w:t>
            </w:r>
          </w:p>
        </w:tc>
      </w:tr>
      <w:tr>
        <w:tc>
          <w:tcPr/>
          <w:p>
            <w:pPr>
              <w:pStyle w:val="Compact"/>
              <w:jc w:val="left"/>
            </w:pPr>
            <w:r>
              <w:t xml:space="preserve">Osteoporosis (Murphy 2001), PMID 11238495</w:t>
            </w:r>
          </w:p>
        </w:tc>
        <w:tc>
          <w:tcPr/>
          <w:p>
            <w:pPr>
              <w:pStyle w:val="Compact"/>
              <w:jc w:val="left"/>
            </w:pPr>
            <w:r>
              <w:t xml:space="preserve">292 mujeres, ECA con alendronato</w:t>
            </w:r>
          </w:p>
        </w:tc>
        <w:tc>
          <w:tcPr/>
          <w:p>
            <w:pPr>
              <w:pStyle w:val="Compact"/>
              <w:jc w:val="left"/>
            </w:pPr>
            <w:r>
              <w:t xml:space="preserve">12–18 meses</w:t>
            </w:r>
          </w:p>
        </w:tc>
        <w:tc>
          <w:tcPr/>
          <w:p>
            <w:pPr>
              <w:pStyle w:val="Compact"/>
              <w:jc w:val="left"/>
            </w:pPr>
            <w:r>
              <w:t xml:space="preserve">solo densidad ósea del cuello femoral algo mayor</w:t>
            </w:r>
          </w:p>
        </w:tc>
      </w:tr>
    </w:tbl>
    <w:bookmarkEnd w:id="1578"/>
    <w:bookmarkEnd w:id="1579"/>
    <w:bookmarkStart w:id="1582" w:name="estudios-en-animales-y-de-laboratorio-33"/>
    <w:p>
      <w:pPr>
        <w:pStyle w:val="Heading3"/>
      </w:pPr>
      <w:r>
        <w:t xml:space="preserve">Estudios en animales y de laboratorio</w:t>
      </w:r>
    </w:p>
    <w:p>
      <w:pPr>
        <w:pStyle w:val="FirstParagraph"/>
      </w:pPr>
      <w:r>
        <w:t xml:space="preserve">En ratones con un modelo de alzhéimer, el ibutamoreno redujo los depósitos de amiloide y la pérdida de neuronas en el cerebro</w:t>
      </w:r>
      <w:r>
        <w:rPr>
          <w:rStyle w:val="FootnoteReference"/>
        </w:rPr>
        <w:footnoteReference w:id="1580"/>
      </w:r>
      <w:r>
        <w:t xml:space="preserve">, un hallazgo que en el gran estudio de alzhéimer en humanos no se tradujo en un beneficio clínico. La estructura del receptor de la grelina con ibutamoreno unido se resolvió en 2021</w:t>
      </w:r>
      <w:r>
        <w:rPr>
          <w:rStyle w:val="FootnoteReference"/>
        </w:rPr>
        <w:footnoteReference w:id="1581"/>
      </w:r>
      <w:r>
        <w:t xml:space="preserve">.</w:t>
      </w:r>
    </w:p>
    <w:bookmarkEnd w:id="1582"/>
    <w:bookmarkStart w:id="1593" w:name="riesgos-y-efectos-adversos-33"/>
    <w:p>
      <w:pPr>
        <w:pStyle w:val="Heading3"/>
      </w:pPr>
      <w:r>
        <w:t xml:space="preserve">Riesgos y efectos adversos</w:t>
      </w:r>
    </w:p>
    <w:p>
      <w:pPr>
        <w:pStyle w:val="FirstParagraph"/>
      </w:pPr>
      <w:r>
        <w:rPr>
          <w:bCs/>
          <w:b/>
        </w:rPr>
        <w:t xml:space="preserve">Demostrado en estudios aleatorizados:</w:t>
      </w:r>
    </w:p>
    <w:p>
      <w:pPr>
        <w:numPr>
          <w:ilvl w:val="0"/>
          <w:numId w:val="1187"/>
        </w:numPr>
        <w:pStyle w:val="Compact"/>
      </w:pPr>
      <w:r>
        <w:rPr>
          <w:bCs/>
          <w:b/>
        </w:rPr>
        <w:t xml:space="preserve">Señal de insuficiencia cardiaca:</w:t>
      </w:r>
      <w:r>
        <w:t xml:space="preserve"> </w:t>
      </w:r>
      <w:r>
        <w:t xml:space="preserve">interrupción de un estudio en personas mayores tras fractura de cadera por casos de insuficiencia cardiaca</w:t>
      </w:r>
      <w:r>
        <w:rPr>
          <w:rStyle w:val="FootnoteReference"/>
        </w:rPr>
        <w:footnoteReference w:id="1583"/>
      </w:r>
      <w:r>
        <w:t xml:space="preserve">. El resumen no indica cuántos casos fueron. La retención de líquidos forma parte de los efectos conocidos de unos niveles elevados de hormona del crecimiento y sobrecarga un corazón previamente dañado.</w:t>
      </w:r>
    </w:p>
    <w:p>
      <w:pPr>
        <w:numPr>
          <w:ilvl w:val="0"/>
          <w:numId w:val="1187"/>
        </w:numPr>
        <w:pStyle w:val="Compact"/>
      </w:pPr>
      <w:r>
        <w:rPr>
          <w:bCs/>
          <w:b/>
        </w:rPr>
        <w:t xml:space="preserve">Glucosa:</w:t>
      </w:r>
      <w:r>
        <w:t xml:space="preserve"> </w:t>
      </w:r>
      <w:r>
        <w:t xml:space="preserve">aumento de la glucosa en ayunas y menor sensibilidad a la insulina</w:t>
      </w:r>
      <w:r>
        <w:rPr>
          <w:rStyle w:val="FootnoteReference"/>
        </w:rPr>
        <w:footnoteReference w:id="1584"/>
      </w:r>
      <w:r>
        <w:t xml:space="preserve">; empeoramiento de la tolerancia a la glucosa en hombres con sobrepeso</w:t>
      </w:r>
      <w:r>
        <w:rPr>
          <w:rStyle w:val="FootnoteReference"/>
        </w:rPr>
        <w:footnoteReference w:id="1585"/>
      </w:r>
      <w:r>
        <w:t xml:space="preserve">.</w:t>
      </w:r>
    </w:p>
    <w:p>
      <w:pPr>
        <w:numPr>
          <w:ilvl w:val="0"/>
          <w:numId w:val="1187"/>
        </w:numPr>
        <w:pStyle w:val="Compact"/>
      </w:pPr>
      <w:r>
        <w:rPr>
          <w:bCs/>
          <w:b/>
        </w:rPr>
        <w:t xml:space="preserve">Aumento de peso y apetito:</w:t>
      </w:r>
      <w:r>
        <w:t xml:space="preserve"> </w:t>
      </w:r>
      <w:r>
        <w:t xml:space="preserve">más peso corporal, más grasa en brazos y piernas, más hambre</w:t>
      </w:r>
      <w:r>
        <w:rPr>
          <w:rStyle w:val="FootnoteReference"/>
        </w:rPr>
        <w:footnoteReference w:id="1586"/>
      </w:r>
      <w:r>
        <w:t xml:space="preserve">.</w:t>
      </w:r>
    </w:p>
    <w:p>
      <w:pPr>
        <w:numPr>
          <w:ilvl w:val="0"/>
          <w:numId w:val="1187"/>
        </w:numPr>
        <w:pStyle w:val="Compact"/>
      </w:pPr>
      <w:r>
        <w:rPr>
          <w:bCs/>
          <w:b/>
        </w:rPr>
        <w:t xml:space="preserve">Retención de líquidos y dolores musculares</w:t>
      </w:r>
      <w:r>
        <w:rPr>
          <w:rStyle w:val="FootnoteReference"/>
        </w:rPr>
        <w:footnoteReference w:id="1587"/>
      </w:r>
      <w:r>
        <w:t xml:space="preserve">.</w:t>
      </w:r>
    </w:p>
    <w:p>
      <w:pPr>
        <w:pStyle w:val="FirstParagraph"/>
      </w:pPr>
      <w:r>
        <w:rPr>
          <w:bCs/>
          <w:b/>
        </w:rPr>
        <w:t xml:space="preserve">Informes de casos del uso en el mercado gris:</w:t>
      </w:r>
      <w:r>
        <w:t xml:space="preserve"> </w:t>
      </w:r>
      <w:r>
        <w:t xml:space="preserve">Un hombre de poco más de 30 años presentó, tras dos meses de toma de MK-677, una elevación de las enzimas hepáticas que se normalizó tras la suspensión</w:t>
      </w:r>
      <w:r>
        <w:rPr>
          <w:rStyle w:val="FootnoteReference"/>
        </w:rPr>
        <w:footnoteReference w:id="1588"/>
      </w:r>
      <w:r>
        <w:t xml:space="preserve">. Un hombre de 40 años desarrolló crecimiento mamario y un déficit de testosterona; sus suplementos de fitness contenían, además de MK-677, también un SARM, cardarine y hormonas no declaradas</w:t>
      </w:r>
      <w:r>
        <w:rPr>
          <w:rStyle w:val="FootnoteReference"/>
        </w:rPr>
        <w:footnoteReference w:id="1589"/>
      </w:r>
      <w:r>
        <w:t xml:space="preserve">.</w:t>
      </w:r>
    </w:p>
    <w:p>
      <w:pPr>
        <w:pStyle w:val="BodyText"/>
      </w:pPr>
      <w:r>
        <w:rPr>
          <w:bCs/>
          <w:b/>
        </w:rPr>
        <w:t xml:space="preserve">Cáncer:</w:t>
      </w:r>
      <w:r>
        <w:t xml:space="preserve"> </w:t>
      </w:r>
      <w:r>
        <w:t xml:space="preserve">El ibutamoreno eleva el IGF-1 durante meses o años hasta el nivel de los adultos jóvenes. En los estudios no se comunicó ninguna señal de cáncer, pero no eran lo bastante grandes ni largos para ello. Una revisión sobre los liberadores de GH reclama expresamente datos a largo plazo sobre cáncer y mortalidad</w:t>
      </w:r>
      <w:r>
        <w:rPr>
          <w:rStyle w:val="FootnoteReference"/>
        </w:rPr>
        <w:footnoteReference w:id="1590"/>
      </w:r>
      <w:r>
        <w:t xml:space="preserve">. Sobre los datos generales, véanse la introducción de este grupo y la Parte IV.</w:t>
      </w:r>
    </w:p>
    <w:p>
      <w:pPr>
        <w:pStyle w:val="BodyText"/>
      </w:pPr>
      <w:r>
        <w:rPr>
          <w:bCs/>
          <w:b/>
        </w:rPr>
        <w:t xml:space="preserve">Calidad en el mercado gris:</w:t>
      </w:r>
      <w:r>
        <w:t xml:space="preserve"> </w:t>
      </w:r>
      <w:r>
        <w:t xml:space="preserve">En un análisis estadounidense de 44 productos vendidos en internet como SARM, el 39 % contenía en su lugar o además otras sustancias no autorizadas, entre ellas ibutamoreno; solo el 41 % contenía la cantidad indicada del principio activo</w:t>
      </w:r>
      <w:r>
        <w:rPr>
          <w:rStyle w:val="FootnoteReference"/>
        </w:rPr>
        <w:footnoteReference w:id="1591"/>
      </w:r>
      <w:r>
        <w:t xml:space="preserve">. Una vigilancia del mercado europeo con 324 muestras de 13 países encontró el ibutamoreno como el principio activo más frecuente entre los preparados para el desarrollo muscular analizados; el 24 % de los productos se presentaba como complemento alimenticio</w:t>
      </w:r>
      <w:r>
        <w:rPr>
          <w:rStyle w:val="FootnoteReference"/>
        </w:rPr>
        <w:footnoteReference w:id="1592"/>
      </w:r>
      <w:r>
        <w:t xml:space="preserve">.</w:t>
      </w:r>
    </w:p>
    <w:bookmarkEnd w:id="1593"/>
    <w:bookmarkStart w:id="1595" w:name="situación-legal-33"/>
    <w:p>
      <w:pPr>
        <w:pStyle w:val="Heading3"/>
      </w:pPr>
      <w:r>
        <w:t xml:space="preserve">Situación legal</w:t>
      </w:r>
    </w:p>
    <w:p>
      <w:pPr>
        <w:pStyle w:val="FirstParagraph"/>
      </w:pPr>
      <w:r>
        <w:rPr>
          <w:iCs/>
          <w:i/>
        </w:rPr>
        <w:t xml:space="preserve">Situación en 2026; comprueba la información actualizada.</w:t>
      </w:r>
    </w:p>
    <w:p>
      <w:pPr>
        <w:numPr>
          <w:ilvl w:val="0"/>
          <w:numId w:val="1188"/>
        </w:numPr>
        <w:pStyle w:val="Compact"/>
      </w:pPr>
      <w:r>
        <w:rPr>
          <w:bCs/>
          <w:b/>
        </w:rPr>
        <w:t xml:space="preserve">UE, Alemania, Austria:</w:t>
      </w:r>
      <w:r>
        <w:t xml:space="preserve"> </w:t>
      </w:r>
      <w:r>
        <w:t xml:space="preserve">sin autorización. El ibutamoreno es un principio activo no autorizado; no puede comercializarse como complemento alimenticio. Quien lo ofrece para uso en humanos infringe la legislación farmacéutica.</w:t>
      </w:r>
    </w:p>
    <w:p>
      <w:pPr>
        <w:numPr>
          <w:ilvl w:val="0"/>
          <w:numId w:val="1188"/>
        </w:numPr>
        <w:pStyle w:val="Compact"/>
      </w:pPr>
      <w:r>
        <w:rPr>
          <w:bCs/>
          <w:b/>
        </w:rPr>
        <w:t xml:space="preserve">EE. UU.:</w:t>
      </w:r>
      <w:r>
        <w:t xml:space="preserve"> </w:t>
      </w:r>
      <w:r>
        <w:t xml:space="preserve">sin autorización; aun así se vende como «research chemical» o en suplementos.</w:t>
      </w:r>
    </w:p>
    <w:p>
      <w:pPr>
        <w:numPr>
          <w:ilvl w:val="0"/>
          <w:numId w:val="1188"/>
        </w:numPr>
        <w:pStyle w:val="Compact"/>
      </w:pPr>
      <w:r>
        <w:rPr>
          <w:bCs/>
          <w:b/>
        </w:rPr>
        <w:t xml:space="preserve">WADA:</w:t>
      </w:r>
      <w:r>
        <w:t xml:space="preserve"> </w:t>
      </w:r>
      <w:r>
        <w:t xml:space="preserve">prohibido (S2). También se controla en la hípica, por ejemplo mediante análisis de pelo</w:t>
      </w:r>
      <w:r>
        <w:rPr>
          <w:rStyle w:val="FootnoteReference"/>
        </w:rPr>
        <w:footnoteReference w:id="1594"/>
      </w:r>
      <w:r>
        <w:t xml:space="preserve">.</w:t>
      </w:r>
    </w:p>
    <w:bookmarkEnd w:id="1595"/>
    <w:bookmarkStart w:id="1600" w:name="estudios-en-curso-y-perspectivas-33"/>
    <w:p>
      <w:pPr>
        <w:pStyle w:val="Heading3"/>
      </w:pPr>
      <w:r>
        <w:t xml:space="preserve">Estudios en curso y perspectivas</w:t>
      </w:r>
    </w:p>
    <w:p>
      <w:pPr>
        <w:pStyle w:val="FirstParagraph"/>
      </w:pPr>
      <w:r>
        <w:rPr>
          <w:iCs/>
          <w:i/>
        </w:rPr>
        <w:t xml:space="preserve">Confirmado:</w:t>
      </w:r>
      <w:r>
        <w:t xml:space="preserve"> </w:t>
      </w:r>
      <w:r>
        <w:t xml:space="preserve">Con el nombre LUM-201, el ibutamoreno se está desarrollando en comprimidos para niños con déficit de hormona del crecimiento. Un estudio de fase 2 con 104 niños</w:t>
      </w:r>
      <w:r>
        <w:rPr>
          <w:rStyle w:val="FootnoteReference"/>
        </w:rPr>
        <w:footnoteReference w:id="1596"/>
      </w:r>
      <w:r>
        <w:t xml:space="preserve"> </w:t>
      </w:r>
      <w:r>
        <w:t xml:space="preserve">ha concluido; un estudio de fase 3 con 150 niños previstos recluta desde 2026</w:t>
      </w:r>
      <w:r>
        <w:rPr>
          <w:rStyle w:val="FootnoteReference"/>
        </w:rPr>
        <w:footnoteReference w:id="1597"/>
      </w:r>
      <w:r>
        <w:t xml:space="preserve">, y está previsto un estudio de seguridad a largo plazo</w:t>
      </w:r>
      <w:r>
        <w:rPr>
          <w:rStyle w:val="FootnoteReference"/>
        </w:rPr>
        <w:footnoteReference w:id="1598"/>
      </w:r>
      <w:r>
        <w:t xml:space="preserve">. Otro estudio de fase 2 examinará a partir de 2027 el LUM-201 junto con semaglutida en personas mayores con obesidad, para limitar la pérdida muscular al adelgazar</w:t>
      </w:r>
      <w:r>
        <w:rPr>
          <w:rStyle w:val="FootnoteReference"/>
        </w:rPr>
        <w:footnoteReference w:id="1599"/>
      </w:r>
      <w:r>
        <w:t xml:space="preserve">.</w:t>
      </w:r>
    </w:p>
    <w:p>
      <w:pPr>
        <w:pStyle w:val="BodyText"/>
      </w:pPr>
      <w:r>
        <w:rPr>
          <w:iCs/>
          <w:i/>
        </w:rPr>
        <w:t xml:space="preserve">Valoración del autor:</w:t>
      </w:r>
      <w:r>
        <w:t xml:space="preserve"> </w:t>
      </w:r>
      <w:r>
        <w:t xml:space="preserve">Una autorización para niños solo sería concebible tras la conclusión del estudio de fase 3, es decir, no antes de finales de la década de 2020. Una autorización para adultos mayores no se vislumbra tras la señal de insuficiencia cardiaca y la ausencia de mejoras funcionales.</w:t>
      </w:r>
    </w:p>
    <w:bookmarkEnd w:id="1600"/>
    <w:bookmarkStart w:id="1601" w:name="conclusión-33"/>
    <w:p>
      <w:pPr>
        <w:pStyle w:val="Heading3"/>
      </w:pPr>
      <w:r>
        <w:t xml:space="preserve">Conclusión</w:t>
      </w:r>
    </w:p>
    <w:p>
      <w:pPr>
        <w:pStyle w:val="FirstParagraph"/>
      </w:pPr>
      <w:r>
        <w:t xml:space="preserve">El ibutamoreno es el agente activo por vía oral más exhaustivamente estudiado que estimula de forma continuada el eje de la hormona del crecimiento. Los estudios muestran el patrón básico de todo el grupo: el IGF-1 y la masa magra aumentan, pero la fuerza, la función y la evolución de las enfermedades –en la vejez, la fractura de cadera y el alzhéimer– no mejoraron. En cambio, aumentaron la glucosa y el peso, y un estudio en personas mayores se interrumpió por insuficiencia cardiaca. Los productos del mercado gris con «MK-677» suelen estar mal etiquetados.</w:t>
      </w:r>
    </w:p>
    <w:bookmarkEnd w:id="1601"/>
    <w:bookmarkEnd w:id="1602"/>
    <w:bookmarkEnd w:id="1603"/>
    <w:bookmarkStart w:id="1958" w:name="parte-ii-d-cerebro-sueño-y-longevidad"/>
    <w:p>
      <w:pPr>
        <w:pStyle w:val="Heading1"/>
      </w:pPr>
      <w:r>
        <w:t xml:space="preserve">Parte II · D – Cerebro, sueño y longevidad</w:t>
      </w:r>
    </w:p>
    <w:p>
      <w:pPr>
        <w:pStyle w:val="FirstParagraph"/>
      </w:pPr>
      <w:r>
        <w:t xml:space="preserve">Pocos grupos de péptidos se promocionan en internet de forma tan prometedora como este: sustancias para mejorar la concentración y la memoria («nootrópicos»), para un sueño más profundo, para telómeros más largos y «mitocondrias más jóvenes». Lo que tienen en común los doce principios activos de esta sección es que actúan sobre el cerebro, el envejecimiento celular o el metabolismo energético, y que la distancia entre las promesas y las pruebas es aquí especialmente grande.</w:t>
      </w:r>
    </w:p>
    <w:bookmarkStart w:id="1604" w:name="qué-une-a-estos-péptidos"/>
    <w:p>
      <w:pPr>
        <w:pStyle w:val="Heading3"/>
      </w:pPr>
      <w:r>
        <w:t xml:space="preserve">Qué une a estos péptidos</w:t>
      </w:r>
    </w:p>
    <w:p>
      <w:pPr>
        <w:pStyle w:val="FirstParagraph"/>
      </w:pPr>
      <w:r>
        <w:t xml:space="preserve">El grupo puede dividirse a grandes rasgos en tres familias:</w:t>
      </w:r>
    </w:p>
    <w:p>
      <w:pPr>
        <w:numPr>
          <w:ilvl w:val="0"/>
          <w:numId w:val="1189"/>
        </w:numPr>
        <w:pStyle w:val="Compact"/>
      </w:pPr>
      <w:r>
        <w:rPr>
          <w:bCs/>
          <w:b/>
        </w:rPr>
        <w:t xml:space="preserve">Neuropéptidos rusos y «biorreguladores»:</w:t>
      </w:r>
      <w:r>
        <w:t xml:space="preserve"> </w:t>
      </w:r>
      <w:r>
        <w:t xml:space="preserve">Semax, Selank, DSIP, Epitalon y Pinealon proceden de la investigación soviética y rusa. La cerebrolisina, una mezcla de péptidos obtenida de cerebro de cerdo, procede de Austria, pero se utiliza sobre todo en Europa del Este y en Asia.</w:t>
      </w:r>
    </w:p>
    <w:p>
      <w:pPr>
        <w:numPr>
          <w:ilvl w:val="0"/>
          <w:numId w:val="1189"/>
        </w:numPr>
        <w:pStyle w:val="Compact"/>
      </w:pPr>
      <w:r>
        <w:rPr>
          <w:bCs/>
          <w:b/>
        </w:rPr>
        <w:t xml:space="preserve">Péptidos mitocondriales:</w:t>
      </w:r>
      <w:r>
        <w:t xml:space="preserve"> </w:t>
      </w:r>
      <w:r>
        <w:t xml:space="preserve">MOTS-c y la humanina son sustancias señalizadoras propias del organismo, codificadas en el material genético de las mitocondrias. SS-31 (elamipretida) es un péptido artificial que se une de forma selectiva a la membrana mitocondrial.</w:t>
      </w:r>
    </w:p>
    <w:p>
      <w:pPr>
        <w:numPr>
          <w:ilvl w:val="0"/>
          <w:numId w:val="1189"/>
        </w:numPr>
        <w:pStyle w:val="Compact"/>
      </w:pPr>
      <w:r>
        <w:rPr>
          <w:bCs/>
          <w:b/>
        </w:rPr>
        <w:t xml:space="preserve">Moléculas experimentales «antienvejecimiento»:</w:t>
      </w:r>
      <w:r>
        <w:t xml:space="preserve"> </w:t>
      </w:r>
      <w:r>
        <w:t xml:space="preserve">Dihexa (un derivado de la angiotensina IV) y FOXO4-DRI (un senolítico que debería eliminar las células envejecidas) nunca se han estudiado en seres humanos. Por último, el glutatión es un tripéptido propio del organismo que se vende como complemento alimenticio y en infusión.</w:t>
      </w:r>
    </w:p>
    <w:bookmarkEnd w:id="1604"/>
    <w:bookmarkStart w:id="1605" w:name="X86b6f1841588d01c672de7e4ef1203116b61ae1"/>
    <w:p>
      <w:pPr>
        <w:pStyle w:val="Heading3"/>
      </w:pPr>
      <w:r>
        <w:t xml:space="preserve">El mundo de los nootrópicos y la longevidad</w:t>
      </w:r>
    </w:p>
    <w:p>
      <w:pPr>
        <w:pStyle w:val="FirstParagraph"/>
      </w:pPr>
      <w:r>
        <w:t xml:space="preserve">Quien busca estas sustancias en internet acaba rápidamente en foros, con influencers y en «clínicas de longevidad». Son típicos tres errores de razonamiento que encontrarás una y otra vez en los capítulos siguientes:</w:t>
      </w:r>
    </w:p>
    <w:p>
      <w:pPr>
        <w:numPr>
          <w:ilvl w:val="0"/>
          <w:numId w:val="1190"/>
        </w:numPr>
        <w:pStyle w:val="Compact"/>
      </w:pPr>
      <w:r>
        <w:rPr>
          <w:bCs/>
          <w:b/>
        </w:rPr>
        <w:t xml:space="preserve">Del animal al ser humano:</w:t>
      </w:r>
      <w:r>
        <w:t xml:space="preserve"> </w:t>
      </w:r>
      <w:r>
        <w:t xml:space="preserve">Que un péptido mejore la memoria o la esperanza de vida en ratones dice poco sobre si actúa en el ser humano. En la investigación sobre el ictus y el alzhéimer, cientos de principios activos con éxito en animales han fracasado en humanos.</w:t>
      </w:r>
    </w:p>
    <w:p>
      <w:pPr>
        <w:numPr>
          <w:ilvl w:val="0"/>
          <w:numId w:val="1190"/>
        </w:numPr>
        <w:pStyle w:val="Compact"/>
      </w:pPr>
      <w:r>
        <w:rPr>
          <w:bCs/>
          <w:b/>
        </w:rPr>
        <w:t xml:space="preserve">Del nivel en sangre a la inyección:</w:t>
      </w:r>
      <w:r>
        <w:t xml:space="preserve"> </w:t>
      </w:r>
      <w:r>
        <w:t xml:space="preserve">Que las personas con niveles bajos de MOTS-c o de humanina enfermen con más frecuencia no demuestra que su aporte sea saludable.</w:t>
      </w:r>
    </w:p>
    <w:p>
      <w:pPr>
        <w:numPr>
          <w:ilvl w:val="0"/>
          <w:numId w:val="1190"/>
        </w:numPr>
        <w:pStyle w:val="Compact"/>
      </w:pPr>
      <w:r>
        <w:rPr>
          <w:bCs/>
          <w:b/>
        </w:rPr>
        <w:t xml:space="preserve">Del mecanismo al beneficio:</w:t>
      </w:r>
      <w:r>
        <w:t xml:space="preserve"> </w:t>
      </w:r>
      <w:r>
        <w:t xml:space="preserve">Un mecanismo coherente –«protege las mitocondrias», «alarga los telómeros»– no equivale a eficacia. SS-31 es el mejor ejemplo: se evaluó en varios estudios grandes y no alcanzó los objetivos principales en el infarto de miocardio, la insuficiencia cardiaca y la miopatía mitocondrial.</w:t>
      </w:r>
    </w:p>
    <w:p>
      <w:pPr>
        <w:pStyle w:val="FirstParagraph"/>
      </w:pPr>
      <w:r>
        <w:t xml:space="preserve">A ello se suma que casi todas estas sustancias se venden en el mercado gris como «research peptides», sin control de calidad (véanse la Parte I y la Parte IV).</w:t>
      </w:r>
    </w:p>
    <w:bookmarkEnd w:id="1605"/>
    <w:bookmarkStart w:id="1606" w:name="Xd92f64d9968c943e2b0610b6d36d3feb2f0fcd1"/>
    <w:p>
      <w:pPr>
        <w:pStyle w:val="Heading3"/>
      </w:pPr>
      <w:r>
        <w:t xml:space="preserve">La investigación rusa sobre péptidos y su situación de publicación</w:t>
      </w:r>
    </w:p>
    <w:p>
      <w:pPr>
        <w:pStyle w:val="FirstParagraph"/>
      </w:pPr>
      <w:r>
        <w:t xml:space="preserve">Una gran parte de la literatura sobre Semax, Selank, DSIP, Epitalon y Pinealon procede de unos pocos institutos de Moscú y San Petersburgo. Esto no es motivo para rechazar esa investigación en bloque, pero sí para ser prudentes:</w:t>
      </w:r>
    </w:p>
    <w:p>
      <w:pPr>
        <w:numPr>
          <w:ilvl w:val="0"/>
          <w:numId w:val="1191"/>
        </w:numPr>
        <w:pStyle w:val="Compact"/>
      </w:pPr>
      <w:r>
        <w:rPr>
          <w:bCs/>
          <w:b/>
        </w:rPr>
        <w:t xml:space="preserve">Autorización sin estándares internacionales:</w:t>
      </w:r>
      <w:r>
        <w:t xml:space="preserve"> </w:t>
      </w:r>
      <w:r>
        <w:t xml:space="preserve">Algunos péptidos están registrados como medicamentos en Rusia sin que se hayan publicado estudios grandes, ciegos y registrados previamente como los que exigen la UE o EE. UU.</w:t>
      </w:r>
    </w:p>
    <w:p>
      <w:pPr>
        <w:numPr>
          <w:ilvl w:val="0"/>
          <w:numId w:val="1191"/>
        </w:numPr>
        <w:pStyle w:val="Compact"/>
      </w:pPr>
      <w:r>
        <w:rPr>
          <w:bCs/>
          <w:b/>
        </w:rPr>
        <w:t xml:space="preserve">Estudios pequeños y no controlados:</w:t>
      </w:r>
      <w:r>
        <w:t xml:space="preserve"> </w:t>
      </w:r>
      <w:r>
        <w:t xml:space="preserve">Muchos trabajos clínicos carecen de grupo placebo o de asignación aleatoria, o no indican cifras en el resumen.</w:t>
      </w:r>
    </w:p>
    <w:p>
      <w:pPr>
        <w:numPr>
          <w:ilvl w:val="0"/>
          <w:numId w:val="1191"/>
        </w:numPr>
        <w:pStyle w:val="Compact"/>
      </w:pPr>
      <w:r>
        <w:rPr>
          <w:bCs/>
          <w:b/>
        </w:rPr>
        <w:t xml:space="preserve">Idioma y acceso:</w:t>
      </w:r>
      <w:r>
        <w:t xml:space="preserve"> </w:t>
      </w:r>
      <w:r>
        <w:t xml:space="preserve">Muchos trabajos solo se publican en ruso, a menudo en revistas en las que los propios grupos de autores publican con frecuencia.</w:t>
      </w:r>
    </w:p>
    <w:p>
      <w:pPr>
        <w:numPr>
          <w:ilvl w:val="0"/>
          <w:numId w:val="1191"/>
        </w:numPr>
        <w:pStyle w:val="Compact"/>
      </w:pPr>
      <w:r>
        <w:rPr>
          <w:bCs/>
          <w:b/>
        </w:rPr>
        <w:t xml:space="preserve">Falta de replicación:</w:t>
      </w:r>
      <w:r>
        <w:t xml:space="preserve"> </w:t>
      </w:r>
      <w:r>
        <w:t xml:space="preserve">Grupos independientes fuera de Rusia rara vez han comprobado los resultados y, cuando lo han hecho, a menudo con resultados decepcionantes, como en el caso del DSIP.</w:t>
      </w:r>
    </w:p>
    <w:p>
      <w:pPr>
        <w:numPr>
          <w:ilvl w:val="0"/>
          <w:numId w:val="1191"/>
        </w:numPr>
        <w:pStyle w:val="Compact"/>
      </w:pPr>
      <w:r>
        <w:rPr>
          <w:bCs/>
          <w:b/>
        </w:rPr>
        <w:t xml:space="preserve">Sin registros:</w:t>
      </w:r>
      <w:r>
        <w:t xml:space="preserve"> </w:t>
      </w:r>
      <w:r>
        <w:t xml:space="preserve">Para Semax, Selank, DSIP y Pinealon no figura ni un solo estudio en ClinicalTrials.gov.</w:t>
      </w:r>
    </w:p>
    <w:bookmarkEnd w:id="1606"/>
    <w:bookmarkStart w:id="1607" w:name="visión-general-1"/>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solo Rusia</w:t>
            </w:r>
          </w:p>
        </w:tc>
        <w:tc>
          <w:tcPr/>
          <w:p>
            <w:pPr>
              <w:pStyle w:val="Compact"/>
              <w:jc w:val="left"/>
            </w:pPr>
            <w:r>
              <w:t xml:space="preserve">fragmento de ACTH; pequeños estudios en ictus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solo Rusia</w:t>
            </w:r>
          </w:p>
        </w:tc>
        <w:tc>
          <w:tcPr/>
          <w:p>
            <w:pPr>
              <w:pStyle w:val="Compact"/>
              <w:jc w:val="left"/>
            </w:pPr>
            <w:r>
              <w:t xml:space="preserve">ansiolítico; sin estudios con placebo</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entre otros Austria</w:t>
            </w:r>
          </w:p>
        </w:tc>
        <w:tc>
          <w:tcPr/>
          <w:p>
            <w:pPr>
              <w:pStyle w:val="Compact"/>
              <w:jc w:val="left"/>
            </w:pPr>
            <w:r>
              <w:t xml:space="preserve">muchos ECA, Cochrane prudente</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w:t>
            </w:r>
          </w:p>
        </w:tc>
        <w:tc>
          <w:tcPr/>
          <w:p>
            <w:pPr>
              <w:pStyle w:val="Compact"/>
              <w:jc w:val="left"/>
            </w:pPr>
            <w:r>
              <w:t xml:space="preserve">solo datos en animales; cuestión del cáncer abierta</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w:t>
            </w:r>
          </w:p>
        </w:tc>
        <w:tc>
          <w:tcPr/>
          <w:p>
            <w:pPr>
              <w:pStyle w:val="Compact"/>
              <w:jc w:val="left"/>
            </w:pPr>
            <w:r>
              <w:t xml:space="preserve">«péptido del sueño» sin beneficio confirmado</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promesa sobre los telómeros solo en el laboratorio</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pequeñas observaciones rusas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w:t>
            </w:r>
          </w:p>
        </w:tc>
        <w:tc>
          <w:tcPr/>
          <w:p>
            <w:pPr>
              <w:pStyle w:val="Compact"/>
              <w:jc w:val="left"/>
            </w:pPr>
            <w:r>
              <w:t xml:space="preserve">en ratones sí, en humanos solo niveles en sangre</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no</w:t>
            </w:r>
          </w:p>
        </w:tc>
        <w:tc>
          <w:tcPr/>
          <w:p>
            <w:pPr>
              <w:pStyle w:val="Compact"/>
              <w:jc w:val="left"/>
            </w:pPr>
            <w:r>
              <w:t xml:space="preserve">biomarcador; en animales favorece tumores</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EE. UU. (síndrome de Barth)</w:t>
            </w:r>
          </w:p>
        </w:tc>
        <w:tc>
          <w:tcPr/>
          <w:p>
            <w:pPr>
              <w:pStyle w:val="Compact"/>
              <w:jc w:val="left"/>
            </w:pPr>
            <w:r>
              <w:t xml:space="preserve">estudios grandes mayoritariamente negativos</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w:t>
            </w:r>
          </w:p>
        </w:tc>
        <w:tc>
          <w:tcPr/>
          <w:p>
            <w:pPr>
              <w:pStyle w:val="Compact"/>
              <w:jc w:val="left"/>
            </w:pPr>
            <w:r>
              <w:t xml:space="preserve">senolítico, solo datos en animales</w:t>
            </w:r>
          </w:p>
        </w:tc>
      </w:tr>
      <w:tr>
        <w:tc>
          <w:tcPr/>
          <w:p>
            <w:pPr>
              <w:pStyle w:val="Compact"/>
              <w:jc w:val="left"/>
            </w:pPr>
            <w:r>
              <w:t xml:space="preserve">Glutatión</w:t>
            </w:r>
          </w:p>
        </w:tc>
        <w:tc>
          <w:tcPr/>
          <w:p>
            <w:pPr>
              <w:pStyle w:val="Compact"/>
              <w:jc w:val="left"/>
            </w:pPr>
            <w:r>
              <w:t xml:space="preserve">B</w:t>
            </w:r>
          </w:p>
        </w:tc>
        <w:tc>
          <w:tcPr/>
          <w:p>
            <w:pPr>
              <w:pStyle w:val="Compact"/>
              <w:jc w:val="left"/>
            </w:pPr>
            <w:r>
              <w:t xml:space="preserve">complemento alimenticio</w:t>
            </w:r>
          </w:p>
        </w:tc>
        <w:tc>
          <w:tcPr/>
          <w:p>
            <w:pPr>
              <w:pStyle w:val="Compact"/>
              <w:jc w:val="left"/>
            </w:pPr>
            <w:r>
              <w:t xml:space="preserve">infusiones para aclarar la piel, arriesgadas</w:t>
            </w:r>
          </w:p>
        </w:tc>
      </w:tr>
    </w:tbl>
    <w:bookmarkEnd w:id="1607"/>
    <w:bookmarkStart w:id="1608" w:name="nota-de-lectura"/>
    <w:p>
      <w:pPr>
        <w:pStyle w:val="Heading3"/>
      </w:pPr>
      <w:r>
        <w:t xml:space="preserve">Nota de lectura</w:t>
      </w:r>
    </w:p>
    <w:p>
      <w:pPr>
        <w:pStyle w:val="FirstParagraph"/>
      </w:pPr>
      <w:r>
        <w:t xml:space="preserve">Los capítulos siguen la estructura uniforme de este libro. Presta especial atención en cada capítulo al apartado «Estudios en humanos» y, dentro de él, a la magnitud de los datos disponibles: en nueve de los doce péptidos no existe ningún estudio en el que personas recibieran el principio activo, o solo hay investigaciones muy pequeñas y metodológicamente débiles. La situación legal y el estatus ante la FDA cambiaron varias veces en 2026; los datos corresponden a la situación de octubre de 2026 y conviene comprobarlos en su versión actual.</w:t>
      </w:r>
    </w:p>
    <w:bookmarkEnd w:id="1608"/>
    <w:bookmarkStart w:id="1637" w:name="semax"/>
    <w:p>
      <w:pPr>
        <w:pStyle w:val="Heading2"/>
      </w:pPr>
      <w:r>
        <w:t xml:space="preserve">Semax</w:t>
      </w:r>
    </w:p>
    <w:bookmarkStart w:id="1609" w:name="ficha-34"/>
    <w:p>
      <w:pPr>
        <w:pStyle w:val="Heading3"/>
      </w:pPr>
      <w:r>
        <w:t xml:space="preserve">Ficha</w:t>
      </w:r>
    </w:p>
    <w:p>
      <w:pPr>
        <w:numPr>
          <w:ilvl w:val="0"/>
          <w:numId w:val="1192"/>
        </w:numPr>
        <w:pStyle w:val="Compact"/>
      </w:pPr>
      <w:r>
        <w:rPr>
          <w:bCs/>
          <w:b/>
        </w:rPr>
        <w:t xml:space="preserve">Tipo y estructura:</w:t>
      </w:r>
      <w:r>
        <w:t xml:space="preserve"> </w:t>
      </w:r>
      <w:r>
        <w:t xml:space="preserve">heptapéptido sintético (siete aminoácidos: Met-Glu-His-Phe-Pro-Gly-Pro). Los cuatro primeros componentes corresponden a un fragmento de la hormona del estrés ACTH (hormona adrenocorticotropa, segmento 4–7), al que se ha añadido el tripéptido Pro-Gly-Pro, que debería ralentizar su degradación.</w:t>
      </w:r>
    </w:p>
    <w:p>
      <w:pPr>
        <w:numPr>
          <w:ilvl w:val="0"/>
          <w:numId w:val="1192"/>
        </w:numPr>
        <w:pStyle w:val="Compact"/>
      </w:pPr>
      <w:r>
        <w:rPr>
          <w:bCs/>
          <w:b/>
        </w:rPr>
        <w:t xml:space="preserve">Origen:</w:t>
      </w:r>
      <w:r>
        <w:t xml:space="preserve"> </w:t>
      </w:r>
      <w:r>
        <w:t xml:space="preserve">desarrollado a partir de la década de 1980 en el Instituto de Genética Molecular de la Academia Rusa de Ciencias, en Moscú.</w:t>
      </w:r>
    </w:p>
    <w:p>
      <w:pPr>
        <w:numPr>
          <w:ilvl w:val="0"/>
          <w:numId w:val="1192"/>
        </w:numPr>
        <w:pStyle w:val="Compact"/>
      </w:pPr>
      <w:r>
        <w:rPr>
          <w:bCs/>
          <w:b/>
        </w:rPr>
        <w:t xml:space="preserve">Mecanismo de acción:</w:t>
      </w:r>
      <w:r>
        <w:t xml:space="preserve"> </w:t>
      </w:r>
      <w:r>
        <w:t xml:space="preserve">debería estimular la formación de factores de crecimiento nervioso (sobre todo BDNF) y proteger las neuronas en caso de falta de oxígeno; a diferencia de la ACTH, no estimula a la glándula suprarrenal a liberar cortisol. Se administra en gotas nasales.</w:t>
      </w:r>
    </w:p>
    <w:p>
      <w:pPr>
        <w:numPr>
          <w:ilvl w:val="0"/>
          <w:numId w:val="1192"/>
        </w:numPr>
        <w:pStyle w:val="Compact"/>
      </w:pPr>
      <w:r>
        <w:rPr>
          <w:bCs/>
          <w:b/>
        </w:rPr>
        <w:t xml:space="preserve">Autorización UE:</w:t>
      </w:r>
      <w:r>
        <w:t xml:space="preserve"> </w:t>
      </w:r>
      <w:r>
        <w:t xml:space="preserve">no.</w:t>
      </w:r>
    </w:p>
    <w:p>
      <w:pPr>
        <w:numPr>
          <w:ilvl w:val="0"/>
          <w:numId w:val="1192"/>
        </w:numPr>
        <w:pStyle w:val="Compact"/>
      </w:pPr>
      <w:r>
        <w:rPr>
          <w:bCs/>
          <w:b/>
        </w:rPr>
        <w:t xml:space="preserve">Autorización EE. UU.:</w:t>
      </w:r>
      <w:r>
        <w:t xml:space="preserve"> </w:t>
      </w:r>
      <w:r>
        <w:t xml:space="preserve">no. A partir de 2023, Semax figuró en la lista de la FDA de sustancias con posibles riesgos de seguridad para preparados de farmacia («categoría 2»); en abril de 2026 se retiró de ella y en julio de 2026 el comité asesor PCAC recomendó por estrecho margen su inclusión en la lista de sustancias admisibles para fórmulas magistrales. Eso no equivale a una autorización como medicamento.</w:t>
      </w:r>
    </w:p>
    <w:p>
      <w:pPr>
        <w:numPr>
          <w:ilvl w:val="0"/>
          <w:numId w:val="1192"/>
        </w:numPr>
        <w:pStyle w:val="Compact"/>
      </w:pPr>
      <w:r>
        <w:rPr>
          <w:bCs/>
          <w:b/>
        </w:rPr>
        <w:t xml:space="preserve">Rusia y algunos países vecinos:</w:t>
      </w:r>
      <w:r>
        <w:t xml:space="preserve"> </w:t>
      </w:r>
      <w:r>
        <w:t xml:space="preserve">registrado como medicamento (gotas nasales; solución al 0,1 % como nootrópico, solución al 1 % para el ictus).</w:t>
      </w:r>
    </w:p>
    <w:p>
      <w:pPr>
        <w:numPr>
          <w:ilvl w:val="0"/>
          <w:numId w:val="1192"/>
        </w:numPr>
        <w:pStyle w:val="Compact"/>
      </w:pPr>
      <w:r>
        <w:rPr>
          <w:bCs/>
          <w:b/>
        </w:rPr>
        <w:t xml:space="preserve">WADA:</w:t>
      </w:r>
      <w:r>
        <w:t xml:space="preserve"> </w:t>
      </w:r>
      <w:r>
        <w:t xml:space="preserve">no figura nominalmente. Como Semax está autorizado en Rusia, no entra claramente en la categoría general S0 de sustancias no aprobadas.</w:t>
      </w:r>
    </w:p>
    <w:p>
      <w:pPr>
        <w:numPr>
          <w:ilvl w:val="0"/>
          <w:numId w:val="1192"/>
        </w:numPr>
        <w:pStyle w:val="Compact"/>
      </w:pPr>
      <w:r>
        <w:rPr>
          <w:bCs/>
          <w:b/>
        </w:rPr>
        <w:t xml:space="preserve">Nivel de evidencia:</w:t>
      </w:r>
      <w:r>
        <w:t xml:space="preserve"> </w:t>
      </w:r>
      <w:r>
        <w:rPr>
          <w:bCs/>
          <w:b/>
        </w:rPr>
        <w:t xml:space="preserve">C</w:t>
      </w:r>
      <w:r>
        <w:t xml:space="preserve"> </w:t>
      </w:r>
      <w:r>
        <w:t xml:space="preserve">– pocos estudios pequeños, mayoritariamente no aleatorizados, de centros rusos.</w:t>
      </w:r>
    </w:p>
    <w:bookmarkEnd w:id="1609"/>
    <w:bookmarkStart w:id="1612" w:name="cómo-se-supone-que-actúa-34"/>
    <w:p>
      <w:pPr>
        <w:pStyle w:val="Heading3"/>
      </w:pPr>
      <w:r>
        <w:t xml:space="preserve">Cómo se supone que actúa</w:t>
      </w:r>
    </w:p>
    <w:p>
      <w:pPr>
        <w:pStyle w:val="FirstParagraph"/>
      </w:pPr>
      <w:r>
        <w:t xml:space="preserve">La ACTH es una hormona de la hipófisis que estimula a la glándula suprarrenal a producir cortisol. Ya en la década de 1970 se observó que fragmentos cortos de esta hormona –sin el efecto sobre la glándula suprarrenal– influyen en la atención y el aprendizaje en animales. Sin embargo, estos fragmentos se degradan en el organismo en cuestión de minutos. Por eso, los desarrolladores de Semax prolongaron el fragmento ACTH(4–7) con la secuencia Pro-Gly-Pro, más estable frente a las enzimas que degradan proteínas.</w:t>
      </w:r>
    </w:p>
    <w:p>
      <w:pPr>
        <w:pStyle w:val="BodyText"/>
      </w:pPr>
      <w:r>
        <w:t xml:space="preserve">Para el mecanismo de acción, los desarrolladores se apoyan sobre todo en datos en animales:</w:t>
      </w:r>
    </w:p>
    <w:p>
      <w:pPr>
        <w:numPr>
          <w:ilvl w:val="0"/>
          <w:numId w:val="1193"/>
        </w:numPr>
        <w:pStyle w:val="Compact"/>
      </w:pPr>
      <w:r>
        <w:rPr>
          <w:bCs/>
          <w:b/>
        </w:rPr>
        <w:t xml:space="preserve">Factores de crecimiento nervioso:</w:t>
      </w:r>
      <w:r>
        <w:t xml:space="preserve"> </w:t>
      </w:r>
      <w:r>
        <w:t xml:space="preserve">En ratas se encontraron sitios de unión específicos para Semax marcado en el prosencéfalo basal; tras su administración nasal aumentó allí en tres horas el contenido de BDNF (Brain-Derived Neurotrophic Factor), una proteína que favorece la capacidad de adaptación de las conexiones nerviosas. En el cerebelo no ocurrió así</w:t>
      </w:r>
      <w:r>
        <w:rPr>
          <w:rStyle w:val="FootnoteReference"/>
        </w:rPr>
        <w:footnoteReference w:id="1610"/>
      </w:r>
      <w:r>
        <w:t xml:space="preserve">.</w:t>
      </w:r>
    </w:p>
    <w:p>
      <w:pPr>
        <w:numPr>
          <w:ilvl w:val="0"/>
          <w:numId w:val="1193"/>
        </w:numPr>
        <w:pStyle w:val="Compact"/>
      </w:pPr>
      <w:r>
        <w:rPr>
          <w:bCs/>
          <w:b/>
        </w:rPr>
        <w:t xml:space="preserve">Actividad génica tras el ictus:</w:t>
      </w:r>
      <w:r>
        <w:t xml:space="preserve"> </w:t>
      </w:r>
      <w:r>
        <w:t xml:space="preserve">En un modelo de ictus en ratas, Semax modificó la actividad de numerosos genes, sobre todo del sistema inmunitario y de la formación de vasos sanguíneos</w:t>
      </w:r>
      <w:r>
        <w:rPr>
          <w:rStyle w:val="FootnoteReference"/>
        </w:rPr>
        <w:footnoteReference w:id="1611"/>
      </w:r>
      <w:r>
        <w:t xml:space="preserve">.</w:t>
      </w:r>
    </w:p>
    <w:p>
      <w:pPr>
        <w:pStyle w:val="FirstParagraph"/>
      </w:pPr>
      <w:r>
        <w:t xml:space="preserve">No se ha identificado un receptor propio para Semax. Sigue abierto si los aumentos de BDNF medidos en ratas se producen de forma comparable en el ser humano y si bastan para obtener un beneficio.</w:t>
      </w:r>
    </w:p>
    <w:bookmarkEnd w:id="1612"/>
    <w:bookmarkStart w:id="1624" w:name="estudios-en-humanos-34"/>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solo 4 publicaciones clasificadas como estudios en humanos; en total, PubMed recoge unos 210 trabajos con «Semax» en el título o el resumen, en su inmensa mayoría estudios en animales y de laboratorio. En ClinicalTrials.gov no hay registrado ni un solo estudio. En una búsqueda específica adicional se encontraron algunos pequeños trabajos clínicos más. Prácticamente todos proceden de instituciones rusas, muchos del entorno de los desarrolladores, y solo se han publicado en ruso con resumen en inglés.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Gusev 1997, PMID 11517472</w:t>
            </w:r>
          </w:p>
        </w:tc>
        <w:tc>
          <w:tcPr/>
          <w:p>
            <w:pPr>
              <w:pStyle w:val="Compact"/>
              <w:jc w:val="left"/>
            </w:pPr>
            <w:r>
              <w:t xml:space="preserve">30 personas con ictus isquémico agudo, comparación con 80 personas con tratamiento estándar, no aleatorizado</w:t>
            </w:r>
          </w:p>
        </w:tc>
        <w:tc>
          <w:tcPr/>
          <w:p>
            <w:pPr>
              <w:pStyle w:val="Compact"/>
              <w:jc w:val="left"/>
            </w:pPr>
            <w:r>
              <w:t xml:space="preserve">5–10 días de tratamiento</w:t>
            </w:r>
          </w:p>
        </w:tc>
        <w:tc>
          <w:tcPr/>
          <w:p>
            <w:pPr>
              <w:pStyle w:val="Compact"/>
              <w:jc w:val="left"/>
            </w:pPr>
            <w:r>
              <w:t xml:space="preserve">«cierta influencia» en la velocidad de recuperación de los déficits neurológicos, sin tamaños del efecto en el resumen</w:t>
            </w:r>
          </w:p>
        </w:tc>
      </w:tr>
      <w:tr>
        <w:tc>
          <w:tcPr/>
          <w:p>
            <w:pPr>
              <w:pStyle w:val="Compact"/>
              <w:jc w:val="left"/>
            </w:pPr>
            <w:r>
              <w:t xml:space="preserve">Gusev 2005, PMID 15792140</w:t>
            </w:r>
          </w:p>
        </w:tc>
        <w:tc>
          <w:tcPr/>
          <w:p>
            <w:pPr>
              <w:pStyle w:val="Compact"/>
              <w:jc w:val="left"/>
            </w:pPr>
            <w:r>
              <w:t xml:space="preserve">187 personas con trastorno crónico de la circulación cerebral</w:t>
            </w:r>
          </w:p>
        </w:tc>
        <w:tc>
          <w:tcPr/>
          <w:p>
            <w:pPr>
              <w:pStyle w:val="Compact"/>
              <w:jc w:val="left"/>
            </w:pPr>
            <w:r>
              <w:t xml:space="preserve">no indicada</w:t>
            </w:r>
          </w:p>
        </w:tc>
        <w:tc>
          <w:tcPr/>
          <w:p>
            <w:pPr>
              <w:pStyle w:val="Compact"/>
              <w:jc w:val="left"/>
            </w:pPr>
            <w:r>
              <w:t xml:space="preserve">según los autores, mejoría clínica y menos ictus; diseño y cifras no figuran en el resumen</w:t>
            </w:r>
          </w:p>
        </w:tc>
      </w:tr>
      <w:tr>
        <w:tc>
          <w:tcPr/>
          <w:p>
            <w:pPr>
              <w:pStyle w:val="Compact"/>
              <w:jc w:val="left"/>
            </w:pPr>
            <w:r>
              <w:t xml:space="preserve">Gusev 2018, PMID 29798983</w:t>
            </w:r>
          </w:p>
        </w:tc>
        <w:tc>
          <w:tcPr/>
          <w:p>
            <w:pPr>
              <w:pStyle w:val="Compact"/>
              <w:jc w:val="left"/>
            </w:pPr>
            <w:r>
              <w:t xml:space="preserve">110 personas tras un ictus, rehabilitación precoz o tardía, en cada caso con o sin Semax</w:t>
            </w:r>
          </w:p>
        </w:tc>
        <w:tc>
          <w:tcPr/>
          <w:p>
            <w:pPr>
              <w:pStyle w:val="Compact"/>
              <w:jc w:val="left"/>
            </w:pPr>
            <w:r>
              <w:t xml:space="preserve">unos 5 meses</w:t>
            </w:r>
          </w:p>
        </w:tc>
        <w:tc>
          <w:tcPr/>
          <w:p>
            <w:pPr>
              <w:pStyle w:val="Compact"/>
              <w:jc w:val="left"/>
            </w:pPr>
            <w:r>
              <w:t xml:space="preserve">nivel de BDNF en sangre más alto, mejoría más rápida en el índice de Barthel</w:t>
            </w:r>
          </w:p>
        </w:tc>
      </w:tr>
      <w:tr>
        <w:tc>
          <w:tcPr/>
          <w:p>
            <w:pPr>
              <w:pStyle w:val="Compact"/>
              <w:jc w:val="left"/>
            </w:pPr>
            <w:r>
              <w:t xml:space="preserve">Serdiuk 2007, PMID 18379501</w:t>
            </w:r>
          </w:p>
        </w:tc>
        <w:tc>
          <w:tcPr/>
          <w:p>
            <w:pPr>
              <w:pStyle w:val="Compact"/>
              <w:jc w:val="left"/>
            </w:pPr>
            <w:r>
              <w:t xml:space="preserve">27 personas con enfermedad de la motoneurona (p. ej., ELA), abierto</w:t>
            </w:r>
          </w:p>
        </w:tc>
        <w:tc>
          <w:tcPr/>
          <w:p>
            <w:pPr>
              <w:pStyle w:val="Compact"/>
              <w:jc w:val="left"/>
            </w:pPr>
            <w:r>
              <w:t xml:space="preserve">48 días</w:t>
            </w:r>
          </w:p>
        </w:tc>
        <w:tc>
          <w:tcPr/>
          <w:p>
            <w:pPr>
              <w:pStyle w:val="Compact"/>
              <w:jc w:val="left"/>
            </w:pPr>
            <w:r>
              <w:t xml:space="preserve">sin influencia en la evolución de la enfermedad ni en los hallazgos musculares; mejores valores de calidad de vida</w:t>
            </w:r>
          </w:p>
        </w:tc>
      </w:tr>
      <w:tr>
        <w:tc>
          <w:tcPr/>
          <w:p>
            <w:pPr>
              <w:pStyle w:val="Compact"/>
              <w:jc w:val="left"/>
            </w:pPr>
            <w:r>
              <w:t xml:space="preserve">Polunin 2000, PMID 10741256</w:t>
            </w:r>
          </w:p>
        </w:tc>
        <w:tc>
          <w:tcPr/>
          <w:p>
            <w:pPr>
              <w:pStyle w:val="Compact"/>
              <w:jc w:val="left"/>
            </w:pPr>
            <w:r>
              <w:t xml:space="preserve">personas con enfermedades del nervio óptico, tres grupos incl. control</w:t>
            </w:r>
          </w:p>
        </w:tc>
        <w:tc>
          <w:tcPr/>
          <w:p>
            <w:pPr>
              <w:pStyle w:val="Compact"/>
              <w:jc w:val="left"/>
            </w:pPr>
            <w:r>
              <w:t xml:space="preserve">no indicada</w:t>
            </w:r>
          </w:p>
        </w:tc>
        <w:tc>
          <w:tcPr/>
          <w:p>
            <w:pPr>
              <w:pStyle w:val="Compact"/>
              <w:jc w:val="left"/>
            </w:pPr>
            <w:r>
              <w:t xml:space="preserve">según los autores, mejor agudeza visual y campo visual; sin cifras en el resumen</w:t>
            </w:r>
          </w:p>
        </w:tc>
      </w:tr>
      <w:tr>
        <w:tc>
          <w:tcPr/>
          <w:p>
            <w:pPr>
              <w:pStyle w:val="Compact"/>
              <w:jc w:val="left"/>
            </w:pPr>
            <w:r>
              <w:t xml:space="preserve">Lebedeva 2018, PMID 30225715</w:t>
            </w:r>
          </w:p>
        </w:tc>
        <w:tc>
          <w:tcPr/>
          <w:p>
            <w:pPr>
              <w:pStyle w:val="Compact"/>
              <w:jc w:val="left"/>
            </w:pPr>
            <w:r>
              <w:t xml:space="preserve">24 personas sanas, Semax (14) o placebo (10)</w:t>
            </w:r>
          </w:p>
        </w:tc>
        <w:tc>
          <w:tcPr/>
          <w:p>
            <w:pPr>
              <w:pStyle w:val="Compact"/>
              <w:jc w:val="left"/>
            </w:pPr>
            <w:r>
              <w:t xml:space="preserve">administración única, medición a los 20 minutos</w:t>
            </w:r>
          </w:p>
        </w:tc>
        <w:tc>
          <w:tcPr/>
          <w:p>
            <w:pPr>
              <w:pStyle w:val="Compact"/>
              <w:jc w:val="left"/>
            </w:pPr>
            <w:r>
              <w:t xml:space="preserve">actividad de las redes en reposo modificada en la RM funcional</w:t>
            </w:r>
          </w:p>
        </w:tc>
      </w:tr>
    </w:tbl>
    <w:bookmarkStart w:id="1616" w:name="ictus"/>
    <w:p>
      <w:pPr>
        <w:pStyle w:val="Heading4"/>
      </w:pPr>
      <w:r>
        <w:t xml:space="preserve">Ictus</w:t>
      </w:r>
    </w:p>
    <w:p>
      <w:pPr>
        <w:pStyle w:val="FirstParagraph"/>
      </w:pPr>
      <w:r>
        <w:t xml:space="preserve">El ictus es el principal campo de aplicación para el que Semax está registrado en Rusia. Su base es escasa. En el primer estudio clínico, 30 personas con ictus agudo recibieron Semax además del tratamiento estándar; como comparación sirvieron 80 personas que solo recibieron el tratamiento estándar. Los grupos no se asignaron por sorteo. Los autores informan de una «cierta influencia» en la regresión de los déficits, sobre todo de las parálisis</w:t>
      </w:r>
      <w:r>
        <w:rPr>
          <w:rStyle w:val="FootnoteReference"/>
        </w:rPr>
        <w:footnoteReference w:id="1613"/>
      </w:r>
      <w:r>
        <w:t xml:space="preserve">. Un trabajo posterior del mismo grupo examinó mensajeros inflamatorios en la sangre y era expresamente un análisis retrospectivo</w:t>
      </w:r>
      <w:r>
        <w:rPr>
          <w:rStyle w:val="FootnoteReference"/>
        </w:rPr>
        <w:footnoteReference w:id="1614"/>
      </w:r>
      <w:r>
        <w:t xml:space="preserve">.</w:t>
      </w:r>
    </w:p>
    <w:p>
      <w:pPr>
        <w:pStyle w:val="BodyText"/>
      </w:pPr>
      <w:r>
        <w:t xml:space="preserve">El estudio más grande hasta la fecha, con 110 personas tras un ictus, comparó la rehabilitación precoz y la tardía, en cada caso con o sin Semax. Con Semax aumentó el nivel de BDNF en el plasma sanguíneo y se mantuvo elevado durante la observación; el índice de Barthel, una medida de la autonomía en la vida diaria, mejoró más rápido</w:t>
      </w:r>
      <w:r>
        <w:rPr>
          <w:rStyle w:val="FootnoteReference"/>
        </w:rPr>
        <w:footnoteReference w:id="1615"/>
      </w:r>
      <w:r>
        <w:t xml:space="preserve">. El resumen no menciona ni asignación aleatoria ni enmascaramiento, y las diferencias entre los grupos no se indican como tamaño del efecto. Para demostrar un beneficio, esto no basta.</w:t>
      </w:r>
    </w:p>
    <w:p>
      <w:pPr>
        <w:pStyle w:val="BodyText"/>
      </w:pPr>
      <w:r>
        <w:t xml:space="preserve">A modo de comparación: con otros principios activos que debían «proteger las neuronas», en el ictus han fracasado hasta ahora casi todos en grandes estudios internacionales con enmascaramiento. Para Semax no existe un estudio así.</w:t>
      </w:r>
    </w:p>
    <w:bookmarkEnd w:id="1616"/>
    <w:bookmarkStart w:id="1621" w:name="otras-aplicaciones-2"/>
    <w:p>
      <w:pPr>
        <w:pStyle w:val="Heading4"/>
      </w:pPr>
      <w:r>
        <w:t xml:space="preserve">Otras aplicaciones</w:t>
      </w:r>
    </w:p>
    <w:p>
      <w:pPr>
        <w:numPr>
          <w:ilvl w:val="0"/>
          <w:numId w:val="1194"/>
        </w:numPr>
        <w:pStyle w:val="Compact"/>
      </w:pPr>
      <w:r>
        <w:rPr>
          <w:bCs/>
          <w:b/>
        </w:rPr>
        <w:t xml:space="preserve">Enfermedades de la motoneurona:</w:t>
      </w:r>
      <w:r>
        <w:t xml:space="preserve"> </w:t>
      </w:r>
      <w:r>
        <w:t xml:space="preserve">En un estudio abierto con 27 personas, Semax no modificó ni la evolución del daño nervioso en el electromiograma ni las escalas de valoración clínica. Los valores de calidad de vida mejoraron, sobre todo el estado de ánimo y la motivación, con mayor intensidad el décimo día</w:t>
      </w:r>
      <w:r>
        <w:rPr>
          <w:rStyle w:val="FootnoteReference"/>
        </w:rPr>
        <w:footnoteReference w:id="1617"/>
      </w:r>
      <w:r>
        <w:t xml:space="preserve">. Sin grupo placebo no puede descartarse un efecto de expectativa.</w:t>
      </w:r>
    </w:p>
    <w:p>
      <w:pPr>
        <w:numPr>
          <w:ilvl w:val="0"/>
          <w:numId w:val="1194"/>
        </w:numPr>
        <w:pStyle w:val="Compact"/>
      </w:pPr>
      <w:r>
        <w:rPr>
          <w:bCs/>
          <w:b/>
        </w:rPr>
        <w:t xml:space="preserve">Enfermedades del nervio óptico:</w:t>
      </w:r>
      <w:r>
        <w:t xml:space="preserve"> </w:t>
      </w:r>
      <w:r>
        <w:t xml:space="preserve">Un estudio controlado informa de mejores funciones visuales con el tratamiento adicional con Semax, sin cifras en el resumen</w:t>
      </w:r>
      <w:r>
        <w:rPr>
          <w:rStyle w:val="FootnoteReference"/>
        </w:rPr>
        <w:footnoteReference w:id="1618"/>
      </w:r>
      <w:r>
        <w:t xml:space="preserve">.</w:t>
      </w:r>
    </w:p>
    <w:p>
      <w:pPr>
        <w:numPr>
          <w:ilvl w:val="0"/>
          <w:numId w:val="1194"/>
        </w:numPr>
        <w:pStyle w:val="Compact"/>
      </w:pPr>
      <w:r>
        <w:rPr>
          <w:bCs/>
          <w:b/>
        </w:rPr>
        <w:t xml:space="preserve">Secuelas de la falta de oxígeno:</w:t>
      </w:r>
      <w:r>
        <w:t xml:space="preserve"> </w:t>
      </w:r>
      <w:r>
        <w:t xml:space="preserve">En 73 personas con daño cerebral tras falta de oxígeno, los autores describen un efecto sobre los trastornos de memoria. En algunas aparecieron tras la administración episodios de actividad de tipo convulsivo en el EEG; por eso, los autores aconsejan realizar la primera administración bajo control con EEG</w:t>
      </w:r>
      <w:r>
        <w:rPr>
          <w:rStyle w:val="FootnoteReference"/>
        </w:rPr>
        <w:footnoteReference w:id="1619"/>
      </w:r>
      <w:r>
        <w:t xml:space="preserve">.</w:t>
      </w:r>
    </w:p>
    <w:p>
      <w:pPr>
        <w:numPr>
          <w:ilvl w:val="0"/>
          <w:numId w:val="1194"/>
        </w:numPr>
        <w:pStyle w:val="Compact"/>
      </w:pPr>
      <w:r>
        <w:rPr>
          <w:bCs/>
          <w:b/>
        </w:rPr>
        <w:t xml:space="preserve">Úlcera gástrica:</w:t>
      </w:r>
      <w:r>
        <w:t xml:space="preserve"> </w:t>
      </w:r>
      <w:r>
        <w:t xml:space="preserve">En un trabajo sobre úlceras gástricas resistentes al tratamiento, a los 14 días habían cicatrizado el 89,5 % de las úlceras con Semax además del tratamiento estándar, frente al 30,8 % en el grupo de control</w:t>
      </w:r>
      <w:r>
        <w:rPr>
          <w:rStyle w:val="FootnoteReference"/>
        </w:rPr>
        <w:footnoteReference w:id="1620"/>
      </w:r>
      <w:r>
        <w:t xml:space="preserve">. El resumen no indica el tamaño de los grupos ni la asignación; los propios autores reclaman más estudios.</w:t>
      </w:r>
    </w:p>
    <w:bookmarkEnd w:id="1621"/>
    <w:bookmarkStart w:id="1623" w:name="personas-sanas-y-nootrópico"/>
    <w:p>
      <w:pPr>
        <w:pStyle w:val="Heading4"/>
      </w:pPr>
      <w:r>
        <w:t xml:space="preserve">Personas sanas y «nootrópico»</w:t>
      </w:r>
    </w:p>
    <w:p>
      <w:pPr>
        <w:pStyle w:val="FirstParagraph"/>
      </w:pPr>
      <w:r>
        <w:t xml:space="preserve">En internet, Semax se ofrece sobre todo como sustancia para aumentar la concentración y la memoria en personas sanas. Faltan estudios sólidos al respecto. Una revisión de los desarrolladores de la década de 1990 afirma que Semax mejora la memoria y la atención de hombres sanos «en condiciones extremas», pero no indica datos de estudios en el resumen</w:t>
      </w:r>
      <w:r>
        <w:rPr>
          <w:rStyle w:val="FootnoteReference"/>
        </w:rPr>
        <w:footnoteReference w:id="1622"/>
      </w:r>
      <w:r>
        <w:t xml:space="preserve">. Dos pequeños estudios de neuroimagen en personas sanas mostraron, tras una administración única, patrones de actividad modificados en la RM funcional (Lebedeva 2018, PMID 30225715; Panikratova 2020, PMID 32342318, 52 personas sanas con Semax, Selank o placebo). Sin embargo, una actividad cerebral modificada en el escáner no demuestra un mejor rendimiento en la vida diaria.</w:t>
      </w:r>
    </w:p>
    <w:bookmarkEnd w:id="1623"/>
    <w:bookmarkEnd w:id="1624"/>
    <w:bookmarkStart w:id="1629" w:name="estudios-en-animales-y-de-laboratorio-34"/>
    <w:p>
      <w:pPr>
        <w:pStyle w:val="Heading3"/>
      </w:pPr>
      <w:r>
        <w:t xml:space="preserve">Estudios en animales y de laboratorio</w:t>
      </w:r>
    </w:p>
    <w:p>
      <w:pPr>
        <w:pStyle w:val="FirstParagraph"/>
      </w:pPr>
      <w:r>
        <w:t xml:space="preserve">La literatura preclínica es amplia y procede igualmente, en su mayor parte, de Moscú:</w:t>
      </w:r>
    </w:p>
    <w:p>
      <w:pPr>
        <w:numPr>
          <w:ilvl w:val="0"/>
          <w:numId w:val="1195"/>
        </w:numPr>
        <w:pStyle w:val="Compact"/>
      </w:pPr>
      <w:r>
        <w:t xml:space="preserve">En ratas con ictus provocado artificialmente, Semax modificó la actividad de genes del sistema inmunitario y vascular</w:t>
      </w:r>
      <w:r>
        <w:rPr>
          <w:rStyle w:val="FootnoteReference"/>
        </w:rPr>
        <w:footnoteReference w:id="1625"/>
      </w:r>
      <w:r>
        <w:t xml:space="preserve">.</w:t>
      </w:r>
    </w:p>
    <w:p>
      <w:pPr>
        <w:numPr>
          <w:ilvl w:val="0"/>
          <w:numId w:val="1195"/>
        </w:numPr>
        <w:pStyle w:val="Compact"/>
      </w:pPr>
      <w:r>
        <w:t xml:space="preserve">En ratas cuyo sistema dopaminérgico se había dañado con la neurotoxina MPTP, Semax redujo los trastornos motores y de ansiedad</w:t>
      </w:r>
      <w:r>
        <w:rPr>
          <w:rStyle w:val="FootnoteReference"/>
        </w:rPr>
        <w:footnoteReference w:id="1626"/>
      </w:r>
      <w:r>
        <w:t xml:space="preserve">.</w:t>
      </w:r>
    </w:p>
    <w:p>
      <w:pPr>
        <w:numPr>
          <w:ilvl w:val="0"/>
          <w:numId w:val="1195"/>
        </w:numPr>
        <w:pStyle w:val="Compact"/>
      </w:pPr>
      <w:r>
        <w:t xml:space="preserve">En ratones modificados genéticamente con depósitos similares a los del alzhéimer, Semax y un derivado mejoraron la conducta en pruebas de memoria y redujeron el número de depósitos de amiloide</w:t>
      </w:r>
      <w:r>
        <w:rPr>
          <w:rStyle w:val="FootnoteReference"/>
        </w:rPr>
        <w:footnoteReference w:id="1627"/>
      </w:r>
      <w:r>
        <w:t xml:space="preserve">.</w:t>
      </w:r>
    </w:p>
    <w:p>
      <w:pPr>
        <w:numPr>
          <w:ilvl w:val="0"/>
          <w:numId w:val="1195"/>
        </w:numPr>
        <w:pStyle w:val="Compact"/>
      </w:pPr>
      <w:r>
        <w:t xml:space="preserve">En experimentos de laboratorio, Semax se une a iones de cobre, lo que atenuó la formación de radicales de oxígeno nocivos por los complejos de amiloide y cobre</w:t>
      </w:r>
      <w:r>
        <w:rPr>
          <w:rStyle w:val="FootnoteReference"/>
        </w:rPr>
        <w:footnoteReference w:id="1628"/>
      </w:r>
      <w:r>
        <w:t xml:space="preserve">.</w:t>
      </w:r>
    </w:p>
    <w:p>
      <w:pPr>
        <w:pStyle w:val="FirstParagraph"/>
      </w:pPr>
      <w:r>
        <w:t xml:space="preserve">Estos resultados son hallazgos en animales y de laboratorio. Muchos principios activos que protegían en estos modelos fracasaron después en el ser humano.</w:t>
      </w:r>
    </w:p>
    <w:bookmarkEnd w:id="1629"/>
    <w:bookmarkStart w:id="1633" w:name="riesgos-y-efectos-adversos-34"/>
    <w:p>
      <w:pPr>
        <w:pStyle w:val="Heading3"/>
      </w:pPr>
      <w:r>
        <w:t xml:space="preserve">Riesgos y efectos adversos</w:t>
      </w:r>
    </w:p>
    <w:p>
      <w:pPr>
        <w:pStyle w:val="FirstParagraph"/>
      </w:pPr>
      <w:r>
        <w:rPr>
          <w:bCs/>
          <w:b/>
        </w:rPr>
        <w:t xml:space="preserve">Demostrado:</w:t>
      </w:r>
      <w:r>
        <w:t xml:space="preserve"> </w:t>
      </w:r>
      <w:r>
        <w:t xml:space="preserve">No hay datos de seguridad recogidos de forma sistemática en estudios de mayor tamaño. Los trabajos rusos describen Semax como bien tolerado, en parte también expresamente en personas mayores</w:t>
      </w:r>
      <w:r>
        <w:rPr>
          <w:rStyle w:val="FootnoteReference"/>
        </w:rPr>
        <w:footnoteReference w:id="1630"/>
      </w:r>
      <w:r>
        <w:t xml:space="preserve">. Una señal a tener en cuenta es la observación de alteraciones del EEG de tipo convulsivo tras la administración en algunas personas con daño cerebral previo</w:t>
      </w:r>
      <w:r>
        <w:rPr>
          <w:rStyle w:val="FootnoteReference"/>
        </w:rPr>
        <w:footnoteReference w:id="1631"/>
      </w:r>
      <w:r>
        <w:t xml:space="preserve">.</w:t>
      </w:r>
    </w:p>
    <w:p>
      <w:pPr>
        <w:pStyle w:val="BodyText"/>
      </w:pPr>
      <w:r>
        <w:rPr>
          <w:bCs/>
          <w:b/>
        </w:rPr>
        <w:t xml:space="preserve">Teórico:</w:t>
      </w:r>
      <w:r>
        <w:t xml:space="preserve"> </w:t>
      </w:r>
      <w:r>
        <w:t xml:space="preserve">Semax influiría en factores de crecimiento y genes inmunitarios; las consecuencias a largo plazo de tales intervenciones no se han estudiado. Faltan datos sobre embarazo, lactancia, niños, epilepsia y enfermedades psiquiátricas.</w:t>
      </w:r>
    </w:p>
    <w:p>
      <w:pPr>
        <w:pStyle w:val="BodyText"/>
      </w:pPr>
      <w:r>
        <w:rPr>
          <w:bCs/>
          <w:b/>
        </w:rPr>
        <w:t xml:space="preserve">Mercado gris:</w:t>
      </w:r>
      <w:r>
        <w:t xml:space="preserve"> </w:t>
      </w:r>
      <w:r>
        <w:t xml:space="preserve">Fuera de Rusia, Semax se vende sobre todo como «research peptide» o como solución nasal de mezcla casera. El contenido, la pureza y la esterilidad de estos productos no están comprobados. Un laboratorio de control de medicamentos identificó Semax y Selank en 2017 y 2018 en preparados desconocidos incautados y, en una búsqueda en internet, constató que estos «péptidos nootrópicos» se ofrecen libremente como polvo para inyección o como aerosol nasal</w:t>
      </w:r>
      <w:r>
        <w:rPr>
          <w:rStyle w:val="FootnoteReference"/>
        </w:rPr>
        <w:footnoteReference w:id="1632"/>
      </w:r>
      <w:r>
        <w:t xml:space="preserve">. Más información en la Parte I y la Parte IV.</w:t>
      </w:r>
    </w:p>
    <w:bookmarkEnd w:id="1633"/>
    <w:bookmarkStart w:id="1634" w:name="situación-legal-34"/>
    <w:p>
      <w:pPr>
        <w:pStyle w:val="Heading3"/>
      </w:pPr>
      <w:r>
        <w:t xml:space="preserve">Situación legal</w:t>
      </w:r>
    </w:p>
    <w:p>
      <w:pPr>
        <w:numPr>
          <w:ilvl w:val="0"/>
          <w:numId w:val="1196"/>
        </w:numPr>
        <w:pStyle w:val="Compact"/>
      </w:pPr>
      <w:r>
        <w:rPr>
          <w:bCs/>
          <w:b/>
        </w:rPr>
        <w:t xml:space="preserve">UE / Austria / Alemania:</w:t>
      </w:r>
      <w:r>
        <w:t xml:space="preserve"> </w:t>
      </w:r>
      <w:r>
        <w:t xml:space="preserve">Semax no está autorizado. Como sustancia con un efecto pretendido sobre las funciones corporales, se considera medicamento; su venta y publicidad sin autorización no están permitidas. La importación desde Rusia como medicamento está sujeta a las normas sobre importaciones individuales.</w:t>
      </w:r>
    </w:p>
    <w:p>
      <w:pPr>
        <w:numPr>
          <w:ilvl w:val="0"/>
          <w:numId w:val="1196"/>
        </w:numPr>
        <w:pStyle w:val="Compact"/>
      </w:pPr>
      <w:r>
        <w:rPr>
          <w:bCs/>
          <w:b/>
        </w:rPr>
        <w:t xml:space="preserve">EE. UU.:</w:t>
      </w:r>
      <w:r>
        <w:t xml:space="preserve"> </w:t>
      </w:r>
      <w:r>
        <w:t xml:space="preserve">no autorizado. La FDA retiró Semax en abril de 2026 de su lista de «categoría 2»; el comité asesor PCAC votó en julio de 2026, por 8 votos contra 5, a favor de incluir Semax en la lista de sustancias que las farmacias pueden utilizar para fórmulas magistrales. Los expertos de la FDA lo habían desaconsejado; la decisión de la agencia estaba pendiente al cierre de la redacción (situación en octubre de 2026; comprueba la información actualizada).</w:t>
      </w:r>
    </w:p>
    <w:p>
      <w:pPr>
        <w:numPr>
          <w:ilvl w:val="0"/>
          <w:numId w:val="1196"/>
        </w:numPr>
        <w:pStyle w:val="Compact"/>
      </w:pPr>
      <w:r>
        <w:rPr>
          <w:bCs/>
          <w:b/>
        </w:rPr>
        <w:t xml:space="preserve">Rusia:</w:t>
      </w:r>
      <w:r>
        <w:t xml:space="preserve"> </w:t>
      </w:r>
      <w:r>
        <w:t xml:space="preserve">registrado como medicamento y disponible en farmacias.</w:t>
      </w:r>
    </w:p>
    <w:p>
      <w:pPr>
        <w:numPr>
          <w:ilvl w:val="0"/>
          <w:numId w:val="1196"/>
        </w:numPr>
        <w:pStyle w:val="Compact"/>
      </w:pPr>
      <w:r>
        <w:rPr>
          <w:bCs/>
          <w:b/>
        </w:rPr>
        <w:t xml:space="preserve">Deporte:</w:t>
      </w:r>
      <w:r>
        <w:t xml:space="preserve"> </w:t>
      </w:r>
      <w:r>
        <w:t xml:space="preserve">no figura nominalmente en la lista de la WADA (situación en 2026; comprueba la información actualizada).</w:t>
      </w:r>
    </w:p>
    <w:bookmarkEnd w:id="1634"/>
    <w:bookmarkStart w:id="1635" w:name="estudios-en-curso-y-perspectivas-34"/>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con Semax (consulta de octubre de 2026). La investigación en Rusia sigue centrándose en modelos animales, por ejemplo sobre la actividad génica tras el ictus y en modelos de alzhéimer.</w:t>
      </w:r>
    </w:p>
    <w:p>
      <w:pPr>
        <w:pStyle w:val="BodyText"/>
      </w:pPr>
      <w:r>
        <w:rPr>
          <w:bCs/>
          <w:b/>
        </w:rPr>
        <w:t xml:space="preserve">Valoración:</w:t>
      </w:r>
      <w:r>
        <w:t xml:space="preserve"> </w:t>
      </w:r>
      <w:r>
        <w:t xml:space="preserve">Sin un estudio suficientemente grande, con enmascaramiento y registrado internacionalmente, es poco probable que Semax obtenga una autorización fuera de Rusia. El debate en EE. UU. gira en torno a las fórmulas magistrales de farmacia, no a una demostración de eficacia.</w:t>
      </w:r>
    </w:p>
    <w:bookmarkEnd w:id="1635"/>
    <w:bookmarkStart w:id="1636" w:name="conclusión-34"/>
    <w:p>
      <w:pPr>
        <w:pStyle w:val="Heading3"/>
      </w:pPr>
      <w:r>
        <w:t xml:space="preserve">Conclusión</w:t>
      </w:r>
    </w:p>
    <w:p>
      <w:pPr>
        <w:pStyle w:val="FirstParagraph"/>
      </w:pPr>
      <w:r>
        <w:t xml:space="preserve">Semax es un péptido derivado de un fragmento de ACTH que se utiliza desde hace décadas en Rusia y que en ratas aumentó los factores de crecimiento nervioso. Los estudios en humanos son pequeños, en su mayoría no aleatorizados y proceden casi exclusivamente del entorno de los desarrolladores; en el ictus informan de una recuperación más rápida y de niveles de BDNF más altos, sin tamaños del efecto de nivel internacional. Para la mejora del rendimiento en personas sanas no hay datos concluyentes. Los datos no bastan para valorar un beneficio ni la seguridad a largo plazo.</w:t>
      </w:r>
    </w:p>
    <w:bookmarkEnd w:id="1636"/>
    <w:bookmarkEnd w:id="1637"/>
    <w:bookmarkStart w:id="1660" w:name="selank"/>
    <w:p>
      <w:pPr>
        <w:pStyle w:val="Heading2"/>
      </w:pPr>
      <w:r>
        <w:t xml:space="preserve">Selank</w:t>
      </w:r>
    </w:p>
    <w:bookmarkStart w:id="1638" w:name="ficha-35"/>
    <w:p>
      <w:pPr>
        <w:pStyle w:val="Heading3"/>
      </w:pPr>
      <w:r>
        <w:t xml:space="preserve">Ficha</w:t>
      </w:r>
    </w:p>
    <w:p>
      <w:pPr>
        <w:numPr>
          <w:ilvl w:val="0"/>
          <w:numId w:val="1197"/>
        </w:numPr>
        <w:pStyle w:val="Compact"/>
      </w:pPr>
      <w:r>
        <w:rPr>
          <w:bCs/>
          <w:b/>
        </w:rPr>
        <w:t xml:space="preserve">Tipo y estructura:</w:t>
      </w:r>
      <w:r>
        <w:t xml:space="preserve"> </w:t>
      </w:r>
      <w:r>
        <w:t xml:space="preserve">heptapéptido sintético (Thr-Lys-Pro-Arg-Pro-Gly-Pro). Los cuatro primeros aminoácidos corresponden a la tuftsina, un péptido propio del organismo que se escinde de un fragmento de anticuerpo y estimula las células inmunitarias; se le ha añadido –como a Semax– la secuencia estabilizadora Pro-Gly-Pro.</w:t>
      </w:r>
    </w:p>
    <w:p>
      <w:pPr>
        <w:numPr>
          <w:ilvl w:val="0"/>
          <w:numId w:val="1197"/>
        </w:numPr>
        <w:pStyle w:val="Compact"/>
      </w:pPr>
      <w:r>
        <w:rPr>
          <w:bCs/>
          <w:b/>
        </w:rPr>
        <w:t xml:space="preserve">Origen:</w:t>
      </w:r>
      <w:r>
        <w:t xml:space="preserve"> </w:t>
      </w:r>
      <w:r>
        <w:t xml:space="preserve">desarrollado en Moscú en el Instituto de Genética Molecular y en el Instituto de Farmacología Zakusov.</w:t>
      </w:r>
    </w:p>
    <w:p>
      <w:pPr>
        <w:numPr>
          <w:ilvl w:val="0"/>
          <w:numId w:val="1197"/>
        </w:numPr>
        <w:pStyle w:val="Compact"/>
      </w:pPr>
      <w:r>
        <w:rPr>
          <w:bCs/>
          <w:b/>
        </w:rPr>
        <w:t xml:space="preserve">Mecanismo de acción:</w:t>
      </w:r>
      <w:r>
        <w:t xml:space="preserve"> </w:t>
      </w:r>
      <w:r>
        <w:t xml:space="preserve">debería tener un efecto ansiolítico sin causar somnolencia ni dependencia como las benzodiacepinas. Se discuten una inhibición de la degradación de las encefalinas propias del organismo (mensajeros que atenúan el dolor y el estrés), así como influencias sobre el sistema GABA y sobre los mensajeros inmunitarios. Se administra en gotas nasales.</w:t>
      </w:r>
    </w:p>
    <w:p>
      <w:pPr>
        <w:numPr>
          <w:ilvl w:val="0"/>
          <w:numId w:val="1197"/>
        </w:numPr>
        <w:pStyle w:val="Compact"/>
      </w:pPr>
      <w:r>
        <w:rPr>
          <w:bCs/>
          <w:b/>
        </w:rPr>
        <w:t xml:space="preserve">Autorización UE:</w:t>
      </w:r>
      <w:r>
        <w:t xml:space="preserve"> </w:t>
      </w:r>
      <w:r>
        <w:t xml:space="preserve">no.</w:t>
      </w:r>
    </w:p>
    <w:p>
      <w:pPr>
        <w:numPr>
          <w:ilvl w:val="0"/>
          <w:numId w:val="1197"/>
        </w:numPr>
        <w:pStyle w:val="Compact"/>
      </w:pPr>
      <w:r>
        <w:rPr>
          <w:bCs/>
          <w:b/>
        </w:rPr>
        <w:t xml:space="preserve">Autorización EE. UU.:</w:t>
      </w:r>
      <w:r>
        <w:t xml:space="preserve"> </w:t>
      </w:r>
      <w:r>
        <w:t xml:space="preserve">no. En 2023, Selank figuró en la lista de «categoría 2» de la FDA para fórmulas magistrales de farmacia; el estado actual está documentado de forma poco uniforme (situación en octubre de 2026; comprueba la información actualizada).</w:t>
      </w:r>
    </w:p>
    <w:p>
      <w:pPr>
        <w:numPr>
          <w:ilvl w:val="0"/>
          <w:numId w:val="1197"/>
        </w:numPr>
        <w:pStyle w:val="Compact"/>
      </w:pPr>
      <w:r>
        <w:rPr>
          <w:bCs/>
          <w:b/>
        </w:rPr>
        <w:t xml:space="preserve">Rusia:</w:t>
      </w:r>
      <w:r>
        <w:t xml:space="preserve"> </w:t>
      </w:r>
      <w:r>
        <w:t xml:space="preserve">registrado como medicamento (ansiolítico).</w:t>
      </w:r>
    </w:p>
    <w:p>
      <w:pPr>
        <w:numPr>
          <w:ilvl w:val="0"/>
          <w:numId w:val="1197"/>
        </w:numPr>
        <w:pStyle w:val="Compact"/>
      </w:pPr>
      <w:r>
        <w:rPr>
          <w:bCs/>
          <w:b/>
        </w:rPr>
        <w:t xml:space="preserve">WADA:</w:t>
      </w:r>
      <w:r>
        <w:t xml:space="preserve"> </w:t>
      </w:r>
      <w:r>
        <w:t xml:space="preserve">no figura nominalmente.</w:t>
      </w:r>
    </w:p>
    <w:p>
      <w:pPr>
        <w:numPr>
          <w:ilvl w:val="0"/>
          <w:numId w:val="1197"/>
        </w:numPr>
        <w:pStyle w:val="Compact"/>
      </w:pPr>
      <w:r>
        <w:rPr>
          <w:bCs/>
          <w:b/>
        </w:rPr>
        <w:t xml:space="preserve">Nivel de evidencia:</w:t>
      </w:r>
      <w:r>
        <w:t xml:space="preserve"> </w:t>
      </w:r>
      <w:r>
        <w:rPr>
          <w:bCs/>
          <w:b/>
        </w:rPr>
        <w:t xml:space="preserve">C</w:t>
      </w:r>
      <w:r>
        <w:t xml:space="preserve"> </w:t>
      </w:r>
      <w:r>
        <w:t xml:space="preserve">– tres pequeños estudios comparativos de Rusia, sin control con placebo y sin registro.</w:t>
      </w:r>
    </w:p>
    <w:bookmarkEnd w:id="1638"/>
    <w:bookmarkStart w:id="1642" w:name="cómo-se-supone-que-actúa-35"/>
    <w:p>
      <w:pPr>
        <w:pStyle w:val="Heading3"/>
      </w:pPr>
      <w:r>
        <w:t xml:space="preserve">Cómo se supone que actúa</w:t>
      </w:r>
    </w:p>
    <w:p>
      <w:pPr>
        <w:pStyle w:val="FirstParagraph"/>
      </w:pPr>
      <w:r>
        <w:t xml:space="preserve">La tuftsina es un péptido corto que activa los fagocitos del sistema inmunitario. En experimentos con animales se observó que algunas de sus modificaciones influyen también en la conducta. Selank es una de esas modificaciones, que debería permanecer más tiempo en el organismo gracias al Pro-Gly-Pro añadido.</w:t>
      </w:r>
    </w:p>
    <w:p>
      <w:pPr>
        <w:pStyle w:val="BodyText"/>
      </w:pPr>
      <w:r>
        <w:t xml:space="preserve">Para el mecanismo existen varias hipótesis que se basan en datos de laboratorio y en animales:</w:t>
      </w:r>
    </w:p>
    <w:p>
      <w:pPr>
        <w:numPr>
          <w:ilvl w:val="0"/>
          <w:numId w:val="1198"/>
        </w:numPr>
        <w:pStyle w:val="Compact"/>
      </w:pPr>
      <w:r>
        <w:rPr>
          <w:bCs/>
          <w:b/>
        </w:rPr>
        <w:t xml:space="preserve">Encefalinas:</w:t>
      </w:r>
      <w:r>
        <w:t xml:space="preserve"> </w:t>
      </w:r>
      <w:r>
        <w:t xml:space="preserve">En el suero sanguíneo, Selank inhibió in vitro enzimas que degradan las encefalinas. Los investigadores encontraron además en personas con trastorno de ansiedad generalizada una semivida acortada de las encefalinas en sangre y concluyeron de ello que Selank podría actuar por esta vía</w:t>
      </w:r>
      <w:r>
        <w:rPr>
          <w:rStyle w:val="FootnoteReference"/>
        </w:rPr>
        <w:footnoteReference w:id="1639"/>
      </w:r>
      <w:r>
        <w:t xml:space="preserve">.</w:t>
      </w:r>
    </w:p>
    <w:p>
      <w:pPr>
        <w:numPr>
          <w:ilvl w:val="0"/>
          <w:numId w:val="1198"/>
        </w:numPr>
        <w:pStyle w:val="Compact"/>
      </w:pPr>
      <w:r>
        <w:rPr>
          <w:bCs/>
          <w:b/>
        </w:rPr>
        <w:t xml:space="preserve">Sistema GABA:</w:t>
      </w:r>
      <w:r>
        <w:t xml:space="preserve"> </w:t>
      </w:r>
      <w:r>
        <w:t xml:space="preserve">En ratas, una hora después de su administración, Selank modificó la actividad de 45 de 84 genes de la neurotransmisión estudiados en la corteza cerebral, de forma similar al propio mensajero GABA. Los autores suponen una influencia sobre el sistema GABA, sobre el que actúan también las benzodiacepinas</w:t>
      </w:r>
      <w:r>
        <w:rPr>
          <w:rStyle w:val="FootnoteReference"/>
        </w:rPr>
        <w:footnoteReference w:id="1640"/>
      </w:r>
      <w:r>
        <w:t xml:space="preserve">.</w:t>
      </w:r>
    </w:p>
    <w:p>
      <w:pPr>
        <w:numPr>
          <w:ilvl w:val="0"/>
          <w:numId w:val="1198"/>
        </w:numPr>
        <w:pStyle w:val="Compact"/>
      </w:pPr>
      <w:r>
        <w:rPr>
          <w:bCs/>
          <w:b/>
        </w:rPr>
        <w:t xml:space="preserve">Sistema inmunitario:</w:t>
      </w:r>
      <w:r>
        <w:t xml:space="preserve"> </w:t>
      </w:r>
      <w:r>
        <w:t xml:space="preserve">En ratas y ratones, Selank influyó en genes de la inflamación; en cultivos celulares y en ratones mostró efectos contra los virus de la gripe</w:t>
      </w:r>
      <w:r>
        <w:rPr>
          <w:rStyle w:val="FootnoteReference"/>
        </w:rPr>
        <w:footnoteReference w:id="1641"/>
      </w:r>
      <w:r>
        <w:t xml:space="preserve">.</w:t>
      </w:r>
    </w:p>
    <w:p>
      <w:pPr>
        <w:pStyle w:val="FirstParagraph"/>
      </w:pPr>
      <w:r>
        <w:t xml:space="preserve">No se ha publicado cuánto Selank llega realmente al cerebro en el ser humano tras su administración nasal.</w:t>
      </w:r>
    </w:p>
    <w:bookmarkEnd w:id="1642"/>
    <w:bookmarkStart w:id="1650" w:name="estudios-en-humanos-35"/>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3 publicaciones clasificadas como estudios en humanos; en total, PubMed recoge unos 70 trabajos con «Selank» en el título o el resumen, casi todos experimentos con animales. La búsqueda en ClinicalTrials.gov dio 2 resultados; ambos, tras un examen más detallado, se refieren a otros procedimientos (estimulación cerebral) y no a un estudio con Selank. Por tanto, no existe ningún estudio clínico registrado con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Zozulia 2008, PMID 18454096</w:t>
            </w:r>
          </w:p>
        </w:tc>
        <w:tc>
          <w:tcPr/>
          <w:p>
            <w:pPr>
              <w:pStyle w:val="Compact"/>
              <w:jc w:val="left"/>
            </w:pPr>
            <w:r>
              <w:t xml:space="preserve">62 personas con trastorno de ansiedad generalizada o neurastenia; Selank (30) frente a medazepam (32)</w:t>
            </w:r>
          </w:p>
        </w:tc>
        <w:tc>
          <w:tcPr/>
          <w:p>
            <w:pPr>
              <w:pStyle w:val="Compact"/>
              <w:jc w:val="left"/>
            </w:pPr>
            <w:r>
              <w:t xml:space="preserve">no figura en el resumen</w:t>
            </w:r>
          </w:p>
        </w:tc>
        <w:tc>
          <w:tcPr/>
          <w:p>
            <w:pPr>
              <w:pStyle w:val="Compact"/>
              <w:jc w:val="left"/>
            </w:pPr>
            <w:r>
              <w:t xml:space="preserve">efecto ansiolítico similar de ambos fármacos; con Selank, además, efecto «activador»</w:t>
            </w:r>
          </w:p>
        </w:tc>
      </w:tr>
      <w:tr>
        <w:tc>
          <w:tcPr/>
          <w:p>
            <w:pPr>
              <w:pStyle w:val="Compact"/>
              <w:jc w:val="left"/>
            </w:pPr>
            <w:r>
              <w:t xml:space="preserve">Medvedev 2014, PMID 25176261</w:t>
            </w:r>
          </w:p>
        </w:tc>
        <w:tc>
          <w:tcPr/>
          <w:p>
            <w:pPr>
              <w:pStyle w:val="Compact"/>
              <w:jc w:val="left"/>
            </w:pPr>
            <w:r>
              <w:t xml:space="preserve">60 personas con trastornos de ansiedad y somatomorfos; Selank frente a fenazepam</w:t>
            </w:r>
          </w:p>
        </w:tc>
        <w:tc>
          <w:tcPr/>
          <w:p>
            <w:pPr>
              <w:pStyle w:val="Compact"/>
              <w:jc w:val="left"/>
            </w:pPr>
            <w:r>
              <w:t xml:space="preserve">no figura en el resumen</w:t>
            </w:r>
          </w:p>
        </w:tc>
        <w:tc>
          <w:tcPr/>
          <w:p>
            <w:pPr>
              <w:pStyle w:val="Compact"/>
              <w:jc w:val="left"/>
            </w:pPr>
            <w:r>
              <w:t xml:space="preserve">según los autores, claro efecto ansiolítico que se mantuvo una semana tras la suspensión</w:t>
            </w:r>
          </w:p>
        </w:tc>
      </w:tr>
      <w:tr>
        <w:tc>
          <w:tcPr/>
          <w:p>
            <w:pPr>
              <w:pStyle w:val="Compact"/>
              <w:jc w:val="left"/>
            </w:pPr>
            <w:r>
              <w:t xml:space="preserve">Medvedev 2015, PMID 26356395</w:t>
            </w:r>
          </w:p>
        </w:tc>
        <w:tc>
          <w:tcPr/>
          <w:p>
            <w:pPr>
              <w:pStyle w:val="Compact"/>
              <w:jc w:val="left"/>
            </w:pPr>
            <w:r>
              <w:t xml:space="preserve">70 personas; fenazepam solo (30) frente a fenazepam más Selank (40)</w:t>
            </w:r>
          </w:p>
        </w:tc>
        <w:tc>
          <w:tcPr/>
          <w:p>
            <w:pPr>
              <w:pStyle w:val="Compact"/>
              <w:jc w:val="left"/>
            </w:pPr>
            <w:r>
              <w:t xml:space="preserve">no figura en el resumen</w:t>
            </w:r>
          </w:p>
        </w:tc>
        <w:tc>
          <w:tcPr/>
          <w:p>
            <w:pPr>
              <w:pStyle w:val="Compact"/>
              <w:jc w:val="left"/>
            </w:pPr>
            <w:r>
              <w:t xml:space="preserve">inicio del efecto más rápido y menos efectos adversos del fenazepam en el grupo de combinación</w:t>
            </w:r>
          </w:p>
        </w:tc>
      </w:tr>
      <w:tr>
        <w:tc>
          <w:tcPr/>
          <w:p>
            <w:pPr>
              <w:pStyle w:val="Compact"/>
              <w:jc w:val="left"/>
            </w:pPr>
            <w:r>
              <w:t xml:space="preserve">Uchakina 2008, PMID 18577961</w:t>
            </w:r>
          </w:p>
        </w:tc>
        <w:tc>
          <w:tcPr/>
          <w:p>
            <w:pPr>
              <w:pStyle w:val="Compact"/>
              <w:jc w:val="left"/>
            </w:pPr>
            <w:r>
              <w:t xml:space="preserve">personas con trastorno de ansiedad o neurastenia</w:t>
            </w:r>
          </w:p>
        </w:tc>
        <w:tc>
          <w:tcPr/>
          <w:p>
            <w:pPr>
              <w:pStyle w:val="Compact"/>
              <w:jc w:val="left"/>
            </w:pPr>
            <w:r>
              <w:t xml:space="preserve">14 días</w:t>
            </w:r>
          </w:p>
        </w:tc>
        <w:tc>
          <w:tcPr/>
          <w:p>
            <w:pPr>
              <w:pStyle w:val="Compact"/>
              <w:jc w:val="left"/>
            </w:pPr>
            <w:r>
              <w:t xml:space="preserve">desplazamientos en el equilibrio de los mensajeros inmunitarios en sangre</w:t>
            </w:r>
          </w:p>
        </w:tc>
      </w:tr>
      <w:tr>
        <w:tc>
          <w:tcPr/>
          <w:p>
            <w:pPr>
              <w:pStyle w:val="Compact"/>
              <w:jc w:val="left"/>
            </w:pPr>
            <w:r>
              <w:t xml:space="preserve">Panikratova 2020, PMID 32342318</w:t>
            </w:r>
          </w:p>
        </w:tc>
        <w:tc>
          <w:tcPr/>
          <w:p>
            <w:pPr>
              <w:pStyle w:val="Compact"/>
              <w:jc w:val="left"/>
            </w:pPr>
            <w:r>
              <w:t xml:space="preserve">52 personas sanas; Selank, Semax o placebo, administración única</w:t>
            </w:r>
          </w:p>
        </w:tc>
        <w:tc>
          <w:tcPr/>
          <w:p>
            <w:pPr>
              <w:pStyle w:val="Compact"/>
              <w:jc w:val="left"/>
            </w:pPr>
            <w:r>
              <w:t xml:space="preserve">20 minutos</w:t>
            </w:r>
          </w:p>
        </w:tc>
        <w:tc>
          <w:tcPr/>
          <w:p>
            <w:pPr>
              <w:pStyle w:val="Compact"/>
              <w:jc w:val="left"/>
            </w:pPr>
            <w:r>
              <w:t xml:space="preserve">conexiones funcionales de la amígdala modificadas en la RM</w:t>
            </w:r>
          </w:p>
        </w:tc>
      </w:tr>
    </w:tbl>
    <w:bookmarkStart w:id="1646" w:name="trastornos-de-ansiedad"/>
    <w:p>
      <w:pPr>
        <w:pStyle w:val="Heading4"/>
      </w:pPr>
      <w:r>
        <w:t xml:space="preserve">Trastornos de ansiedad</w:t>
      </w:r>
    </w:p>
    <w:p>
      <w:pPr>
        <w:pStyle w:val="FirstParagraph"/>
      </w:pPr>
      <w:r>
        <w:t xml:space="preserve">Los tres estudios clínicos compararon Selank con benzodiacepinas: medazepam o el fenazepam, muy extendido en Rusia. En el primer estudio, con 62 personas, el efecto ansiolítico de Selank y del medazepam en las escalas de cuestionario (Hamilton, Zung, CGI) fue similar; Selank habría actuado además contra el agotamiento. Los investigadores midieron también la semivida del mensajero leu-encefalina en sangre, que aumentó con Selank</w:t>
      </w:r>
      <w:r>
        <w:rPr>
          <w:rStyle w:val="FootnoteReference"/>
        </w:rPr>
        <w:footnoteReference w:id="1643"/>
      </w:r>
      <w:r>
        <w:t xml:space="preserve">. En un segundo estudio, con 60 personas, se describe un marcado efecto ansiolítico y un ligero efecto favorecedor de la memoria, que se mantuvieron una semana más allá del final del tratamiento</w:t>
      </w:r>
      <w:r>
        <w:rPr>
          <w:rStyle w:val="FootnoteReference"/>
        </w:rPr>
        <w:footnoteReference w:id="1644"/>
      </w:r>
      <w:r>
        <w:t xml:space="preserve">.</w:t>
      </w:r>
    </w:p>
    <w:p>
      <w:pPr>
        <w:pStyle w:val="BodyText"/>
      </w:pPr>
      <w:r>
        <w:t xml:space="preserve">El tercer estudio examinó Selank como complemento: 40 personas recibieron fenazepam más Selank y 30 solo fenazepam. En el grupo de combinación, según los autores, el efecto se inició antes y los efectos adversos típicos de las benzodiacepinas, como los trastornos de la atención y la memoria, el cansancio y los trastornos sexuales, fueron menos frecuentes, también tras la suspensión del tranquilizante</w:t>
      </w:r>
      <w:r>
        <w:rPr>
          <w:rStyle w:val="FootnoteReference"/>
        </w:rPr>
        <w:footnoteReference w:id="1645"/>
      </w:r>
      <w:r>
        <w:t xml:space="preserve">.</w:t>
      </w:r>
    </w:p>
    <w:p>
      <w:pPr>
        <w:pStyle w:val="BodyText"/>
      </w:pPr>
      <w:r>
        <w:t xml:space="preserve">Estos resultados suenan alentadores, pero tienen límites claros:</w:t>
      </w:r>
    </w:p>
    <w:p>
      <w:pPr>
        <w:numPr>
          <w:ilvl w:val="0"/>
          <w:numId w:val="1199"/>
        </w:numPr>
        <w:pStyle w:val="Compact"/>
      </w:pPr>
      <w:r>
        <w:rPr>
          <w:bCs/>
          <w:b/>
        </w:rPr>
        <w:t xml:space="preserve">Sin placebo:</w:t>
      </w:r>
      <w:r>
        <w:t xml:space="preserve"> </w:t>
      </w:r>
      <w:r>
        <w:t xml:space="preserve">En los trastornos de ansiedad, las molestias suelen mejorar considerablemente también con medicamentos simulados. Sin grupo placebo no puede decirse qué parte corresponde a Selank.</w:t>
      </w:r>
    </w:p>
    <w:p>
      <w:pPr>
        <w:numPr>
          <w:ilvl w:val="0"/>
          <w:numId w:val="1199"/>
        </w:numPr>
        <w:pStyle w:val="Compact"/>
      </w:pPr>
      <w:r>
        <w:rPr>
          <w:bCs/>
          <w:b/>
        </w:rPr>
        <w:t xml:space="preserve">«De eficacia similar» no es una demostración:</w:t>
      </w:r>
      <w:r>
        <w:t xml:space="preserve"> </w:t>
      </w:r>
      <w:r>
        <w:t xml:space="preserve">Una demostración de equivalencia requiere márgenes fijados de antemano y un número suficiente de participantes. Ninguna de las dos cosas se aprecia en los resúmenes.</w:t>
      </w:r>
    </w:p>
    <w:p>
      <w:pPr>
        <w:numPr>
          <w:ilvl w:val="0"/>
          <w:numId w:val="1199"/>
        </w:numPr>
        <w:pStyle w:val="Compact"/>
      </w:pPr>
      <w:r>
        <w:rPr>
          <w:bCs/>
          <w:b/>
        </w:rPr>
        <w:t xml:space="preserve">Observación breve, grupos pequeños, sin registro:</w:t>
      </w:r>
      <w:r>
        <w:t xml:space="preserve"> </w:t>
      </w:r>
      <w:r>
        <w:t xml:space="preserve">Todos los estudios proceden de centros rusos, no se inscribieron previamente en un registro público y se publicaron en revistas especializadas en lengua rusa.</w:t>
      </w:r>
    </w:p>
    <w:bookmarkEnd w:id="1646"/>
    <w:bookmarkStart w:id="1649" w:name="sistema-inmunitario-y-personas-sanas"/>
    <w:p>
      <w:pPr>
        <w:pStyle w:val="Heading4"/>
      </w:pPr>
      <w:r>
        <w:t xml:space="preserve">Sistema inmunitario y personas sanas</w:t>
      </w:r>
    </w:p>
    <w:p>
      <w:pPr>
        <w:pStyle w:val="FirstParagraph"/>
      </w:pPr>
      <w:r>
        <w:t xml:space="preserve">Un trabajo describe, en personas con estados de ansiedad y agotamiento, tras 14 días de Selank, cambios en los mensajeros inmunitarios (equilibrio Th1/Th2) en la sangre; in vitro, Selank suprimió la formación del mensajero inflamatorio IL-6 en células sanguíneas de personas con depresión</w:t>
      </w:r>
      <w:r>
        <w:rPr>
          <w:rStyle w:val="FootnoteReference"/>
        </w:rPr>
        <w:footnoteReference w:id="1647"/>
      </w:r>
      <w:r>
        <w:t xml:space="preserve">. No se ha estudiado si esto tiene relevancia clínica. En personas sanas, un pequeño estudio de neuroimagen mostró tras una administración única conexiones modificadas entre la amígdala, una región cerebral importante para la ansiedad, y partes del lóbulo temporal</w:t>
      </w:r>
      <w:r>
        <w:rPr>
          <w:rStyle w:val="FootnoteReference"/>
        </w:rPr>
        <w:footnoteReference w:id="1648"/>
      </w:r>
      <w:r>
        <w:t xml:space="preserve">. No hay estudios sobre la concentración o el rendimiento en personas sanas, la principal promesa en internet.</w:t>
      </w:r>
    </w:p>
    <w:bookmarkEnd w:id="1649"/>
    <w:bookmarkEnd w:id="1650"/>
    <w:bookmarkStart w:id="1654" w:name="estudios-en-animales-y-de-laboratorio-35"/>
    <w:p>
      <w:pPr>
        <w:pStyle w:val="Heading3"/>
      </w:pPr>
      <w:r>
        <w:t xml:space="preserve">Estudios en animales y de laboratorio</w:t>
      </w:r>
    </w:p>
    <w:p>
      <w:pPr>
        <w:numPr>
          <w:ilvl w:val="0"/>
          <w:numId w:val="1200"/>
        </w:numPr>
        <w:pStyle w:val="Compact"/>
      </w:pPr>
      <w:r>
        <w:t xml:space="preserve">En ratas con 30 semanas de consumo de alcohol, Selank impidió los trastornos de memoria y atención durante la abstinencia e influyó en el contenido de BDNF en el hipocampo y el lóbulo frontal</w:t>
      </w:r>
      <w:r>
        <w:rPr>
          <w:rStyle w:val="FootnoteReference"/>
        </w:rPr>
        <w:footnoteReference w:id="1651"/>
      </w:r>
      <w:r>
        <w:t xml:space="preserve">.</w:t>
      </w:r>
    </w:p>
    <w:p>
      <w:pPr>
        <w:numPr>
          <w:ilvl w:val="0"/>
          <w:numId w:val="1200"/>
        </w:numPr>
        <w:pStyle w:val="Compact"/>
      </w:pPr>
      <w:r>
        <w:t xml:space="preserve">En ratas, Selank modificó la actividad de numerosos genes del sistema GABA</w:t>
      </w:r>
      <w:r>
        <w:rPr>
          <w:rStyle w:val="FootnoteReference"/>
        </w:rPr>
        <w:footnoteReference w:id="1652"/>
      </w:r>
      <w:r>
        <w:t xml:space="preserve">.</w:t>
      </w:r>
    </w:p>
    <w:p>
      <w:pPr>
        <w:numPr>
          <w:ilvl w:val="0"/>
          <w:numId w:val="1200"/>
        </w:numPr>
        <w:pStyle w:val="Compact"/>
      </w:pPr>
      <w:r>
        <w:t xml:space="preserve">En cultivos celulares y en ratones, Selank inhibió los virus de la gripe, con más intensidad cuando se administraba antes de la infección</w:t>
      </w:r>
      <w:r>
        <w:rPr>
          <w:rStyle w:val="FootnoteReference"/>
        </w:rPr>
        <w:footnoteReference w:id="1653"/>
      </w:r>
      <w:r>
        <w:t xml:space="preserve">.</w:t>
      </w:r>
    </w:p>
    <w:p>
      <w:pPr>
        <w:numPr>
          <w:ilvl w:val="0"/>
          <w:numId w:val="1200"/>
        </w:numPr>
        <w:pStyle w:val="Compact"/>
      </w:pPr>
      <w:r>
        <w:t xml:space="preserve">En otros trabajos de los mismos grupos de investigación se describen efectos en el estrés, en la abstinencia de morfina y alcohol y en modelos de párkinson en roedores.</w:t>
      </w:r>
    </w:p>
    <w:p>
      <w:pPr>
        <w:pStyle w:val="FirstParagraph"/>
      </w:pPr>
      <w:r>
        <w:t xml:space="preserve">Estos hallazgos son resultados en animales y de laboratorio y proceden en gran parte de un círculo reducido de grupos de investigación.</w:t>
      </w:r>
    </w:p>
    <w:bookmarkEnd w:id="1654"/>
    <w:bookmarkStart w:id="1656" w:name="riesgos-y-efectos-adversos-35"/>
    <w:p>
      <w:pPr>
        <w:pStyle w:val="Heading3"/>
      </w:pPr>
      <w:r>
        <w:t xml:space="preserve">Riesgos y efectos adversos</w:t>
      </w:r>
    </w:p>
    <w:p>
      <w:pPr>
        <w:pStyle w:val="FirstParagraph"/>
      </w:pPr>
      <w:r>
        <w:rPr>
          <w:bCs/>
          <w:b/>
        </w:rPr>
        <w:t xml:space="preserve">Demostrado:</w:t>
      </w:r>
      <w:r>
        <w:t xml:space="preserve"> </w:t>
      </w:r>
      <w:r>
        <w:t xml:space="preserve">En los pequeños estudios rusos, Selank se describe como bien tolerado; los resúmenes no indican tasas de efectos adversos recogidas de forma sistemática. Faltan datos a largo plazo y datos sobre dependencia o síntomas de abstinencia.</w:t>
      </w:r>
    </w:p>
    <w:p>
      <w:pPr>
        <w:pStyle w:val="BodyText"/>
      </w:pPr>
      <w:r>
        <w:rPr>
          <w:bCs/>
          <w:b/>
        </w:rPr>
        <w:t xml:space="preserve">Teórico:</w:t>
      </w:r>
      <w:r>
        <w:t xml:space="preserve"> </w:t>
      </w:r>
      <w:r>
        <w:t xml:space="preserve">Selank actuaría sobre los sistemas inmunitario, de las encefalinas y GABA. No se han estudiado las interacciones con tranquilizantes, alcohol o antidepresivos; el estudio ruso de combinación muestra al menos que Selank se utiliza junto con benzodiacepinas. No hay datos sobre embarazo, lactancia y niños.</w:t>
      </w:r>
    </w:p>
    <w:p>
      <w:pPr>
        <w:pStyle w:val="BodyText"/>
      </w:pPr>
      <w:r>
        <w:rPr>
          <w:bCs/>
          <w:b/>
        </w:rPr>
        <w:t xml:space="preserve">Mercado gris:</w:t>
      </w:r>
      <w:r>
        <w:t xml:space="preserve"> </w:t>
      </w:r>
      <w:r>
        <w:t xml:space="preserve">Fuera de Rusia, Selank se vende como «research peptide» en polvo para inyección o como aerosol nasal. Un laboratorio de control belga encontró Selank en preparados desconocidos incautados</w:t>
      </w:r>
      <w:r>
        <w:rPr>
          <w:rStyle w:val="FootnoteReference"/>
        </w:rPr>
        <w:footnoteReference w:id="1655"/>
      </w:r>
      <w:r>
        <w:t xml:space="preserve">. La inyección no es una vía de administración evaluada en estudios; la pureza y el contenido de estos productos no están comprobados.</w:t>
      </w:r>
    </w:p>
    <w:p>
      <w:pPr>
        <w:pStyle w:val="BodyText"/>
      </w:pPr>
      <w:r>
        <w:rPr>
          <w:bCs/>
          <w:b/>
        </w:rPr>
        <w:t xml:space="preserve">Importante:</w:t>
      </w:r>
      <w:r>
        <w:t xml:space="preserve"> </w:t>
      </w:r>
      <w:r>
        <w:t xml:space="preserve">Los trastornos de ansiedad son bien tratables, con psicoterapia y con medicamentos autorizados cuyo efecto está demostrado en grandes estudios controlados con placebo. Un péptido del mercado gris no es un sustituto.</w:t>
      </w:r>
    </w:p>
    <w:bookmarkEnd w:id="1656"/>
    <w:bookmarkStart w:id="1657" w:name="situación-legal-35"/>
    <w:p>
      <w:pPr>
        <w:pStyle w:val="Heading3"/>
      </w:pPr>
      <w:r>
        <w:t xml:space="preserve">Situación legal</w:t>
      </w:r>
    </w:p>
    <w:p>
      <w:pPr>
        <w:numPr>
          <w:ilvl w:val="0"/>
          <w:numId w:val="1201"/>
        </w:numPr>
        <w:pStyle w:val="Compact"/>
      </w:pPr>
      <w:r>
        <w:rPr>
          <w:bCs/>
          <w:b/>
        </w:rPr>
        <w:t xml:space="preserve">UE / Austria / Alemania:</w:t>
      </w:r>
      <w:r>
        <w:t xml:space="preserve"> </w:t>
      </w:r>
      <w:r>
        <w:t xml:space="preserve">no autorizado; como sustancia con efecto farmacológico, Selank se considera medicamento, y su comercialización sin autorización no está permitida.</w:t>
      </w:r>
    </w:p>
    <w:p>
      <w:pPr>
        <w:numPr>
          <w:ilvl w:val="0"/>
          <w:numId w:val="1201"/>
        </w:numPr>
        <w:pStyle w:val="Compact"/>
      </w:pPr>
      <w:r>
        <w:rPr>
          <w:bCs/>
          <w:b/>
        </w:rPr>
        <w:t xml:space="preserve">EE. UU.:</w:t>
      </w:r>
      <w:r>
        <w:t xml:space="preserve"> </w:t>
      </w:r>
      <w:r>
        <w:t xml:space="preserve">no autorizado. En 2023, Selank se incluyó en la «categoría 2» de la FDA de sustancias para fórmulas magistrales con problemas de seguridad; según informaciones posteriores, la nominación se retiró. Selank no figuraba entre los péptidos que el comité asesor PCAC evaluó en julio de 2026. Según los conocimientos actuales, no existe autorización para fórmulas magistrales de farmacia (situación en octubre de 2026; comprueba la información actualizada).</w:t>
      </w:r>
    </w:p>
    <w:p>
      <w:pPr>
        <w:numPr>
          <w:ilvl w:val="0"/>
          <w:numId w:val="1201"/>
        </w:numPr>
        <w:pStyle w:val="Compact"/>
      </w:pPr>
      <w:r>
        <w:rPr>
          <w:bCs/>
          <w:b/>
        </w:rPr>
        <w:t xml:space="preserve">Rusia:</w:t>
      </w:r>
      <w:r>
        <w:t xml:space="preserve"> </w:t>
      </w:r>
      <w:r>
        <w:t xml:space="preserve">registrado como medicamento.</w:t>
      </w:r>
    </w:p>
    <w:p>
      <w:pPr>
        <w:numPr>
          <w:ilvl w:val="0"/>
          <w:numId w:val="1201"/>
        </w:numPr>
        <w:pStyle w:val="Compact"/>
      </w:pPr>
      <w:r>
        <w:rPr>
          <w:bCs/>
          <w:b/>
        </w:rPr>
        <w:t xml:space="preserve">Deporte:</w:t>
      </w:r>
      <w:r>
        <w:t xml:space="preserve"> </w:t>
      </w:r>
      <w:r>
        <w:t xml:space="preserve">no figura nominalmente en la lista de la WADA (situación en 2026; comprueba la información actualizada).</w:t>
      </w:r>
    </w:p>
    <w:bookmarkEnd w:id="1657"/>
    <w:bookmarkStart w:id="1658" w:name="estudios-en-curso-y-perspectivas-35"/>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con Selank (consulta de octubre de 2026).</w:t>
      </w:r>
    </w:p>
    <w:p>
      <w:pPr>
        <w:pStyle w:val="BodyText"/>
      </w:pPr>
      <w:r>
        <w:rPr>
          <w:bCs/>
          <w:b/>
        </w:rPr>
        <w:t xml:space="preserve">Valoración:</w:t>
      </w:r>
      <w:r>
        <w:t xml:space="preserve"> </w:t>
      </w:r>
      <w:r>
        <w:t xml:space="preserve">Selank es un ejemplo de péptido que llegó a la práctica asistencial en Rusia sin cumplir los requisitos de estudio vigentes en la UE o en EE. UU. Una autorización fuera de Rusia requeriría como mínimo un estudio controlado con placebo de mayor tamaño en los trastornos de ansiedad; no hay indicios de ello.</w:t>
      </w:r>
    </w:p>
    <w:bookmarkEnd w:id="1658"/>
    <w:bookmarkStart w:id="1659" w:name="conclusión-35"/>
    <w:p>
      <w:pPr>
        <w:pStyle w:val="Heading3"/>
      </w:pPr>
      <w:r>
        <w:t xml:space="preserve">Conclusión</w:t>
      </w:r>
    </w:p>
    <w:p>
      <w:pPr>
        <w:pStyle w:val="FirstParagraph"/>
      </w:pPr>
      <w:r>
        <w:t xml:space="preserve">Selank es un péptido derivado de la tuftsina que está registrado en Rusia como ansiolítico. Tres pequeños estudios rusos describen un efecto ansiolítico similar al de las benzodiacepinas, pero ninguno tuvo grupo placebo ni se registró previamente. Las hipótesis sobre el mecanismo relativas a las encefalinas, el GABA y el sistema inmunitario se basan en datos de laboratorio y en animales. Los datos no bastan para valorar la eficacia y la seguridad según los criterios actuales.</w:t>
      </w:r>
    </w:p>
    <w:bookmarkEnd w:id="1659"/>
    <w:bookmarkEnd w:id="1660"/>
    <w:bookmarkStart w:id="1713" w:name="cerebrolisina"/>
    <w:p>
      <w:pPr>
        <w:pStyle w:val="Heading2"/>
      </w:pPr>
      <w:r>
        <w:t xml:space="preserve">Cerebrolisina</w:t>
      </w:r>
    </w:p>
    <w:bookmarkStart w:id="1661" w:name="ficha-36"/>
    <w:p>
      <w:pPr>
        <w:pStyle w:val="Heading3"/>
      </w:pPr>
      <w:r>
        <w:t xml:space="preserve">Ficha</w:t>
      </w:r>
    </w:p>
    <w:p>
      <w:pPr>
        <w:numPr>
          <w:ilvl w:val="0"/>
          <w:numId w:val="1202"/>
        </w:numPr>
        <w:pStyle w:val="Compact"/>
      </w:pPr>
      <w:r>
        <w:rPr>
          <w:bCs/>
          <w:b/>
        </w:rPr>
        <w:t xml:space="preserve">Tipo y estructura:</w:t>
      </w:r>
      <w:r>
        <w:t xml:space="preserve"> </w:t>
      </w:r>
      <w:r>
        <w:t xml:space="preserve">no es un péptido único, sino una mezcla de péptidos cortos y aminoácidos libres. Se obtiene mediante la escisión enzimática de proteínas purificadas de cerebro de cerdo. Su composición exacta no está descrita por completo; el fabricante estandariza el preparado mediante su procedimiento de fabricación y pruebas biológicas.</w:t>
      </w:r>
    </w:p>
    <w:p>
      <w:pPr>
        <w:numPr>
          <w:ilvl w:val="0"/>
          <w:numId w:val="1202"/>
        </w:numPr>
        <w:pStyle w:val="Compact"/>
      </w:pPr>
      <w:r>
        <w:rPr>
          <w:bCs/>
          <w:b/>
        </w:rPr>
        <w:t xml:space="preserve">Origen:</w:t>
      </w:r>
      <w:r>
        <w:t xml:space="preserve"> </w:t>
      </w:r>
      <w:r>
        <w:t xml:space="preserve">fabricada desde hace décadas por una empresa austriaca (actualmente EVER Neuro Pharma, Unterach am Attersee).</w:t>
      </w:r>
    </w:p>
    <w:p>
      <w:pPr>
        <w:numPr>
          <w:ilvl w:val="0"/>
          <w:numId w:val="1202"/>
        </w:numPr>
        <w:pStyle w:val="Compact"/>
      </w:pPr>
      <w:r>
        <w:rPr>
          <w:bCs/>
          <w:b/>
        </w:rPr>
        <w:t xml:space="preserve">Mecanismo de acción:</w:t>
      </w:r>
      <w:r>
        <w:t xml:space="preserve"> </w:t>
      </w:r>
      <w:r>
        <w:t xml:space="preserve">debería imitar efectos de los factores de crecimiento nervioso propios del organismo: proteger las neuronas (neuroprotección) y favorecer los procesos de reparación y remodelación (neurorregeneración). Se administra en infusión o inyección intravenosa, por lo general en ciclos de 10 a 21 días.</w:t>
      </w:r>
    </w:p>
    <w:p>
      <w:pPr>
        <w:numPr>
          <w:ilvl w:val="0"/>
          <w:numId w:val="1202"/>
        </w:numPr>
        <w:pStyle w:val="Compact"/>
      </w:pPr>
      <w:r>
        <w:rPr>
          <w:bCs/>
          <w:b/>
        </w:rPr>
        <w:t xml:space="preserve">Autorización UE:</w:t>
      </w:r>
      <w:r>
        <w:t xml:space="preserve"> </w:t>
      </w:r>
      <w:r>
        <w:t xml:space="preserve">sin autorización centralizada en la UE. Autorizada a nivel nacional en Austria y en una serie de otros Estados, sobre todo de Europa central y oriental (según el país, para el ictus, el traumatismo craneoencefálico y la demencia). En Alemania, según nuestros conocimientos, no se comercializa.</w:t>
      </w:r>
    </w:p>
    <w:p>
      <w:pPr>
        <w:numPr>
          <w:ilvl w:val="0"/>
          <w:numId w:val="1202"/>
        </w:numPr>
        <w:pStyle w:val="Compact"/>
      </w:pPr>
      <w:r>
        <w:rPr>
          <w:bCs/>
          <w:b/>
        </w:rPr>
        <w:t xml:space="preserve">Autorización EE. UU.:</w:t>
      </w:r>
      <w:r>
        <w:t xml:space="preserve"> </w:t>
      </w:r>
      <w:r>
        <w:t xml:space="preserve">no.</w:t>
      </w:r>
    </w:p>
    <w:p>
      <w:pPr>
        <w:numPr>
          <w:ilvl w:val="0"/>
          <w:numId w:val="1202"/>
        </w:numPr>
        <w:pStyle w:val="Compact"/>
      </w:pPr>
      <w:r>
        <w:rPr>
          <w:bCs/>
          <w:b/>
        </w:rPr>
        <w:t xml:space="preserve">Otros países:</w:t>
      </w:r>
      <w:r>
        <w:t xml:space="preserve"> </w:t>
      </w:r>
      <w:r>
        <w:t xml:space="preserve">ampliamente utilizada en Rusia, otros Estados sucesores de la Unión Soviética, China y otros países asiáticos.</w:t>
      </w:r>
    </w:p>
    <w:p>
      <w:pPr>
        <w:numPr>
          <w:ilvl w:val="0"/>
          <w:numId w:val="1202"/>
        </w:numPr>
        <w:pStyle w:val="Compact"/>
      </w:pPr>
      <w:r>
        <w:rPr>
          <w:bCs/>
          <w:b/>
        </w:rPr>
        <w:t xml:space="preserve">WADA:</w:t>
      </w:r>
      <w:r>
        <w:t xml:space="preserve"> </w:t>
      </w:r>
      <w:r>
        <w:t xml:space="preserve">no figura en la lista.</w:t>
      </w:r>
    </w:p>
    <w:p>
      <w:pPr>
        <w:numPr>
          <w:ilvl w:val="0"/>
          <w:numId w:val="1202"/>
        </w:numPr>
        <w:pStyle w:val="Compact"/>
      </w:pPr>
      <w:r>
        <w:rPr>
          <w:bCs/>
          <w:b/>
        </w:rPr>
        <w:t xml:space="preserve">Nivel de evidencia:</w:t>
      </w:r>
      <w:r>
        <w:t xml:space="preserve"> </w:t>
      </w:r>
      <w:r>
        <w:rPr>
          <w:bCs/>
          <w:b/>
        </w:rPr>
        <w:t xml:space="preserve">B</w:t>
      </w:r>
      <w:r>
        <w:t xml:space="preserve"> </w:t>
      </w:r>
      <w:r>
        <w:t xml:space="preserve">– numerosos estudios aleatorizados y controlados con placebo, entre ellos uno grande con más de 1000 participantes; sin embargo, los resultados son heterogéneos, y las dos grandes revisiones Cochrane independientes llegan a valoraciones prudentes.</w:t>
      </w:r>
    </w:p>
    <w:bookmarkEnd w:id="1661"/>
    <w:bookmarkStart w:id="1662" w:name="cómo-se-supone-que-actúa-36"/>
    <w:p>
      <w:pPr>
        <w:pStyle w:val="Heading3"/>
      </w:pPr>
      <w:r>
        <w:t xml:space="preserve">Cómo se supone que actúa</w:t>
      </w:r>
    </w:p>
    <w:p>
      <w:pPr>
        <w:pStyle w:val="FirstParagraph"/>
      </w:pPr>
      <w:r>
        <w:t xml:space="preserve">Los factores de crecimiento nervioso como el BDNF, el NGF o el CNTF son proteínas que mantienen con vida a las neuronas, estimulan la brotación de nuevas conexiones y favorecen la formación de nuevas neuronas en determinadas regiones cerebrales. Como medicamentos resultan difíciles: son grandes, apenas atraviesan la barrera hematoencefálica y actúan en muchos lugares a la vez.</w:t>
      </w:r>
    </w:p>
    <w:p>
      <w:pPr>
        <w:pStyle w:val="BodyText"/>
      </w:pPr>
      <w:r>
        <w:t xml:space="preserve">La cerebrolisina sigue otro enfoque. A partir de proteínas de cerebro de cerdo se obtiene, mediante una escisión controlada, una mezcla de pequeños fragmentos. El fabricante y los investigadores vinculados a él parten de la base de que algunos de estos fragmentos desencadenan señales similares a las de los factores de crecimiento propios del organismo. Por eso se habla de un principio activo «multimodal», es decir, uno que debería influir en muchas vías a la vez.</w:t>
      </w:r>
    </w:p>
    <w:p>
      <w:pPr>
        <w:pStyle w:val="BodyText"/>
      </w:pPr>
      <w:r>
        <w:t xml:space="preserve">Para las lectoras y los lectores esto significa dos cosas: en primer lugar, el mecanismo se deduce sobre todo de experimentos con animales y con células. En segundo lugar, en una mezcla es difícil decir qué componente es responsable de qué y cuánto llega realmente al cerebro.</w:t>
      </w:r>
    </w:p>
    <w:bookmarkEnd w:id="1662"/>
    <w:bookmarkStart w:id="1698" w:name="estudios-en-humanos-36"/>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88 publicaciones clasificadas como estudios en humanos, además de 15 metaanálisis y revisiones sistemáticas (entre ellas ocho versiones de revisiones Cochrane). En ClinicalTrials.gov había registrados 43 estudios, la mayoría sobre el ictus, algunos sobre el traumatismo craneoencefálico, la demencia, la hemorragia cerebral, el delirio y –durante la pandemia– la pérdida del olfato tras la COVID-19. Una gran parte de los estudios fue financiada o apoyada por el fabricante; muchos trabajos más pequeños proceden de Rusia, Rumanía, China e Irán.</w:t>
      </w:r>
    </w:p>
    <w:p>
      <w:pPr>
        <w:pStyle w:val="BodyText"/>
      </w:pPr>
      <w:r>
        <w:t xml:space="preserve">Una nota sobre la estadística que se utiliza en muchos estudios con cerebrolisina: en lugar de un único criterio de valoración principal, a menudo evalúan una combinación de varias escalas con el llamado estimador de Mann-Whitney (MW). Este indica la probabilidad de que una persona elegida al azar del grupo de cerebrolisina obtenga un mejor resultado que una del grupo placebo. Un MW de 0,50 significa que no hay diferencia; los valores en torno a 0,56 se consideran una ventaja pequeña, en torno a 0,64 mediana y a partir de 0,71 grande. Este método es admisible, pero hace que los resultados sean más difíciles de comparar con otros estudios sobre el ictus, que suelen indicar la proporción de personas sin discapacidad permanente.</w:t>
      </w:r>
    </w:p>
    <w:bookmarkStart w:id="1669" w:name="ictus-isquémico-agudo"/>
    <w:p>
      <w:pPr>
        <w:pStyle w:val="Heading4"/>
      </w:pPr>
      <w:r>
        <w:t xml:space="preserve">Ictus isquémico agudo</w:t>
      </w:r>
    </w:p>
    <w:p>
      <w:pPr>
        <w:pStyle w:val="FirstParagraph"/>
      </w:pPr>
      <w:r>
        <w:t xml:space="preserve">En el ictus isquémico, un coágulo ocluye un vaso cerebral. Los tratamientos establecidos son la disolución del coágulo con medicamentos (trombólisis) y su extracción con un catéter (trombectomía). Los agentes complementarios «neuroprotectores» deberían proteger el tejido circundante, un enfoque en el que han fracasado docenas de principios activos en grandes estudios en todo el mundo.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Ladurner 2005, PMID 15583955</w:t>
            </w:r>
          </w:p>
        </w:tc>
        <w:tc>
          <w:tcPr/>
          <w:p>
            <w:pPr>
              <w:pStyle w:val="Compact"/>
              <w:jc w:val="left"/>
            </w:pPr>
            <w:r>
              <w:t xml:space="preserve">146 personas, ECA frente a placebo, inicio en 24 h</w:t>
            </w:r>
          </w:p>
        </w:tc>
        <w:tc>
          <w:tcPr/>
          <w:p>
            <w:pPr>
              <w:pStyle w:val="Compact"/>
              <w:jc w:val="left"/>
            </w:pPr>
            <w:r>
              <w:t xml:space="preserve">90 días</w:t>
            </w:r>
          </w:p>
        </w:tc>
        <w:tc>
          <w:tcPr/>
          <w:p>
            <w:pPr>
              <w:pStyle w:val="Compact"/>
              <w:jc w:val="left"/>
            </w:pPr>
            <w:r>
              <w:t xml:space="preserve">sin mejora en la escala neurológica, el índice de Barthel ni la impresión global; una prueba cognitiva mejor</w:t>
            </w:r>
          </w:p>
        </w:tc>
      </w:tr>
      <w:tr>
        <w:tc>
          <w:tcPr/>
          <w:p>
            <w:pPr>
              <w:pStyle w:val="Compact"/>
              <w:jc w:val="left"/>
            </w:pPr>
            <w:r>
              <w:t xml:space="preserve">CASTA (Heiss 2012), PMID 22282884</w:t>
            </w:r>
          </w:p>
        </w:tc>
        <w:tc>
          <w:tcPr/>
          <w:p>
            <w:pPr>
              <w:pStyle w:val="Compact"/>
              <w:jc w:val="left"/>
            </w:pPr>
            <w:r>
              <w:t xml:space="preserve">1070 personas en Asia, doble ciego frente a placebo, inicio en 12 h</w:t>
            </w:r>
          </w:p>
        </w:tc>
        <w:tc>
          <w:tcPr/>
          <w:p>
            <w:pPr>
              <w:pStyle w:val="Compact"/>
              <w:jc w:val="left"/>
            </w:pPr>
            <w:r>
              <w:t xml:space="preserve">90 días</w:t>
            </w:r>
          </w:p>
        </w:tc>
        <w:tc>
          <w:tcPr/>
          <w:p>
            <w:pPr>
              <w:pStyle w:val="Compact"/>
              <w:jc w:val="left"/>
            </w:pPr>
            <w:r>
              <w:t xml:space="preserve">criterio principal neutro; subgrupo a posteriori de personas gravemente afectadas con tendencia a favor de la cerebrolisina</w:t>
            </w:r>
          </w:p>
        </w:tc>
      </w:tr>
      <w:tr>
        <w:tc>
          <w:tcPr/>
          <w:p>
            <w:pPr>
              <w:pStyle w:val="Compact"/>
              <w:jc w:val="left"/>
            </w:pPr>
            <w:r>
              <w:t xml:space="preserve">Lang 2013, PMID 23009193</w:t>
            </w:r>
          </w:p>
        </w:tc>
        <w:tc>
          <w:tcPr/>
          <w:p>
            <w:pPr>
              <w:pStyle w:val="Compact"/>
              <w:jc w:val="left"/>
            </w:pPr>
            <w:r>
              <w:t xml:space="preserve">119 personas, además de la trombólisis, doble ciego</w:t>
            </w:r>
          </w:p>
        </w:tc>
        <w:tc>
          <w:tcPr/>
          <w:p>
            <w:pPr>
              <w:pStyle w:val="Compact"/>
              <w:jc w:val="left"/>
            </w:pPr>
            <w:r>
              <w:t xml:space="preserve">90 días</w:t>
            </w:r>
          </w:p>
        </w:tc>
        <w:tc>
          <w:tcPr/>
          <w:p>
            <w:pPr>
              <w:pStyle w:val="Compact"/>
              <w:jc w:val="left"/>
            </w:pPr>
            <w:r>
              <w:t xml:space="preserve">interrumpido tras un análisis intermedio sin beneficio en el criterio principal; mejoría precoz en la NIHSS más frecuente</w:t>
            </w:r>
          </w:p>
        </w:tc>
      </w:tr>
      <w:tr>
        <w:tc>
          <w:tcPr/>
          <w:p>
            <w:pPr>
              <w:pStyle w:val="Compact"/>
              <w:jc w:val="left"/>
            </w:pPr>
            <w:r>
              <w:t xml:space="preserve">CARS (Muresanu 2016), PMID 26564102</w:t>
            </w:r>
          </w:p>
        </w:tc>
        <w:tc>
          <w:tcPr/>
          <w:p>
            <w:pPr>
              <w:pStyle w:val="Compact"/>
              <w:jc w:val="left"/>
            </w:pPr>
            <w:r>
              <w:t xml:space="preserve">personas en rehabilitación precoz, doble ciego frente a placebo</w:t>
            </w:r>
          </w:p>
        </w:tc>
        <w:tc>
          <w:tcPr/>
          <w:p>
            <w:pPr>
              <w:pStyle w:val="Compact"/>
              <w:jc w:val="left"/>
            </w:pPr>
            <w:r>
              <w:t xml:space="preserve">90 días</w:t>
            </w:r>
          </w:p>
        </w:tc>
        <w:tc>
          <w:tcPr/>
          <w:p>
            <w:pPr>
              <w:pStyle w:val="Compact"/>
              <w:jc w:val="left"/>
            </w:pPr>
            <w:r>
              <w:t xml:space="preserve">función del brazo (ARAT) claramente mejor: MW 0,71</w:t>
            </w:r>
          </w:p>
        </w:tc>
      </w:tr>
      <w:tr>
        <w:tc>
          <w:tcPr/>
          <w:p>
            <w:pPr>
              <w:pStyle w:val="Compact"/>
              <w:jc w:val="left"/>
            </w:pPr>
            <w:r>
              <w:t xml:space="preserve">Gharagozli 2017, PMID 29075343</w:t>
            </w:r>
          </w:p>
        </w:tc>
        <w:tc>
          <w:tcPr/>
          <w:p>
            <w:pPr>
              <w:pStyle w:val="Compact"/>
              <w:jc w:val="left"/>
            </w:pPr>
            <w:r>
              <w:t xml:space="preserve">100 personas, doble ciego frente a placebo</w:t>
            </w:r>
          </w:p>
        </w:tc>
        <w:tc>
          <w:tcPr/>
          <w:p>
            <w:pPr>
              <w:pStyle w:val="Compact"/>
              <w:jc w:val="left"/>
            </w:pPr>
            <w:r>
              <w:t xml:space="preserve">30 días</w:t>
            </w:r>
          </w:p>
        </w:tc>
        <w:tc>
          <w:tcPr/>
          <w:p>
            <w:pPr>
              <w:pStyle w:val="Compact"/>
              <w:jc w:val="left"/>
            </w:pPr>
            <w:r>
              <w:t xml:space="preserve">NIHSS mejor: MW 0,66</w:t>
            </w:r>
          </w:p>
        </w:tc>
      </w:tr>
      <w:tr>
        <w:tc>
          <w:tcPr/>
          <w:p>
            <w:pPr>
              <w:pStyle w:val="Compact"/>
              <w:jc w:val="left"/>
            </w:pPr>
            <w:r>
              <w:t xml:space="preserve">CEREHETIS (Khasanova 2023), PMID 36973684</w:t>
            </w:r>
          </w:p>
        </w:tc>
        <w:tc>
          <w:tcPr/>
          <w:p>
            <w:pPr>
              <w:pStyle w:val="Compact"/>
              <w:jc w:val="left"/>
            </w:pPr>
            <w:r>
              <w:t xml:space="preserve">341 personas con trombólisis, aleatorizado abierto</w:t>
            </w:r>
          </w:p>
        </w:tc>
        <w:tc>
          <w:tcPr/>
          <w:p>
            <w:pPr>
              <w:pStyle w:val="Compact"/>
              <w:jc w:val="left"/>
            </w:pPr>
            <w:r>
              <w:t xml:space="preserve">90 días</w:t>
            </w:r>
          </w:p>
        </w:tc>
        <w:tc>
          <w:tcPr/>
          <w:p>
            <w:pPr>
              <w:pStyle w:val="Compact"/>
              <w:jc w:val="left"/>
            </w:pPr>
            <w:r>
              <w:t xml:space="preserve">menos hemorragias sintomáticas (OR 0,248); sin diferencia en la mRS a los 90 días</w:t>
            </w:r>
          </w:p>
        </w:tc>
      </w:tr>
    </w:tbl>
    <w:p>
      <w:pPr>
        <w:pStyle w:val="BodyText"/>
      </w:pPr>
      <w:r>
        <w:rPr>
          <w:bCs/>
          <w:b/>
        </w:rPr>
        <w:t xml:space="preserve">CASTA: el estudio más grande.</w:t>
      </w:r>
      <w:r>
        <w:t xml:space="preserve"> </w:t>
      </w:r>
      <w:r>
        <w:t xml:space="preserve">El estudio</w:t>
      </w:r>
      <w:r>
        <w:t xml:space="preserve"> </w:t>
      </w:r>
      <w:r>
        <w:rPr>
          <w:iCs/>
          <w:i/>
        </w:rPr>
        <w:t xml:space="preserve">Cerebrolysin Acute Stroke Treatment in Asia</w:t>
      </w:r>
      <w:r>
        <w:t xml:space="preserve"> </w:t>
      </w:r>
      <w:r>
        <w:t xml:space="preserve">se publicó previamente con su protocolo</w:t>
      </w:r>
      <w:r>
        <w:rPr>
          <w:rStyle w:val="FootnoteReference"/>
        </w:rPr>
        <w:footnoteReference w:id="1663"/>
      </w:r>
      <w:r>
        <w:t xml:space="preserve"> </w:t>
      </w:r>
      <w:r>
        <w:t xml:space="preserve">y está registrado en ClinicalTrials.gov</w:t>
      </w:r>
      <w:r>
        <w:rPr>
          <w:rStyle w:val="FootnoteReference"/>
        </w:rPr>
        <w:footnoteReference w:id="1664"/>
      </w:r>
      <w:r>
        <w:t xml:space="preserve">. 1070 personas con ictus agudo recibieron en un plazo de doce horas, durante diez días, cerebrolisina o solución salina, en ambos casos además de aspirina. El criterio de valoración principal fijado de antemano –una combinación de la escala de Rankin modificada (mRS, grado de discapacidad), el índice de Barthel (autonomía en la vida diaria) y la NIHSS (gravedad de los déficits neurológicos) a los 90 días–</w:t>
      </w:r>
      <w:r>
        <w:t xml:space="preserve"> </w:t>
      </w:r>
      <w:r>
        <w:rPr>
          <w:bCs/>
          <w:b/>
        </w:rPr>
        <w:t xml:space="preserve">no mostró ninguna diferencia</w:t>
      </w:r>
      <w:r>
        <w:t xml:space="preserve">. En un análisis a posteriori de las personas más gravemente afectadas (NIHSS superior a 12), la mortalidad a los 90 días fue del 10,5 % con cerebrolisina frente al 20,2 % con placebo</w:t>
      </w:r>
      <w:r>
        <w:rPr>
          <w:rStyle w:val="FootnoteReference"/>
        </w:rPr>
        <w:footnoteReference w:id="1665"/>
      </w:r>
      <w:r>
        <w:t xml:space="preserve">. Los propios autores escriben que este hallazgo debería confirmarse en otro estudio. Hasta hoy no se ha publicado un estudio de confirmación de este tipo, grande y realizado específicamente en ictus graves.</w:t>
      </w:r>
    </w:p>
    <w:p>
      <w:pPr>
        <w:pStyle w:val="BodyText"/>
      </w:pPr>
      <w:r>
        <w:rPr>
          <w:bCs/>
          <w:b/>
        </w:rPr>
        <w:t xml:space="preserve">Junto con la trombólisis.</w:t>
      </w:r>
      <w:r>
        <w:t xml:space="preserve"> </w:t>
      </w:r>
      <w:r>
        <w:t xml:space="preserve">En un estudio con 119 personas, la cerebrolisina se inició una hora después de la trombólisis. Tras el tercer análisis intermedio no se observó ninguna ventaja en el criterio de valoración principal (mRS a los 90 días), y el estudio se terminó. En los primeros 30 días, más personas mejoraron claramente en la NIHSS con cerebrolisina</w:t>
      </w:r>
      <w:r>
        <w:rPr>
          <w:rStyle w:val="FootnoteReference"/>
        </w:rPr>
        <w:footnoteReference w:id="1666"/>
      </w:r>
      <w:r>
        <w:t xml:space="preserve">. Este patrón –mejoras precoces en escalas neurológicas, pero sin una diferencia clara en la discapacidad a los tres meses– se repite en varios estudios. El estudio CEREHETIS encontró en 341 personas menos hemorragias sintomáticas tras la trombólisis, pero tampoco diferencias en la mRS a los 90 días; era abierto, es decir, sin enmascaramiento</w:t>
      </w:r>
      <w:r>
        <w:rPr>
          <w:rStyle w:val="FootnoteReference"/>
        </w:rPr>
        <w:footnoteReference w:id="1667"/>
      </w:r>
      <w:r>
        <w:t xml:space="preserve">.</w:t>
      </w:r>
    </w:p>
    <w:p>
      <w:pPr>
        <w:pStyle w:val="BodyText"/>
      </w:pPr>
      <w:r>
        <w:rPr>
          <w:bCs/>
          <w:b/>
        </w:rPr>
        <w:t xml:space="preserve">Trombectomía.</w:t>
      </w:r>
      <w:r>
        <w:t xml:space="preserve"> </w:t>
      </w:r>
      <w:r>
        <w:t xml:space="preserve">Un estudio comparó a 50 personas que recibieron cerebrolisina tras el tratamiento con catéter con 50 personas tratadas anteriormente (controles históricos). A los 90 días, el 68 % frente al 44 % eran funcionalmente independientes (mRS 0–2), y las hemorragias cerebrales secundarias fueron menos frecuentes</w:t>
      </w:r>
      <w:r>
        <w:rPr>
          <w:rStyle w:val="FootnoteReference"/>
        </w:rPr>
        <w:footnoteReference w:id="1668"/>
      </w:r>
      <w:r>
        <w:t xml:space="preserve">. Sin aleatorización y con una comparación frente a pacientes anteriores, sin embargo, esto es solo un indicio; los propios autores reclaman estudios aleatorizados.</w:t>
      </w:r>
    </w:p>
    <w:bookmarkEnd w:id="1669"/>
    <w:bookmarkStart w:id="1676" w:name="Xd43a55d77c8182e2366613bcd101798c784a55d"/>
    <w:p>
      <w:pPr>
        <w:pStyle w:val="Heading4"/>
      </w:pPr>
      <w:r>
        <w:t xml:space="preserve">Rehabilitación tras el ictus: CARS y estudios posteriores</w:t>
      </w:r>
    </w:p>
    <w:p>
      <w:pPr>
        <w:pStyle w:val="FirstParagraph"/>
      </w:pPr>
      <w:r>
        <w:t xml:space="preserve">Un segundo enfoque no actúa en las primeras horas, sino en la rehabilitación precoz: la cerebrolisina debería hacer que el cerebro sea «más capaz de aprender» mientras se realiza al mismo tiempo fisioterapia.</w:t>
      </w:r>
    </w:p>
    <w:p>
      <w:pPr>
        <w:pStyle w:val="BodyText"/>
      </w:pPr>
      <w:r>
        <w:t xml:space="preserve">El</w:t>
      </w:r>
      <w:r>
        <w:t xml:space="preserve"> </w:t>
      </w:r>
      <w:r>
        <w:rPr>
          <w:bCs/>
          <w:b/>
        </w:rPr>
        <w:t xml:space="preserve">estudio CARS</w:t>
      </w:r>
      <w:r>
        <w:t xml:space="preserve"> </w:t>
      </w:r>
      <w:r>
        <w:t xml:space="preserve">(</w:t>
      </w:r>
      <w:r>
        <w:rPr>
          <w:iCs/>
          <w:i/>
        </w:rPr>
        <w:t xml:space="preserve">Cerebrolysin and Recovery After Stroke</w:t>
      </w:r>
      <w:r>
        <w:t xml:space="preserve">) trató a personas, entre 24 y 72 horas después del ictus, durante 21 días con cerebrolisina o placebo, además de un programa de rehabilitación estandarizado. En el criterio de valoración principal, el Action Research Arm Test (ARAT) para la función del brazo a los 90 días, se observó una gran ventaja (MW 0,71; intervalo de confianza del 95 % 0,63–0,79); en el conjunto de doce escalas, una ventaja pequeña a mediana (MW 0,62)</w:t>
      </w:r>
      <w:r>
        <w:rPr>
          <w:rStyle w:val="FootnoteReference"/>
        </w:rPr>
        <w:footnoteReference w:id="1670"/>
      </w:r>
      <w:r>
        <w:t xml:space="preserve">. Los autores califican expresamente el estudio de exploratorio con un tamaño muestral relativamente pequeño. Un análisis conjunto planificado de antemano con el estudio de diseño idéntico CARS-2 (442 personas en total) dio para el ARAT un MW de 0,62</w:t>
      </w:r>
      <w:r>
        <w:rPr>
          <w:rStyle w:val="FootnoteReference"/>
        </w:rPr>
        <w:footnoteReference w:id="1671"/>
      </w:r>
      <w:r>
        <w:t xml:space="preserve">.</w:t>
      </w:r>
    </w:p>
    <w:p>
      <w:pPr>
        <w:pStyle w:val="BodyText"/>
      </w:pPr>
      <w:r>
        <w:t xml:space="preserve">Otros estudios más pequeños muestran un panorama dispar:</w:t>
      </w:r>
    </w:p>
    <w:p>
      <w:pPr>
        <w:numPr>
          <w:ilvl w:val="0"/>
          <w:numId w:val="1203"/>
        </w:numPr>
        <w:pStyle w:val="Compact"/>
      </w:pPr>
      <w:r>
        <w:t xml:space="preserve">Un estudio con 60 personas encontró grandes ventajas en la NIHSS a los 10 y 30 días</w:t>
      </w:r>
      <w:r>
        <w:rPr>
          <w:rStyle w:val="FootnoteReference"/>
        </w:rPr>
        <w:footnoteReference w:id="1672"/>
      </w:r>
      <w:r>
        <w:t xml:space="preserve">.</w:t>
      </w:r>
    </w:p>
    <w:p>
      <w:pPr>
        <w:numPr>
          <w:ilvl w:val="0"/>
          <w:numId w:val="1203"/>
        </w:numPr>
        <w:pStyle w:val="Compact"/>
      </w:pPr>
      <w:r>
        <w:t xml:space="preserve">Un estudio con 70 personas</w:t>
      </w:r>
      <w:r>
        <w:t xml:space="preserve"> </w:t>
      </w:r>
      <w:r>
        <w:rPr>
          <w:bCs/>
          <w:b/>
        </w:rPr>
        <w:t xml:space="preserve">no</w:t>
      </w:r>
      <w:r>
        <w:t xml:space="preserve"> </w:t>
      </w:r>
      <w:r>
        <w:t xml:space="preserve">encontró diferencias en la motricidad en conjunto; solo en el subgrupo con parálisis grave obtuvo mejores resultados la cerebrolisina</w:t>
      </w:r>
      <w:r>
        <w:rPr>
          <w:rStyle w:val="FootnoteReference"/>
        </w:rPr>
        <w:footnoteReference w:id="1673"/>
      </w:r>
      <w:r>
        <w:t xml:space="preserve">.</w:t>
      </w:r>
    </w:p>
    <w:p>
      <w:pPr>
        <w:numPr>
          <w:ilvl w:val="0"/>
          <w:numId w:val="1203"/>
        </w:numPr>
        <w:pStyle w:val="Compact"/>
      </w:pPr>
      <w:r>
        <w:t xml:space="preserve">El estudio piloto rumano ESCAS sobre trastornos del lenguaje (afasia no fluente), con 132 personas, combinó cerebrolisina con logopedia. A los 90 días, la función del lenguaje en la Western Aphasia Battery mejoró unos 35,6 puntos frente a 20,8 puntos con placebo</w:t>
      </w:r>
      <w:r>
        <w:rPr>
          <w:rStyle w:val="FootnoteReference"/>
        </w:rPr>
        <w:footnoteReference w:id="1674"/>
      </w:r>
      <w:r>
        <w:t xml:space="preserve">.</w:t>
      </w:r>
    </w:p>
    <w:p>
      <w:pPr>
        <w:pStyle w:val="FirstParagraph"/>
      </w:pPr>
      <w:r>
        <w:t xml:space="preserve">Una guía de la European Academy of Neurology y de la Federación Europea de Sociedades de Neurorrehabilitación recomendó en 2021, sobre la base de un metaanálisis, la cerebrolisina –junto con el antidepresivo citalopram– como apoyo a la rehabilitación motora precoz tras el ictus isquémico</w:t>
      </w:r>
      <w:r>
        <w:rPr>
          <w:rStyle w:val="FootnoteReference"/>
        </w:rPr>
        <w:footnoteReference w:id="1675"/>
      </w:r>
      <w:r>
        <w:t xml:space="preserve">. Otras grandes guías, por ejemplo en EE. UU., no contienen tal recomendación.</w:t>
      </w:r>
    </w:p>
    <w:bookmarkEnd w:id="1676"/>
    <w:bookmarkStart w:id="1681" w:name="Xaa0fcd8fc67cade43afeeacb3cf468ccdfb36cb"/>
    <w:p>
      <w:pPr>
        <w:pStyle w:val="Heading4"/>
      </w:pPr>
      <w:r>
        <w:t xml:space="preserve">Los metaanálisis: dos lecturas de los mismos datos</w:t>
      </w:r>
    </w:p>
    <w:p>
      <w:pPr>
        <w:pStyle w:val="FirstParagraph"/>
      </w:pPr>
      <w:r>
        <w:t xml:space="preserve">En el caso de la cerebrolisina, las síntesis divergen según quién las haya redactado y qué criterios de valoración ocupen el centro.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Revisión</w:t>
            </w:r>
          </w:p>
        </w:tc>
        <w:tc>
          <w:tcPr/>
          <w:p>
            <w:pPr>
              <w:pStyle w:val="Compact"/>
              <w:jc w:val="left"/>
            </w:pPr>
            <w:r>
              <w:t xml:space="preserve">Datos incluidos</w:t>
            </w:r>
          </w:p>
        </w:tc>
        <w:tc>
          <w:tcPr/>
          <w:p>
            <w:pPr>
              <w:pStyle w:val="Compact"/>
              <w:jc w:val="left"/>
            </w:pPr>
            <w:r>
              <w:t xml:space="preserve">Mensaje principal</w:t>
            </w:r>
          </w:p>
        </w:tc>
      </w:tr>
      <w:tr>
        <w:tc>
          <w:tcPr/>
          <w:p>
            <w:pPr>
              <w:pStyle w:val="Compact"/>
              <w:jc w:val="left"/>
            </w:pPr>
            <w:r>
              <w:t xml:space="preserve">Cochrane (Ziganshina 2023), PMID 37818733</w:t>
            </w:r>
          </w:p>
        </w:tc>
        <w:tc>
          <w:tcPr/>
          <w:p>
            <w:pPr>
              <w:pStyle w:val="Compact"/>
              <w:jc w:val="left"/>
            </w:pPr>
            <w:r>
              <w:t xml:space="preserve">7 ECA, 1773 personas, inicio en 48 h</w:t>
            </w:r>
          </w:p>
        </w:tc>
        <w:tc>
          <w:tcPr/>
          <w:p>
            <w:pPr>
              <w:pStyle w:val="Compact"/>
              <w:jc w:val="left"/>
            </w:pPr>
            <w:r>
              <w:t xml:space="preserve">sin influencia en la mortalidad (RR 0,96); más efectos adversos graves no mortales (RR 2,39)</w:t>
            </w:r>
          </w:p>
        </w:tc>
      </w:tr>
      <w:tr>
        <w:tc>
          <w:tcPr/>
          <w:p>
            <w:pPr>
              <w:pStyle w:val="Compact"/>
              <w:jc w:val="left"/>
            </w:pPr>
            <w:r>
              <w:t xml:space="preserve">Bornstein 2018, PMID 29248999</w:t>
            </w:r>
          </w:p>
        </w:tc>
        <w:tc>
          <w:tcPr/>
          <w:p>
            <w:pPr>
              <w:pStyle w:val="Compact"/>
              <w:jc w:val="left"/>
            </w:pPr>
            <w:r>
              <w:t xml:space="preserve">9 ECA, 1879 personas</w:t>
            </w:r>
          </w:p>
        </w:tc>
        <w:tc>
          <w:tcPr/>
          <w:p>
            <w:pPr>
              <w:pStyle w:val="Compact"/>
              <w:jc w:val="left"/>
            </w:pPr>
            <w:r>
              <w:t xml:space="preserve">NIHSS a los 30 días mejor (MW 0,60); NNT 7,7 para una mejoría clínicamente relevante</w:t>
            </w:r>
          </w:p>
        </w:tc>
      </w:tr>
      <w:tr>
        <w:tc>
          <w:tcPr/>
          <w:p>
            <w:pPr>
              <w:pStyle w:val="Compact"/>
              <w:jc w:val="left"/>
            </w:pPr>
            <w:r>
              <w:t xml:space="preserve">Zhang 2017, PMID 28656143</w:t>
            </w:r>
          </w:p>
        </w:tc>
        <w:tc>
          <w:tcPr/>
          <w:p>
            <w:pPr>
              <w:pStyle w:val="Compact"/>
              <w:jc w:val="left"/>
            </w:pPr>
            <w:r>
              <w:t xml:space="preserve">7 ECA, 1779 personas</w:t>
            </w:r>
          </w:p>
        </w:tc>
        <w:tc>
          <w:tcPr/>
          <w:p>
            <w:pPr>
              <w:pStyle w:val="Compact"/>
              <w:jc w:val="left"/>
            </w:pPr>
            <w:r>
              <w:t xml:space="preserve">sin superioridad en la mRS ni en el índice de Barthel; seguridad neutra</w:t>
            </w:r>
          </w:p>
        </w:tc>
      </w:tr>
      <w:tr>
        <w:tc>
          <w:tcPr/>
          <w:p>
            <w:pPr>
              <w:pStyle w:val="Compact"/>
              <w:jc w:val="left"/>
            </w:pPr>
            <w:r>
              <w:t xml:space="preserve">Patel 2025, PMID 41018475</w:t>
            </w:r>
          </w:p>
        </w:tc>
        <w:tc>
          <w:tcPr/>
          <w:p>
            <w:pPr>
              <w:pStyle w:val="Compact"/>
              <w:jc w:val="left"/>
            </w:pPr>
            <w:r>
              <w:t xml:space="preserve">14 ECA, 2884 personas</w:t>
            </w:r>
          </w:p>
        </w:tc>
        <w:tc>
          <w:tcPr/>
          <w:p>
            <w:pPr>
              <w:pStyle w:val="Compact"/>
              <w:jc w:val="left"/>
            </w:pPr>
            <w:r>
              <w:t xml:space="preserve">mejoría en la NIHSS 1,39 puntos mayor; independencia funcional no significativa (RR 1,31)</w:t>
            </w:r>
          </w:p>
        </w:tc>
      </w:tr>
    </w:tbl>
    <w:p>
      <w:pPr>
        <w:pStyle w:val="BodyText"/>
      </w:pPr>
      <w:r>
        <w:t xml:space="preserve">La</w:t>
      </w:r>
      <w:r>
        <w:t xml:space="preserve"> </w:t>
      </w:r>
      <w:r>
        <w:rPr>
          <w:bCs/>
          <w:b/>
        </w:rPr>
        <w:t xml:space="preserve">revisión Cochrane</w:t>
      </w:r>
      <w:r>
        <w:t xml:space="preserve"> </w:t>
      </w:r>
      <w:r>
        <w:t xml:space="preserve">–una forma de síntesis independiente y metodológicamente rigurosa– se ha actualizado varias veces desde 2010. La versión de 2020 incluyó siete estudios aleatorizados con 1601 personas y no encontró ningún efecto sobre la mortalidad (RR 0,90; IC del 95 % 0,61–1,32). El número total de acontecimientos adversos graves no difirió de forma esencial, pero el número de personas con acontecimientos adversos graves</w:t>
      </w:r>
      <w:r>
        <w:t xml:space="preserve"> </w:t>
      </w:r>
      <w:r>
        <w:rPr>
          <w:bCs/>
          <w:b/>
        </w:rPr>
        <w:t xml:space="preserve">no mortales</w:t>
      </w:r>
      <w:r>
        <w:t xml:space="preserve"> </w:t>
      </w:r>
      <w:r>
        <w:t xml:space="preserve">fue mayor con cerebrolisina (RR 2,15; IC del 95 % 1,01–4,55)</w:t>
      </w:r>
      <w:r>
        <w:rPr>
          <w:rStyle w:val="FootnoteReference"/>
        </w:rPr>
        <w:footnoteReference w:id="1677"/>
      </w:r>
      <w:r>
        <w:t xml:space="preserve">. La actualización de 2023 añadió un estudio con el preparado ruso de cerebro bovino Cortexin (1773 personas en total) y confirmó estas conclusiones: ningún efecto sobre la mortalidad (RR 0,96), más acontecimientos graves no mortales (RR 2,39; IC del 95 % 1,10–5,23), aún más marcados con una pauta de tratamiento de diez días</w:t>
      </w:r>
      <w:r>
        <w:rPr>
          <w:rStyle w:val="FootnoteReference"/>
        </w:rPr>
        <w:footnoteReference w:id="1678"/>
      </w:r>
      <w:r>
        <w:t xml:space="preserve">. Las autoras y los autores Cochrane valoraron el riesgo de sesgo de muchos estudios como incierto o alto y señalaron que el fabricante había apoyado varios de los grandes estudios. Importante: ninguno de los estudios incluidos informó del criterio de valoración decisivo desde la perspectiva del paciente, «muerte o dependencia», en la forma prevista por la revisión.</w:t>
      </w:r>
    </w:p>
    <w:p>
      <w:pPr>
        <w:pStyle w:val="BodyText"/>
      </w:pPr>
      <w:r>
        <w:t xml:space="preserve">Los</w:t>
      </w:r>
      <w:r>
        <w:t xml:space="preserve"> </w:t>
      </w:r>
      <w:r>
        <w:rPr>
          <w:bCs/>
          <w:b/>
        </w:rPr>
        <w:t xml:space="preserve">metaanálisis cercanos al fabricante</w:t>
      </w:r>
      <w:r>
        <w:t xml:space="preserve">, en cambio, se fijan sobre todo en la mejoría neurológica precoz en la NIHSS y encuentran ahí una ventaja moderada</w:t>
      </w:r>
      <w:r>
        <w:rPr>
          <w:rStyle w:val="FootnoteReference"/>
        </w:rPr>
        <w:footnoteReference w:id="1679"/>
      </w:r>
      <w:r>
        <w:t xml:space="preserve">. Un metaanálisis de seguridad con doce estudios y 2202 personas no encontró diferencias significativas frente a placebo en los efectos adversos</w:t>
      </w:r>
      <w:r>
        <w:rPr>
          <w:rStyle w:val="FootnoteReference"/>
        </w:rPr>
        <w:footnoteReference w:id="1680"/>
      </w:r>
      <w:r>
        <w:t xml:space="preserve">, a diferencia de la señal de Cochrane, que, no obstante, se basa en pocos acontecimientos.</w:t>
      </w:r>
    </w:p>
    <w:p>
      <w:pPr>
        <w:pStyle w:val="BodyText"/>
      </w:pPr>
      <w:r>
        <w:t xml:space="preserve">¿Cómo se puede conciliar todo esto? La respuesta honesta es: en varios estudios, la cerebrolisina mejora los valores de las escalas neurológicas en las primeras semanas. No está demostrado que de ello se deriven menos discapacidad permanente, menos dependencia o una vida más larga. Para la señal de efectos adversos graves no mortales falta una explicación concluyente; se basa en pocos acontecimientos y es, por tanto, incierta, pero se encontró en dos versiones de Cochrane.</w:t>
      </w:r>
    </w:p>
    <w:bookmarkEnd w:id="1681"/>
    <w:bookmarkStart w:id="1683" w:name="datos-de-registro-de-la-práctica-clínica"/>
    <w:p>
      <w:pPr>
        <w:pStyle w:val="Heading4"/>
      </w:pPr>
      <w:r>
        <w:t xml:space="preserve">Datos de registro de la práctica clínica</w:t>
      </w:r>
    </w:p>
    <w:p>
      <w:pPr>
        <w:pStyle w:val="FirstParagraph"/>
      </w:pPr>
      <w:r>
        <w:t xml:space="preserve">El fabricante ha financiado además grandes estudios observacionales. El estudio de registro C-REGS2 recogió en 16 países a 1865 personas con ictus moderado; se analizaron 1769 (1021 con cerebrolisina, 748 sin ella). A los 90 días, el grupo de cerebrolisina obtuvo mejores resultados en la escala de Rankin modificada (MW 0,6157)</w:t>
      </w:r>
      <w:r>
        <w:rPr>
          <w:rStyle w:val="FootnoteReference"/>
        </w:rPr>
        <w:footnoteReference w:id="1682"/>
      </w:r>
      <w:r>
        <w:t xml:space="preserve">. El estudio utiliza procedimientos estadísticos exigentes para hacer comparables los grupos. Pero sigue siendo un estudio observacional: quienes reciben cerebrolisina en la práctica habitual pueden diferir en el tratamiento, el hospital o el país de quienes no la reciben. No puede sustituir a una aleatorización.</w:t>
      </w:r>
    </w:p>
    <w:bookmarkEnd w:id="1683"/>
    <w:bookmarkStart w:id="1687" w:name="X4a880c27842d43f812ff335b8ef42f75c5e0ada"/>
    <w:p>
      <w:pPr>
        <w:pStyle w:val="Heading4"/>
      </w:pPr>
      <w:r>
        <w:t xml:space="preserve">Hemorragia cerebral y hemorragia subaracnoidea</w:t>
      </w:r>
    </w:p>
    <w:p>
      <w:pPr>
        <w:pStyle w:val="FirstParagraph"/>
      </w:pPr>
      <w:r>
        <w:t xml:space="preserve">En las hemorragias cerebrales, un estudio con 100 personas no encontró a los 21 días diferencias significativas, pero tampoco problemas de seguridad</w:t>
      </w:r>
      <w:r>
        <w:rPr>
          <w:rStyle w:val="FootnoteReference"/>
        </w:rPr>
        <w:footnoteReference w:id="1684"/>
      </w:r>
      <w:r>
        <w:t xml:space="preserve">. En las hemorragias por una dilatación de un vaso cerebral (hemorragia subaracnoidea aneurismática), un estudio piloto doble ciego con 50 personas no mostró a los seis meses diferencias en el resultado funcional</w:t>
      </w:r>
      <w:r>
        <w:rPr>
          <w:rStyle w:val="FootnoteReference"/>
        </w:rPr>
        <w:footnoteReference w:id="1685"/>
      </w:r>
      <w:r>
        <w:t xml:space="preserve">. Un estudio piloto sobre hemorragias en los lóbulos cerebrales (CLINCH) está previsto o en curso</w:t>
      </w:r>
      <w:r>
        <w:rPr>
          <w:rStyle w:val="FootnoteReference"/>
        </w:rPr>
        <w:footnoteReference w:id="1686"/>
      </w:r>
      <w:r>
        <w:t xml:space="preserve">.</w:t>
      </w:r>
    </w:p>
    <w:bookmarkEnd w:id="1687"/>
    <w:bookmarkStart w:id="1689" w:name="traumatismo-craneoencefálico-captain"/>
    <w:p>
      <w:pPr>
        <w:pStyle w:val="Heading4"/>
      </w:pPr>
      <w:r>
        <w:t xml:space="preserve">Traumatismo craneoencefálico: CAPTAIN</w:t>
      </w:r>
    </w:p>
    <w:p>
      <w:pPr>
        <w:pStyle w:val="FirstParagraph"/>
      </w:pPr>
      <w:r>
        <w:t xml:space="preserve">En el traumatismo craneoencefálico moderado a grave, dos estudios evaluaron la cerebrolisina además del tratamiento estándar: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CAPTAIN I (Poon 2020), PMID 31494820</w:t>
            </w:r>
          </w:p>
        </w:tc>
        <w:tc>
          <w:tcPr/>
          <w:p>
            <w:pPr>
              <w:pStyle w:val="Compact"/>
              <w:jc w:val="left"/>
            </w:pPr>
            <w:r>
              <w:t xml:space="preserve">46 personas, doble ciego frente a placebo, varios centros</w:t>
            </w:r>
          </w:p>
        </w:tc>
        <w:tc>
          <w:tcPr/>
          <w:p>
            <w:pPr>
              <w:pStyle w:val="Compact"/>
              <w:jc w:val="left"/>
            </w:pPr>
            <w:r>
              <w:t xml:space="preserve">90 días</w:t>
            </w:r>
          </w:p>
        </w:tc>
        <w:tc>
          <w:tcPr/>
          <w:p>
            <w:pPr>
              <w:pStyle w:val="Compact"/>
              <w:jc w:val="left"/>
            </w:pPr>
            <w:r>
              <w:t xml:space="preserve">criterio principal no alcanzado por poco (ITT: MW 0,63); significativo en el análisis por protocolo</w:t>
            </w:r>
          </w:p>
        </w:tc>
      </w:tr>
      <w:tr>
        <w:tc>
          <w:tcPr/>
          <w:p>
            <w:pPr>
              <w:pStyle w:val="Compact"/>
              <w:jc w:val="left"/>
            </w:pPr>
            <w:r>
              <w:t xml:space="preserve">CAPTAIN II (Muresanu 2020), PMID 31897941</w:t>
            </w:r>
          </w:p>
        </w:tc>
        <w:tc>
          <w:tcPr/>
          <w:p>
            <w:pPr>
              <w:pStyle w:val="Compact"/>
              <w:jc w:val="left"/>
            </w:pPr>
            <w:r>
              <w:t xml:space="preserve">142 personas (139 analizadas), doble ciego, un centro</w:t>
            </w:r>
          </w:p>
        </w:tc>
        <w:tc>
          <w:tcPr/>
          <w:p>
            <w:pPr>
              <w:pStyle w:val="Compact"/>
              <w:jc w:val="left"/>
            </w:pPr>
            <w:r>
              <w:t xml:space="preserve">90 días</w:t>
            </w:r>
          </w:p>
        </w:tc>
        <w:tc>
          <w:tcPr/>
          <w:p>
            <w:pPr>
              <w:pStyle w:val="Compact"/>
              <w:jc w:val="left"/>
            </w:pPr>
            <w:r>
              <w:t xml:space="preserve">ventaja pequeña a mediana en el criterio combinado de 13 escalas (MW 0,59)</w:t>
            </w:r>
          </w:p>
        </w:tc>
      </w:tr>
      <w:tr>
        <w:tc>
          <w:tcPr/>
          <w:p>
            <w:pPr>
              <w:pStyle w:val="Compact"/>
              <w:jc w:val="left"/>
            </w:pPr>
            <w:r>
              <w:t xml:space="preserve">Metaanálisis CAPTAIN (Vester 2021), PMID 33620612</w:t>
            </w:r>
          </w:p>
        </w:tc>
        <w:tc>
          <w:tcPr/>
          <w:p>
            <w:pPr>
              <w:pStyle w:val="Compact"/>
              <w:jc w:val="left"/>
            </w:pPr>
            <w:r>
              <w:t xml:space="preserve">185 personas de ambos estudios</w:t>
            </w:r>
          </w:p>
        </w:tc>
        <w:tc>
          <w:tcPr/>
          <w:p>
            <w:pPr>
              <w:pStyle w:val="Compact"/>
              <w:jc w:val="left"/>
            </w:pPr>
            <w:r>
              <w:t xml:space="preserve">90 días</w:t>
            </w:r>
          </w:p>
        </w:tc>
        <w:tc>
          <w:tcPr/>
          <w:p>
            <w:pPr>
              <w:pStyle w:val="Compact"/>
              <w:jc w:val="left"/>
            </w:pPr>
            <w:r>
              <w:t xml:space="preserve">MW 0,60 a los 30 y 90 días</w:t>
            </w:r>
          </w:p>
        </w:tc>
      </w:tr>
    </w:tbl>
    <w:p>
      <w:pPr>
        <w:pStyle w:val="BodyText"/>
      </w:pPr>
      <w:r>
        <w:t xml:space="preserve">CAPTAIN I se terminó antes de tiempo con solo 46 participantes (NCT01606111, estado en el registro «interrumpido»). Otros metaanálisis sobre el traumatismo craneoencefálico se basan mayoritariamente en estudios observacionales y encontraron mejores valores en la Glasgow Outcome Scale, pero ninguna influencia en la mortalidad</w:t>
      </w:r>
      <w:r>
        <w:rPr>
          <w:rStyle w:val="FootnoteReference"/>
        </w:rPr>
        <w:footnoteReference w:id="1688"/>
      </w:r>
      <w:r>
        <w:t xml:space="preserve">. En conjunto, los datos apuntan a una posible pequeña ventaja; el número de personas estudiadas de forma aleatorizada es demasiado bajo para una afirmación segura.</w:t>
      </w:r>
    </w:p>
    <w:bookmarkEnd w:id="1689"/>
    <w:bookmarkStart w:id="1695" w:name="demencia"/>
    <w:p>
      <w:pPr>
        <w:pStyle w:val="Heading4"/>
      </w:pPr>
      <w:r>
        <w:t xml:space="preserve">Demencia</w:t>
      </w:r>
    </w:p>
    <w:p>
      <w:pPr>
        <w:pStyle w:val="FirstParagraph"/>
      </w:pPr>
      <w:r>
        <w:rPr>
          <w:bCs/>
          <w:b/>
        </w:rPr>
        <w:t xml:space="preserve">Enfermedad de Alzheimer.</w:t>
      </w:r>
      <w:r>
        <w:t xml:space="preserve"> </w:t>
      </w:r>
      <w:r>
        <w:t xml:space="preserve">En las décadas de 1990 y 2000 se realizaron varios estudios controlados con placebo. En un estudio con 192 personas, la impresión clínica global (CIBIC+) a las doce semanas fue mejor con cerebrolisina (76 % frente a 57 % de «respondedores»); no obstante, los grupos diferían ya al inicio en edad y alucinaciones</w:t>
      </w:r>
      <w:r>
        <w:rPr>
          <w:rStyle w:val="FootnoteReference"/>
        </w:rPr>
        <w:footnoteReference w:id="1690"/>
      </w:r>
      <w:r>
        <w:t xml:space="preserve">. En un estudio con 197 personas, la cerebrolisina fue tan eficaz en la impresión global como el medicamento autorizado para el alzhéimer donepezilo; en cognición, funcionalidad cotidiana y conducta no hubo diferencias significativas entre los grupos</w:t>
      </w:r>
      <w:r>
        <w:rPr>
          <w:rStyle w:val="FootnoteReference"/>
        </w:rPr>
        <w:footnoteReference w:id="1691"/>
      </w:r>
      <w:r>
        <w:t xml:space="preserve">. Un metaanálisis de seis estudios encontró una ventaja en la impresión clínica global a las cuatro semanas y a los seis meses, pero en la cognición solo a las cuatro semanas, no a los seis meses</w:t>
      </w:r>
      <w:r>
        <w:rPr>
          <w:rStyle w:val="FootnoteReference"/>
        </w:rPr>
        <w:footnoteReference w:id="1692"/>
      </w:r>
      <w:r>
        <w:t xml:space="preserve">. En este metaanálisis participaron investigadores que colaboran con el fabricante.</w:t>
      </w:r>
    </w:p>
    <w:p>
      <w:pPr>
        <w:pStyle w:val="BodyText"/>
      </w:pPr>
      <w:r>
        <w:rPr>
          <w:bCs/>
          <w:b/>
        </w:rPr>
        <w:t xml:space="preserve">Demencia vascular.</w:t>
      </w:r>
      <w:r>
        <w:t xml:space="preserve"> </w:t>
      </w:r>
      <w:r>
        <w:t xml:space="preserve">El estudio más grande, con 242 personas, informó a las 24 semanas de una mejoría en la ADAS-cog+ de 10,6 puntos frente a 4,4 puntos con placebo</w:t>
      </w:r>
      <w:r>
        <w:rPr>
          <w:rStyle w:val="FootnoteReference"/>
        </w:rPr>
        <w:footnoteReference w:id="1693"/>
      </w:r>
      <w:r>
        <w:t xml:space="preserve">, un efecto inusualmente grande para estudios sobre demencia. La revisión Cochrane sobre la demencia vascular resumió seis estudios con 597 personas y encontró ventajas en la cognición y la impresión global, pero valoró la fiabilidad de la evidencia como «muy baja». Las autoras y los autores escriben que los posibles efectos podrían ser demasiado pequeños para ser clínicamente relevantes y que la base de evidencia es débil, a pesar de que la cerebrolisina se sigue promocionando</w:t>
      </w:r>
      <w:r>
        <w:rPr>
          <w:rStyle w:val="FootnoteReference"/>
        </w:rPr>
        <w:footnoteReference w:id="1694"/>
      </w:r>
      <w:r>
        <w:t xml:space="preserve">.</w:t>
      </w:r>
    </w:p>
    <w:bookmarkEnd w:id="1695"/>
    <w:bookmarkStart w:id="1697" w:name="otras-aplicaciones-3"/>
    <w:p>
      <w:pPr>
        <w:pStyle w:val="Heading4"/>
      </w:pPr>
      <w:r>
        <w:t xml:space="preserve">Otras aplicaciones</w:t>
      </w:r>
    </w:p>
    <w:p>
      <w:pPr>
        <w:pStyle w:val="FirstParagraph"/>
      </w:pPr>
      <w:r>
        <w:t xml:space="preserve">Hay estudios más pequeños sobre la ELA (20 personas, mejoría en la escala funcional de ELA al cabo de un mes; Firstenfeld 2023, PMID 38585517), sobre prematuros, niños con parálisis cerebral, la pérdida del olfato tras la COVID-19 y enfermedades psiquiátricas. En hombres sanos, la cerebrolisina modificó en un pequeño estudio con 48 participantes los patrones del EEG; en la memoria a corto plazo se observó con placebo una tendencia a un peor recuerdo de palabras en las primeras horas, pero no con cerebrolisina</w:t>
      </w:r>
      <w:r>
        <w:rPr>
          <w:rStyle w:val="FootnoteReference"/>
        </w:rPr>
        <w:footnoteReference w:id="1696"/>
      </w:r>
      <w:r>
        <w:t xml:space="preserve">. No hay pruebas para su uso como «nootrópico» en personas sanas.</w:t>
      </w:r>
    </w:p>
    <w:bookmarkEnd w:id="1697"/>
    <w:bookmarkEnd w:id="1698"/>
    <w:bookmarkStart w:id="1702" w:name="estudios-en-animales-y-de-laboratorio-36"/>
    <w:p>
      <w:pPr>
        <w:pStyle w:val="Heading3"/>
      </w:pPr>
      <w:r>
        <w:t xml:space="preserve">Estudios en animales y de laboratorio</w:t>
      </w:r>
    </w:p>
    <w:p>
      <w:pPr>
        <w:numPr>
          <w:ilvl w:val="0"/>
          <w:numId w:val="1204"/>
        </w:numPr>
        <w:pStyle w:val="Compact"/>
      </w:pPr>
      <w:r>
        <w:t xml:space="preserve">En ratas con ictus provocado artificialmente, la cerebrolisina mejoró en un estudio aleatorizado y enmascarado en animales, de forma dependiente de la dosis, la recuperación neurológica a los 28 días</w:t>
      </w:r>
      <w:r>
        <w:rPr>
          <w:rStyle w:val="FootnoteReference"/>
        </w:rPr>
        <w:footnoteReference w:id="1699"/>
      </w:r>
      <w:r>
        <w:t xml:space="preserve">.</w:t>
      </w:r>
    </w:p>
    <w:p>
      <w:pPr>
        <w:numPr>
          <w:ilvl w:val="0"/>
          <w:numId w:val="1204"/>
        </w:numPr>
        <w:pStyle w:val="Compact"/>
      </w:pPr>
      <w:r>
        <w:t xml:space="preserve">En ratas con lesión cerebral leve, la cerebrolisina redujo el daño axonal y favoreció la formación de nuevas neuronas en el hipocampo</w:t>
      </w:r>
      <w:r>
        <w:rPr>
          <w:rStyle w:val="FootnoteReference"/>
        </w:rPr>
        <w:footnoteReference w:id="1700"/>
      </w:r>
      <w:r>
        <w:t xml:space="preserve">.</w:t>
      </w:r>
    </w:p>
    <w:p>
      <w:pPr>
        <w:numPr>
          <w:ilvl w:val="0"/>
          <w:numId w:val="1204"/>
        </w:numPr>
        <w:pStyle w:val="Compact"/>
      </w:pPr>
      <w:r>
        <w:t xml:space="preserve">En un modelo murino de la enfermedad hereditaria CADASIL, la cerebrolisina prolongó la esperanza de vida y mejoró la memoria espacial, sin influir en las alteraciones típicas de la sustancia blanca</w:t>
      </w:r>
      <w:r>
        <w:rPr>
          <w:rStyle w:val="FootnoteReference"/>
        </w:rPr>
        <w:footnoteReference w:id="1701"/>
      </w:r>
      <w:r>
        <w:t xml:space="preserve">.</w:t>
      </w:r>
    </w:p>
    <w:p>
      <w:pPr>
        <w:pStyle w:val="FirstParagraph"/>
      </w:pPr>
      <w:r>
        <w:t xml:space="preserve">Los estudios preclínicos proceden en una parte considerable de colaboraciones con el fabricante. Hasta ahora, los buenos resultados en animales rara vez se han traducido en un beneficio clínico en los medicamentos para el ictus.</w:t>
      </w:r>
    </w:p>
    <w:bookmarkEnd w:id="1702"/>
    <w:bookmarkStart w:id="1706" w:name="riesgos-y-efectos-adversos-36"/>
    <w:p>
      <w:pPr>
        <w:pStyle w:val="Heading3"/>
      </w:pPr>
      <w:r>
        <w:t xml:space="preserve">Riesgos y efectos adversos</w:t>
      </w:r>
    </w:p>
    <w:p>
      <w:pPr>
        <w:pStyle w:val="FirstParagraph"/>
      </w:pPr>
      <w:r>
        <w:rPr>
          <w:bCs/>
          <w:b/>
        </w:rPr>
        <w:t xml:space="preserve">Demostrado:</w:t>
      </w:r>
    </w:p>
    <w:p>
      <w:pPr>
        <w:numPr>
          <w:ilvl w:val="0"/>
          <w:numId w:val="1205"/>
        </w:numPr>
        <w:pStyle w:val="Compact"/>
      </w:pPr>
      <w:r>
        <w:t xml:space="preserve">En los estudios, los efectos adversos fueron en conjunto igual de frecuentes que con placebo. Se mencionan, entre otros, dolor de cabeza, mareo e inquietud</w:t>
      </w:r>
      <w:r>
        <w:rPr>
          <w:rStyle w:val="FootnoteReference"/>
        </w:rPr>
        <w:footnoteReference w:id="1703"/>
      </w:r>
      <w:r>
        <w:t xml:space="preserve">.</w:t>
      </w:r>
    </w:p>
    <w:p>
      <w:pPr>
        <w:numPr>
          <w:ilvl w:val="0"/>
          <w:numId w:val="1205"/>
        </w:numPr>
        <w:pStyle w:val="Compact"/>
      </w:pPr>
      <w:r>
        <w:t xml:space="preserve">La revisión Cochrane sobre el ictus encontró más</w:t>
      </w:r>
      <w:r>
        <w:t xml:space="preserve"> </w:t>
      </w:r>
      <w:r>
        <w:rPr>
          <w:bCs/>
          <w:b/>
        </w:rPr>
        <w:t xml:space="preserve">acontecimientos adversos graves no mortales</w:t>
      </w:r>
      <w:r>
        <w:t xml:space="preserve"> </w:t>
      </w:r>
      <w:r>
        <w:t xml:space="preserve">con cerebrolisina (RR 2,39; Ziganshina 2023, PMID 37818733); el metaanálisis de seguridad cercano al fabricante, no</w:t>
      </w:r>
      <w:r>
        <w:rPr>
          <w:rStyle w:val="FootnoteReference"/>
        </w:rPr>
        <w:footnoteReference w:id="1704"/>
      </w:r>
      <w:r>
        <w:t xml:space="preserve">.</w:t>
      </w:r>
    </w:p>
    <w:p>
      <w:pPr>
        <w:numPr>
          <w:ilvl w:val="0"/>
          <w:numId w:val="1205"/>
        </w:numPr>
        <w:pStyle w:val="Compact"/>
      </w:pPr>
      <w:r>
        <w:rPr>
          <w:bCs/>
          <w:b/>
        </w:rPr>
        <w:t xml:space="preserve">Reacciones alérgicas:</w:t>
      </w:r>
      <w:r>
        <w:t xml:space="preserve"> </w:t>
      </w:r>
      <w:r>
        <w:t xml:space="preserve">Un informe de caso documentado con detalle describe una reacción anafiláctica potencialmente mortal en un hombre de 85 años tras una infusión de cerebrolisina; los autores subrayan que estos casos son raros, pero relevantes en personas en estado crítico</w:t>
      </w:r>
      <w:r>
        <w:rPr>
          <w:rStyle w:val="FootnoteReference"/>
        </w:rPr>
        <w:footnoteReference w:id="1705"/>
      </w:r>
      <w:r>
        <w:t xml:space="preserve">.</w:t>
      </w:r>
    </w:p>
    <w:p>
      <w:pPr>
        <w:pStyle w:val="FirstParagraph"/>
      </w:pPr>
      <w:r>
        <w:rPr>
          <w:bCs/>
          <w:b/>
        </w:rPr>
        <w:t xml:space="preserve">Teórico:</w:t>
      </w:r>
      <w:r>
        <w:t xml:space="preserve"> </w:t>
      </w:r>
      <w:r>
        <w:t xml:space="preserve">Como preparado de tejido cerebral animal, la cerebrolisina está ligada en principio a cuestiones de pureza y transmisibilidad de agentes patógenos; los procedimientos de fabricación y las exigencias de las autoridades deberían minimizar este riesgo. En las fuentes analizadas aquí no se describen casos concretos de transmisión.</w:t>
      </w:r>
    </w:p>
    <w:p>
      <w:pPr>
        <w:pStyle w:val="BodyText"/>
      </w:pPr>
      <w:r>
        <w:rPr>
          <w:bCs/>
          <w:b/>
        </w:rPr>
        <w:t xml:space="preserve">Mercado gris:</w:t>
      </w:r>
      <w:r>
        <w:t xml:space="preserve"> </w:t>
      </w:r>
      <w:r>
        <w:t xml:space="preserve">En foros de nootrópicos, la cerebrolisina se discute como «potenciador cerebral» y se obtiene de países en los que está disponible. La autoadministración intravenosa sin supervisión médica conlleva el riesgo de reacciones alérgicas graves para las que no hay atención de urgencia disponible. Más sobre productos del mercado gris en la Parte I y la Parte IV.</w:t>
      </w:r>
    </w:p>
    <w:bookmarkEnd w:id="1706"/>
    <w:bookmarkStart w:id="1707" w:name="situación-legal-36"/>
    <w:p>
      <w:pPr>
        <w:pStyle w:val="Heading3"/>
      </w:pPr>
      <w:r>
        <w:t xml:space="preserve">Situación legal</w:t>
      </w:r>
    </w:p>
    <w:p>
      <w:pPr>
        <w:numPr>
          <w:ilvl w:val="0"/>
          <w:numId w:val="1206"/>
        </w:numPr>
        <w:pStyle w:val="Compact"/>
      </w:pPr>
      <w:r>
        <w:rPr>
          <w:bCs/>
          <w:b/>
        </w:rPr>
        <w:t xml:space="preserve">UE / Austria / Alemania:</w:t>
      </w:r>
      <w:r>
        <w:t xml:space="preserve"> </w:t>
      </w:r>
      <w:r>
        <w:t xml:space="preserve">sin autorización centralizada en la UE. En Austria, la cerebrolisina está autorizada a nivel nacional como medicamento con receta; las indicaciones y la financiación se rigen por la ficha técnica austriaca. Otros Estados de la UE tienen sus propias autorizaciones nacionales. En Alemania, según nuestros conocimientos, la cerebrolisina no se comercializa; su obtención solo sería posible, en su caso, como importación individual con prescripción médica.</w:t>
      </w:r>
    </w:p>
    <w:p>
      <w:pPr>
        <w:numPr>
          <w:ilvl w:val="0"/>
          <w:numId w:val="1206"/>
        </w:numPr>
        <w:pStyle w:val="Compact"/>
      </w:pPr>
      <w:r>
        <w:rPr>
          <w:bCs/>
          <w:b/>
        </w:rPr>
        <w:t xml:space="preserve">EE. UU.:</w:t>
      </w:r>
      <w:r>
        <w:t xml:space="preserve"> </w:t>
      </w:r>
      <w:r>
        <w:t xml:space="preserve">no autorizada.</w:t>
      </w:r>
    </w:p>
    <w:p>
      <w:pPr>
        <w:numPr>
          <w:ilvl w:val="0"/>
          <w:numId w:val="1206"/>
        </w:numPr>
        <w:pStyle w:val="Compact"/>
      </w:pPr>
      <w:r>
        <w:rPr>
          <w:bCs/>
          <w:b/>
        </w:rPr>
        <w:t xml:space="preserve">Deporte:</w:t>
      </w:r>
      <w:r>
        <w:t xml:space="preserve"> </w:t>
      </w:r>
      <w:r>
        <w:t xml:space="preserve">no figura en la lista de la WADA (situación en 2026; comprueba la información actualizada).</w:t>
      </w:r>
    </w:p>
    <w:p>
      <w:pPr>
        <w:numPr>
          <w:ilvl w:val="0"/>
          <w:numId w:val="1206"/>
        </w:numPr>
        <w:pStyle w:val="Compact"/>
      </w:pPr>
      <w:r>
        <w:t xml:space="preserve">En caso de uso autorizado: remisión a la ficha técnica y acompañamiento médico.</w:t>
      </w:r>
    </w:p>
    <w:bookmarkEnd w:id="1707"/>
    <w:bookmarkStart w:id="1711" w:name="estudios-en-curso-y-perspectivas-36"/>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07"/>
        </w:numPr>
        <w:pStyle w:val="Compact"/>
      </w:pPr>
      <w:r>
        <w:rPr>
          <w:bCs/>
          <w:b/>
        </w:rPr>
        <w:t xml:space="preserve">CERebrolysin In CADASIL</w:t>
      </w:r>
      <w:r>
        <w:rPr>
          <w:rStyle w:val="FootnoteReference"/>
        </w:rPr>
        <w:footnoteReference w:id="1708"/>
      </w:r>
      <w:r>
        <w:t xml:space="preserve">: estudio de fase 2 con 30 participantes en la enfermedad vascular hereditaria CADASIL, activo, reclutamiento concluido.</w:t>
      </w:r>
    </w:p>
    <w:p>
      <w:pPr>
        <w:numPr>
          <w:ilvl w:val="0"/>
          <w:numId w:val="1207"/>
        </w:numPr>
        <w:pStyle w:val="Compact"/>
      </w:pPr>
      <w:r>
        <w:rPr>
          <w:bCs/>
          <w:b/>
        </w:rPr>
        <w:t xml:space="preserve">Afasia tras el ictus</w:t>
      </w:r>
      <w:r>
        <w:rPr>
          <w:rStyle w:val="FootnoteReference"/>
        </w:rPr>
        <w:footnoteReference w:id="1709"/>
      </w:r>
      <w:r>
        <w:t xml:space="preserve">: estudio aleatorizado y controlado con placebo con 40 participantes en Corea, en reclutamiento.</w:t>
      </w:r>
    </w:p>
    <w:p>
      <w:pPr>
        <w:numPr>
          <w:ilvl w:val="0"/>
          <w:numId w:val="1207"/>
        </w:numPr>
        <w:pStyle w:val="Compact"/>
      </w:pPr>
      <w:r>
        <w:rPr>
          <w:bCs/>
          <w:b/>
        </w:rPr>
        <w:t xml:space="preserve">Cerebrolisina tras trombectomía ampliada</w:t>
      </w:r>
      <w:r>
        <w:rPr>
          <w:rStyle w:val="FootnoteReference"/>
        </w:rPr>
        <w:footnoteReference w:id="1710"/>
      </w:r>
      <w:r>
        <w:t xml:space="preserve">: estudio de fase 2 con 100 participantes previstos en Taiwán, inicio en 2026.</w:t>
      </w:r>
    </w:p>
    <w:p>
      <w:pPr>
        <w:numPr>
          <w:ilvl w:val="0"/>
          <w:numId w:val="1207"/>
        </w:numPr>
        <w:pStyle w:val="Compact"/>
      </w:pPr>
      <w:r>
        <w:t xml:space="preserve">Hay registrados otros estudios más pequeños sobre el delirio tras operaciones cardiacas y en la unidad de cuidados intensivos, sobre la hemorragia cerebral y sobre la rehabilitación precoz.</w:t>
      </w:r>
    </w:p>
    <w:p>
      <w:pPr>
        <w:pStyle w:val="FirstParagraph"/>
      </w:pPr>
      <w:r>
        <w:rPr>
          <w:bCs/>
          <w:b/>
        </w:rPr>
        <w:t xml:space="preserve">Valoración:</w:t>
      </w:r>
      <w:r>
        <w:t xml:space="preserve"> </w:t>
      </w:r>
      <w:r>
        <w:t xml:space="preserve">Ninguno de los estudios registrados es lo bastante grande para responder a la pregunta central abierta: ¿reduce la cerebrolisina la discapacidad permanente o la mortalidad tras el ictus? Para ello haría falta un estudio realizado de forma independiente, suficientemente grande, con un criterio de valoración principal claro y fijado de antemano, como la escala de Rankin modificada a los 90 días. Mientras falte, la valoración seguirá dividida entre «establecida en Europa del Este y en Asia» y «no suficientemente demostrada en Occidente».</w:t>
      </w:r>
    </w:p>
    <w:bookmarkEnd w:id="1711"/>
    <w:bookmarkStart w:id="1712" w:name="conclusión-36"/>
    <w:p>
      <w:pPr>
        <w:pStyle w:val="Heading3"/>
      </w:pPr>
      <w:r>
        <w:t xml:space="preserve">Conclusión</w:t>
      </w:r>
    </w:p>
    <w:p>
      <w:pPr>
        <w:pStyle w:val="FirstParagraph"/>
      </w:pPr>
      <w:r>
        <w:t xml:space="preserve">La cerebrolisina es una mezcla de péptidos obtenida de cerebro de cerdo que se utiliza en Austria y en muchos países de Europa del Este y de Asia en el ictus, el traumatismo craneoencefálico y la demencia. Numerosos estudios aleatorizados muestran mejoras precoces en escalas neurológicas; sin embargo, el estudio más grande (CASTA), con más de 1000 personas, no alcanzó su criterio de valoración principal. Las revisiones Cochrane independientes no encuentran influencia en la mortalidad, sí una señal de más efectos adversos graves no mortales en el ictus y solo ventajas muy inciertas en la demencia vascular. Los análisis cercanos al fabricante llegan a resultados claramente más positivos. Los datos no bastan para demostrar con seguridad un beneficio clínicamente relevante a largo plazo; como autotratamiento o «nootrópico», la cerebrolisina no es adecuada.</w:t>
      </w:r>
    </w:p>
    <w:bookmarkEnd w:id="1712"/>
    <w:bookmarkEnd w:id="1713"/>
    <w:bookmarkStart w:id="1735" w:name="dihexa"/>
    <w:p>
      <w:pPr>
        <w:pStyle w:val="Heading2"/>
      </w:pPr>
      <w:r>
        <w:t xml:space="preserve">Dihexa</w:t>
      </w:r>
    </w:p>
    <w:bookmarkStart w:id="1714" w:name="ficha-37"/>
    <w:p>
      <w:pPr>
        <w:pStyle w:val="Heading3"/>
      </w:pPr>
      <w:r>
        <w:t xml:space="preserve">Ficha</w:t>
      </w:r>
    </w:p>
    <w:p>
      <w:pPr>
        <w:numPr>
          <w:ilvl w:val="0"/>
          <w:numId w:val="1208"/>
        </w:numPr>
        <w:pStyle w:val="Compact"/>
      </w:pPr>
      <w:r>
        <w:rPr>
          <w:bCs/>
          <w:b/>
        </w:rPr>
        <w:t xml:space="preserve">Tipo y estructura:</w:t>
      </w:r>
      <w:r>
        <w:t xml:space="preserve"> </w:t>
      </w:r>
      <w:r>
        <w:t xml:space="preserve">minipéptido modificado químicamente, derivado de la angiotensina IV, un fragmento del sistema hormonal que regula la presión arterial. El núcleo consta de dos aminoácidos (tirosina e isoleucina), provistos en ambos extremos de cadenas de tipo ácido graso; nombre químico N-hexanoil-Tyr-Ile-(6)-amida del ácido aminohexanoico, código de investigación PNB-0408.</w:t>
      </w:r>
    </w:p>
    <w:p>
      <w:pPr>
        <w:numPr>
          <w:ilvl w:val="0"/>
          <w:numId w:val="1208"/>
        </w:numPr>
        <w:pStyle w:val="Compact"/>
      </w:pPr>
      <w:r>
        <w:rPr>
          <w:bCs/>
          <w:b/>
        </w:rPr>
        <w:t xml:space="preserve">Origen:</w:t>
      </w:r>
      <w:r>
        <w:t xml:space="preserve"> </w:t>
      </w:r>
      <w:r>
        <w:t xml:space="preserve">desarrollado hacia 2012 en la Universidad Estatal de Washington (EE. UU.).</w:t>
      </w:r>
    </w:p>
    <w:p>
      <w:pPr>
        <w:numPr>
          <w:ilvl w:val="0"/>
          <w:numId w:val="1208"/>
        </w:numPr>
        <w:pStyle w:val="Compact"/>
      </w:pPr>
      <w:r>
        <w:rPr>
          <w:bCs/>
          <w:b/>
        </w:rPr>
        <w:t xml:space="preserve">Mecanismo de acción:</w:t>
      </w:r>
      <w:r>
        <w:t xml:space="preserve"> </w:t>
      </w:r>
      <w:r>
        <w:t xml:space="preserve">debería reforzar el sistema de factores de crecimiento HGF/c-Met (HGF = factor de crecimiento de hepatocitos, c-Met = su receptor) y estimular así la formación de nuevas conexiones nerviosas (sinapsis).</w:t>
      </w:r>
    </w:p>
    <w:p>
      <w:pPr>
        <w:numPr>
          <w:ilvl w:val="0"/>
          <w:numId w:val="1208"/>
        </w:numPr>
        <w:pStyle w:val="Compact"/>
      </w:pPr>
      <w:r>
        <w:rPr>
          <w:bCs/>
          <w:b/>
        </w:rPr>
        <w:t xml:space="preserve">Autorización UE:</w:t>
      </w:r>
      <w:r>
        <w:t xml:space="preserve"> </w:t>
      </w:r>
      <w:r>
        <w:t xml:space="preserve">no.</w:t>
      </w:r>
    </w:p>
    <w:p>
      <w:pPr>
        <w:numPr>
          <w:ilvl w:val="0"/>
          <w:numId w:val="1208"/>
        </w:numPr>
        <w:pStyle w:val="Compact"/>
      </w:pPr>
      <w:r>
        <w:rPr>
          <w:bCs/>
          <w:b/>
        </w:rPr>
        <w:t xml:space="preserve">Autorización EE. UU.:</w:t>
      </w:r>
      <w:r>
        <w:t xml:space="preserve"> </w:t>
      </w:r>
      <w:r>
        <w:t xml:space="preserve">no. A partir de 2023, Dihexa figuró en la «categoría 2» de la FDA de sustancias para fórmulas magistrales con problemas de seguridad; en abril de 2026 se retiró de ella, y se ha anunciado una evaluación por el comité asesor PCAC en una sesión hasta febrero de 2027 (situación en octubre de 2026; comprueba la información actualizada).</w:t>
      </w:r>
    </w:p>
    <w:p>
      <w:pPr>
        <w:numPr>
          <w:ilvl w:val="0"/>
          <w:numId w:val="1208"/>
        </w:numPr>
        <w:pStyle w:val="Compact"/>
      </w:pPr>
      <w:r>
        <w:rPr>
          <w:bCs/>
          <w:b/>
        </w:rPr>
        <w:t xml:space="preserve">WADA:</w:t>
      </w:r>
      <w:r>
        <w:t xml:space="preserve"> </w:t>
      </w:r>
      <w:r>
        <w:t xml:space="preserve">no figura nominalmente; como sustancia no autorizada en ningún lugar, Dihexa entra, según nuestra valoración, en la categoría general S0 «sustancias no aprobadas».</w:t>
      </w:r>
    </w:p>
    <w:p>
      <w:pPr>
        <w:numPr>
          <w:ilvl w:val="0"/>
          <w:numId w:val="1208"/>
        </w:numPr>
        <w:pStyle w:val="Compact"/>
      </w:pPr>
      <w:r>
        <w:rPr>
          <w:bCs/>
          <w:b/>
        </w:rPr>
        <w:t xml:space="preserve">Nivel de evidencia:</w:t>
      </w:r>
      <w:r>
        <w:t xml:space="preserve"> </w:t>
      </w:r>
      <w:r>
        <w:rPr>
          <w:bCs/>
          <w:b/>
        </w:rPr>
        <w:t xml:space="preserve">D</w:t>
      </w:r>
      <w:r>
        <w:t xml:space="preserve"> </w:t>
      </w:r>
      <w:r>
        <w:t xml:space="preserve">– ni un solo estudio publicado en humanos.</w:t>
      </w:r>
    </w:p>
    <w:bookmarkEnd w:id="1714"/>
    <w:bookmarkStart w:id="1717" w:name="cómo-se-supone-que-actúa-37"/>
    <w:p>
      <w:pPr>
        <w:pStyle w:val="Heading3"/>
      </w:pPr>
      <w:r>
        <w:t xml:space="preserve">Cómo se supone que actúa</w:t>
      </w:r>
    </w:p>
    <w:p>
      <w:pPr>
        <w:pStyle w:val="FirstParagraph"/>
      </w:pPr>
      <w:r>
        <w:t xml:space="preserve">La angiotensina IV es un péptido corto que se forma en el organismo a partir de la hormona de la presión arterial angiotensina II. Desde la década de 1990, los investigadores observaron que la angiotensina IV y moléculas relacionadas mejoran el aprendizaje y la memoria en ratas cuando se inyectan directamente en el cerebro. Para un medicamento esto era inservible: los péptidos se degradaban rápidamente y no pasaban ni del intestino a la sangre ni a través de la barrera hematoencefálica.</w:t>
      </w:r>
    </w:p>
    <w:p>
      <w:pPr>
        <w:pStyle w:val="BodyText"/>
      </w:pPr>
      <w:r>
        <w:t xml:space="preserve">Por eso, el grupo de trabajo de Joseph Harding y John Wright en Washington acortó la molécula a su núcleo activo y la dotó de grupos protectores químicos. El resultado fue Dihexa: estable frente a la degradación, activo por vía oral en ratas y capaz de llegar al cerebro. En ratas con un trastorno de memoria provocado farmacológicamente y en ratas viejas mejoró el rendimiento en el laberinto acuático y favoreció la formación de sinapsis en el hipocampo</w:t>
      </w:r>
      <w:r>
        <w:rPr>
          <w:rStyle w:val="FootnoteReference"/>
        </w:rPr>
        <w:footnoteReference w:id="1715"/>
      </w:r>
      <w:r>
        <w:t xml:space="preserve">.</w:t>
      </w:r>
    </w:p>
    <w:p>
      <w:pPr>
        <w:pStyle w:val="BodyText"/>
      </w:pPr>
      <w:r>
        <w:t xml:space="preserve">Más tarde, el mismo grupo encontró el supuesto mecanismo de acción: Dihexa se une al factor de crecimiento HGF y refuerza su señal en el receptor c-Met. Cuando se bloqueaba el sistema HGF en el cerebro de ratas, desaparecía el efecto favorecedor de la memoria</w:t>
      </w:r>
      <w:r>
        <w:rPr>
          <w:rStyle w:val="FootnoteReference"/>
        </w:rPr>
        <w:footnoteReference w:id="1716"/>
      </w:r>
      <w:r>
        <w:t xml:space="preserve">. Este trabajo fue retractado por la revista en 2025 (nota de retractación: PMID 40312093), al igual que otro trabajo fundamental del mismo grupo sobre derivados de la angiotensina IV como moduladores de HGF/c-Met (nota de retractación: PMID 40312092). Con ello, el mecanismo de acción descrito ya no está demostrado de forma sólida; las entradas de PubMed no indican los motivos de la retractación.</w:t>
      </w:r>
    </w:p>
    <w:p>
      <w:pPr>
        <w:pStyle w:val="BodyText"/>
      </w:pPr>
      <w:r>
        <w:t xml:space="preserve">En internet, Dihexa se describe a menudo como una sustancia muchas veces más potente que el factor de crecimiento nervioso BDNF. Estas comparaciones proceden de experimentos con cultivos celulares y no dicen nada sobre si Dihexa actúa en el ser humano ni cómo.</w:t>
      </w:r>
    </w:p>
    <w:bookmarkEnd w:id="1717"/>
    <w:bookmarkStart w:id="1722" w:name="estudios-en-humanos-37"/>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w:t>
      </w:r>
      <w:r>
        <w:t xml:space="preserve"> </w:t>
      </w:r>
      <w:r>
        <w:rPr>
          <w:bCs/>
          <w:b/>
        </w:rPr>
        <w:t xml:space="preserve">no</w:t>
      </w:r>
      <w:r>
        <w:t xml:space="preserve"> </w:t>
      </w:r>
      <w:r>
        <w:t xml:space="preserve">arrojó ningún estudio en humanos con Dihexa; en total, PubMed recoge solo 18 trabajos con el término de búsqueda, varios de ellos sin relación con el principio activo. En ClinicalTrials.gov no hay ningún estudio registrado. Tampoco una búsqueda específica adicional de informes de casos, intoxicaciones o análisis de productos del mercado gris dio resultado.</w:t>
      </w:r>
    </w:p>
    <w:p>
      <w:pPr>
        <w:pStyle w:val="BodyText"/>
      </w:pPr>
      <w:r>
        <w:t xml:space="preserve">Por tanto, no hay datos sobre la eficacia, la tolerabilidad, la duración del efecto ni las cantidades adecuadas en el ser humano. Todo lo que se cuenta sobre un efecto en personas procede de relatos de experiencias en foros.</w:t>
      </w:r>
    </w:p>
    <w:bookmarkStart w:id="1721" w:name="un-pariente-en-la-clínica-fosgonimeton"/>
    <w:p>
      <w:pPr>
        <w:pStyle w:val="Heading4"/>
      </w:pPr>
      <w:r>
        <w:t xml:space="preserve">Un pariente en la clínica: fosgonimeton</w:t>
      </w:r>
    </w:p>
    <w:p>
      <w:pPr>
        <w:pStyle w:val="FirstParagraph"/>
      </w:pPr>
      <w:r>
        <w:t xml:space="preserve">Es revelador el destino de otro principio activo surgido del mismo enfoque de investigación, el refuerzo del sistema HGF/c-Met. La empresa Athira Pharma desarrolló el fosgonimeton (ATH-1017), una molécula químicamente distinta que también debería influir positivamente en HGF/c-Met. El fosgonimeton, a diferencia de Dihexa, se evaluó en estudios clínicos reglamentarios: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1 (Hua 2022), PMID 35180125</w:t>
            </w:r>
          </w:p>
        </w:tc>
        <w:tc>
          <w:tcPr/>
          <w:p>
            <w:pPr>
              <w:pStyle w:val="Compact"/>
              <w:jc w:val="left"/>
            </w:pPr>
            <w:r>
              <w:t xml:space="preserve">88 personas (sanas y 11 personas con alzhéimer), doble ciego frente a placebo</w:t>
            </w:r>
          </w:p>
        </w:tc>
        <w:tc>
          <w:tcPr/>
          <w:p>
            <w:pPr>
              <w:pStyle w:val="Compact"/>
              <w:jc w:val="left"/>
            </w:pPr>
            <w:r>
              <w:t xml:space="preserve">hasta 9 días</w:t>
            </w:r>
          </w:p>
        </w:tc>
        <w:tc>
          <w:tcPr/>
          <w:p>
            <w:pPr>
              <w:pStyle w:val="Compact"/>
              <w:jc w:val="left"/>
            </w:pPr>
            <w:r>
              <w:t xml:space="preserve">bien tolerado; cambios en el EEG como indicio de paso al cerebro</w:t>
            </w:r>
          </w:p>
        </w:tc>
      </w:tr>
      <w:tr>
        <w:tc>
          <w:tcPr/>
          <w:p>
            <w:pPr>
              <w:pStyle w:val="Compact"/>
              <w:jc w:val="left"/>
            </w:pPr>
            <w:r>
              <w:t xml:space="preserve">LIFT-AD (Porsteinsson 2025), PMID 41393340</w:t>
            </w:r>
          </w:p>
        </w:tc>
        <w:tc>
          <w:tcPr/>
          <w:p>
            <w:pPr>
              <w:pStyle w:val="Compact"/>
              <w:jc w:val="left"/>
            </w:pPr>
            <w:r>
              <w:t xml:space="preserve">287 personas con enfermedad de Alzheimer leve a moderada en el análisis principal, fase 2/3 frente a placebo</w:t>
            </w:r>
          </w:p>
        </w:tc>
        <w:tc>
          <w:tcPr/>
          <w:p>
            <w:pPr>
              <w:pStyle w:val="Compact"/>
              <w:jc w:val="left"/>
            </w:pPr>
            <w:r>
              <w:t xml:space="preserve">26 semanas</w:t>
            </w:r>
          </w:p>
        </w:tc>
        <w:tc>
          <w:tcPr/>
          <w:p>
            <w:pPr>
              <w:pStyle w:val="Compact"/>
              <w:jc w:val="left"/>
            </w:pPr>
            <w:r>
              <w:t xml:space="preserve">criterios de valoración principal y secundarios no alcanzados; más abandonos del tratamiento por efectos adversos (14,2 % frente a 4,6 %)</w:t>
            </w:r>
          </w:p>
        </w:tc>
      </w:tr>
    </w:tbl>
    <w:p>
      <w:pPr>
        <w:pStyle w:val="BodyText"/>
      </w:pPr>
      <w:r>
        <w:t xml:space="preserve">En LIFT-AD</w:t>
      </w:r>
      <w:r>
        <w:rPr>
          <w:rStyle w:val="FootnoteReference"/>
        </w:rPr>
        <w:footnoteReference w:id="1718"/>
      </w:r>
      <w:r>
        <w:t xml:space="preserve">, el fosgonimeton no se diferenció significativamente del placebo ni en el criterio de valoración principal combinado ni en las escalas de memoria o de actividades cotidianas. Los acontecimientos adversos graves estuvieron equilibrados (4,2 % frente a 6,9 %); los abandonos del tratamiento por efectos adversos –sobre todo reacciones en el lugar de inyección– fueron más frecuentes con fosgonimeton</w:t>
      </w:r>
      <w:r>
        <w:rPr>
          <w:rStyle w:val="FootnoteReference"/>
        </w:rPr>
        <w:footnoteReference w:id="1719"/>
      </w:r>
      <w:r>
        <w:t xml:space="preserve">. Un estudio en la demencia de la enfermedad de Parkinson y la demencia con cuerpos de Lewy se terminó antes de tiempo</w:t>
      </w:r>
      <w:r>
        <w:rPr>
          <w:rStyle w:val="FootnoteReference"/>
        </w:rPr>
        <w:footnoteReference w:id="1720"/>
      </w:r>
      <w:r>
        <w:t xml:space="preserve">.</w:t>
      </w:r>
    </w:p>
    <w:p>
      <w:pPr>
        <w:pStyle w:val="BodyText"/>
      </w:pPr>
      <w:r>
        <w:t xml:space="preserve">Esto no demuestra que Dihexa sea ineficaz: es otra sustancia. Pero muestra lo poco que las mejoras de memoria en ratas pueden trasladarse a personas con demencia.</w:t>
      </w:r>
    </w:p>
    <w:bookmarkEnd w:id="1721"/>
    <w:bookmarkEnd w:id="1722"/>
    <w:bookmarkStart w:id="1729" w:name="estudios-en-animales-y-de-laboratorio-37"/>
    <w:p>
      <w:pPr>
        <w:pStyle w:val="Heading3"/>
      </w:pPr>
      <w:r>
        <w:t xml:space="preserve">Estudios en animales y de laboratorio</w:t>
      </w:r>
    </w:p>
    <w:p>
      <w:pPr>
        <w:numPr>
          <w:ilvl w:val="0"/>
          <w:numId w:val="1209"/>
        </w:numPr>
        <w:pStyle w:val="Compact"/>
      </w:pPr>
      <w:r>
        <w:t xml:space="preserve">En ratas con trastorno de memoria por escopolamina y en ratas viejas, Dihexa mejoró el aprendizaje espacial y favoreció la formación de sinapsis</w:t>
      </w:r>
      <w:r>
        <w:rPr>
          <w:rStyle w:val="FootnoteReference"/>
        </w:rPr>
        <w:footnoteReference w:id="1723"/>
      </w:r>
      <w:r>
        <w:t xml:space="preserve">.</w:t>
      </w:r>
    </w:p>
    <w:p>
      <w:pPr>
        <w:numPr>
          <w:ilvl w:val="0"/>
          <w:numId w:val="1209"/>
        </w:numPr>
        <w:pStyle w:val="Compact"/>
      </w:pPr>
      <w:r>
        <w:t xml:space="preserve">En ratones modelo de alzhéimer (APP/PS1), Dihexa mejoró el aprendizaje en el laberinto acuático y redujo los signos de inflamación en el cerebro</w:t>
      </w:r>
      <w:r>
        <w:rPr>
          <w:rStyle w:val="FootnoteReference"/>
        </w:rPr>
        <w:footnoteReference w:id="1724"/>
      </w:r>
      <w:r>
        <w:t xml:space="preserve">.</w:t>
      </w:r>
    </w:p>
    <w:p>
      <w:pPr>
        <w:numPr>
          <w:ilvl w:val="0"/>
          <w:numId w:val="1209"/>
        </w:numPr>
        <w:pStyle w:val="Compact"/>
      </w:pPr>
      <w:r>
        <w:t xml:space="preserve">En un modelo de enfermedad de Huntington en ratas, Dihexa</w:t>
      </w:r>
      <w:r>
        <w:t xml:space="preserve"> </w:t>
      </w:r>
      <w:r>
        <w:rPr>
          <w:bCs/>
          <w:b/>
        </w:rPr>
        <w:t xml:space="preserve">no</w:t>
      </w:r>
      <w:r>
        <w:t xml:space="preserve"> </w:t>
      </w:r>
      <w:r>
        <w:t xml:space="preserve">protegió frente a los déficits</w:t>
      </w:r>
      <w:r>
        <w:rPr>
          <w:rStyle w:val="FootnoteReference"/>
        </w:rPr>
        <w:footnoteReference w:id="1725"/>
      </w:r>
      <w:r>
        <w:t xml:space="preserve">.</w:t>
      </w:r>
    </w:p>
    <w:p>
      <w:pPr>
        <w:numPr>
          <w:ilvl w:val="0"/>
          <w:numId w:val="1209"/>
        </w:numPr>
        <w:pStyle w:val="Compact"/>
      </w:pPr>
      <w:r>
        <w:t xml:space="preserve">En larvas de pez cebra, Dihexa protegió las células ciliadas sensoriales frente a los daños causados por determinados antibióticos</w:t>
      </w:r>
      <w:r>
        <w:rPr>
          <w:rStyle w:val="FootnoteReference"/>
        </w:rPr>
        <w:footnoteReference w:id="1726"/>
      </w:r>
      <w:r>
        <w:t xml:space="preserve">.</w:t>
      </w:r>
    </w:p>
    <w:p>
      <w:pPr>
        <w:numPr>
          <w:ilvl w:val="0"/>
          <w:numId w:val="1209"/>
        </w:numPr>
        <w:pStyle w:val="Compact"/>
      </w:pPr>
      <w:r>
        <w:t xml:space="preserve">En la investigación con células madre, Dihexa se utiliza como sustituto barato de factores de crecimiento en la producción de células similares a los hepatocitos</w:t>
      </w:r>
      <w:r>
        <w:rPr>
          <w:rStyle w:val="FootnoteReference"/>
        </w:rPr>
        <w:footnoteReference w:id="1727"/>
      </w:r>
      <w:r>
        <w:t xml:space="preserve">, un indicio de lo amplio que es el efecto del sistema HGF en el organismo.</w:t>
      </w:r>
    </w:p>
    <w:p>
      <w:pPr>
        <w:pStyle w:val="FirstParagraph"/>
      </w:pPr>
      <w:r>
        <w:t xml:space="preserve">Una revisión sistemática sobre derivados de la angiotensina IV encontró efectos favorables en ocho de nueve estudios en animales sobre trastornos de memoria, pero subraya que las sustancias actuaban mejor cuando se administraban directamente en el cerebro</w:t>
      </w:r>
      <w:r>
        <w:rPr>
          <w:rStyle w:val="FootnoteReference"/>
        </w:rPr>
        <w:footnoteReference w:id="1728"/>
      </w:r>
      <w:r>
        <w:t xml:space="preserve">.</w:t>
      </w:r>
    </w:p>
    <w:bookmarkEnd w:id="1729"/>
    <w:bookmarkStart w:id="1731" w:name="riesgos-y-efectos-adversos-37"/>
    <w:p>
      <w:pPr>
        <w:pStyle w:val="Heading3"/>
      </w:pPr>
      <w:r>
        <w:t xml:space="preserve">Riesgos y efectos adversos</w:t>
      </w:r>
    </w:p>
    <w:p>
      <w:pPr>
        <w:pStyle w:val="FirstParagraph"/>
      </w:pPr>
      <w:r>
        <w:rPr>
          <w:bCs/>
          <w:b/>
        </w:rPr>
        <w:t xml:space="preserve">Demostrado:</w:t>
      </w:r>
      <w:r>
        <w:t xml:space="preserve"> </w:t>
      </w:r>
      <w:r>
        <w:t xml:space="preserve">No hay datos de seguridad publicados en humanos, ni de estudios ni de informes de casos.</w:t>
      </w:r>
    </w:p>
    <w:p>
      <w:pPr>
        <w:pStyle w:val="BodyText"/>
      </w:pPr>
      <w:r>
        <w:rPr>
          <w:bCs/>
          <w:b/>
        </w:rPr>
        <w:t xml:space="preserve">Teórico, y a tomar en serio:</w:t>
      </w:r>
      <w:r>
        <w:t xml:space="preserve"> </w:t>
      </w:r>
      <w:r>
        <w:t xml:space="preserve">El sistema HGF/c-Met no solo es importante para las neuronas. La activación de c-Met estimula la división celular, la migración celular y la remodelación tisular</w:t>
      </w:r>
      <w:r>
        <w:rPr>
          <w:rStyle w:val="FootnoteReference"/>
        </w:rPr>
        <w:footnoteReference w:id="1730"/>
      </w:r>
      <w:r>
        <w:t xml:space="preserve">. En la investigación oncológica, c-Met es conocido como impulsor del crecimiento y la diseminación de diversos tumores; varios medicamentos oncológicos autorizados bloquean precisamente este receptor. Una sustancia que refuerce esta señal de forma continuada podría, en teoría, favorecer el crecimiento de tumores no detectados. Nunca se ha estudiado si es el caso de Dihexa; no existen estudios de toxicidad a largo plazo accesibles públicamente. (Más sobre señales de crecimiento y riesgo de cáncer en la Parte IV.)</w:t>
      </w:r>
    </w:p>
    <w:p>
      <w:pPr>
        <w:pStyle w:val="BodyText"/>
      </w:pPr>
      <w:r>
        <w:rPr>
          <w:bCs/>
          <w:b/>
        </w:rPr>
        <w:t xml:space="preserve">Mercado gris:</w:t>
      </w:r>
      <w:r>
        <w:t xml:space="preserve"> </w:t>
      </w:r>
      <w:r>
        <w:t xml:space="preserve">Dihexa se vende en internet en polvo, cápsulas o solución, en parte para tomar por vía oral, en parte para aplicar sobre la piel. El contenido y la pureza no están comprobados.</w:t>
      </w:r>
    </w:p>
    <w:bookmarkEnd w:id="1731"/>
    <w:bookmarkStart w:id="1732" w:name="situación-legal-37"/>
    <w:p>
      <w:pPr>
        <w:pStyle w:val="Heading3"/>
      </w:pPr>
      <w:r>
        <w:t xml:space="preserve">Situación legal</w:t>
      </w:r>
    </w:p>
    <w:p>
      <w:pPr>
        <w:numPr>
          <w:ilvl w:val="0"/>
          <w:numId w:val="1210"/>
        </w:numPr>
        <w:pStyle w:val="Compact"/>
      </w:pPr>
      <w:r>
        <w:rPr>
          <w:bCs/>
          <w:b/>
        </w:rPr>
        <w:t xml:space="preserve">UE / Austria / Alemania:</w:t>
      </w:r>
      <w:r>
        <w:t xml:space="preserve"> </w:t>
      </w:r>
      <w:r>
        <w:t xml:space="preserve">no autorizado. Como sustancia con efecto farmacológico, Dihexa se considera medicamento; su venta para uso en humanos no está permitida. La etiqueta «solo para fines de investigación» no cambia nada.</w:t>
      </w:r>
    </w:p>
    <w:p>
      <w:pPr>
        <w:numPr>
          <w:ilvl w:val="0"/>
          <w:numId w:val="1210"/>
        </w:numPr>
        <w:pStyle w:val="Compact"/>
      </w:pPr>
      <w:r>
        <w:rPr>
          <w:bCs/>
          <w:b/>
        </w:rPr>
        <w:t xml:space="preserve">EE. UU.:</w:t>
      </w:r>
      <w:r>
        <w:t xml:space="preserve"> </w:t>
      </w:r>
      <w:r>
        <w:t xml:space="preserve">no autorizado. Desde abril de 2026 ya no figura en la «categoría 2» de la FDA; el comité asesor PCAC no había deliberado hasta octubre de 2026 sobre una posible inclusión en la lista de sustancias admisibles para fórmulas magistrales (situación en octubre de 2026; comprueba la información actualizada).</w:t>
      </w:r>
    </w:p>
    <w:p>
      <w:pPr>
        <w:numPr>
          <w:ilvl w:val="0"/>
          <w:numId w:val="1210"/>
        </w:numPr>
        <w:pStyle w:val="Compact"/>
      </w:pPr>
      <w:r>
        <w:rPr>
          <w:bCs/>
          <w:b/>
        </w:rPr>
        <w:t xml:space="preserve">Deporte:</w:t>
      </w:r>
      <w:r>
        <w:t xml:space="preserve"> </w:t>
      </w:r>
      <w:r>
        <w:t xml:space="preserve">como sustancia no autorizada entra, según nuestra valoración, en la categoría S0 de la WADA (situación en 2026; comprueba la información actualizada).</w:t>
      </w:r>
    </w:p>
    <w:bookmarkEnd w:id="1732"/>
    <w:bookmarkStart w:id="1733" w:name="estudios-en-curso-y-perspectivas-37"/>
    <w:p>
      <w:pPr>
        <w:pStyle w:val="Heading3"/>
      </w:pPr>
      <w:r>
        <w:t xml:space="preserve">Estudios en curso y perspectivas</w:t>
      </w:r>
    </w:p>
    <w:p>
      <w:pPr>
        <w:pStyle w:val="FirstParagraph"/>
      </w:pPr>
      <w:r>
        <w:rPr>
          <w:bCs/>
          <w:b/>
        </w:rPr>
        <w:t xml:space="preserve">Confirmado:</w:t>
      </w:r>
      <w:r>
        <w:t xml:space="preserve"> </w:t>
      </w:r>
      <w:r>
        <w:t xml:space="preserve">Para Dihexa no hay registrado ningún estudio clínico (consulta de octubre de 2026). El enfoque relacionado del fosgonimeton fracasó en el estudio de alzhéimer LIFT-AD.</w:t>
      </w:r>
    </w:p>
    <w:p>
      <w:pPr>
        <w:pStyle w:val="BodyText"/>
      </w:pPr>
      <w:r>
        <w:rPr>
          <w:bCs/>
          <w:b/>
        </w:rPr>
        <w:t xml:space="preserve">Valoración:</w:t>
      </w:r>
      <w:r>
        <w:t xml:space="preserve"> </w:t>
      </w:r>
      <w:r>
        <w:t xml:space="preserve">Sin datos de toxicidad y sin un primer estudio en humanos, Dihexa seguirá siendo un principio activo de laboratorio. Está por ver si la deliberación anunciada del PCAC en EE. UU. cambia algo al respecto; en todo caso afectaría a las fórmulas magistrales de farmacia, no a la falta de demostración de eficacia.</w:t>
      </w:r>
    </w:p>
    <w:bookmarkEnd w:id="1733"/>
    <w:bookmarkStart w:id="1734" w:name="conclusión-37"/>
    <w:p>
      <w:pPr>
        <w:pStyle w:val="Heading3"/>
      </w:pPr>
      <w:r>
        <w:t xml:space="preserve">Conclusión</w:t>
      </w:r>
    </w:p>
    <w:p>
      <w:pPr>
        <w:pStyle w:val="FirstParagraph"/>
      </w:pPr>
      <w:r>
        <w:t xml:space="preserve">Dihexa es un derivado químicamente estabilizado de la angiotensina IV que en ratas y ratones favoreció el aprendizaje y la formación de sinapsis, mediado por el sistema de factores de crecimiento HGF/c-Met. Nunca se ha estudiado en humanos; un principio activo relacionado (fosgonimeton) no alcanzó ninguno de los criterios de valoración en un estudio de alzhéimer con 287 personas. Como c-Met también impulsa el crecimiento tumoral, existe una preocupación plausible, pero no comprobada, en relación con el cáncer. Los datos no bastan para valorar ningún beneficio ni la seguridad en el ser humano.</w:t>
      </w:r>
    </w:p>
    <w:bookmarkEnd w:id="1734"/>
    <w:bookmarkEnd w:id="1735"/>
    <w:bookmarkStart w:id="1767" w:name="dsip-péptido-inductor-del-sueño-delta"/>
    <w:p>
      <w:pPr>
        <w:pStyle w:val="Heading2"/>
      </w:pPr>
      <w:r>
        <w:t xml:space="preserve">DSIP (péptido inductor del sueño delta)</w:t>
      </w:r>
    </w:p>
    <w:bookmarkStart w:id="1736" w:name="ficha-38"/>
    <w:p>
      <w:pPr>
        <w:pStyle w:val="Heading3"/>
      </w:pPr>
      <w:r>
        <w:t xml:space="preserve">Ficha</w:t>
      </w:r>
    </w:p>
    <w:p>
      <w:pPr>
        <w:numPr>
          <w:ilvl w:val="0"/>
          <w:numId w:val="1211"/>
        </w:numPr>
        <w:pStyle w:val="Compact"/>
      </w:pPr>
      <w:r>
        <w:rPr>
          <w:bCs/>
          <w:b/>
        </w:rPr>
        <w:t xml:space="preserve">Tipo y estructura:</w:t>
      </w:r>
      <w:r>
        <w:t xml:space="preserve"> </w:t>
      </w:r>
      <w:r>
        <w:t xml:space="preserve">nonapéptido de nueve aminoácidos (Trp-Ala-Gly-Gly-Asp-Ala-Ser-Gly-Glu); denominación internacional del principio activo emideltida.</w:t>
      </w:r>
    </w:p>
    <w:p>
      <w:pPr>
        <w:numPr>
          <w:ilvl w:val="0"/>
          <w:numId w:val="1211"/>
        </w:numPr>
        <w:pStyle w:val="Compact"/>
      </w:pPr>
      <w:r>
        <w:rPr>
          <w:bCs/>
          <w:b/>
        </w:rPr>
        <w:t xml:space="preserve">Origen:</w:t>
      </w:r>
      <w:r>
        <w:t xml:space="preserve"> </w:t>
      </w:r>
      <w:r>
        <w:t xml:space="preserve">aislado en 1977 por un grupo de trabajo de Basilea a partir de la sangre venosa cerebral de conejos a los que se había inducido un sueño profundo mediante estimulación eléctrica. Hasta hoy no se ha encontrado ningún gen, proteína precursora ni receptor para el DSIP.</w:t>
      </w:r>
    </w:p>
    <w:p>
      <w:pPr>
        <w:numPr>
          <w:ilvl w:val="0"/>
          <w:numId w:val="1211"/>
        </w:numPr>
        <w:pStyle w:val="Compact"/>
      </w:pPr>
      <w:r>
        <w:rPr>
          <w:bCs/>
          <w:b/>
        </w:rPr>
        <w:t xml:space="preserve">Mecanismo de acción:</w:t>
      </w:r>
      <w:r>
        <w:t xml:space="preserve"> </w:t>
      </w:r>
      <w:r>
        <w:t xml:space="preserve">como «sustancia del sueño» propia del organismo, debía favorecer el sueño profundo (sueño delta con ondas lentas en el EEG); más tarde se supusieron influencias sobre las hormonas del estrés, el dolor y los síntomas de abstinencia.</w:t>
      </w:r>
    </w:p>
    <w:p>
      <w:pPr>
        <w:numPr>
          <w:ilvl w:val="0"/>
          <w:numId w:val="1211"/>
        </w:numPr>
        <w:pStyle w:val="Compact"/>
      </w:pPr>
      <w:r>
        <w:rPr>
          <w:bCs/>
          <w:b/>
        </w:rPr>
        <w:t xml:space="preserve">Autorización UE:</w:t>
      </w:r>
      <w:r>
        <w:t xml:space="preserve"> </w:t>
      </w:r>
      <w:r>
        <w:t xml:space="preserve">no.</w:t>
      </w:r>
    </w:p>
    <w:p>
      <w:pPr>
        <w:numPr>
          <w:ilvl w:val="0"/>
          <w:numId w:val="1211"/>
        </w:numPr>
        <w:pStyle w:val="Compact"/>
      </w:pPr>
      <w:r>
        <w:rPr>
          <w:bCs/>
          <w:b/>
        </w:rPr>
        <w:t xml:space="preserve">Autorización EE. UU.:</w:t>
      </w:r>
      <w:r>
        <w:t xml:space="preserve"> </w:t>
      </w:r>
      <w:r>
        <w:t xml:space="preserve">no. En abril de 2026, la emideltida se retiró de la «categoría 2» de la FDA; el comité asesor PCAC votó en julio de 2026, por 6 votos contra 7,</w:t>
      </w:r>
      <w:r>
        <w:t xml:space="preserve"> </w:t>
      </w:r>
      <w:r>
        <w:rPr>
          <w:bCs/>
          <w:b/>
        </w:rPr>
        <w:t xml:space="preserve">en contra</w:t>
      </w:r>
      <w:r>
        <w:t xml:space="preserve"> </w:t>
      </w:r>
      <w:r>
        <w:t xml:space="preserve">de su inclusión en la lista de sustancias admisibles para fórmulas magistrales (situación en octubre de 2026; comprueba la información actualizada).</w:t>
      </w:r>
    </w:p>
    <w:p>
      <w:pPr>
        <w:numPr>
          <w:ilvl w:val="0"/>
          <w:numId w:val="1211"/>
        </w:numPr>
        <w:pStyle w:val="Compact"/>
      </w:pPr>
      <w:r>
        <w:rPr>
          <w:bCs/>
          <w:b/>
        </w:rPr>
        <w:t xml:space="preserve">Rusia y países vecinos:</w:t>
      </w:r>
      <w:r>
        <w:t xml:space="preserve"> </w:t>
      </w:r>
      <w:r>
        <w:t xml:space="preserve">allí se utilizaron preparados de DSIP (p. ej., Deltaran, Deltalicin) en estudios y en la práctica clínica.</w:t>
      </w:r>
    </w:p>
    <w:p>
      <w:pPr>
        <w:numPr>
          <w:ilvl w:val="0"/>
          <w:numId w:val="1211"/>
        </w:numPr>
        <w:pStyle w:val="Compact"/>
      </w:pPr>
      <w:r>
        <w:rPr>
          <w:bCs/>
          <w:b/>
        </w:rPr>
        <w:t xml:space="preserve">WADA:</w:t>
      </w:r>
      <w:r>
        <w:t xml:space="preserve"> </w:t>
      </w:r>
      <w:r>
        <w:t xml:space="preserve">no figura nominalmente.</w:t>
      </w:r>
    </w:p>
    <w:p>
      <w:pPr>
        <w:numPr>
          <w:ilvl w:val="0"/>
          <w:numId w:val="1211"/>
        </w:numPr>
        <w:pStyle w:val="Compact"/>
      </w:pPr>
      <w:r>
        <w:rPr>
          <w:bCs/>
          <w:b/>
        </w:rPr>
        <w:t xml:space="preserve">Nivel de evidencia:</w:t>
      </w:r>
      <w:r>
        <w:t xml:space="preserve"> </w:t>
      </w:r>
      <w:r>
        <w:rPr>
          <w:bCs/>
          <w:b/>
        </w:rPr>
        <w:t xml:space="preserve">C</w:t>
      </w:r>
      <w:r>
        <w:t xml:space="preserve"> </w:t>
      </w:r>
      <w:r>
        <w:t xml:space="preserve">– solo estudios muy pequeños, realizados mayoritariamente en la década de 1980; los mejores desde el punto de vista metodológico no encontraron ningún beneficio clínicamente relevante.</w:t>
      </w:r>
    </w:p>
    <w:bookmarkEnd w:id="1736"/>
    <w:bookmarkStart w:id="1740" w:name="cómo-se-supone-que-actúa-38"/>
    <w:p>
      <w:pPr>
        <w:pStyle w:val="Heading3"/>
      </w:pPr>
      <w:r>
        <w:t xml:space="preserve">Cómo se supone que actúa</w:t>
      </w:r>
    </w:p>
    <w:p>
      <w:pPr>
        <w:pStyle w:val="FirstParagraph"/>
      </w:pPr>
      <w:r>
        <w:t xml:space="preserve">La idea era sencilla y atractiva: si el cerebro libera a la sangre durante el sueño una sustancia que induce el sueño en otros animales, podría ser un somnífero natural, sin los inconvenientes de los tranquilizantes. Los investigadores de Basilea transfirieron sangre de conejos dormidos a animales despiertos y aislaron de ella el péptido que consideraban responsable del efecto</w:t>
      </w:r>
      <w:r>
        <w:rPr>
          <w:rStyle w:val="FootnoteReference"/>
        </w:rPr>
        <w:footnoteReference w:id="1737"/>
      </w:r>
      <w:r>
        <w:t xml:space="preserve">.</w:t>
      </w:r>
    </w:p>
    <w:p>
      <w:pPr>
        <w:pStyle w:val="BodyText"/>
      </w:pPr>
      <w:r>
        <w:t xml:space="preserve">La esperanza no se confirmó. Una revisión del año 2006 califica al DSIP de «enigma aún sin resolver»: su relación con el sueño estaría «extremadamente mal documentada», porque no se ha encontrado ni el gen correspondiente ni un receptor. En experimentos con animales, más que el propio DSIP, fueron determinadas modificaciones artificiales las que favorecieron el sueño profundo. Los autores suponen que un péptido similar al DSIP, hasta ahora desconocido, podría ser el responsable de los efectos observados</w:t>
      </w:r>
      <w:r>
        <w:rPr>
          <w:rStyle w:val="FootnoteReference"/>
        </w:rPr>
        <w:footnoteReference w:id="1738"/>
      </w:r>
      <w:r>
        <w:t xml:space="preserve">.</w:t>
      </w:r>
    </w:p>
    <w:p>
      <w:pPr>
        <w:pStyle w:val="BodyText"/>
      </w:pPr>
      <w:r>
        <w:t xml:space="preserve">Otros efectos supuestos –sobre las hormonas del estrés, la percepción del dolor, el sistema opioide y las enzimas antioxidantes– proceden mayoritariamente de experimentos con animales. En ovejas, el DSIP marcado atravesó la barrera entre la sangre y el líquido cefalorraquídeo en una medida baja a moderada</w:t>
      </w:r>
      <w:r>
        <w:rPr>
          <w:rStyle w:val="FootnoteReference"/>
        </w:rPr>
        <w:footnoteReference w:id="1739"/>
      </w:r>
      <w:r>
        <w:t xml:space="preserve">.</w:t>
      </w:r>
    </w:p>
    <w:bookmarkEnd w:id="1740"/>
    <w:bookmarkStart w:id="1757" w:name="estudios-en-humanos-38"/>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18 publicaciones clasificadas como estudios en humanos; una de ellas, tras un examen más detallado, trata otro tema (cirugía de columna). Casi todas datan de los años 1981 a 1998 y tenían cada una entre 1 y 16 participantes en las partes controladas con placebo. En ClinicalTrials.gov, la búsqueda dio un resultado que no se refiere al DSIP; no existe ningún estudio registrado con DSIP.</w:t>
      </w:r>
    </w:p>
    <w:bookmarkStart w:id="1745" w:name="trastornos-del-sueño"/>
    <w:p>
      <w:pPr>
        <w:pStyle w:val="Heading4"/>
      </w:pPr>
      <w:r>
        <w:t xml:space="preserve">Trastornos del sueño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Schneider-Helmert 1981, PMID 6895513</w:t>
            </w:r>
          </w:p>
        </w:tc>
        <w:tc>
          <w:tcPr/>
          <w:p>
            <w:pPr>
              <w:pStyle w:val="Compact"/>
              <w:jc w:val="left"/>
            </w:pPr>
            <w:r>
              <w:t xml:space="preserve">6 personas sanas, doble ciego, cruzado frente a placebo</w:t>
            </w:r>
          </w:p>
        </w:tc>
        <w:tc>
          <w:tcPr/>
          <w:p>
            <w:pPr>
              <w:pStyle w:val="Compact"/>
              <w:jc w:val="left"/>
            </w:pPr>
            <w:r>
              <w:t xml:space="preserve">infusión única</w:t>
            </w:r>
          </w:p>
        </w:tc>
        <w:tc>
          <w:tcPr/>
          <w:p>
            <w:pPr>
              <w:pStyle w:val="Compact"/>
              <w:jc w:val="left"/>
            </w:pPr>
            <w:r>
              <w:t xml:space="preserve">tiempo de sueño en 130 minutos un 59 % mayor; sin sedación clásica</w:t>
            </w:r>
          </w:p>
        </w:tc>
      </w:tr>
      <w:tr>
        <w:tc>
          <w:tcPr/>
          <w:p>
            <w:pPr>
              <w:pStyle w:val="Compact"/>
              <w:jc w:val="left"/>
            </w:pPr>
            <w:r>
              <w:t xml:space="preserve">Schneider-Helmert 1981, PMID 7028502</w:t>
            </w:r>
          </w:p>
        </w:tc>
        <w:tc>
          <w:tcPr/>
          <w:p>
            <w:pPr>
              <w:pStyle w:val="Compact"/>
              <w:jc w:val="left"/>
            </w:pPr>
            <w:r>
              <w:t xml:space="preserve">6 personas con insomnio crónico</w:t>
            </w:r>
          </w:p>
        </w:tc>
        <w:tc>
          <w:tcPr/>
          <w:p>
            <w:pPr>
              <w:pStyle w:val="Compact"/>
              <w:jc w:val="left"/>
            </w:pPr>
            <w:r>
              <w:t xml:space="preserve">administración única</w:t>
            </w:r>
          </w:p>
        </w:tc>
        <w:tc>
          <w:tcPr/>
          <w:p>
            <w:pPr>
              <w:pStyle w:val="Compact"/>
              <w:jc w:val="left"/>
            </w:pPr>
            <w:r>
              <w:t xml:space="preserve">sueño más largo y menos interrumpido</w:t>
            </w:r>
          </w:p>
        </w:tc>
      </w:tr>
      <w:tr>
        <w:tc>
          <w:tcPr/>
          <w:p>
            <w:pPr>
              <w:pStyle w:val="Compact"/>
              <w:jc w:val="left"/>
            </w:pPr>
            <w:r>
              <w:t xml:space="preserve">Schneider-Helmert 1987, PMID 3622582</w:t>
            </w:r>
          </w:p>
        </w:tc>
        <w:tc>
          <w:tcPr/>
          <w:p>
            <w:pPr>
              <w:pStyle w:val="Compact"/>
              <w:jc w:val="left"/>
            </w:pPr>
            <w:r>
              <w:t xml:space="preserve">14 personas con insomnio crónico grave, doble ciego frente a placebo</w:t>
            </w:r>
          </w:p>
        </w:tc>
        <w:tc>
          <w:tcPr/>
          <w:p>
            <w:pPr>
              <w:pStyle w:val="Compact"/>
              <w:jc w:val="left"/>
            </w:pPr>
            <w:r>
              <w:t xml:space="preserve">7 noches</w:t>
            </w:r>
          </w:p>
        </w:tc>
        <w:tc>
          <w:tcPr/>
          <w:p>
            <w:pPr>
              <w:pStyle w:val="Compact"/>
              <w:jc w:val="left"/>
            </w:pPr>
            <w:r>
              <w:t xml:space="preserve">eficiencia del sueño y rendimiento diurno, según los autores, al nivel de personas sanas</w:t>
            </w:r>
          </w:p>
        </w:tc>
      </w:tr>
      <w:tr>
        <w:tc>
          <w:tcPr/>
          <w:p>
            <w:pPr>
              <w:pStyle w:val="Compact"/>
              <w:jc w:val="left"/>
            </w:pPr>
            <w:r>
              <w:t xml:space="preserve">Monti 1987, PMID 3583493</w:t>
            </w:r>
          </w:p>
        </w:tc>
        <w:tc>
          <w:tcPr/>
          <w:p>
            <w:pPr>
              <w:pStyle w:val="Compact"/>
              <w:jc w:val="left"/>
            </w:pPr>
            <w:r>
              <w:t xml:space="preserve">personas con insomnio crónico, doble ciego, cruzado</w:t>
            </w:r>
          </w:p>
        </w:tc>
        <w:tc>
          <w:tcPr/>
          <w:p>
            <w:pPr>
              <w:pStyle w:val="Compact"/>
              <w:jc w:val="left"/>
            </w:pPr>
            <w:r>
              <w:t xml:space="preserve">4 noches</w:t>
            </w:r>
          </w:p>
        </w:tc>
        <w:tc>
          <w:tcPr/>
          <w:p>
            <w:pPr>
              <w:pStyle w:val="Compact"/>
              <w:jc w:val="left"/>
            </w:pPr>
            <w:r>
              <w:t xml:space="preserve">mejoras «de escasa relevancia clínica»; las diferencias ya existían antes del tratamiento</w:t>
            </w:r>
          </w:p>
        </w:tc>
      </w:tr>
      <w:tr>
        <w:tc>
          <w:tcPr/>
          <w:p>
            <w:pPr>
              <w:pStyle w:val="Compact"/>
              <w:jc w:val="left"/>
            </w:pPr>
            <w:r>
              <w:t xml:space="preserve">Bes 1992, PMID 1299794</w:t>
            </w:r>
          </w:p>
        </w:tc>
        <w:tc>
          <w:tcPr/>
          <w:p>
            <w:pPr>
              <w:pStyle w:val="Compact"/>
              <w:jc w:val="left"/>
            </w:pPr>
            <w:r>
              <w:t xml:space="preserve">16 personas con insomnio crónico, doble ciego frente a placebo</w:t>
            </w:r>
          </w:p>
        </w:tc>
        <w:tc>
          <w:tcPr/>
          <w:p>
            <w:pPr>
              <w:pStyle w:val="Compact"/>
              <w:jc w:val="left"/>
            </w:pPr>
            <w:r>
              <w:t xml:space="preserve">3 noches</w:t>
            </w:r>
          </w:p>
        </w:tc>
        <w:tc>
          <w:tcPr/>
          <w:p>
            <w:pPr>
              <w:pStyle w:val="Compact"/>
              <w:jc w:val="left"/>
            </w:pPr>
            <w:r>
              <w:t xml:space="preserve">efectos débiles, en parte explicables por fluctuaciones aleatorias; «sin mayor beneficio terapéutico»</w:t>
            </w:r>
          </w:p>
        </w:tc>
      </w:tr>
    </w:tbl>
    <w:p>
      <w:pPr>
        <w:pStyle w:val="BodyText"/>
      </w:pPr>
      <w:r>
        <w:t xml:space="preserve">Los primeros estudios procedían casi todos de un único grupo de investigación de Basilea y fueron todos positivos. En seis voluntarios sanos, una infusión matutina prolongó el tiempo de sueño en las dos horas largas siguientes en un 59 %, sin que los participantes parecieran sedados en el sentido clásico</w:t>
      </w:r>
      <w:r>
        <w:rPr>
          <w:rStyle w:val="FootnoteReference"/>
        </w:rPr>
        <w:footnoteReference w:id="1741"/>
      </w:r>
      <w:r>
        <w:t xml:space="preserve">. En 14 personas con insomnio grave, la eficiencia del sueño y el rendimiento diurno alcanzaron tras siete noches, según los autores, el nivel de personas de control sanas</w:t>
      </w:r>
      <w:r>
        <w:rPr>
          <w:rStyle w:val="FootnoteReference"/>
        </w:rPr>
        <w:footnoteReference w:id="1742"/>
      </w:r>
      <w:r>
        <w:t xml:space="preserve">.</w:t>
      </w:r>
    </w:p>
    <w:p>
      <w:pPr>
        <w:pStyle w:val="BodyText"/>
      </w:pPr>
      <w:r>
        <w:t xml:space="preserve">Grupos independientes no pudieron confirmarlo. Un estudio encontró ciertamente más sueño total y NREM, pero las diferencias significativas frente a placebo (sueño NREM y fase 2 del sueño) ya existían antes del tratamiento; los autores valoraron la mejora como poco relevante clínicamente</w:t>
      </w:r>
      <w:r>
        <w:rPr>
          <w:rStyle w:val="FootnoteReference"/>
        </w:rPr>
        <w:footnoteReference w:id="1743"/>
      </w:r>
      <w:r>
        <w:t xml:space="preserve">. Otro estudio con 16 personas encontró efectos estadísticamente significativos, pero débiles, en la eficiencia del sueño y la latencia de inicio del sueño, que en parte podían explicarse por un cambio aleatorio en el grupo placebo; la calidad subjetiva del sueño no cambió. Su conclusión: un tratamiento breve con DSIP probablemente no tenga un mayor beneficio terapéutico</w:t>
      </w:r>
      <w:r>
        <w:rPr>
          <w:rStyle w:val="FootnoteReference"/>
        </w:rPr>
        <w:footnoteReference w:id="1744"/>
      </w:r>
      <w:r>
        <w:t xml:space="preserve">.</w:t>
      </w:r>
    </w:p>
    <w:p>
      <w:pPr>
        <w:pStyle w:val="BodyText"/>
      </w:pPr>
      <w:r>
        <w:t xml:space="preserve">Este patrón –primeros informes entusiastas, repeticiones decepcionantes– es típico de sustancias cuyo efecto se basa en estudios muy pequeños.</w:t>
      </w:r>
    </w:p>
    <w:bookmarkEnd w:id="1745"/>
    <w:bookmarkStart w:id="1751" w:name="abstinencia-dolor-y-otras-aplicaciones"/>
    <w:p>
      <w:pPr>
        <w:pStyle w:val="Heading4"/>
      </w:pPr>
      <w:r>
        <w:t xml:space="preserve">Abstinencia, dolor y otras aplicaciones</w:t>
      </w:r>
    </w:p>
    <w:p>
      <w:pPr>
        <w:pStyle w:val="FirstParagraph"/>
      </w:pPr>
      <w:r>
        <w:t xml:space="preserve">En la década de 1980, el DSIP se utilizó en 107 personas hospitalizadas en abstinencia de alcohol u opiáceos; según la valoración médica, los síntomas de abstinencia desaparecieron o mejoraron claramente en el 97 % de las personas dependientes de opiáceos y en el 87 % de las dependientes del alcohol. No hubo grupo de control, y una parte de las personas no pudo ser evaluada</w:t>
      </w:r>
      <w:r>
        <w:rPr>
          <w:rStyle w:val="FootnoteReference"/>
        </w:rPr>
        <w:footnoteReference w:id="1746"/>
      </w:r>
      <w:r>
        <w:t xml:space="preserve">. Un estudio abierto posterior sobre la desintoxicación de opioides solo se publicó como comunicación breve sin resumen</w:t>
      </w:r>
      <w:r>
        <w:rPr>
          <w:rStyle w:val="FootnoteReference"/>
        </w:rPr>
        <w:footnoteReference w:id="1747"/>
      </w:r>
      <w:r>
        <w:t xml:space="preserve">. Otros informes aislados se refieren a siete personas con dolor crónico</w:t>
      </w:r>
      <w:r>
        <w:rPr>
          <w:rStyle w:val="FootnoteReference"/>
        </w:rPr>
        <w:footnoteReference w:id="1748"/>
      </w:r>
      <w:r>
        <w:t xml:space="preserve"> </w:t>
      </w:r>
      <w:r>
        <w:t xml:space="preserve">y a un hombre con narcolepsia</w:t>
      </w:r>
      <w:r>
        <w:rPr>
          <w:rStyle w:val="FootnoteReference"/>
        </w:rPr>
        <w:footnoteReference w:id="1749"/>
      </w:r>
      <w:r>
        <w:t xml:space="preserve">. Un estudio examinó un preparado de DSIP para administración nasal (Deltalicin) en la retinopatía diabética, en el que mejoraron las respuestas eléctricas de la retina a los estímulos</w:t>
      </w:r>
      <w:r>
        <w:rPr>
          <w:rStyle w:val="FootnoteReference"/>
        </w:rPr>
        <w:footnoteReference w:id="1750"/>
      </w:r>
      <w:r>
        <w:t xml:space="preserve">.</w:t>
      </w:r>
    </w:p>
    <w:bookmarkEnd w:id="1751"/>
    <w:bookmarkStart w:id="1756" w:name="hormonas-y-anestesia"/>
    <w:p>
      <w:pPr>
        <w:pStyle w:val="Heading4"/>
      </w:pPr>
      <w:r>
        <w:t xml:space="preserve">Hormonas y anestesia</w:t>
      </w:r>
    </w:p>
    <w:p>
      <w:pPr>
        <w:pStyle w:val="FirstParagraph"/>
      </w:pPr>
      <w:r>
        <w:t xml:space="preserve">Varios estudios pequeños en personas sanas examinaron si el DSIP influye en las hormonas del estrés. Un estudio con once hombres encontró tras una inyección menos ACTH en la sangre, pero valores de cortisol sin cambios</w:t>
      </w:r>
      <w:r>
        <w:rPr>
          <w:rStyle w:val="FootnoteReference"/>
        </w:rPr>
        <w:footnoteReference w:id="1752"/>
      </w:r>
      <w:r>
        <w:t xml:space="preserve">; otro con 20 hombres en total no encontró influencia sobre la ACTH ni el cortisol</w:t>
      </w:r>
      <w:r>
        <w:rPr>
          <w:rStyle w:val="FootnoteReference"/>
        </w:rPr>
        <w:footnoteReference w:id="1753"/>
      </w:r>
      <w:r>
        <w:t xml:space="preserve">. En mujeres, el DSIP no influyó en la hormona del crecimiento ni en la prolactina</w:t>
      </w:r>
      <w:r>
        <w:rPr>
          <w:rStyle w:val="FootnoteReference"/>
        </w:rPr>
        <w:footnoteReference w:id="1754"/>
      </w:r>
      <w:r>
        <w:t xml:space="preserve">.</w:t>
      </w:r>
    </w:p>
    <w:p>
      <w:pPr>
        <w:pStyle w:val="BodyText"/>
      </w:pPr>
      <w:r>
        <w:t xml:space="preserve">Es llamativo un estudio en 24 mujeres durante una anestesia: en lugar de profundizar la anestesia, como cabría esperar de una «sustancia natural del sueño», el DSIP aumentó la frecuencia cardiaca y, paradójicamente, redujo el ritmo delta en el EEG</w:t>
      </w:r>
      <w:r>
        <w:rPr>
          <w:rStyle w:val="FootnoteReference"/>
        </w:rPr>
        <w:footnoteReference w:id="1755"/>
      </w:r>
      <w:r>
        <w:t xml:space="preserve">.</w:t>
      </w:r>
    </w:p>
    <w:bookmarkEnd w:id="1756"/>
    <w:bookmarkEnd w:id="1757"/>
    <w:bookmarkStart w:id="1760" w:name="estudios-en-animales-y-de-laboratorio-38"/>
    <w:p>
      <w:pPr>
        <w:pStyle w:val="Heading3"/>
      </w:pPr>
      <w:r>
        <w:t xml:space="preserve">Estudios en animales y de laboratorio</w:t>
      </w:r>
    </w:p>
    <w:p>
      <w:pPr>
        <w:numPr>
          <w:ilvl w:val="0"/>
          <w:numId w:val="1212"/>
        </w:numPr>
        <w:pStyle w:val="Compact"/>
      </w:pPr>
      <w:r>
        <w:t xml:space="preserve">En conejos y ratas se describieron en los primeros estudios efectos favorecedores del sueño, que sin embargo no pudieron repetirse de forma sistemática</w:t>
      </w:r>
      <w:r>
        <w:rPr>
          <w:rStyle w:val="FootnoteReference"/>
        </w:rPr>
        <w:footnoteReference w:id="1758"/>
      </w:r>
      <w:r>
        <w:t xml:space="preserve">.</w:t>
      </w:r>
    </w:p>
    <w:p>
      <w:pPr>
        <w:numPr>
          <w:ilvl w:val="0"/>
          <w:numId w:val="1212"/>
        </w:numPr>
        <w:pStyle w:val="Compact"/>
      </w:pPr>
      <w:r>
        <w:t xml:space="preserve">En ratones, el 10 % más longevo de los animales que recibieron de por vida un preparado ruso de DSIP vivió un 16 % más que los animales de control; los tumores espontáneos aparecieron con retraso</w:t>
      </w:r>
      <w:r>
        <w:rPr>
          <w:rStyle w:val="FootnoteReference"/>
        </w:rPr>
        <w:footnoteReference w:id="1759"/>
      </w:r>
      <w:r>
        <w:t xml:space="preserve">. Este trabajo procede del entorno de la gerontología rusa, que también estudia Epitalon (véase allí).</w:t>
      </w:r>
    </w:p>
    <w:p>
      <w:pPr>
        <w:numPr>
          <w:ilvl w:val="0"/>
          <w:numId w:val="1212"/>
        </w:numPr>
        <w:pStyle w:val="Compact"/>
      </w:pPr>
      <w:r>
        <w:t xml:space="preserve">Otros estudios en animales describen efectos sobre la resistencia al estrés, la percepción del dolor y las enzimas antioxidantes.</w:t>
      </w:r>
    </w:p>
    <w:bookmarkEnd w:id="1760"/>
    <w:bookmarkStart w:id="1763" w:name="riesgos-y-efectos-adversos-38"/>
    <w:p>
      <w:pPr>
        <w:pStyle w:val="Heading3"/>
      </w:pPr>
      <w:r>
        <w:t xml:space="preserve">Riesgos y efectos adversos</w:t>
      </w:r>
    </w:p>
    <w:p>
      <w:pPr>
        <w:pStyle w:val="FirstParagraph"/>
      </w:pPr>
      <w:r>
        <w:rPr>
          <w:bCs/>
          <w:b/>
        </w:rPr>
        <w:t xml:space="preserve">Demostrado:</w:t>
      </w:r>
      <w:r>
        <w:t xml:space="preserve"> </w:t>
      </w:r>
      <w:r>
        <w:t xml:space="preserve">En los estudios pequeños, el DSIP se describió como bien tolerado; de forma aislada apareció dolor de cabeza</w:t>
      </w:r>
      <w:r>
        <w:rPr>
          <w:rStyle w:val="FootnoteReference"/>
        </w:rPr>
        <w:footnoteReference w:id="1761"/>
      </w:r>
      <w:r>
        <w:t xml:space="preserve">. Bajo anestesia aumentó la frecuencia cardiaca y redujo la variabilidad de la frecuencia cardiaca</w:t>
      </w:r>
      <w:r>
        <w:rPr>
          <w:rStyle w:val="FootnoteReference"/>
        </w:rPr>
        <w:footnoteReference w:id="1762"/>
      </w:r>
      <w:r>
        <w:t xml:space="preserve">. No hay datos sistemáticos de seguridad de más de unos pocos días.</w:t>
      </w:r>
    </w:p>
    <w:p>
      <w:pPr>
        <w:pStyle w:val="BodyText"/>
      </w:pPr>
      <w:r>
        <w:rPr>
          <w:bCs/>
          <w:b/>
        </w:rPr>
        <w:t xml:space="preserve">Teórico:</w:t>
      </w:r>
      <w:r>
        <w:t xml:space="preserve"> </w:t>
      </w:r>
      <w:r>
        <w:t xml:space="preserve">Como no se han aclarado ni el receptor ni la función natural, apenas pueden predecirse sus efectos e interacciones, por ejemplo con somníferos, alcohol u opioides.</w:t>
      </w:r>
    </w:p>
    <w:p>
      <w:pPr>
        <w:pStyle w:val="BodyText"/>
      </w:pPr>
      <w:r>
        <w:rPr>
          <w:bCs/>
          <w:b/>
        </w:rPr>
        <w:t xml:space="preserve">Mercado gris:</w:t>
      </w:r>
      <w:r>
        <w:t xml:space="preserve"> </w:t>
      </w:r>
      <w:r>
        <w:t xml:space="preserve">El DSIP se vende en internet en polvo para inyección y se promociona como somnífero. Los preparados utilizados en los estudios se infundieron por vía intravenosa; faltan datos sobre la inyección subcutánea. La pureza y el contenido de los productos del mercado gris no están comprobados.</w:t>
      </w:r>
    </w:p>
    <w:p>
      <w:pPr>
        <w:pStyle w:val="BodyText"/>
      </w:pPr>
      <w:r>
        <w:rPr>
          <w:bCs/>
          <w:b/>
        </w:rPr>
        <w:t xml:space="preserve">Importante:</w:t>
      </w:r>
      <w:r>
        <w:t xml:space="preserve"> </w:t>
      </w:r>
      <w:r>
        <w:t xml:space="preserve">Para el insomnio crónico existen tratamientos eficaces y bien estudiados, ante todo la terapia cognitivo-conductual para el insomnio.</w:t>
      </w:r>
    </w:p>
    <w:bookmarkEnd w:id="1763"/>
    <w:bookmarkStart w:id="1764" w:name="situación-legal-38"/>
    <w:p>
      <w:pPr>
        <w:pStyle w:val="Heading3"/>
      </w:pPr>
      <w:r>
        <w:t xml:space="preserve">Situación legal</w:t>
      </w:r>
    </w:p>
    <w:p>
      <w:pPr>
        <w:numPr>
          <w:ilvl w:val="0"/>
          <w:numId w:val="1213"/>
        </w:numPr>
        <w:pStyle w:val="Compact"/>
      </w:pPr>
      <w:r>
        <w:rPr>
          <w:bCs/>
          <w:b/>
        </w:rPr>
        <w:t xml:space="preserve">UE / Austria / Alemania:</w:t>
      </w:r>
      <w:r>
        <w:t xml:space="preserve"> </w:t>
      </w:r>
      <w:r>
        <w:t xml:space="preserve">no autorizado; como sustancia con efecto farmacológico, el DSIP se considera medicamento, y su venta para uso en humanos no está permitida.</w:t>
      </w:r>
    </w:p>
    <w:p>
      <w:pPr>
        <w:numPr>
          <w:ilvl w:val="0"/>
          <w:numId w:val="1213"/>
        </w:numPr>
        <w:pStyle w:val="Compact"/>
      </w:pPr>
      <w:r>
        <w:rPr>
          <w:bCs/>
          <w:b/>
        </w:rPr>
        <w:t xml:space="preserve">EE. UU.:</w:t>
      </w:r>
      <w:r>
        <w:t xml:space="preserve"> </w:t>
      </w:r>
      <w:r>
        <w:t xml:space="preserve">no autorizado; el comité asesor PCAC se pronunció en julio de 2026, por estrecho margen, en contra de admitirlo para fórmulas magistrales de farmacia. La decisión definitiva de la FDA estaba pendiente al cierre de la redacción (situación en octubre de 2026; comprueba la información actualizada).</w:t>
      </w:r>
    </w:p>
    <w:p>
      <w:pPr>
        <w:numPr>
          <w:ilvl w:val="0"/>
          <w:numId w:val="1213"/>
        </w:numPr>
        <w:pStyle w:val="Compact"/>
      </w:pPr>
      <w:r>
        <w:rPr>
          <w:bCs/>
          <w:b/>
        </w:rPr>
        <w:t xml:space="preserve">Deporte:</w:t>
      </w:r>
      <w:r>
        <w:t xml:space="preserve"> </w:t>
      </w:r>
      <w:r>
        <w:t xml:space="preserve">no figura nominalmente en la lista de la WADA (situación en 2026; comprueba la información actualizada).</w:t>
      </w:r>
    </w:p>
    <w:bookmarkEnd w:id="1764"/>
    <w:bookmarkStart w:id="1765" w:name="estudios-en-curso-y-perspectivas-38"/>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con DSIP (consulta de octubre de 2026). Desde la década de 1990 prácticamente no se han añadido nuevos datos clínicos.</w:t>
      </w:r>
    </w:p>
    <w:p>
      <w:pPr>
        <w:pStyle w:val="BodyText"/>
      </w:pPr>
      <w:r>
        <w:rPr>
          <w:bCs/>
          <w:b/>
        </w:rPr>
        <w:t xml:space="preserve">Valoración:</w:t>
      </w:r>
      <w:r>
        <w:t xml:space="preserve"> </w:t>
      </w:r>
      <w:r>
        <w:t xml:space="preserve">Sin claridad sobre el receptor y la función natural, y sin un estudio del sueño moderno y suficientemente grande, no cabe esperar que el DSIP vuelva como medicamento.</w:t>
      </w:r>
    </w:p>
    <w:bookmarkEnd w:id="1765"/>
    <w:bookmarkStart w:id="1766" w:name="conclusión-38"/>
    <w:p>
      <w:pPr>
        <w:pStyle w:val="Heading3"/>
      </w:pPr>
      <w:r>
        <w:t xml:space="preserve">Conclusión</w:t>
      </w:r>
    </w:p>
    <w:p>
      <w:pPr>
        <w:pStyle w:val="FirstParagraph"/>
      </w:pPr>
      <w:r>
        <w:t xml:space="preserve">El DSIP se descubrió en 1977 como posible «sustancia del sueño» propia del organismo, pero el gen, el receptor y la función natural siguen siendo desconocidos hasta hoy. Los primeros estudios de un grupo de Basilea, con entre seis y 14 personas cada uno, informaron de un mejor sueño; los estudios independientes controlados con placebo solo encontraron efectos débiles y poco relevantes clínicamente. Apenas hay datos más recientes en humanos. Los datos no bastan para considerar el DSIP un somnífero eficaz o seguro.</w:t>
      </w:r>
    </w:p>
    <w:bookmarkEnd w:id="1766"/>
    <w:bookmarkEnd w:id="1767"/>
    <w:bookmarkStart w:id="1797" w:name="epitalon-epithalon"/>
    <w:p>
      <w:pPr>
        <w:pStyle w:val="Heading2"/>
      </w:pPr>
      <w:r>
        <w:t xml:space="preserve">Epitalon (Epithalon)</w:t>
      </w:r>
    </w:p>
    <w:bookmarkStart w:id="1768" w:name="ficha-39"/>
    <w:p>
      <w:pPr>
        <w:pStyle w:val="Heading3"/>
      </w:pPr>
      <w:r>
        <w:t xml:space="preserve">Ficha</w:t>
      </w:r>
    </w:p>
    <w:p>
      <w:pPr>
        <w:numPr>
          <w:ilvl w:val="0"/>
          <w:numId w:val="1214"/>
        </w:numPr>
        <w:pStyle w:val="Compact"/>
      </w:pPr>
      <w:r>
        <w:rPr>
          <w:bCs/>
          <w:b/>
        </w:rPr>
        <w:t xml:space="preserve">Tipo y estructura:</w:t>
      </w:r>
      <w:r>
        <w:t xml:space="preserve"> </w:t>
      </w:r>
      <w:r>
        <w:t xml:space="preserve">tetrapéptido sintético de cuatro aminoácidos: Ala-Glu-Asp-Gly (abreviado AEDG). Grafías: Epitalon, Epithalon, Epithalone.</w:t>
      </w:r>
    </w:p>
    <w:p>
      <w:pPr>
        <w:numPr>
          <w:ilvl w:val="0"/>
          <w:numId w:val="1214"/>
        </w:numPr>
        <w:pStyle w:val="Compact"/>
      </w:pPr>
      <w:r>
        <w:rPr>
          <w:bCs/>
          <w:b/>
        </w:rPr>
        <w:t xml:space="preserve">Origen:</w:t>
      </w:r>
      <w:r>
        <w:t xml:space="preserve"> </w:t>
      </w:r>
      <w:r>
        <w:t xml:space="preserve">desarrollado en las décadas de 1980 y 1990 en el Instituto de Biorregulación y Gerontología de San Petersburgo bajo la dirección de Vladímir Jávinson (en artículos especializados: Khavinson). La secuencia de aminoácidos se derivó de la composición de la</w:t>
      </w:r>
      <w:r>
        <w:t xml:space="preserve"> </w:t>
      </w:r>
      <w:r>
        <w:rPr>
          <w:bCs/>
          <w:b/>
        </w:rPr>
        <w:t xml:space="preserve">epitalamina</w:t>
      </w:r>
      <w:r>
        <w:t xml:space="preserve">, un extracto de la glándula pineal (epífisis) de bovinos. Epitalon y epitalamina son sustancias químicamente distintas.</w:t>
      </w:r>
    </w:p>
    <w:p>
      <w:pPr>
        <w:numPr>
          <w:ilvl w:val="0"/>
          <w:numId w:val="1214"/>
        </w:numPr>
        <w:pStyle w:val="Compact"/>
      </w:pPr>
      <w:r>
        <w:rPr>
          <w:bCs/>
          <w:b/>
        </w:rPr>
        <w:t xml:space="preserve">Mecanismo de acción:</w:t>
      </w:r>
      <w:r>
        <w:t xml:space="preserve"> </w:t>
      </w:r>
      <w:r>
        <w:t xml:space="preserve">como «biorregulador peptídico», debería normalizar la función de la glándula pineal, favorecer la producción de melatonina en la vejez y activar la enzima telomerasa, que alarga los extremos de los cromosomas (telómeros).</w:t>
      </w:r>
    </w:p>
    <w:p>
      <w:pPr>
        <w:numPr>
          <w:ilvl w:val="0"/>
          <w:numId w:val="1214"/>
        </w:numPr>
        <w:pStyle w:val="Compact"/>
      </w:pPr>
      <w:r>
        <w:rPr>
          <w:bCs/>
          <w:b/>
        </w:rPr>
        <w:t xml:space="preserve">Autorización UE:</w:t>
      </w:r>
      <w:r>
        <w:t xml:space="preserve"> </w:t>
      </w:r>
      <w:r>
        <w:t xml:space="preserve">no.</w:t>
      </w:r>
    </w:p>
    <w:p>
      <w:pPr>
        <w:numPr>
          <w:ilvl w:val="0"/>
          <w:numId w:val="1214"/>
        </w:numPr>
        <w:pStyle w:val="Compact"/>
      </w:pPr>
      <w:r>
        <w:rPr>
          <w:bCs/>
          <w:b/>
        </w:rPr>
        <w:t xml:space="preserve">Autorización EE. UU.:</w:t>
      </w:r>
      <w:r>
        <w:t xml:space="preserve"> </w:t>
      </w:r>
      <w:r>
        <w:t xml:space="preserve">no. En abril de 2026 se retiró de la «categoría 2» de la FDA; el comité asesor PCAC votó en julio de 2026, por 7 votos contra 4, a favor de su inclusión en la lista de sustancias admisibles para fórmulas magistrales, en contra de la recomendación de los expertos de la FDA. Eso no equivale a una autorización como medicamento (situación en octubre de 2026; comprueba la información actualizada).</w:t>
      </w:r>
    </w:p>
    <w:p>
      <w:pPr>
        <w:numPr>
          <w:ilvl w:val="0"/>
          <w:numId w:val="1214"/>
        </w:numPr>
        <w:pStyle w:val="Compact"/>
      </w:pPr>
      <w:r>
        <w:rPr>
          <w:bCs/>
          <w:b/>
        </w:rPr>
        <w:t xml:space="preserve">WADA:</w:t>
      </w:r>
      <w:r>
        <w:t xml:space="preserve"> </w:t>
      </w:r>
      <w:r>
        <w:t xml:space="preserve">no figura nominalmente; como sustancia no autorizada como medicamento en ningún lugar, Epitalon entra, según nuestra valoración, en la categoría general S0.</w:t>
      </w:r>
    </w:p>
    <w:p>
      <w:pPr>
        <w:numPr>
          <w:ilvl w:val="0"/>
          <w:numId w:val="1214"/>
        </w:numPr>
        <w:pStyle w:val="Compact"/>
      </w:pPr>
      <w:r>
        <w:rPr>
          <w:bCs/>
          <w:b/>
        </w:rPr>
        <w:t xml:space="preserve">Nivel de evidencia:</w:t>
      </w:r>
      <w:r>
        <w:t xml:space="preserve"> </w:t>
      </w:r>
      <w:r>
        <w:rPr>
          <w:bCs/>
          <w:b/>
        </w:rPr>
        <w:t xml:space="preserve">C</w:t>
      </w:r>
      <w:r>
        <w:t xml:space="preserve"> </w:t>
      </w:r>
      <w:r>
        <w:t xml:space="preserve">– solo un pequeño estudio controlado con el péptido sintético en humanos; el resto de los datos en humanos se refiere al extracto epitalamina o a células in vitro.</w:t>
      </w:r>
    </w:p>
    <w:bookmarkEnd w:id="1768"/>
    <w:bookmarkStart w:id="1772" w:name="cómo-se-supone-que-actúa-39"/>
    <w:p>
      <w:pPr>
        <w:pStyle w:val="Heading3"/>
      </w:pPr>
      <w:r>
        <w:t xml:space="preserve">Cómo se supone que actúa</w:t>
      </w:r>
    </w:p>
    <w:p>
      <w:pPr>
        <w:pStyle w:val="FirstParagraph"/>
      </w:pPr>
      <w:r>
        <w:t xml:space="preserve">La glándula pineal es un pequeño órgano del cerebro que produce por la noche la hormona melatonina y contribuye así a regular el ritmo día-noche. En la vejez, la producción de melatonina disminuye. El grupo de San Petersburgo partía de la base de que los péptidos cortos de los órganos pueden restablecer, como «biorreguladores», la función de esos mismos órganos: de la glándula pineal para la glándula pineal, del timo para el sistema inmunitario (véase también el capítulo Timalina en la Parte II · B).</w:t>
      </w:r>
    </w:p>
    <w:p>
      <w:pPr>
        <w:pStyle w:val="BodyText"/>
      </w:pPr>
      <w:r>
        <w:t xml:space="preserve">Para Epitalon se describen varios mecanismos, casi todos procedentes de experimentos de laboratorio y con animales del grupo desarrollador:</w:t>
      </w:r>
    </w:p>
    <w:p>
      <w:pPr>
        <w:numPr>
          <w:ilvl w:val="0"/>
          <w:numId w:val="1215"/>
        </w:numPr>
        <w:pStyle w:val="Compact"/>
      </w:pPr>
      <w:r>
        <w:rPr>
          <w:bCs/>
          <w:b/>
        </w:rPr>
        <w:t xml:space="preserve">Telomerasa y telómeros:</w:t>
      </w:r>
      <w:r>
        <w:t xml:space="preserve"> </w:t>
      </w:r>
      <w:r>
        <w:t xml:space="preserve">Los telómeros son segmentos terminales protectores de los cromosomas que se acortan un poco con cada división celular. La enzima telomerasa puede volver a alargarlos; en la mayoría de las células del organismo está desactivada. En cultivos de fibroblastos humanos (células del tejido conjuntivo) procedentes de fetos, Epitalon habría activado la telomerasa y alargado los telómeros</w:t>
      </w:r>
      <w:r>
        <w:rPr>
          <w:rStyle w:val="FootnoteReference"/>
        </w:rPr>
        <w:footnoteReference w:id="1769"/>
      </w:r>
      <w:r>
        <w:t xml:space="preserve">.</w:t>
      </w:r>
    </w:p>
    <w:p>
      <w:pPr>
        <w:numPr>
          <w:ilvl w:val="0"/>
          <w:numId w:val="1215"/>
        </w:numPr>
        <w:pStyle w:val="Compact"/>
      </w:pPr>
      <w:r>
        <w:rPr>
          <w:bCs/>
          <w:b/>
        </w:rPr>
        <w:t xml:space="preserve">Cromatina y genes:</w:t>
      </w:r>
      <w:r>
        <w:t xml:space="preserve"> </w:t>
      </w:r>
      <w:r>
        <w:t xml:space="preserve">En linfocitos de personas de 76 a 80 años, Epitalon habría vuelto a descompactar in vitro el material genético «condensado» y activado genes silenciados</w:t>
      </w:r>
      <w:r>
        <w:rPr>
          <w:rStyle w:val="FootnoteReference"/>
        </w:rPr>
        <w:footnoteReference w:id="1770"/>
      </w:r>
      <w:r>
        <w:t xml:space="preserve">. El grupo postula que los péptidos cortos se unen directamente al ADN.</w:t>
      </w:r>
    </w:p>
    <w:p>
      <w:pPr>
        <w:numPr>
          <w:ilvl w:val="0"/>
          <w:numId w:val="1215"/>
        </w:numPr>
        <w:pStyle w:val="Compact"/>
      </w:pPr>
      <w:r>
        <w:rPr>
          <w:bCs/>
          <w:b/>
        </w:rPr>
        <w:t xml:space="preserve">Melatonina:</w:t>
      </w:r>
      <w:r>
        <w:t xml:space="preserve"> </w:t>
      </w:r>
      <w:r>
        <w:t xml:space="preserve">En cultivos celulares y en animales, Epitalon influyó en la producción de melatonina.</w:t>
      </w:r>
    </w:p>
    <w:p>
      <w:pPr>
        <w:pStyle w:val="FirstParagraph"/>
      </w:pPr>
      <w:r>
        <w:t xml:space="preserve">Una revisión de 2025 resume que, a pesar de 25 años de investigación, sigue sin estar claro si estos mecanismos son los únicos, y que solo hay pocos estudios fisicoquímicos y estructurales básicos del péptido</w:t>
      </w:r>
      <w:r>
        <w:rPr>
          <w:rStyle w:val="FootnoteReference"/>
        </w:rPr>
        <w:footnoteReference w:id="1771"/>
      </w:r>
      <w:r>
        <w:t xml:space="preserve">.</w:t>
      </w:r>
    </w:p>
    <w:bookmarkEnd w:id="1772"/>
    <w:bookmarkStart w:id="1783" w:name="estudios-en-humanos-39"/>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solo</w:t>
      </w:r>
      <w:r>
        <w:t xml:space="preserve"> </w:t>
      </w:r>
      <w:r>
        <w:rPr>
          <w:bCs/>
          <w:b/>
        </w:rPr>
        <w:t xml:space="preserve">una</w:t>
      </w:r>
      <w:r>
        <w:t xml:space="preserve"> </w:t>
      </w:r>
      <w:r>
        <w:t xml:space="preserve">publicación sobre Epitalon clasificada como estudio en humanos; en total, PubMed recoge unos 120 trabajos con los términos de búsqueda, en su inmensa mayoría estudios en animales y en células de San Petersburgo. En ClinicalTrials.gov hay un estudio registrado (véanse las perspectivas). Una revisión independiente reciente llega al mismo resultado: los datos en humanos sobre Epitalon sintético se limitan a pequeños estudios fisiológicos o de biomarcadores y a un estudio controlado antiguo en la retinosis pigmentaria; ningún estudio aleatorizado suficientemente grande ha demostrado una eficacia terapéutica</w:t>
      </w:r>
      <w:r>
        <w:rPr>
          <w:rStyle w:val="FootnoteReference"/>
        </w:rPr>
        <w:footnoteReference w:id="17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Sustancia estudiada y diseño</w:t>
            </w:r>
          </w:p>
        </w:tc>
        <w:tc>
          <w:tcPr/>
          <w:p>
            <w:pPr>
              <w:pStyle w:val="Compact"/>
              <w:jc w:val="left"/>
            </w:pPr>
            <w:r>
              <w:t xml:space="preserve">Participantes</w:t>
            </w:r>
          </w:p>
        </w:tc>
        <w:tc>
          <w:tcPr/>
          <w:p>
            <w:pPr>
              <w:pStyle w:val="Compact"/>
              <w:jc w:val="left"/>
            </w:pPr>
            <w:r>
              <w:t xml:space="preserve">Resultado</w:t>
            </w:r>
          </w:p>
        </w:tc>
      </w:tr>
      <w:tr>
        <w:tc>
          <w:tcPr/>
          <w:p>
            <w:pPr>
              <w:pStyle w:val="Compact"/>
              <w:jc w:val="left"/>
            </w:pPr>
            <w:r>
              <w:t xml:space="preserve">Khavinson 2002, PMID 12195242</w:t>
            </w:r>
          </w:p>
        </w:tc>
        <w:tc>
          <w:tcPr/>
          <w:p>
            <w:pPr>
              <w:pStyle w:val="Compact"/>
              <w:jc w:val="left"/>
            </w:pPr>
            <w:r>
              <w:t xml:space="preserve">Epitalon, estudio controlado en la degeneración retiniana hereditaria (retinosis pigmentaria)</w:t>
            </w:r>
          </w:p>
        </w:tc>
        <w:tc>
          <w:tcPr/>
          <w:p>
            <w:pPr>
              <w:pStyle w:val="Compact"/>
              <w:jc w:val="left"/>
            </w:pPr>
            <w:r>
              <w:t xml:space="preserve">no indicado en el resumen</w:t>
            </w:r>
          </w:p>
        </w:tc>
        <w:tc>
          <w:tcPr/>
          <w:p>
            <w:pPr>
              <w:pStyle w:val="Compact"/>
              <w:jc w:val="left"/>
            </w:pPr>
            <w:r>
              <w:t xml:space="preserve">«efecto clínico positivo en el 90 % de los casos»</w:t>
            </w:r>
          </w:p>
        </w:tc>
      </w:tr>
      <w:tr>
        <w:tc>
          <w:tcPr/>
          <w:p>
            <w:pPr>
              <w:pStyle w:val="Compact"/>
              <w:jc w:val="left"/>
            </w:pPr>
            <w:r>
              <w:t xml:space="preserve">Khavinson 2003, PMID 14523363</w:t>
            </w:r>
          </w:p>
        </w:tc>
        <w:tc>
          <w:tcPr/>
          <w:p>
            <w:pPr>
              <w:pStyle w:val="Compact"/>
              <w:jc w:val="left"/>
            </w:pPr>
            <w:r>
              <w:t xml:space="preserve">epitalamina (extracto) y timalina en personas mayores, grupo de control</w:t>
            </w:r>
          </w:p>
        </w:tc>
        <w:tc>
          <w:tcPr/>
          <w:p>
            <w:pPr>
              <w:pStyle w:val="Compact"/>
              <w:jc w:val="left"/>
            </w:pPr>
            <w:r>
              <w:t xml:space="preserve">266 personas, 6–8 años</w:t>
            </w:r>
          </w:p>
        </w:tc>
        <w:tc>
          <w:tcPr/>
          <w:p>
            <w:pPr>
              <w:pStyle w:val="Compact"/>
              <w:jc w:val="left"/>
            </w:pPr>
            <w:r>
              <w:t xml:space="preserve">según los autores, mortalidad entre 1,6 y 1,8 veces menor con epitalamina</w:t>
            </w:r>
          </w:p>
        </w:tc>
      </w:tr>
      <w:tr>
        <w:tc>
          <w:tcPr/>
          <w:p>
            <w:pPr>
              <w:pStyle w:val="Compact"/>
              <w:jc w:val="left"/>
            </w:pPr>
            <w:r>
              <w:t xml:space="preserve">Labunets 2004, PMID 15455130</w:t>
            </w:r>
          </w:p>
        </w:tc>
        <w:tc>
          <w:tcPr/>
          <w:p>
            <w:pPr>
              <w:pStyle w:val="Compact"/>
              <w:jc w:val="left"/>
            </w:pPr>
            <w:r>
              <w:t xml:space="preserve">epitalamina, ciclo en personas mayores</w:t>
            </w:r>
          </w:p>
        </w:tc>
        <w:tc>
          <w:tcPr/>
          <w:p>
            <w:pPr>
              <w:pStyle w:val="Compact"/>
              <w:jc w:val="left"/>
            </w:pPr>
            <w:r>
              <w:t xml:space="preserve">no indicado en el resumen</w:t>
            </w:r>
          </w:p>
        </w:tc>
        <w:tc>
          <w:tcPr/>
          <w:p>
            <w:pPr>
              <w:pStyle w:val="Compact"/>
              <w:jc w:val="left"/>
            </w:pPr>
            <w:r>
              <w:t xml:space="preserve">ritmo de melatonina y factor tímico «más jóvenes»</w:t>
            </w:r>
          </w:p>
        </w:tc>
      </w:tr>
      <w:tr>
        <w:tc>
          <w:tcPr/>
          <w:p>
            <w:pPr>
              <w:pStyle w:val="Compact"/>
              <w:jc w:val="left"/>
            </w:pPr>
            <w:r>
              <w:t xml:space="preserve">Khavinson 2019, PMID 31761987</w:t>
            </w:r>
          </w:p>
        </w:tc>
        <w:tc>
          <w:tcPr/>
          <w:p>
            <w:pPr>
              <w:pStyle w:val="Compact"/>
              <w:jc w:val="left"/>
            </w:pPr>
            <w:r>
              <w:t xml:space="preserve">AEDG in vitro en células sanguíneas</w:t>
            </w:r>
          </w:p>
        </w:tc>
        <w:tc>
          <w:tcPr/>
          <w:p>
            <w:pPr>
              <w:pStyle w:val="Compact"/>
              <w:jc w:val="left"/>
            </w:pPr>
            <w:r>
              <w:t xml:space="preserve">11 hombres (muestras celulares)</w:t>
            </w:r>
          </w:p>
        </w:tc>
        <w:tc>
          <w:tcPr/>
          <w:p>
            <w:pPr>
              <w:pStyle w:val="Compact"/>
              <w:jc w:val="left"/>
            </w:pPr>
            <w:r>
              <w:t xml:space="preserve">longitud telomérica mayor en 5 casos, menor en 2 casos</w:t>
            </w:r>
          </w:p>
        </w:tc>
      </w:tr>
    </w:tbl>
    <w:bookmarkStart w:id="1775" w:name="el-único-estudio-con-epitalon"/>
    <w:p>
      <w:pPr>
        <w:pStyle w:val="Heading4"/>
      </w:pPr>
      <w:r>
        <w:t xml:space="preserve">El único estudio con Epitalon</w:t>
      </w:r>
    </w:p>
    <w:p>
      <w:pPr>
        <w:pStyle w:val="FirstParagraph"/>
      </w:pPr>
      <w:r>
        <w:t xml:space="preserve">En el único estudio clínico con Epitalon sintético se trató a personas con retinosis pigmentaria, una enfermedad hereditaria en la que la retina va muriendo progresivamente. El resumen informa de un «efecto clínico positivo en el 90 % de los casos», pero no indica ni el número de participantes ni el criterio de «positivo» ni los resultados del grupo de control</w:t>
      </w:r>
      <w:r>
        <w:rPr>
          <w:rStyle w:val="FootnoteReference"/>
        </w:rPr>
        <w:footnoteReference w:id="1774"/>
      </w:r>
      <w:r>
        <w:t xml:space="preserve">. El hallazgo no se ha confirmado de forma independiente; en el tratamiento de la retinosis pigmentaria, Epitalon no desempeña ningún papel.</w:t>
      </w:r>
    </w:p>
    <w:bookmarkEnd w:id="1775"/>
    <w:bookmarkStart w:id="1777" w:name="el-estudio-de-longevidad-con-epitalamina"/>
    <w:p>
      <w:pPr>
        <w:pStyle w:val="Heading4"/>
      </w:pPr>
      <w:r>
        <w:t xml:space="preserve">El estudio de longevidad con epitalamina</w:t>
      </w:r>
    </w:p>
    <w:p>
      <w:pPr>
        <w:pStyle w:val="FirstParagraph"/>
      </w:pPr>
      <w:r>
        <w:t xml:space="preserve">El estudio en humanos más citado en internet –«los péptidos de la glándula pineal prolongan la vida humana»– no se refiere a Epitalon, sino al extracto animal epitalamina. Investigadores de San Petersburgo y Kiev siguieron durante seis a ocho años a 266 personas mayores; en los primeros dos o tres años, partes del grupo recibieron timalina, epitalamina o ambas. Según el resumen, la mortalidad disminuyó entre 1,6 y 1,8 veces con epitalamina, 2,5 veces con la combinación y, con un tratamiento combinado anual durante seis años, incluso 4,1 veces</w:t>
      </w:r>
      <w:r>
        <w:rPr>
          <w:rStyle w:val="FootnoteReference"/>
        </w:rPr>
        <w:footnoteReference w:id="1776"/>
      </w:r>
      <w:r>
        <w:t xml:space="preserve">.</w:t>
      </w:r>
    </w:p>
    <w:p>
      <w:pPr>
        <w:pStyle w:val="BodyText"/>
      </w:pPr>
      <w:r>
        <w:t xml:space="preserve">Unos efectos así serían extraordinarios, mayores que los de casi cualquier medida de la medicina moderna. Por ello, sus límites son tanto más importantes:</w:t>
      </w:r>
    </w:p>
    <w:p>
      <w:pPr>
        <w:numPr>
          <w:ilvl w:val="0"/>
          <w:numId w:val="1216"/>
        </w:numPr>
        <w:pStyle w:val="Compact"/>
      </w:pPr>
      <w:r>
        <w:t xml:space="preserve">El resumen no describe ni asignación aleatoria ni enmascaramiento. No se aprecia cómo se seleccionó el grupo de control.</w:t>
      </w:r>
    </w:p>
    <w:p>
      <w:pPr>
        <w:numPr>
          <w:ilvl w:val="0"/>
          <w:numId w:val="1216"/>
        </w:numPr>
        <w:pStyle w:val="Compact"/>
      </w:pPr>
      <w:r>
        <w:t xml:space="preserve">No se indican el tamaño de los grupos de cada brazo ni las cifras absolutas de fallecimientos.</w:t>
      </w:r>
    </w:p>
    <w:p>
      <w:pPr>
        <w:numPr>
          <w:ilvl w:val="0"/>
          <w:numId w:val="1216"/>
        </w:numPr>
        <w:pStyle w:val="Compact"/>
      </w:pPr>
      <w:r>
        <w:t xml:space="preserve">El estudio nunca se registró y no existe una repetición independiente.</w:t>
      </w:r>
    </w:p>
    <w:p>
      <w:pPr>
        <w:numPr>
          <w:ilvl w:val="0"/>
          <w:numId w:val="1216"/>
        </w:numPr>
        <w:pStyle w:val="Compact"/>
      </w:pPr>
      <w:r>
        <w:t xml:space="preserve">Los resultados proceden de los desarrolladores de los preparados.</w:t>
      </w:r>
    </w:p>
    <w:p>
      <w:pPr>
        <w:pStyle w:val="FirstParagraph"/>
      </w:pPr>
      <w:r>
        <w:t xml:space="preserve">En observaciones no aleatorizadas, incluso pequeñas diferencias entre los grupos –por ejemplo, quién estaba más sano o mejor atendido– pueden generar grandes efectos aparentes sobre la mortalidad. De todos modos, de este estudio no puede deducirse nada para Epitalon, porque se estudió otra sustancia.</w:t>
      </w:r>
    </w:p>
    <w:bookmarkEnd w:id="1777"/>
    <w:bookmarkStart w:id="1782" w:name="X21c08104f29dca35b2ee6c7e0192cfb931c626f"/>
    <w:p>
      <w:pPr>
        <w:pStyle w:val="Heading4"/>
      </w:pPr>
      <w:r>
        <w:t xml:space="preserve">La afirmación sobre los telómeros, comprobada</w:t>
      </w:r>
    </w:p>
    <w:p>
      <w:pPr>
        <w:pStyle w:val="FirstParagraph"/>
      </w:pPr>
      <w:r>
        <w:t xml:space="preserve">En internet, Epitalon se promociona a menudo como sustancia que «alarga los telómeros» y con ello «hace retroceder el reloj biológico». ¿Qué está demostrado?</w:t>
      </w:r>
    </w:p>
    <w:p>
      <w:pPr>
        <w:numPr>
          <w:ilvl w:val="0"/>
          <w:numId w:val="1217"/>
        </w:numPr>
        <w:pStyle w:val="Compact"/>
      </w:pPr>
      <w:r>
        <w:rPr>
          <w:bCs/>
          <w:b/>
        </w:rPr>
        <w:t xml:space="preserve">Cultivo celular de San Petersburgo:</w:t>
      </w:r>
      <w:r>
        <w:t xml:space="preserve"> </w:t>
      </w:r>
      <w:r>
        <w:t xml:space="preserve">En fibroblastos fetales humanos, Epitalon provocó actividad de la telomerasa y alargamiento de los telómeros</w:t>
      </w:r>
      <w:r>
        <w:rPr>
          <w:rStyle w:val="FootnoteReference"/>
        </w:rPr>
        <w:footnoteReference w:id="1778"/>
      </w:r>
      <w:r>
        <w:t xml:space="preserve">; en un trabajo posterior, las células tratadas realizaron diez divisiones adicionales por encima de su límite habitual</w:t>
      </w:r>
      <w:r>
        <w:rPr>
          <w:rStyle w:val="FootnoteReference"/>
        </w:rPr>
        <w:footnoteReference w:id="1779"/>
      </w:r>
      <w:r>
        <w:t xml:space="preserve">. Ambos trabajos se publicaron de forma muy breve, sin métodos detallados en el resumen.</w:t>
      </w:r>
    </w:p>
    <w:p>
      <w:pPr>
        <w:numPr>
          <w:ilvl w:val="0"/>
          <w:numId w:val="1217"/>
        </w:numPr>
        <w:pStyle w:val="Compact"/>
      </w:pPr>
      <w:r>
        <w:rPr>
          <w:bCs/>
          <w:b/>
        </w:rPr>
        <w:t xml:space="preserve">Estudio celular independiente:</w:t>
      </w:r>
      <w:r>
        <w:t xml:space="preserve"> </w:t>
      </w:r>
      <w:r>
        <w:t xml:space="preserve">Un grupo de trabajo fuera de Rusia encontró en 2025 también telómeros más largos, de forma dependiente de la dosis, en células epiteliales y del tejido conjuntivo humanas normales. En líneas celulares de cáncer de mama, los telómeros también se alargaron, en ese caso mediante un mecanismo alternativo (ALT) típico de las células cancerosas</w:t>
      </w:r>
      <w:r>
        <w:rPr>
          <w:rStyle w:val="FootnoteReference"/>
        </w:rPr>
        <w:footnoteReference w:id="1780"/>
      </w:r>
      <w:r>
        <w:t xml:space="preserve">.</w:t>
      </w:r>
    </w:p>
    <w:p>
      <w:pPr>
        <w:numPr>
          <w:ilvl w:val="0"/>
          <w:numId w:val="1217"/>
        </w:numPr>
        <w:pStyle w:val="Compact"/>
      </w:pPr>
      <w:r>
        <w:rPr>
          <w:bCs/>
          <w:b/>
        </w:rPr>
        <w:t xml:space="preserve">Células sanguíneas humanas in vitro:</w:t>
      </w:r>
      <w:r>
        <w:t xml:space="preserve"> </w:t>
      </w:r>
      <w:r>
        <w:t xml:space="preserve">En células sanguíneas de once hombres, tras el contacto con el péptido, los telómeros se alargaron en cinco casos y se acortaron en dos; los autores lo interpretan como una «normalización»</w:t>
      </w:r>
      <w:r>
        <w:rPr>
          <w:rStyle w:val="FootnoteReference"/>
        </w:rPr>
        <w:footnoteReference w:id="1781"/>
      </w:r>
      <w:r>
        <w:t xml:space="preserve">.</w:t>
      </w:r>
    </w:p>
    <w:p>
      <w:pPr>
        <w:numPr>
          <w:ilvl w:val="0"/>
          <w:numId w:val="1217"/>
        </w:numPr>
        <w:pStyle w:val="Compact"/>
      </w:pPr>
      <w:r>
        <w:rPr>
          <w:bCs/>
          <w:b/>
        </w:rPr>
        <w:t xml:space="preserve">En el ser humano vivo:</w:t>
      </w:r>
      <w:r>
        <w:t xml:space="preserve"> </w:t>
      </w:r>
      <w:r>
        <w:t xml:space="preserve">No existe ningún estudio controlado publicado que haya mostrado que Epitalon modifique la longitud de los telómeros en la sangre o los tejidos humanos, y mucho menos uno que demuestre un beneficio para la salud de tal cambio.</w:t>
      </w:r>
    </w:p>
    <w:p>
      <w:pPr>
        <w:pStyle w:val="FirstParagraph"/>
      </w:pPr>
      <w:r>
        <w:t xml:space="preserve">A ello se suma que la longitud de los telómeros está relacionada con la edad, pero no es una medida fiable del «reloj biológico» de una persona concreta. Y una telomerasa activada de forma permanente es una característica de la inmensa mayoría de los tipos de cáncer. Por eso, la capacidad de alargar los telómeros no es automáticamente una ventaja (véanse los riesgos).</w:t>
      </w:r>
    </w:p>
    <w:bookmarkEnd w:id="1782"/>
    <w:bookmarkEnd w:id="1783"/>
    <w:bookmarkStart w:id="1788" w:name="estudios-en-animales-y-de-laboratorio-39"/>
    <w:p>
      <w:pPr>
        <w:pStyle w:val="Heading3"/>
      </w:pPr>
      <w:r>
        <w:t xml:space="preserve">Estudios en animales y de laboratorio</w:t>
      </w:r>
    </w:p>
    <w:p>
      <w:pPr>
        <w:numPr>
          <w:ilvl w:val="0"/>
          <w:numId w:val="1218"/>
        </w:numPr>
        <w:pStyle w:val="Compact"/>
      </w:pPr>
      <w:r>
        <w:rPr>
          <w:bCs/>
          <w:b/>
        </w:rPr>
        <w:t xml:space="preserve">Esperanza de vida en ratones:</w:t>
      </w:r>
      <w:r>
        <w:t xml:space="preserve"> </w:t>
      </w:r>
      <w:r>
        <w:t xml:space="preserve">En el estudio en animales más importante, 54 ratones hembra por grupo recibieron de por vida, cada mes, Epitalon o solución salina. La</w:t>
      </w:r>
      <w:r>
        <w:t xml:space="preserve"> </w:t>
      </w:r>
      <w:r>
        <w:rPr>
          <w:bCs/>
          <w:b/>
        </w:rPr>
        <w:t xml:space="preserve">esperanza de vida media no</w:t>
      </w:r>
      <w:r>
        <w:t xml:space="preserve"> </w:t>
      </w:r>
      <w:r>
        <w:t xml:space="preserve">difirió; solo el último 10 % de los supervivientes vivió un 13,3 % más, y la esperanza de vida máxima fue un 12,3 % mayor. El número total de tumores espontáneos fue igual, y las leucemias fueron menos frecuentes</w:t>
      </w:r>
      <w:r>
        <w:rPr>
          <w:rStyle w:val="FootnoteReference"/>
        </w:rPr>
        <w:footnoteReference w:id="1784"/>
      </w:r>
      <w:r>
        <w:t xml:space="preserve">.</w:t>
      </w:r>
    </w:p>
    <w:p>
      <w:pPr>
        <w:numPr>
          <w:ilvl w:val="0"/>
          <w:numId w:val="1218"/>
        </w:numPr>
        <w:pStyle w:val="Compact"/>
      </w:pPr>
      <w:r>
        <w:rPr>
          <w:bCs/>
          <w:b/>
        </w:rPr>
        <w:t xml:space="preserve">Moscas de la fruta:</w:t>
      </w:r>
      <w:r>
        <w:t xml:space="preserve"> </w:t>
      </w:r>
      <w:r>
        <w:t xml:space="preserve">También en moscas del vinagre se informó de una mayor esperanza de vida</w:t>
      </w:r>
      <w:r>
        <w:rPr>
          <w:rStyle w:val="FootnoteReference"/>
        </w:rPr>
        <w:footnoteReference w:id="1785"/>
      </w:r>
      <w:r>
        <w:t xml:space="preserve">.</w:t>
      </w:r>
    </w:p>
    <w:p>
      <w:pPr>
        <w:numPr>
          <w:ilvl w:val="0"/>
          <w:numId w:val="1218"/>
        </w:numPr>
        <w:pStyle w:val="Compact"/>
      </w:pPr>
      <w:r>
        <w:rPr>
          <w:bCs/>
          <w:b/>
        </w:rPr>
        <w:t xml:space="preserve">Retina:</w:t>
      </w:r>
      <w:r>
        <w:t xml:space="preserve"> </w:t>
      </w:r>
      <w:r>
        <w:t xml:space="preserve">En ratas con degeneración retiniana hereditaria, la estructura de la retina se conservó mejor con Epitalon</w:t>
      </w:r>
      <w:r>
        <w:rPr>
          <w:rStyle w:val="FootnoteReference"/>
        </w:rPr>
        <w:footnoteReference w:id="1786"/>
      </w:r>
      <w:r>
        <w:t xml:space="preserve">.</w:t>
      </w:r>
    </w:p>
    <w:p>
      <w:pPr>
        <w:numPr>
          <w:ilvl w:val="0"/>
          <w:numId w:val="1218"/>
        </w:numPr>
        <w:pStyle w:val="Compact"/>
      </w:pPr>
      <w:r>
        <w:rPr>
          <w:bCs/>
          <w:b/>
        </w:rPr>
        <w:t xml:space="preserve">Óvulos:</w:t>
      </w:r>
      <w:r>
        <w:t xml:space="preserve"> </w:t>
      </w:r>
      <w:r>
        <w:t xml:space="preserve">En cultivos de óvulos envejecidos de ratón, Epitalon redujo los daños por estrés oxidativo</w:t>
      </w:r>
      <w:r>
        <w:rPr>
          <w:rStyle w:val="FootnoteReference"/>
        </w:rPr>
        <w:footnoteReference w:id="1787"/>
      </w:r>
      <w:r>
        <w:t xml:space="preserve">.</w:t>
      </w:r>
    </w:p>
    <w:p>
      <w:pPr>
        <w:pStyle w:val="FirstParagraph"/>
      </w:pPr>
      <w:r>
        <w:t xml:space="preserve">La mayoría de estos estudios procede del grupo de Jávinson y Anisimov, en general en revistas rusas o en revistas en las que el propio grupo publicaba con frecuencia. Las repeticiones independientes son escasas.</w:t>
      </w:r>
    </w:p>
    <w:bookmarkEnd w:id="1788"/>
    <w:bookmarkStart w:id="1792" w:name="riesgos-y-efectos-adversos-39"/>
    <w:p>
      <w:pPr>
        <w:pStyle w:val="Heading3"/>
      </w:pPr>
      <w:r>
        <w:t xml:space="preserve">Riesgos y efectos adversos</w:t>
      </w:r>
    </w:p>
    <w:p>
      <w:pPr>
        <w:pStyle w:val="FirstParagraph"/>
      </w:pPr>
      <w:r>
        <w:rPr>
          <w:bCs/>
          <w:b/>
        </w:rPr>
        <w:t xml:space="preserve">Demostrado:</w:t>
      </w:r>
      <w:r>
        <w:t xml:space="preserve"> </w:t>
      </w:r>
      <w:r>
        <w:t xml:space="preserve">No hay datos de seguridad recogidos de forma sistemática sobre Epitalon en humanos.</w:t>
      </w:r>
    </w:p>
    <w:p>
      <w:pPr>
        <w:pStyle w:val="BodyText"/>
      </w:pPr>
      <w:r>
        <w:rPr>
          <w:bCs/>
          <w:b/>
        </w:rPr>
        <w:t xml:space="preserve">Teórico:</w:t>
      </w:r>
    </w:p>
    <w:p>
      <w:pPr>
        <w:numPr>
          <w:ilvl w:val="0"/>
          <w:numId w:val="1219"/>
        </w:numPr>
        <w:pStyle w:val="Compact"/>
      </w:pPr>
      <w:r>
        <w:rPr>
          <w:bCs/>
          <w:b/>
        </w:rPr>
        <w:t xml:space="preserve">Cáncer:</w:t>
      </w:r>
      <w:r>
        <w:t xml:space="preserve"> </w:t>
      </w:r>
      <w:r>
        <w:t xml:space="preserve">La activación de la telomerasa es una característica central de las células cancerosas. Una sustancia que debería activar la telomerasa podría, en teoría, favorecer el crecimiento de células cancerosas ya existentes y no detectadas. En el estudio celular independiente se alargaron también los telómeros de células de cáncer de mama</w:t>
      </w:r>
      <w:r>
        <w:rPr>
          <w:rStyle w:val="FootnoteReference"/>
        </w:rPr>
        <w:footnoteReference w:id="1789"/>
      </w:r>
      <w:r>
        <w:t xml:space="preserve">. El estudio en ratones no encontró un aumento de los tumores espontáneos</w:t>
      </w:r>
      <w:r>
        <w:rPr>
          <w:rStyle w:val="FootnoteReference"/>
        </w:rPr>
        <w:footnoteReference w:id="1790"/>
      </w:r>
      <w:r>
        <w:t xml:space="preserve">, pero los datos en animales no pueden trasladarse a décadas de uso en humanos.</w:t>
      </w:r>
    </w:p>
    <w:p>
      <w:pPr>
        <w:numPr>
          <w:ilvl w:val="0"/>
          <w:numId w:val="1219"/>
        </w:numPr>
        <w:pStyle w:val="Compact"/>
      </w:pPr>
      <w:r>
        <w:rPr>
          <w:bCs/>
          <w:b/>
        </w:rPr>
        <w:t xml:space="preserve">Sistema hormonal:</w:t>
      </w:r>
      <w:r>
        <w:t xml:space="preserve"> </w:t>
      </w:r>
      <w:r>
        <w:t xml:space="preserve">Una influencia sobre la melatonina y la glándula pineal puede alterar el sueño y los ritmos hormonales; esto no se ha estudiado en humanos.</w:t>
      </w:r>
    </w:p>
    <w:p>
      <w:pPr>
        <w:pStyle w:val="FirstParagraph"/>
      </w:pPr>
      <w:r>
        <w:rPr>
          <w:bCs/>
          <w:b/>
        </w:rPr>
        <w:t xml:space="preserve">Mercado gris:</w:t>
      </w:r>
      <w:r>
        <w:t xml:space="preserve"> </w:t>
      </w:r>
      <w:r>
        <w:t xml:space="preserve">Epitalon es uno de los «péptidos de longevidad» más vendidos y se ofrece en polvo para inyección o como aerosol nasal. La pureza, el contenido y la esterilidad no están comprobados. Una revisión independiente menciona cuestiones no resueltas sobre la calidad del producto, las reacciones inmunitarias y el riesgo de cáncer</w:t>
      </w:r>
      <w:r>
        <w:rPr>
          <w:rStyle w:val="FootnoteReference"/>
        </w:rPr>
        <w:footnoteReference w:id="1791"/>
      </w:r>
      <w:r>
        <w:t xml:space="preserve">.</w:t>
      </w:r>
    </w:p>
    <w:bookmarkEnd w:id="1792"/>
    <w:bookmarkStart w:id="1793" w:name="situación-legal-39"/>
    <w:p>
      <w:pPr>
        <w:pStyle w:val="Heading3"/>
      </w:pPr>
      <w:r>
        <w:t xml:space="preserve">Situación legal</w:t>
      </w:r>
    </w:p>
    <w:p>
      <w:pPr>
        <w:numPr>
          <w:ilvl w:val="0"/>
          <w:numId w:val="1220"/>
        </w:numPr>
        <w:pStyle w:val="Compact"/>
      </w:pPr>
      <w:r>
        <w:rPr>
          <w:bCs/>
          <w:b/>
        </w:rPr>
        <w:t xml:space="preserve">UE / Austria / Alemania:</w:t>
      </w:r>
      <w:r>
        <w:t xml:space="preserve"> </w:t>
      </w:r>
      <w:r>
        <w:t xml:space="preserve">no autorizado; como sustancia con efecto farmacológico, Epitalon se considera medicamento, y su venta para uso en humanos no está permitida.</w:t>
      </w:r>
    </w:p>
    <w:p>
      <w:pPr>
        <w:numPr>
          <w:ilvl w:val="0"/>
          <w:numId w:val="1220"/>
        </w:numPr>
        <w:pStyle w:val="Compact"/>
      </w:pPr>
      <w:r>
        <w:rPr>
          <w:bCs/>
          <w:b/>
        </w:rPr>
        <w:t xml:space="preserve">EE. UU.:</w:t>
      </w:r>
      <w:r>
        <w:t xml:space="preserve"> </w:t>
      </w:r>
      <w:r>
        <w:t xml:space="preserve">no autorizado. Tras el voto del comité asesor PCAC en julio de 2026, Epitalon podría en el futuro utilizarse en fórmulas magistrales de farmacia si la FDA sigue esa recomendación; el procedimiento no había concluido al cierre de la redacción (situación en octubre de 2026; comprueba la información actualizada).</w:t>
      </w:r>
    </w:p>
    <w:p>
      <w:pPr>
        <w:numPr>
          <w:ilvl w:val="0"/>
          <w:numId w:val="1220"/>
        </w:numPr>
        <w:pStyle w:val="Compact"/>
      </w:pPr>
      <w:r>
        <w:rPr>
          <w:bCs/>
          <w:b/>
        </w:rPr>
        <w:t xml:space="preserve">Rusia:</w:t>
      </w:r>
      <w:r>
        <w:t xml:space="preserve"> </w:t>
      </w:r>
      <w:r>
        <w:t xml:space="preserve">En Rusia, los biorreguladores peptídicos se comercializan en parte como complementos alimenticios; Epitalon en sí, según nuestros conocimientos, no está registrado allí como medicamento (compruébese en su versión actual).</w:t>
      </w:r>
    </w:p>
    <w:p>
      <w:pPr>
        <w:numPr>
          <w:ilvl w:val="0"/>
          <w:numId w:val="1220"/>
        </w:numPr>
        <w:pStyle w:val="Compact"/>
      </w:pPr>
      <w:r>
        <w:rPr>
          <w:bCs/>
          <w:b/>
        </w:rPr>
        <w:t xml:space="preserve">Deporte:</w:t>
      </w:r>
      <w:r>
        <w:t xml:space="preserve"> </w:t>
      </w:r>
      <w:r>
        <w:t xml:space="preserve">según nuestra valoración, categoría S0 de la WADA (situación en 2026; comprueba la información actualizada).</w:t>
      </w:r>
    </w:p>
    <w:bookmarkEnd w:id="1793"/>
    <w:bookmarkStart w:id="1795" w:name="estudios-en-curso-y-perspectivas-39"/>
    <w:p>
      <w:pPr>
        <w:pStyle w:val="Heading3"/>
      </w:pPr>
      <w:r>
        <w:t xml:space="preserve">Estudios en curso y perspectivas</w:t>
      </w:r>
    </w:p>
    <w:p>
      <w:pPr>
        <w:pStyle w:val="FirstParagraph"/>
      </w:pPr>
      <w:r>
        <w:rPr>
          <w:bCs/>
          <w:b/>
        </w:rPr>
        <w:t xml:space="preserve">Confirmado:</w:t>
      </w:r>
      <w:r>
        <w:t xml:space="preserve"> </w:t>
      </w:r>
      <w:r>
        <w:t xml:space="preserve">En ClinicalTrials.gov hay registrado un estudio temprano en el que se pretende evaluar medidas de rejuvenecimiento «sistémicas y locales» con los llamados relojes del envejecimiento (procedimientos de medición epigenéticos); están previstos 48 participantes, con inicio en octubre de 2026</w:t>
      </w:r>
      <w:r>
        <w:rPr>
          <w:rStyle w:val="FootnoteReference"/>
        </w:rPr>
        <w:footnoteReference w:id="1794"/>
      </w:r>
      <w:r>
        <w:t xml:space="preserve">. Según la entrada del registro, Epitalon es allí solo uno de cinco componentes de un sérum peptídico que se aplica sobre la piel; además se toman medicamentos y complementos alimenticios. El estudio tiene un solo grupo, sin enmascaramiento ni control con placebo. Por tanto, no puede aportar ninguna conclusión sobre el efecto del propio Epitalon.</w:t>
      </w:r>
    </w:p>
    <w:p>
      <w:pPr>
        <w:pStyle w:val="BodyText"/>
      </w:pPr>
      <w:r>
        <w:rPr>
          <w:bCs/>
          <w:b/>
        </w:rPr>
        <w:t xml:space="preserve">Valoración:</w:t>
      </w:r>
      <w:r>
        <w:t xml:space="preserve"> </w:t>
      </w:r>
      <w:r>
        <w:t xml:space="preserve">La inclusión en la lista estadounidense de fórmulas magistrales aumentaría su difusión sin mejorar los datos disponibles. Lo decisivo sería un estudio independiente y aleatorizado que midiera al menos la longitud de los telómeros, la melatonina y parámetros de seguridad en humanos durante un periodo prolongado.</w:t>
      </w:r>
    </w:p>
    <w:bookmarkEnd w:id="1795"/>
    <w:bookmarkStart w:id="1796" w:name="conclusión-39"/>
    <w:p>
      <w:pPr>
        <w:pStyle w:val="Heading3"/>
      </w:pPr>
      <w:r>
        <w:t xml:space="preserve">Conclusión</w:t>
      </w:r>
    </w:p>
    <w:p>
      <w:pPr>
        <w:pStyle w:val="FirstParagraph"/>
      </w:pPr>
      <w:r>
        <w:t xml:space="preserve">Epitalon es un tetrapéptido sintético de San Petersburgo que en cultivos celulares activó la telomerasa y en ratones prolongó la esperanza de vida máxima, pero no la media. El estudio sobre una vida más larga, citado con frecuencia, se refería al extracto bovino epitalamina, no fue aleatorizado y nunca se repitió de forma independiente. No está demostrado que Epitalon alargue los telómeros o ralentice el envejecimiento en el ser humano; la activación de la telomerasa plantea además una cuestión no aclarada sobre el cáncer. Los datos no bastan para valorar el beneficio ni la seguridad en el ser humano.</w:t>
      </w:r>
    </w:p>
    <w:bookmarkEnd w:id="1796"/>
    <w:bookmarkEnd w:id="1797"/>
    <w:bookmarkStart w:id="1814" w:name="pinealon"/>
    <w:p>
      <w:pPr>
        <w:pStyle w:val="Heading2"/>
      </w:pPr>
      <w:r>
        <w:t xml:space="preserve">Pinealon</w:t>
      </w:r>
    </w:p>
    <w:bookmarkStart w:id="1798" w:name="ficha-40"/>
    <w:p>
      <w:pPr>
        <w:pStyle w:val="Heading3"/>
      </w:pPr>
      <w:r>
        <w:t xml:space="preserve">Ficha</w:t>
      </w:r>
    </w:p>
    <w:p>
      <w:pPr>
        <w:numPr>
          <w:ilvl w:val="0"/>
          <w:numId w:val="1221"/>
        </w:numPr>
        <w:pStyle w:val="Compact"/>
      </w:pPr>
      <w:r>
        <w:rPr>
          <w:bCs/>
          <w:b/>
        </w:rPr>
        <w:t xml:space="preserve">Tipo y estructura:</w:t>
      </w:r>
      <w:r>
        <w:t xml:space="preserve"> </w:t>
      </w:r>
      <w:r>
        <w:t xml:space="preserve">tripéptido sintético de tres aminoácidos: Glu-Asp-Arg (abreviado EDR).</w:t>
      </w:r>
    </w:p>
    <w:p>
      <w:pPr>
        <w:numPr>
          <w:ilvl w:val="0"/>
          <w:numId w:val="1221"/>
        </w:numPr>
        <w:pStyle w:val="Compact"/>
      </w:pPr>
      <w:r>
        <w:rPr>
          <w:bCs/>
          <w:b/>
        </w:rPr>
        <w:t xml:space="preserve">Origen:</w:t>
      </w:r>
      <w:r>
        <w:t xml:space="preserve"> </w:t>
      </w:r>
      <w:r>
        <w:t xml:space="preserve">desarrollado en el Instituto de Biorregulación y Gerontología de San Petersburgo (grupo de Vladímir Jávinson, que también desarrolló Epitalon). El nombre hace referencia a la glándula pineal (glandula pinealis), aunque el péptido se describe sobre todo como sustancia protectora de las neuronas.</w:t>
      </w:r>
    </w:p>
    <w:p>
      <w:pPr>
        <w:numPr>
          <w:ilvl w:val="0"/>
          <w:numId w:val="1221"/>
        </w:numPr>
        <w:pStyle w:val="Compact"/>
      </w:pPr>
      <w:r>
        <w:rPr>
          <w:bCs/>
          <w:b/>
        </w:rPr>
        <w:t xml:space="preserve">Mecanismo de acción:</w:t>
      </w:r>
      <w:r>
        <w:t xml:space="preserve"> </w:t>
      </w:r>
      <w:r>
        <w:t xml:space="preserve">como «biorregulador peptídico corto», debería penetrar en las células y en los núcleos celulares, unirse al ADN o a las histonas y así influir en la actividad de genes que protegen a las neuronas del estrés oxidativo y de la muerte celular.</w:t>
      </w:r>
    </w:p>
    <w:p>
      <w:pPr>
        <w:numPr>
          <w:ilvl w:val="0"/>
          <w:numId w:val="1221"/>
        </w:numPr>
        <w:pStyle w:val="Compact"/>
      </w:pPr>
      <w:r>
        <w:rPr>
          <w:bCs/>
          <w:b/>
        </w:rPr>
        <w:t xml:space="preserve">Autorización UE:</w:t>
      </w:r>
      <w:r>
        <w:t xml:space="preserve"> </w:t>
      </w:r>
      <w:r>
        <w:t xml:space="preserve">no.</w:t>
      </w:r>
    </w:p>
    <w:p>
      <w:pPr>
        <w:numPr>
          <w:ilvl w:val="0"/>
          <w:numId w:val="1221"/>
        </w:numPr>
        <w:pStyle w:val="Compact"/>
      </w:pPr>
      <w:r>
        <w:rPr>
          <w:bCs/>
          <w:b/>
        </w:rPr>
        <w:t xml:space="preserve">Autorización EE. UU.:</w:t>
      </w:r>
      <w:r>
        <w:t xml:space="preserve"> </w:t>
      </w:r>
      <w:r>
        <w:t xml:space="preserve">no.</w:t>
      </w:r>
    </w:p>
    <w:p>
      <w:pPr>
        <w:numPr>
          <w:ilvl w:val="0"/>
          <w:numId w:val="1221"/>
        </w:numPr>
        <w:pStyle w:val="Compact"/>
      </w:pPr>
      <w:r>
        <w:rPr>
          <w:bCs/>
          <w:b/>
        </w:rPr>
        <w:t xml:space="preserve">Rusia:</w:t>
      </w:r>
      <w:r>
        <w:t xml:space="preserve"> </w:t>
      </w:r>
      <w:r>
        <w:t xml:space="preserve">comercializado como componente de los llamados «citógenos» en cápsulas, es decir, más bien como complemento alimenticio que como medicamento evaluado.</w:t>
      </w:r>
    </w:p>
    <w:p>
      <w:pPr>
        <w:numPr>
          <w:ilvl w:val="0"/>
          <w:numId w:val="1221"/>
        </w:numPr>
        <w:pStyle w:val="Compact"/>
      </w:pPr>
      <w:r>
        <w:rPr>
          <w:bCs/>
          <w:b/>
        </w:rPr>
        <w:t xml:space="preserve">WADA:</w:t>
      </w:r>
      <w:r>
        <w:t xml:space="preserve"> </w:t>
      </w:r>
      <w:r>
        <w:t xml:space="preserve">no figura nominalmente; un principio activo no autorizado como medicamento puede entrar en la categoría general S0.</w:t>
      </w:r>
    </w:p>
    <w:p>
      <w:pPr>
        <w:numPr>
          <w:ilvl w:val="0"/>
          <w:numId w:val="1221"/>
        </w:numPr>
        <w:pStyle w:val="Compact"/>
      </w:pPr>
      <w:r>
        <w:rPr>
          <w:bCs/>
          <w:b/>
        </w:rPr>
        <w:t xml:space="preserve">Nivel de evidencia:</w:t>
      </w:r>
      <w:r>
        <w:t xml:space="preserve"> </w:t>
      </w:r>
      <w:r>
        <w:rPr>
          <w:bCs/>
          <w:b/>
        </w:rPr>
        <w:t xml:space="preserve">C</w:t>
      </w:r>
      <w:r>
        <w:t xml:space="preserve"> </w:t>
      </w:r>
      <w:r>
        <w:t xml:space="preserve">– algunos pequeños estudios observacionales rusos no aleatorizados con valores de medición sustitutivos como la «edad biológica».</w:t>
      </w:r>
    </w:p>
    <w:bookmarkEnd w:id="1798"/>
    <w:bookmarkStart w:id="1802" w:name="cómo-se-supone-que-actúa-40"/>
    <w:p>
      <w:pPr>
        <w:pStyle w:val="Heading3"/>
      </w:pPr>
      <w:r>
        <w:t xml:space="preserve">Cómo se supone que actúa</w:t>
      </w:r>
    </w:p>
    <w:p>
      <w:pPr>
        <w:pStyle w:val="FirstParagraph"/>
      </w:pPr>
      <w:r>
        <w:t xml:space="preserve">Pinealon pertenece a una familia de péptidos muy cortos (de dos a cuatro aminoácidos) que el grupo de San Petersburgo denomina «biorreguladores peptídicos». La hipótesis central es la siguiente: estos minipéptidos llegan hasta el núcleo celular, se unen allí a determinados segmentos de ADN y regulan de este modo los genes, de forma similar a los factores de transcripción, es decir, proteínas que activan y desactivan genes.</w:t>
      </w:r>
    </w:p>
    <w:p>
      <w:pPr>
        <w:pStyle w:val="BodyText"/>
      </w:pPr>
      <w:r>
        <w:t xml:space="preserve">Las pruebas al respecto proceden del laboratorio:</w:t>
      </w:r>
    </w:p>
    <w:p>
      <w:pPr>
        <w:numPr>
          <w:ilvl w:val="0"/>
          <w:numId w:val="1222"/>
        </w:numPr>
        <w:pStyle w:val="Compact"/>
      </w:pPr>
      <w:r>
        <w:t xml:space="preserve">En células cancerosas (HeLa), Pinealon, Epitalon y péptidos relacionados marcados con fluorescencia penetraron en el citoplasma, el núcleo celular y el nucléolo; in vitro modificaron la fluorescencia de fragmentos de ADN marcados según su secuencia</w:t>
      </w:r>
      <w:r>
        <w:rPr>
          <w:rStyle w:val="FootnoteReference"/>
        </w:rPr>
        <w:footnoteReference w:id="1799"/>
      </w:r>
      <w:r>
        <w:t xml:space="preserve">.</w:t>
      </w:r>
    </w:p>
    <w:p>
      <w:pPr>
        <w:numPr>
          <w:ilvl w:val="0"/>
          <w:numId w:val="1222"/>
        </w:numPr>
        <w:pStyle w:val="Compact"/>
      </w:pPr>
      <w:r>
        <w:t xml:space="preserve">En neuronas del cerebelo de ratas y en otros cultivos celulares, Pinealon limitó la acumulación de especies reactivas de oxígeno y redujo la muerte celular</w:t>
      </w:r>
      <w:r>
        <w:rPr>
          <w:rStyle w:val="FootnoteReference"/>
        </w:rPr>
        <w:footnoteReference w:id="1800"/>
      </w:r>
      <w:r>
        <w:t xml:space="preserve">.</w:t>
      </w:r>
    </w:p>
    <w:p>
      <w:pPr>
        <w:pStyle w:val="FirstParagraph"/>
      </w:pPr>
      <w:r>
        <w:t xml:space="preserve">Una revisión de los desarrolladores resume que el péptido EDR influiría en experimentos con células y animales sobre genes y proteínas que desempeñan un papel en la enfermedad de Alzheimer, por ejemplo enzimas de la defensa antioxidante y señales de muerte celular</w:t>
      </w:r>
      <w:r>
        <w:rPr>
          <w:rStyle w:val="FootnoteReference"/>
        </w:rPr>
        <w:footnoteReference w:id="1801"/>
      </w:r>
      <w:r>
        <w:t xml:space="preserve">. Se trata de una hipótesis que otros grupos de investigación apenas han comprobado hasta ahora. Además, por la farmacología clásica se sabe que péptidos tan cortos se descomponen rápidamente en el tubo digestivo y en la sangre; no se ha estudiado cuánto Pinealon sin modificar llega a las neuronas tras tomar una cápsula.</w:t>
      </w:r>
    </w:p>
    <w:bookmarkEnd w:id="1802"/>
    <w:bookmarkStart w:id="1804" w:name="estudios-en-humanos-40"/>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w:t>
      </w:r>
      <w:r>
        <w:t xml:space="preserve"> </w:t>
      </w:r>
      <w:r>
        <w:rPr>
          <w:bCs/>
          <w:b/>
        </w:rPr>
        <w:t xml:space="preserve">una</w:t>
      </w:r>
      <w:r>
        <w:t xml:space="preserve"> </w:t>
      </w:r>
      <w:r>
        <w:t xml:space="preserve">publicación clasificada como estudio en humanos; en total, PubMed recoge solo 15 trabajos con «Pinealon» en el título o el resumen. En ClinicalTrials.gov no hay ningún estudio registrado. En una búsqueda adicional se encontraron otros tres pequeños trabajos rusos con personas, todos en la revista «Uspekhi Gerontologii» (Avances de Gerontología).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Bashkireva 2012, PMID 23734521</w:t>
            </w:r>
          </w:p>
        </w:tc>
        <w:tc>
          <w:tcPr/>
          <w:p>
            <w:pPr>
              <w:pStyle w:val="Compact"/>
              <w:jc w:val="left"/>
            </w:pPr>
            <w:r>
              <w:t xml:space="preserve">150 conductores de camión, 150 trabajadores del metal como comparación; péptidos en subgrupos</w:t>
            </w:r>
          </w:p>
        </w:tc>
        <w:tc>
          <w:tcPr/>
          <w:p>
            <w:pPr>
              <w:pStyle w:val="Compact"/>
              <w:jc w:val="left"/>
            </w:pPr>
            <w:r>
              <w:t xml:space="preserve">no indicada</w:t>
            </w:r>
          </w:p>
        </w:tc>
        <w:tc>
          <w:tcPr/>
          <w:p>
            <w:pPr>
              <w:pStyle w:val="Compact"/>
              <w:jc w:val="left"/>
            </w:pPr>
            <w:r>
              <w:t xml:space="preserve">según los autores, mejores valores psicoemocionales, mejor efecto con la combinación de dos péptidos</w:t>
            </w:r>
          </w:p>
        </w:tc>
      </w:tr>
      <w:tr>
        <w:tc>
          <w:tcPr/>
          <w:p>
            <w:pPr>
              <w:pStyle w:val="Compact"/>
              <w:jc w:val="left"/>
            </w:pPr>
            <w:r>
              <w:t xml:space="preserve">Nazimko 2012, PMID 22708445</w:t>
            </w:r>
          </w:p>
        </w:tc>
        <w:tc>
          <w:tcPr/>
          <w:p>
            <w:pPr>
              <w:pStyle w:val="Compact"/>
              <w:jc w:val="left"/>
            </w:pPr>
            <w:r>
              <w:t xml:space="preserve">equipos de maquinistas de tren, cápsulas de Pinealon</w:t>
            </w:r>
          </w:p>
        </w:tc>
        <w:tc>
          <w:tcPr/>
          <w:p>
            <w:pPr>
              <w:pStyle w:val="Compact"/>
              <w:jc w:val="left"/>
            </w:pPr>
            <w:r>
              <w:t xml:space="preserve">2 semanas</w:t>
            </w:r>
          </w:p>
        </w:tc>
        <w:tc>
          <w:tcPr/>
          <w:p>
            <w:pPr>
              <w:pStyle w:val="Compact"/>
              <w:jc w:val="left"/>
            </w:pPr>
            <w:r>
              <w:t xml:space="preserve">según los autores, mejor «edad biológica» y mejores reacciones de adaptación</w:t>
            </w:r>
          </w:p>
        </w:tc>
      </w:tr>
      <w:tr>
        <w:tc>
          <w:tcPr/>
          <w:p>
            <w:pPr>
              <w:pStyle w:val="Compact"/>
              <w:jc w:val="left"/>
            </w:pPr>
            <w:r>
              <w:t xml:space="preserve">Meshchaninov 2015, PMID 26390612</w:t>
            </w:r>
          </w:p>
        </w:tc>
        <w:tc>
          <w:tcPr/>
          <w:p>
            <w:pPr>
              <w:pStyle w:val="Compact"/>
              <w:jc w:val="left"/>
            </w:pPr>
            <w:r>
              <w:t xml:space="preserve">32 personas (41–83 años) con pluripatología y síndrome psicoorgánico</w:t>
            </w:r>
          </w:p>
        </w:tc>
        <w:tc>
          <w:tcPr/>
          <w:p>
            <w:pPr>
              <w:pStyle w:val="Compact"/>
              <w:jc w:val="left"/>
            </w:pPr>
            <w:r>
              <w:t xml:space="preserve">no indicada</w:t>
            </w:r>
          </w:p>
        </w:tc>
        <w:tc>
          <w:tcPr/>
          <w:p>
            <w:pPr>
              <w:pStyle w:val="Compact"/>
              <w:jc w:val="left"/>
            </w:pPr>
            <w:r>
              <w:t xml:space="preserve">efecto «anabólico»; indicios de acción oxidante e inhibición de la hematopoyesis</w:t>
            </w:r>
          </w:p>
        </w:tc>
      </w:tr>
      <w:tr>
        <w:tc>
          <w:tcPr/>
          <w:p>
            <w:pPr>
              <w:pStyle w:val="Compact"/>
              <w:jc w:val="left"/>
            </w:pPr>
            <w:r>
              <w:t xml:space="preserve">Myakotnykh 2016, PMID 28539017</w:t>
            </w:r>
          </w:p>
        </w:tc>
        <w:tc>
          <w:tcPr/>
          <w:p>
            <w:pPr>
              <w:pStyle w:val="Compact"/>
              <w:jc w:val="left"/>
            </w:pPr>
            <w:r>
              <w:t xml:space="preserve">110 personas, comparación de distintos métodos «antienvejecimiento»</w:t>
            </w:r>
          </w:p>
        </w:tc>
        <w:tc>
          <w:tcPr/>
          <w:p>
            <w:pPr>
              <w:pStyle w:val="Compact"/>
              <w:jc w:val="left"/>
            </w:pPr>
            <w:r>
              <w:t xml:space="preserve">no indicada</w:t>
            </w:r>
          </w:p>
        </w:tc>
        <w:tc>
          <w:tcPr/>
          <w:p>
            <w:pPr>
              <w:pStyle w:val="Compact"/>
              <w:jc w:val="left"/>
            </w:pPr>
            <w:r>
              <w:t xml:space="preserve">mayor efecto sobre la «edad biológica» con la combinación de dos péptidos</w:t>
            </w:r>
          </w:p>
        </w:tc>
      </w:tr>
    </w:tbl>
    <w:p>
      <w:pPr>
        <w:pStyle w:val="BodyText"/>
      </w:pPr>
      <w:r>
        <w:t xml:space="preserve">Los cuatro trabajos tienen debilidades comunes:</w:t>
      </w:r>
    </w:p>
    <w:p>
      <w:pPr>
        <w:numPr>
          <w:ilvl w:val="0"/>
          <w:numId w:val="1223"/>
        </w:numPr>
        <w:pStyle w:val="Compact"/>
      </w:pPr>
      <w:r>
        <w:rPr>
          <w:bCs/>
          <w:b/>
        </w:rPr>
        <w:t xml:space="preserve">Sin placebo, sin enmascaramiento, sin asignación aleatoria</w:t>
      </w:r>
      <w:r>
        <w:t xml:space="preserve"> </w:t>
      </w:r>
      <w:r>
        <w:t xml:space="preserve">apreciables. En los cuestionarios sobre el estado de ánimo y la carga de estrés, el efecto de expectativa es considerable.</w:t>
      </w:r>
    </w:p>
    <w:p>
      <w:pPr>
        <w:numPr>
          <w:ilvl w:val="0"/>
          <w:numId w:val="1223"/>
        </w:numPr>
        <w:pStyle w:val="Compact"/>
      </w:pPr>
      <w:r>
        <w:rPr>
          <w:bCs/>
          <w:b/>
        </w:rPr>
        <w:t xml:space="preserve">Valores sustitutivos en lugar de criterios de valoración clínicos:</w:t>
      </w:r>
      <w:r>
        <w:t xml:space="preserve"> </w:t>
      </w:r>
      <w:r>
        <w:t xml:space="preserve">La «edad biológica» se calcula en la gerontología rusa a partir de una combinación de mediciones como la presión arterial, la función pulmonar, el tiempo de reacción y la autoevaluación. No es una medida estandarizada internacionalmente, y una mejora no significa automáticamente más salud ni una vida más larga.</w:t>
      </w:r>
    </w:p>
    <w:p>
      <w:pPr>
        <w:numPr>
          <w:ilvl w:val="0"/>
          <w:numId w:val="1223"/>
        </w:numPr>
        <w:pStyle w:val="Compact"/>
      </w:pPr>
      <w:r>
        <w:rPr>
          <w:bCs/>
          <w:b/>
        </w:rPr>
        <w:t xml:space="preserve">Combinaciones:</w:t>
      </w:r>
      <w:r>
        <w:t xml:space="preserve"> </w:t>
      </w:r>
      <w:r>
        <w:t xml:space="preserve">En varios estudios, Pinealon se administró junto con el péptido Vesugen (Lys-Glu-Asp), de modo que el efecto no puede atribuirse a una sola sustancia.</w:t>
      </w:r>
    </w:p>
    <w:p>
      <w:pPr>
        <w:numPr>
          <w:ilvl w:val="0"/>
          <w:numId w:val="1223"/>
        </w:numPr>
        <w:pStyle w:val="Compact"/>
      </w:pPr>
      <w:r>
        <w:rPr>
          <w:bCs/>
          <w:b/>
        </w:rPr>
        <w:t xml:space="preserve">Cifras poco claras:</w:t>
      </w:r>
      <w:r>
        <w:t xml:space="preserve"> </w:t>
      </w:r>
      <w:r>
        <w:t xml:space="preserve">Los resúmenes apenas indican tamaños del efecto.</w:t>
      </w:r>
    </w:p>
    <w:p>
      <w:pPr>
        <w:pStyle w:val="FirstParagraph"/>
      </w:pPr>
      <w:r>
        <w:t xml:space="preserve">Es llamativo un hallazgo que no aparece en la publicidad: en el estudio con 32 personas mayores, los autores observaron con Pinealon y Vesugen una actividad</w:t>
      </w:r>
      <w:r>
        <w:t xml:space="preserve"> </w:t>
      </w:r>
      <w:r>
        <w:rPr>
          <w:bCs/>
          <w:b/>
        </w:rPr>
        <w:t xml:space="preserve">prooxidante</w:t>
      </w:r>
      <w:r>
        <w:t xml:space="preserve"> </w:t>
      </w:r>
      <w:r>
        <w:t xml:space="preserve">–es decir, lo contrario del efecto antioxidante que se afirma– y una disminución de las células madre hematopoyéticas (CD34+) en la sangre, que describen como una clara inhibición de la hematopoyesis. Aun así, recomiendan los péptidos para la práctica geriátrica</w:t>
      </w:r>
      <w:r>
        <w:rPr>
          <w:rStyle w:val="FootnoteReference"/>
        </w:rPr>
        <w:footnoteReference w:id="1803"/>
      </w:r>
      <w:r>
        <w:t xml:space="preserve">.</w:t>
      </w:r>
    </w:p>
    <w:bookmarkEnd w:id="1804"/>
    <w:bookmarkStart w:id="1808" w:name="estudios-en-animales-y-de-laboratorio-40"/>
    <w:p>
      <w:pPr>
        <w:pStyle w:val="Heading3"/>
      </w:pPr>
      <w:r>
        <w:t xml:space="preserve">Estudios en animales y de laboratorio</w:t>
      </w:r>
    </w:p>
    <w:p>
      <w:pPr>
        <w:numPr>
          <w:ilvl w:val="0"/>
          <w:numId w:val="1224"/>
        </w:numPr>
        <w:pStyle w:val="Compact"/>
      </w:pPr>
      <w:r>
        <w:t xml:space="preserve">En ratas cuyas madres tenían durante la gestación valores elevados de homocisteína por una dieta rica en metionina, Pinealon (administrado a las madres) mejoró la orientación y la capacidad de aprendizaje de las crías; sus neuronas del cerebelo eran más resistentes al estrés oxidativo</w:t>
      </w:r>
      <w:r>
        <w:rPr>
          <w:rStyle w:val="FootnoteReference"/>
        </w:rPr>
        <w:footnoteReference w:id="1805"/>
      </w:r>
      <w:r>
        <w:t xml:space="preserve">.</w:t>
      </w:r>
    </w:p>
    <w:p>
      <w:pPr>
        <w:numPr>
          <w:ilvl w:val="0"/>
          <w:numId w:val="1224"/>
        </w:numPr>
        <w:pStyle w:val="Compact"/>
      </w:pPr>
      <w:r>
        <w:t xml:space="preserve">En ratas de 18 meses, Pinealon y Cortexin (un preparado ruso de extracto cerebral) influyeron, bajo falta de oxígeno e hipotermia, en la conducta y en los mensajeros del cerebro; Cortexin actuó con más fuerza sobre los procesos radicalarios y las enzimas de muerte celular</w:t>
      </w:r>
      <w:r>
        <w:rPr>
          <w:rStyle w:val="FootnoteReference"/>
        </w:rPr>
        <w:footnoteReference w:id="1806"/>
      </w:r>
      <w:r>
        <w:t xml:space="preserve">.</w:t>
      </w:r>
    </w:p>
    <w:p>
      <w:pPr>
        <w:numPr>
          <w:ilvl w:val="0"/>
          <w:numId w:val="1224"/>
        </w:numPr>
        <w:pStyle w:val="Compact"/>
      </w:pPr>
      <w:r>
        <w:t xml:space="preserve">En cultivos celulares, Pinealon protegió distintos tipos de células frente al estrés oxidativo</w:t>
      </w:r>
      <w:r>
        <w:rPr>
          <w:rStyle w:val="FootnoteReference"/>
        </w:rPr>
        <w:footnoteReference w:id="1807"/>
      </w:r>
      <w:r>
        <w:t xml:space="preserve">.</w:t>
      </w:r>
    </w:p>
    <w:p>
      <w:pPr>
        <w:pStyle w:val="FirstParagraph"/>
      </w:pPr>
      <w:r>
        <w:t xml:space="preserve">Casi todos los trabajos proceden del grupo desarrollador o de institutos rusos colaboradores.</w:t>
      </w:r>
    </w:p>
    <w:bookmarkEnd w:id="1808"/>
    <w:bookmarkStart w:id="1810" w:name="riesgos-y-efectos-adversos-40"/>
    <w:p>
      <w:pPr>
        <w:pStyle w:val="Heading3"/>
      </w:pPr>
      <w:r>
        <w:t xml:space="preserve">Riesgos y efectos adversos</w:t>
      </w:r>
    </w:p>
    <w:p>
      <w:pPr>
        <w:pStyle w:val="FirstParagraph"/>
      </w:pPr>
      <w:r>
        <w:rPr>
          <w:bCs/>
          <w:b/>
        </w:rPr>
        <w:t xml:space="preserve">Demostrado:</w:t>
      </w:r>
      <w:r>
        <w:t xml:space="preserve"> </w:t>
      </w:r>
      <w:r>
        <w:t xml:space="preserve">No hay datos sistemáticos de seguridad. El único estudio que informa con más detalle de valores de laboratorio describe una actividad prooxidante y una disminución de las células madre hematopoyéticas en la sangre</w:t>
      </w:r>
      <w:r>
        <w:rPr>
          <w:rStyle w:val="FootnoteReference"/>
        </w:rPr>
        <w:footnoteReference w:id="1809"/>
      </w:r>
      <w:r>
        <w:t xml:space="preserve">. No está claro qué significa esto, pero es una señal de alarma que no se ha seguido investigando.</w:t>
      </w:r>
    </w:p>
    <w:p>
      <w:pPr>
        <w:pStyle w:val="BodyText"/>
      </w:pPr>
      <w:r>
        <w:rPr>
          <w:bCs/>
          <w:b/>
        </w:rPr>
        <w:t xml:space="preserve">Teórico:</w:t>
      </w:r>
      <w:r>
        <w:t xml:space="preserve"> </w:t>
      </w:r>
      <w:r>
        <w:t xml:space="preserve">Si la hipótesis de los desarrolladores es correcta y Pinealon realmente se une al ADN y regula genes, también serían concebibles efectos genéticos indeseados. No hay estudios sobre daños en el material genético, riesgo de cáncer o efectos a largo plazo.</w:t>
      </w:r>
    </w:p>
    <w:p>
      <w:pPr>
        <w:pStyle w:val="BodyText"/>
      </w:pPr>
      <w:r>
        <w:rPr>
          <w:bCs/>
          <w:b/>
        </w:rPr>
        <w:t xml:space="preserve">Mercado gris:</w:t>
      </w:r>
      <w:r>
        <w:t xml:space="preserve"> </w:t>
      </w:r>
      <w:r>
        <w:t xml:space="preserve">Pinealon se ofrece en internet en cápsulas, aerosol nasal o polvo para inyección, en general con promesas sobre la memoria, el sueño y el «rejuvenecimiento cerebral». El contenido y la pureza no están comprobados.</w:t>
      </w:r>
    </w:p>
    <w:bookmarkEnd w:id="1810"/>
    <w:bookmarkStart w:id="1811" w:name="situación-legal-40"/>
    <w:p>
      <w:pPr>
        <w:pStyle w:val="Heading3"/>
      </w:pPr>
      <w:r>
        <w:t xml:space="preserve">Situación legal</w:t>
      </w:r>
    </w:p>
    <w:p>
      <w:pPr>
        <w:numPr>
          <w:ilvl w:val="0"/>
          <w:numId w:val="1225"/>
        </w:numPr>
        <w:pStyle w:val="Compact"/>
      </w:pPr>
      <w:r>
        <w:rPr>
          <w:bCs/>
          <w:b/>
        </w:rPr>
        <w:t xml:space="preserve">UE / Austria / Alemania:</w:t>
      </w:r>
      <w:r>
        <w:t xml:space="preserve"> </w:t>
      </w:r>
      <w:r>
        <w:t xml:space="preserve">no autorizado como medicamento. Su venta como complemento alimenticio solo sería admisible si la sustancia estuviera permitida según la legislación alimentaria; como sustancia sintética nueva con efecto farmacológico pretendido, según nuestra valoración no es el caso.</w:t>
      </w:r>
    </w:p>
    <w:p>
      <w:pPr>
        <w:numPr>
          <w:ilvl w:val="0"/>
          <w:numId w:val="1225"/>
        </w:numPr>
        <w:pStyle w:val="Compact"/>
      </w:pPr>
      <w:r>
        <w:rPr>
          <w:bCs/>
          <w:b/>
        </w:rPr>
        <w:t xml:space="preserve">EE. UU.:</w:t>
      </w:r>
      <w:r>
        <w:t xml:space="preserve"> </w:t>
      </w:r>
      <w:r>
        <w:t xml:space="preserve">no autorizado.</w:t>
      </w:r>
    </w:p>
    <w:p>
      <w:pPr>
        <w:numPr>
          <w:ilvl w:val="0"/>
          <w:numId w:val="1225"/>
        </w:numPr>
        <w:pStyle w:val="Compact"/>
      </w:pPr>
      <w:r>
        <w:rPr>
          <w:bCs/>
          <w:b/>
        </w:rPr>
        <w:t xml:space="preserve">Rusia:</w:t>
      </w:r>
      <w:r>
        <w:t xml:space="preserve"> </w:t>
      </w:r>
      <w:r>
        <w:t xml:space="preserve">comercializado como componente de preparados peptídicos que no han pasado por el procedimiento de autorización de medicamentos.</w:t>
      </w:r>
    </w:p>
    <w:p>
      <w:pPr>
        <w:numPr>
          <w:ilvl w:val="0"/>
          <w:numId w:val="1225"/>
        </w:numPr>
        <w:pStyle w:val="Compact"/>
      </w:pPr>
      <w:r>
        <w:rPr>
          <w:bCs/>
          <w:b/>
        </w:rPr>
        <w:t xml:space="preserve">Deporte:</w:t>
      </w:r>
      <w:r>
        <w:t xml:space="preserve"> </w:t>
      </w:r>
      <w:r>
        <w:t xml:space="preserve">no figura nominalmente; posible inclusión en la categoría S0 de la WADA (situación en 2026; comprueba la información actualizada).</w:t>
      </w:r>
    </w:p>
    <w:bookmarkEnd w:id="1811"/>
    <w:bookmarkStart w:id="1812" w:name="estudios-en-curso-y-perspectivas-40"/>
    <w:p>
      <w:pPr>
        <w:pStyle w:val="Heading3"/>
      </w:pPr>
      <w:r>
        <w:t xml:space="preserve">Estudios en curso y perspectivas</w:t>
      </w:r>
    </w:p>
    <w:p>
      <w:pPr>
        <w:pStyle w:val="FirstParagraph"/>
      </w:pPr>
      <w:r>
        <w:rPr>
          <w:bCs/>
          <w:b/>
        </w:rPr>
        <w:t xml:space="preserve">Confirmado:</w:t>
      </w:r>
      <w:r>
        <w:t xml:space="preserve"> </w:t>
      </w:r>
      <w:r>
        <w:t xml:space="preserve">Ningún estudio registrado (consulta de octubre de 2026).</w:t>
      </w:r>
    </w:p>
    <w:p>
      <w:pPr>
        <w:pStyle w:val="BodyText"/>
      </w:pPr>
      <w:r>
        <w:rPr>
          <w:bCs/>
          <w:b/>
        </w:rPr>
        <w:t xml:space="preserve">Valoración:</w:t>
      </w:r>
      <w:r>
        <w:t xml:space="preserve"> </w:t>
      </w:r>
      <w:r>
        <w:t xml:space="preserve">Mientras la investigación siga limitada a un círculo reducido de institutos rusos y no se realicen estudios aleatorizados y controlados con placebo con criterios de valoración clínicos, Pinealon seguirá siendo un concepto de laboratorio con un andamiaje de marketing.</w:t>
      </w:r>
    </w:p>
    <w:bookmarkEnd w:id="1812"/>
    <w:bookmarkStart w:id="1813" w:name="conclusión-40"/>
    <w:p>
      <w:pPr>
        <w:pStyle w:val="Heading3"/>
      </w:pPr>
      <w:r>
        <w:t xml:space="preserve">Conclusión</w:t>
      </w:r>
    </w:p>
    <w:p>
      <w:pPr>
        <w:pStyle w:val="FirstParagraph"/>
      </w:pPr>
      <w:r>
        <w:t xml:space="preserve">Pinealon es un tripéptido sintético de San Petersburgo que en cultivos celulares y en ratas protegió a las neuronas del estrés oxidativo; los desarrolladores suponen un efecto directo sobre los genes. Los pocos estudios en humanos son pequeños, no controlados y miden sobre todo una «edad biológica» no estandarizada. Uno de ellos encontró incluso indicios de un efecto prooxidante y de una inhibición de la hematopoyesis. Los datos no bastan para valorar un beneficio ni la seguridad en el ser humano.</w:t>
      </w:r>
    </w:p>
    <w:bookmarkEnd w:id="1813"/>
    <w:bookmarkEnd w:id="1814"/>
    <w:bookmarkStart w:id="1843" w:name="mots-c"/>
    <w:p>
      <w:pPr>
        <w:pStyle w:val="Heading2"/>
      </w:pPr>
      <w:r>
        <w:t xml:space="preserve">MOTS-c</w:t>
      </w:r>
    </w:p>
    <w:bookmarkStart w:id="1815" w:name="ficha-41"/>
    <w:p>
      <w:pPr>
        <w:pStyle w:val="Heading3"/>
      </w:pPr>
      <w:r>
        <w:t xml:space="preserve">Ficha</w:t>
      </w:r>
    </w:p>
    <w:p>
      <w:pPr>
        <w:numPr>
          <w:ilvl w:val="0"/>
          <w:numId w:val="1226"/>
        </w:numPr>
        <w:pStyle w:val="Compact"/>
      </w:pPr>
      <w:r>
        <w:rPr>
          <w:bCs/>
          <w:b/>
        </w:rPr>
        <w:t xml:space="preserve">Tipo y estructura:</w:t>
      </w:r>
      <w:r>
        <w:t xml:space="preserve"> </w:t>
      </w:r>
      <w:r>
        <w:t xml:space="preserve">péptido de 16 aminoácidos. El nombre significa</w:t>
      </w:r>
      <w:r>
        <w:t xml:space="preserve"> </w:t>
      </w:r>
      <w:r>
        <w:rPr>
          <w:iCs/>
          <w:i/>
        </w:rPr>
        <w:t xml:space="preserve">mitochondrial open reading frame of the 12S rRNA-c</w:t>
      </w:r>
      <w:r>
        <w:t xml:space="preserve">: no está codificado en el núcleo celular, sino en el material genético de las mitocondrias, las «centrales energéticas» de la célula.</w:t>
      </w:r>
    </w:p>
    <w:p>
      <w:pPr>
        <w:numPr>
          <w:ilvl w:val="0"/>
          <w:numId w:val="1226"/>
        </w:numPr>
        <w:pStyle w:val="Compact"/>
      </w:pPr>
      <w:r>
        <w:rPr>
          <w:bCs/>
          <w:b/>
        </w:rPr>
        <w:t xml:space="preserve">Origen:</w:t>
      </w:r>
      <w:r>
        <w:t xml:space="preserve"> </w:t>
      </w:r>
      <w:r>
        <w:t xml:space="preserve">descrito en 2015 por un grupo de trabajo dirigido por Pinchas Cohen en la University of Southern California. El organismo lo produce por sí mismo, sobre todo en el músculo esquelético.</w:t>
      </w:r>
    </w:p>
    <w:p>
      <w:pPr>
        <w:numPr>
          <w:ilvl w:val="0"/>
          <w:numId w:val="1226"/>
        </w:numPr>
        <w:pStyle w:val="Compact"/>
      </w:pPr>
      <w:r>
        <w:rPr>
          <w:bCs/>
          <w:b/>
        </w:rPr>
        <w:t xml:space="preserve">Mecanismo de acción:</w:t>
      </w:r>
      <w:r>
        <w:t xml:space="preserve"> </w:t>
      </w:r>
      <w:r>
        <w:t xml:space="preserve">se considera una «mitocina», una sustancia señalizadora de las mitocondrias. En ratones activó el sensor energético AMPK y mejoró la sensibilidad a la insulina y el rendimiento físico; por eso se discute como «imitador del ejercicio» (exercise mimetic).</w:t>
      </w:r>
    </w:p>
    <w:p>
      <w:pPr>
        <w:numPr>
          <w:ilvl w:val="0"/>
          <w:numId w:val="1226"/>
        </w:numPr>
        <w:pStyle w:val="Compact"/>
      </w:pPr>
      <w:r>
        <w:rPr>
          <w:bCs/>
          <w:b/>
        </w:rPr>
        <w:t xml:space="preserve">Autorización UE:</w:t>
      </w:r>
      <w:r>
        <w:t xml:space="preserve"> </w:t>
      </w:r>
      <w:r>
        <w:t xml:space="preserve">no.</w:t>
      </w:r>
    </w:p>
    <w:p>
      <w:pPr>
        <w:numPr>
          <w:ilvl w:val="0"/>
          <w:numId w:val="1226"/>
        </w:numPr>
        <w:pStyle w:val="Compact"/>
      </w:pPr>
      <w:r>
        <w:rPr>
          <w:bCs/>
          <w:b/>
        </w:rPr>
        <w:t xml:space="preserve">Autorización EE. UU.:</w:t>
      </w:r>
      <w:r>
        <w:t xml:space="preserve"> </w:t>
      </w:r>
      <w:r>
        <w:t xml:space="preserve">no. En abril de 2026 se retiró de la «categoría 2» de la FDA; el comité asesor PCAC votó en julio de 2026, por 7 votos contra 5, a favor de su inclusión en la lista de sustancias admisibles para fórmulas magistrales (situación en octubre de 2026; comprueba la información actualizada).</w:t>
      </w:r>
    </w:p>
    <w:p>
      <w:pPr>
        <w:numPr>
          <w:ilvl w:val="0"/>
          <w:numId w:val="1226"/>
        </w:numPr>
        <w:pStyle w:val="Compact"/>
      </w:pPr>
      <w:r>
        <w:rPr>
          <w:bCs/>
          <w:b/>
        </w:rPr>
        <w:t xml:space="preserve">WADA:</w:t>
      </w:r>
      <w:r>
        <w:t xml:space="preserve"> </w:t>
      </w:r>
      <w:r>
        <w:rPr>
          <w:bCs/>
          <w:b/>
        </w:rPr>
        <w:t xml:space="preserve">prohibido</w:t>
      </w:r>
      <w:r>
        <w:t xml:space="preserve">: se menciona expresamente en la categoría S4 (moduladores hormonales y metabólicos) como ejemplo de activador de la AMPK, en competición y fuera de ella.</w:t>
      </w:r>
    </w:p>
    <w:p>
      <w:pPr>
        <w:numPr>
          <w:ilvl w:val="0"/>
          <w:numId w:val="1226"/>
        </w:numPr>
        <w:pStyle w:val="Compact"/>
      </w:pPr>
      <w:r>
        <w:rPr>
          <w:bCs/>
          <w:b/>
        </w:rPr>
        <w:t xml:space="preserve">Nivel de evidencia:</w:t>
      </w:r>
      <w:r>
        <w:t xml:space="preserve"> </w:t>
      </w:r>
      <w:r>
        <w:rPr>
          <w:bCs/>
          <w:b/>
        </w:rPr>
        <w:t xml:space="preserve">D</w:t>
      </w:r>
      <w:r>
        <w:t xml:space="preserve"> </w:t>
      </w:r>
      <w:r>
        <w:t xml:space="preserve">para su administración como principio activo: no hay resultados publicados de estudios controlados en humanos; en el ser humano solo existen estudios observacionales sobre los niveles propios del organismo.</w:t>
      </w:r>
    </w:p>
    <w:bookmarkEnd w:id="1815"/>
    <w:bookmarkStart w:id="1819" w:name="cómo-se-supone-que-actúa-41"/>
    <w:p>
      <w:pPr>
        <w:pStyle w:val="Heading3"/>
      </w:pPr>
      <w:r>
        <w:t xml:space="preserve">Cómo se supone que actúa</w:t>
      </w:r>
    </w:p>
    <w:p>
      <w:pPr>
        <w:pStyle w:val="FirstParagraph"/>
      </w:pPr>
      <w:r>
        <w:t xml:space="preserve">Las mitocondrias poseen un material genético propio y pequeño. Durante mucho tiempo se consideró el «plano» de solo 13 proteínas de la obtención de energía. Desde principios de la década de 2000 se han descubierto en él, además, segmentos de lectura cortos que codifican pequeños péptidos señalizadores: primero la humanina (véase el capítulo siguiente), luego MOTS-c.</w:t>
      </w:r>
    </w:p>
    <w:p>
      <w:pPr>
        <w:pStyle w:val="BodyText"/>
      </w:pPr>
      <w:r>
        <w:t xml:space="preserve">La primera descripción mostró en ratones que MOTS-c actúa sobre todo sobre el músculo esquelético: inhibe una vía metabólica (ciclo del folato y síntesis de novo de purinas), con lo que se acumula el mensajero AICAR y se activa la enzima AMPK, el mismo sensor energético sobre el que actúan también el ejercicio y el antidiabético metformina. Los ratones a los que se inyectó MOTS-c desarrollaron, con una dieta rica en grasas, menos sobrepeso y menos resistencia a la insulina</w:t>
      </w:r>
      <w:r>
        <w:rPr>
          <w:rStyle w:val="FootnoteReference"/>
        </w:rPr>
        <w:footnoteReference w:id="1816"/>
      </w:r>
      <w:r>
        <w:t xml:space="preserve">. Bajo estrés metabólico, MOTS-c migró en cultivos celulares al núcleo celular e influyó allí en los genes</w:t>
      </w:r>
      <w:r>
        <w:rPr>
          <w:rStyle w:val="FootnoteReference"/>
        </w:rPr>
        <w:footnoteReference w:id="1817"/>
      </w:r>
      <w:r>
        <w:t xml:space="preserve">.</w:t>
      </w:r>
    </w:p>
    <w:p>
      <w:pPr>
        <w:pStyle w:val="BodyText"/>
      </w:pPr>
      <w:r>
        <w:t xml:space="preserve">En un segundo gran trabajo, MOTS-c aumentó el rendimiento físico de ratones jóvenes, de mediana edad y viejos; un tratamiento iniciado solo a edad avanzada mejoró el rendimiento y la «esperanza de vida saludable». En el ser humano, los niveles de MOTS-c en el músculo y la sangre aumentaron tras el esfuerzo físico</w:t>
      </w:r>
      <w:r>
        <w:rPr>
          <w:rStyle w:val="FootnoteReference"/>
        </w:rPr>
        <w:footnoteReference w:id="1818"/>
      </w:r>
      <w:r>
        <w:t xml:space="preserve">.</w:t>
      </w:r>
    </w:p>
    <w:p>
      <w:pPr>
        <w:pStyle w:val="BodyText"/>
      </w:pPr>
      <w:r>
        <w:t xml:space="preserve">De ahí surgió la imagen de MOTS-c como «deporte en jeringa». Pero el orden es importante: que el ejercicio aumente MOTS-c no significa que las inyecciones de MOTS-c reproduzcan los efectos del ejercicio en el ser humano.</w:t>
      </w:r>
    </w:p>
    <w:bookmarkEnd w:id="1819"/>
    <w:bookmarkStart w:id="1829" w:name="estudios-en-humanos-41"/>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5 publicaciones clasificadas como estudios en humanos; ninguna de ellas administró MOTS-c. En total, PubMed recoge unos 260 trabajos con «MOTS-c», en su mayoría experimentos con animales y células, así como estudios observacionales sobre los niveles sanguíneos propios del organismo. En ClinicalTrials.gov, la búsqueda dio 5 entradas. Cuatro de ellas solo miden niveles o tratan otras cuestiones. La quinta, un supuesto estudio de fase 2 con MOTS-c en la prediabetes, procede de un promotor bajo cuyo nombre figuran al parecer entradas ficticias de ejemplo en el registro. Por eso no la valoramos como estudio real y no la contamos; con ello, no está documentado ningún estudio registrado con el propio MOTS-c como principio activo. A ello se suma un estudio concluido con el derivado de MOTS-c CB4211</w:t>
      </w:r>
      <w:r>
        <w:rPr>
          <w:rStyle w:val="FootnoteReference"/>
        </w:rPr>
        <w:footnoteReference w:id="1820"/>
      </w:r>
      <w:r>
        <w:t xml:space="preserve">.</w:t>
      </w:r>
    </w:p>
    <w:p>
      <w:pPr>
        <w:pStyle w:val="BodyText"/>
      </w:pPr>
      <w:r>
        <w:t xml:space="preserve">Para entender este capítulo es fundamental una distinción:</w:t>
      </w:r>
    </w:p>
    <w:p>
      <w:pPr>
        <w:numPr>
          <w:ilvl w:val="0"/>
          <w:numId w:val="1227"/>
        </w:numPr>
        <w:pStyle w:val="Compact"/>
      </w:pPr>
      <w:r>
        <w:rPr>
          <w:bCs/>
          <w:b/>
        </w:rPr>
        <w:t xml:space="preserve">Estudios observacionales sobre los niveles propios del organismo:</w:t>
      </w:r>
      <w:r>
        <w:t xml:space="preserve"> </w:t>
      </w:r>
      <w:r>
        <w:t xml:space="preserve">En ellos se mide cuánto MOTS-c tienen las personas en la sangre y se relaciona con enfermedades o conductas.</w:t>
      </w:r>
    </w:p>
    <w:p>
      <w:pPr>
        <w:numPr>
          <w:ilvl w:val="0"/>
          <w:numId w:val="1227"/>
        </w:numPr>
        <w:pStyle w:val="Compact"/>
      </w:pPr>
      <w:r>
        <w:rPr>
          <w:bCs/>
          <w:b/>
        </w:rPr>
        <w:t xml:space="preserve">Estudios en los que se administra MOTS-c (o un derivado) como principio activo:</w:t>
      </w:r>
      <w:r>
        <w:t xml:space="preserve"> </w:t>
      </w:r>
      <w:r>
        <w:t xml:space="preserve">Solo ellos pueden mostrar si un aporte tiene algún efecto.</w:t>
      </w:r>
    </w:p>
    <w:p>
      <w:pPr>
        <w:pStyle w:val="FirstParagraph"/>
      </w:pPr>
      <w:r>
        <w:t xml:space="preserve">En internet, los resultados del primer tipo se presentan a menudo como si demostraran el efecto del segundo tipo. Es un razonamiento precipitado.</w:t>
      </w:r>
    </w:p>
    <w:bookmarkStart w:id="1826" w:name="X397286af4e02b4f64cc4b08bc3fa733a1d7bd6b"/>
    <w:p>
      <w:pPr>
        <w:pStyle w:val="Heading4"/>
      </w:pPr>
      <w:r>
        <w:t xml:space="preserve">1. Niveles propios del organismo: observaciones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Du 2018, PMID 29691953</w:t>
            </w:r>
          </w:p>
        </w:tc>
        <w:tc>
          <w:tcPr/>
          <w:p>
            <w:pPr>
              <w:pStyle w:val="Compact"/>
              <w:jc w:val="left"/>
            </w:pPr>
            <w:r>
              <w:t xml:space="preserve">40 niños y adolescentes con sobrepeso, 57 controles, estudio de casos y controles</w:t>
            </w:r>
          </w:p>
        </w:tc>
        <w:tc>
          <w:tcPr/>
          <w:p>
            <w:pPr>
              <w:pStyle w:val="Compact"/>
              <w:jc w:val="left"/>
            </w:pPr>
            <w:r>
              <w:t xml:space="preserve">transversal</w:t>
            </w:r>
          </w:p>
        </w:tc>
        <w:tc>
          <w:tcPr/>
          <w:p>
            <w:pPr>
              <w:pStyle w:val="Compact"/>
              <w:jc w:val="left"/>
            </w:pPr>
            <w:r>
              <w:t xml:space="preserve">niveles más bajos en niños varones con sobrepeso, no en niñas</w:t>
            </w:r>
          </w:p>
        </w:tc>
      </w:tr>
      <w:tr>
        <w:tc>
          <w:tcPr/>
          <w:p>
            <w:pPr>
              <w:pStyle w:val="Compact"/>
              <w:jc w:val="left"/>
            </w:pPr>
            <w:r>
              <w:t xml:space="preserve">Kirik 2023, PMID 37750635</w:t>
            </w:r>
          </w:p>
        </w:tc>
        <w:tc>
          <w:tcPr/>
          <w:p>
            <w:pPr>
              <w:pStyle w:val="Compact"/>
              <w:jc w:val="left"/>
            </w:pPr>
            <w:r>
              <w:t xml:space="preserve">150 personas con hígado graso, 84 personas sanas</w:t>
            </w:r>
          </w:p>
        </w:tc>
        <w:tc>
          <w:tcPr/>
          <w:p>
            <w:pPr>
              <w:pStyle w:val="Compact"/>
              <w:jc w:val="left"/>
            </w:pPr>
            <w:r>
              <w:t xml:space="preserve">transversal</w:t>
            </w:r>
          </w:p>
        </w:tc>
        <w:tc>
          <w:tcPr/>
          <w:p>
            <w:pPr>
              <w:pStyle w:val="Compact"/>
              <w:jc w:val="left"/>
            </w:pPr>
            <w:r>
              <w:t xml:space="preserve">niveles más bajos en el hígado graso y el síndrome metabólico</w:t>
            </w:r>
          </w:p>
        </w:tc>
      </w:tr>
      <w:tr>
        <w:tc>
          <w:tcPr/>
          <w:p>
            <w:pPr>
              <w:pStyle w:val="Compact"/>
              <w:jc w:val="left"/>
            </w:pPr>
            <w:r>
              <w:t xml:space="preserve">Ikonomidis 2020, PMID 32052315</w:t>
            </w:r>
          </w:p>
        </w:tc>
        <w:tc>
          <w:tcPr/>
          <w:p>
            <w:pPr>
              <w:pStyle w:val="Compact"/>
              <w:jc w:val="left"/>
            </w:pPr>
            <w:r>
              <w:t xml:space="preserve">121 personas con diabetes de tipo 2 tras una intervención vascular</w:t>
            </w:r>
          </w:p>
        </w:tc>
        <w:tc>
          <w:tcPr/>
          <w:p>
            <w:pPr>
              <w:pStyle w:val="Compact"/>
              <w:jc w:val="left"/>
            </w:pPr>
            <w:r>
              <w:t xml:space="preserve">2 años</w:t>
            </w:r>
          </w:p>
        </w:tc>
        <w:tc>
          <w:tcPr/>
          <w:p>
            <w:pPr>
              <w:pStyle w:val="Compact"/>
              <w:jc w:val="left"/>
            </w:pPr>
            <w:r>
              <w:t xml:space="preserve">un MOTS-c bajo (inferior a 167 ng/ml) predijo eventos cardiovasculares (riesgo relativo 3,8)</w:t>
            </w:r>
          </w:p>
        </w:tc>
      </w:tr>
      <w:tr>
        <w:tc>
          <w:tcPr/>
          <w:p>
            <w:pPr>
              <w:pStyle w:val="Compact"/>
              <w:jc w:val="left"/>
            </w:pPr>
            <w:r>
              <w:t xml:space="preserve">von Walden 2021, PMID 34351816</w:t>
            </w:r>
          </w:p>
        </w:tc>
        <w:tc>
          <w:tcPr/>
          <w:p>
            <w:pPr>
              <w:pStyle w:val="Compact"/>
              <w:jc w:val="left"/>
            </w:pPr>
            <w:r>
              <w:t xml:space="preserve">30 personas, entrenamiento de resistencia o de fuerza o control, aleatorizado</w:t>
            </w:r>
          </w:p>
        </w:tc>
        <w:tc>
          <w:tcPr/>
          <w:p>
            <w:pPr>
              <w:pStyle w:val="Compact"/>
              <w:jc w:val="left"/>
            </w:pPr>
            <w:r>
              <w:t xml:space="preserve">esfuerzo único</w:t>
            </w:r>
          </w:p>
        </w:tc>
        <w:tc>
          <w:tcPr/>
          <w:p>
            <w:pPr>
              <w:pStyle w:val="Compact"/>
              <w:jc w:val="left"/>
            </w:pPr>
            <w:r>
              <w:t xml:space="preserve">la humanina aumentó tras el esfuerzo de resistencia; MOTS-c solo mostró una tendencia</w:t>
            </w:r>
          </w:p>
        </w:tc>
      </w:tr>
      <w:tr>
        <w:tc>
          <w:tcPr/>
          <w:p>
            <w:pPr>
              <w:pStyle w:val="Compact"/>
              <w:jc w:val="left"/>
            </w:pPr>
            <w:r>
              <w:t xml:space="preserve">Dieli-Conwright 2021, PMID 34413391</w:t>
            </w:r>
          </w:p>
        </w:tc>
        <w:tc>
          <w:tcPr/>
          <w:p>
            <w:pPr>
              <w:pStyle w:val="Compact"/>
              <w:jc w:val="left"/>
            </w:pPr>
            <w:r>
              <w:t xml:space="preserve">49 mujeres tras un cáncer de mama, entrenamiento o atención estándar, aleatorizado</w:t>
            </w:r>
          </w:p>
        </w:tc>
        <w:tc>
          <w:tcPr/>
          <w:p>
            <w:pPr>
              <w:pStyle w:val="Compact"/>
              <w:jc w:val="left"/>
            </w:pPr>
            <w:r>
              <w:t xml:space="preserve">16 semanas</w:t>
            </w:r>
          </w:p>
        </w:tc>
        <w:tc>
          <w:tcPr/>
          <w:p>
            <w:pPr>
              <w:pStyle w:val="Compact"/>
              <w:jc w:val="left"/>
            </w:pPr>
            <w:r>
              <w:t xml:space="preserve">aumento de MOTS-c en mujeres blancas no hispanas, no en mujeres hispanas</w:t>
            </w:r>
          </w:p>
        </w:tc>
      </w:tr>
      <w:tr>
        <w:tc>
          <w:tcPr/>
          <w:p>
            <w:pPr>
              <w:pStyle w:val="Compact"/>
              <w:jc w:val="left"/>
            </w:pPr>
            <w:r>
              <w:t xml:space="preserve">Elhusseiny 2025, PMID 40674654</w:t>
            </w:r>
          </w:p>
        </w:tc>
        <w:tc>
          <w:tcPr/>
          <w:p>
            <w:pPr>
              <w:pStyle w:val="Compact"/>
              <w:jc w:val="left"/>
            </w:pPr>
            <w:r>
              <w:t xml:space="preserve">19 hombres activos con la pierna inmovilizada, tratamiento con calor o simulado</w:t>
            </w:r>
          </w:p>
        </w:tc>
        <w:tc>
          <w:tcPr/>
          <w:p>
            <w:pPr>
              <w:pStyle w:val="Compact"/>
              <w:jc w:val="left"/>
            </w:pPr>
            <w:r>
              <w:t xml:space="preserve">2 semanas</w:t>
            </w:r>
          </w:p>
        </w:tc>
        <w:tc>
          <w:tcPr/>
          <w:p>
            <w:pPr>
              <w:pStyle w:val="Compact"/>
              <w:jc w:val="left"/>
            </w:pPr>
            <w:r>
              <w:t xml:space="preserve">el calor aumentó MOTS-c en la sangre</w:t>
            </w:r>
          </w:p>
        </w:tc>
      </w:tr>
    </w:tbl>
    <w:p>
      <w:pPr>
        <w:pStyle w:val="BodyText"/>
      </w:pPr>
      <w:r>
        <w:t xml:space="preserve">Estos estudios muestran que los niveles bajos de MOTS-c suelen ir acompañados de sobrepeso, resistencia a la insulina, hígado graso o problemas vasculares</w:t>
      </w:r>
      <w:r>
        <w:rPr>
          <w:rStyle w:val="FootnoteReference"/>
        </w:rPr>
        <w:footnoteReference w:id="1821"/>
      </w:r>
      <w:r>
        <w:t xml:space="preserve"> </w:t>
      </w:r>
      <w:r>
        <w:t xml:space="preserve">y que el ejercicio o el calor pueden aumentar los niveles. Lo que</w:t>
      </w:r>
      <w:r>
        <w:t xml:space="preserve"> </w:t>
      </w:r>
      <w:r>
        <w:rPr>
          <w:bCs/>
          <w:b/>
        </w:rPr>
        <w:t xml:space="preserve">no</w:t>
      </w:r>
      <w:r>
        <w:t xml:space="preserve"> </w:t>
      </w:r>
      <w:r>
        <w:t xml:space="preserve">muestran: que los niveles bajos causen las enfermedades, ni que el MOTS-c aportado las prevenga. Puede ser igualmente al revés: la enfermedad reduce el nivel.</w:t>
      </w:r>
    </w:p>
    <w:p>
      <w:pPr>
        <w:pStyle w:val="BodyText"/>
      </w:pPr>
      <w:r>
        <w:t xml:space="preserve">Otra dificultad es la propia medición. Los estudios utilizan distintos métodos de análisis (ELISA), cuyos resultados difieren mucho: en niños, los valores medios rondaban los 470 a 560 ng/ml</w:t>
      </w:r>
      <w:r>
        <w:rPr>
          <w:rStyle w:val="FootnoteReference"/>
        </w:rPr>
        <w:footnoteReference w:id="1822"/>
      </w:r>
      <w:r>
        <w:t xml:space="preserve">, mientras que en el estudio sobre diabetes se consideraba bajo un valor inferior a 167 ng/ml</w:t>
      </w:r>
      <w:r>
        <w:rPr>
          <w:rStyle w:val="FootnoteReference"/>
        </w:rPr>
        <w:footnoteReference w:id="1823"/>
      </w:r>
      <w:r>
        <w:t xml:space="preserve">. En un estudio con pacientes con cáncer de mama, ni siquiera la metformina –que actúa sobre el mismo sensor energético– modificó los niveles medidos con una prueba comercial</w:t>
      </w:r>
      <w:r>
        <w:rPr>
          <w:rStyle w:val="FootnoteReference"/>
        </w:rPr>
        <w:footnoteReference w:id="1824"/>
      </w:r>
      <w:r>
        <w:t xml:space="preserve">.</w:t>
      </w:r>
    </w:p>
    <w:p>
      <w:pPr>
        <w:pStyle w:val="BodyText"/>
      </w:pPr>
      <w:r>
        <w:rPr>
          <w:bCs/>
          <w:b/>
        </w:rPr>
        <w:t xml:space="preserve">Indicios genéticos:</w:t>
      </w:r>
      <w:r>
        <w:t xml:space="preserve"> </w:t>
      </w:r>
      <w:r>
        <w:t xml:space="preserve">Una variante del material genético mitocondrial que solo se da en Asia modifica un componente de MOTS-c (K14Q). En tres cohortes con 27.527 personas en total, los hombres con esta variante tenían con más frecuencia diabetes de tipo 2, sobre todo si eran poco activos físicamente. En ratones, la forma modificada de MOTS-c actuó con menos fuerza</w:t>
      </w:r>
      <w:r>
        <w:rPr>
          <w:rStyle w:val="FootnoteReference"/>
        </w:rPr>
        <w:footnoteReference w:id="1825"/>
      </w:r>
      <w:r>
        <w:t xml:space="preserve">. Es un indicio interesante de que MOTS-c podría desempeñar un papel en el metabolismo humano, pero no una prueba del beneficio de un aporte.</w:t>
      </w:r>
    </w:p>
    <w:bookmarkEnd w:id="1826"/>
    <w:bookmarkStart w:id="1828" w:name="X98fe2116c3de65e7bc05badbb9839176c017584"/>
    <w:p>
      <w:pPr>
        <w:pStyle w:val="Heading4"/>
      </w:pPr>
      <w:r>
        <w:t xml:space="preserve">2. Administración como principio activo: CB4211</w:t>
      </w:r>
    </w:p>
    <w:p>
      <w:pPr>
        <w:pStyle w:val="FirstParagraph"/>
      </w:pPr>
      <w:r>
        <w:rPr>
          <w:bCs/>
          <w:b/>
        </w:rPr>
        <w:t xml:space="preserve">CB4211</w:t>
      </w:r>
      <w:r>
        <w:t xml:space="preserve"> </w:t>
      </w:r>
      <w:r>
        <w:t xml:space="preserve">es un derivado de MOTS-c desarrollado por la empresa CohBar. El estudio de fase 1a/1b</w:t>
      </w:r>
      <w:r>
        <w:rPr>
          <w:rStyle w:val="FootnoteReference"/>
        </w:rPr>
        <w:footnoteReference w:id="1827"/>
      </w:r>
      <w:r>
        <w:t xml:space="preserve"> </w:t>
      </w:r>
      <w:r>
        <w:t xml:space="preserve">fue aleatorizado, doble ciego y controlado con placebo e incluyó a 88 participantes: las personas sanas recibieron inyecciones subcutáneas únicas o diarias durante siete días, y las personas con obesidad e hígado graso durante 28 días. Los criterios de valoración principales eran la seguridad y la tolerabilidad; los objetivos secundarios incluían, entre otros, la grasa hepática y el peso corporal. El estudio concluyó en abril de 2021. En el registro no hay resultados depositados, y en nuestra búsqueda no pudo encontrarse ninguna publicación en una revista especializada. La empresa comunicó en 2021 mediante nota de prensa cambios favorables en algunos valores hepáticos y de glucosa con buena tolerabilidad; estas comunicaciones no están revisadas de forma independiente. No se conoce un desarrollo posterior en estudios más amplios.</w:t>
      </w:r>
    </w:p>
    <w:p>
      <w:pPr>
        <w:pStyle w:val="BodyText"/>
      </w:pPr>
      <w:r>
        <w:rPr>
          <w:bCs/>
          <w:b/>
        </w:rPr>
        <w:t xml:space="preserve">El propio MOTS-c</w:t>
      </w:r>
      <w:r>
        <w:t xml:space="preserve">, según nuestra búsqueda, no se ha administrado hasta ahora como principio activo en ningún estudio en humanos publicado o registrado de forma fiable. Una entrada del registro que describe un estudio de fase 2 de este tipo resultó dudosa (véase más arriba).</w:t>
      </w:r>
    </w:p>
    <w:p>
      <w:pPr>
        <w:pStyle w:val="BodyText"/>
      </w:pPr>
      <w:r>
        <w:t xml:space="preserve">Hasta entonces se cumple lo siguiente:</w:t>
      </w:r>
      <w:r>
        <w:t xml:space="preserve"> </w:t>
      </w:r>
      <w:r>
        <w:rPr>
          <w:bCs/>
          <w:b/>
        </w:rPr>
        <w:t xml:space="preserve">no hay datos publicados</w:t>
      </w:r>
      <w:r>
        <w:t xml:space="preserve"> </w:t>
      </w:r>
      <w:r>
        <w:t xml:space="preserve">sobre si las inyecciones de MOTS-c influyen en el metabolismo, el rendimiento o el envejecimiento en el ser humano.</w:t>
      </w:r>
    </w:p>
    <w:bookmarkEnd w:id="1828"/>
    <w:bookmarkEnd w:id="1829"/>
    <w:bookmarkStart w:id="1834" w:name="estudios-en-animales-y-de-laboratorio-41"/>
    <w:p>
      <w:pPr>
        <w:pStyle w:val="Heading3"/>
      </w:pPr>
      <w:r>
        <w:t xml:space="preserve">Estudios en animales y de laboratorio</w:t>
      </w:r>
    </w:p>
    <w:p>
      <w:pPr>
        <w:pStyle w:val="FirstParagraph"/>
      </w:pPr>
      <w:r>
        <w:t xml:space="preserve">La investigación preclínica es amplia y crece rápidamente:</w:t>
      </w:r>
    </w:p>
    <w:p>
      <w:pPr>
        <w:numPr>
          <w:ilvl w:val="0"/>
          <w:numId w:val="1228"/>
        </w:numPr>
        <w:pStyle w:val="Compact"/>
      </w:pPr>
      <w:r>
        <w:rPr>
          <w:bCs/>
          <w:b/>
        </w:rPr>
        <w:t xml:space="preserve">Metabolismo:</w:t>
      </w:r>
      <w:r>
        <w:t xml:space="preserve"> </w:t>
      </w:r>
      <w:r>
        <w:t xml:space="preserve">En ratones, MOTS-c impidió el sobrepeso y la resistencia a la insulina de origen alimentario</w:t>
      </w:r>
      <w:r>
        <w:rPr>
          <w:rStyle w:val="FootnoteReference"/>
        </w:rPr>
        <w:footnoteReference w:id="1830"/>
      </w:r>
      <w:r>
        <w:t xml:space="preserve">.</w:t>
      </w:r>
    </w:p>
    <w:p>
      <w:pPr>
        <w:numPr>
          <w:ilvl w:val="0"/>
          <w:numId w:val="1228"/>
        </w:numPr>
        <w:pStyle w:val="Compact"/>
      </w:pPr>
      <w:r>
        <w:rPr>
          <w:bCs/>
          <w:b/>
        </w:rPr>
        <w:t xml:space="preserve">Músculo:</w:t>
      </w:r>
      <w:r>
        <w:t xml:space="preserve"> </w:t>
      </w:r>
      <w:r>
        <w:t xml:space="preserve">MOTS-c redujo en ratones con sobrepeso el mensajero de la degradación muscular miostatina; en el ser humano, los niveles en sangre de MOTS-c y de miostatina fueron inversos</w:t>
      </w:r>
      <w:r>
        <w:rPr>
          <w:rStyle w:val="FootnoteReference"/>
        </w:rPr>
        <w:footnoteReference w:id="1831"/>
      </w:r>
      <w:r>
        <w:t xml:space="preserve">.</w:t>
      </w:r>
    </w:p>
    <w:p>
      <w:pPr>
        <w:numPr>
          <w:ilvl w:val="0"/>
          <w:numId w:val="1228"/>
        </w:numPr>
        <w:pStyle w:val="Compact"/>
      </w:pPr>
      <w:r>
        <w:rPr>
          <w:bCs/>
          <w:b/>
        </w:rPr>
        <w:t xml:space="preserve">Rendimiento y edad:</w:t>
      </w:r>
      <w:r>
        <w:t xml:space="preserve"> </w:t>
      </w:r>
      <w:r>
        <w:t xml:space="preserve">MOTS-c aumentó el rendimiento físico de ratones de distintas edades</w:t>
      </w:r>
      <w:r>
        <w:rPr>
          <w:rStyle w:val="FootnoteReference"/>
        </w:rPr>
        <w:footnoteReference w:id="1832"/>
      </w:r>
      <w:r>
        <w:t xml:space="preserve">.</w:t>
      </w:r>
    </w:p>
    <w:p>
      <w:pPr>
        <w:numPr>
          <w:ilvl w:val="0"/>
          <w:numId w:val="1228"/>
        </w:numPr>
        <w:pStyle w:val="Compact"/>
      </w:pPr>
      <w:r>
        <w:rPr>
          <w:bCs/>
          <w:b/>
        </w:rPr>
        <w:t xml:space="preserve">Páncreas:</w:t>
      </w:r>
      <w:r>
        <w:t xml:space="preserve"> </w:t>
      </w:r>
      <w:r>
        <w:t xml:space="preserve">En ratones, MOTS-c retrasó el envejecimiento de las células productoras de insulina y el inicio de una diabetes</w:t>
      </w:r>
      <w:r>
        <w:rPr>
          <w:rStyle w:val="FootnoteReference"/>
        </w:rPr>
        <w:footnoteReference w:id="1833"/>
      </w:r>
      <w:r>
        <w:t xml:space="preserve">.</w:t>
      </w:r>
    </w:p>
    <w:p>
      <w:pPr>
        <w:numPr>
          <w:ilvl w:val="0"/>
          <w:numId w:val="1228"/>
        </w:numPr>
        <w:pStyle w:val="Compact"/>
      </w:pPr>
      <w:r>
        <w:t xml:space="preserve">Numerosos trabajos adicionales, sobre todo de China, describen efectos protectores en modelos de daño pulmonar, cardiaco, hepático, óseo y renal.</w:t>
      </w:r>
    </w:p>
    <w:p>
      <w:pPr>
        <w:pStyle w:val="FirstParagraph"/>
      </w:pPr>
      <w:r>
        <w:t xml:space="preserve">La abundancia de estudios positivos en animales es llamativa. Muestra que MOTS-c es biológicamente activo; sobre su efecto y su seguridad en el ser humano dice poco.</w:t>
      </w:r>
    </w:p>
    <w:bookmarkEnd w:id="1834"/>
    <w:bookmarkStart w:id="1837" w:name="riesgos-y-efectos-adversos-41"/>
    <w:p>
      <w:pPr>
        <w:pStyle w:val="Heading3"/>
      </w:pPr>
      <w:r>
        <w:t xml:space="preserve">Riesgos y efectos adversos</w:t>
      </w:r>
    </w:p>
    <w:p>
      <w:pPr>
        <w:pStyle w:val="FirstParagraph"/>
      </w:pPr>
      <w:r>
        <w:rPr>
          <w:bCs/>
          <w:b/>
        </w:rPr>
        <w:t xml:space="preserve">Demostrado:</w:t>
      </w:r>
      <w:r>
        <w:t xml:space="preserve"> </w:t>
      </w:r>
      <w:r>
        <w:t xml:space="preserve">No hay datos de seguridad publicados sobre la administración de MOTS-c en humanos.</w:t>
      </w:r>
    </w:p>
    <w:p>
      <w:pPr>
        <w:pStyle w:val="BodyText"/>
      </w:pPr>
      <w:r>
        <w:rPr>
          <w:bCs/>
          <w:b/>
        </w:rPr>
        <w:t xml:space="preserve">Teórico:</w:t>
      </w:r>
    </w:p>
    <w:p>
      <w:pPr>
        <w:numPr>
          <w:ilvl w:val="0"/>
          <w:numId w:val="1229"/>
        </w:numPr>
        <w:pStyle w:val="Compact"/>
      </w:pPr>
      <w:r>
        <w:rPr>
          <w:bCs/>
          <w:b/>
        </w:rPr>
        <w:t xml:space="preserve">Glucosa:</w:t>
      </w:r>
      <w:r>
        <w:t xml:space="preserve"> </w:t>
      </w:r>
      <w:r>
        <w:t xml:space="preserve">Una sustancia que aumenta la sensibilidad a la insulina podría favorecer hipoglucemias junto con medicamentos antidiabéticos.</w:t>
      </w:r>
    </w:p>
    <w:p>
      <w:pPr>
        <w:numPr>
          <w:ilvl w:val="0"/>
          <w:numId w:val="1229"/>
        </w:numPr>
        <w:pStyle w:val="Compact"/>
      </w:pPr>
      <w:r>
        <w:rPr>
          <w:bCs/>
          <w:b/>
        </w:rPr>
        <w:t xml:space="preserve">Cáncer:</w:t>
      </w:r>
      <w:r>
        <w:t xml:space="preserve"> </w:t>
      </w:r>
      <w:r>
        <w:t xml:space="preserve">En estudios de laboratorio, MOTS-c más bien frenó células cancerosas: inhibió el crecimiento de células de cáncer de ovario</w:t>
      </w:r>
      <w:r>
        <w:rPr>
          <w:rStyle w:val="FootnoteReference"/>
        </w:rPr>
        <w:footnoteReference w:id="1835"/>
      </w:r>
      <w:r>
        <w:t xml:space="preserve"> </w:t>
      </w:r>
      <w:r>
        <w:t xml:space="preserve">e hizo que células de cáncer de hígado bajo falta de oxígeno fueran más sensibles a la muerte celular programada</w:t>
      </w:r>
      <w:r>
        <w:rPr>
          <w:rStyle w:val="FootnoteReference"/>
        </w:rPr>
        <w:footnoteReference w:id="1836"/>
      </w:r>
      <w:r>
        <w:t xml:space="preserve">. No se ha estudiado si esto se cumple en el ser humano ni cómo afecta el aporte durante años de una sustancia señalizadora metabólicamente activa.</w:t>
      </w:r>
    </w:p>
    <w:p>
      <w:pPr>
        <w:numPr>
          <w:ilvl w:val="0"/>
          <w:numId w:val="1229"/>
        </w:numPr>
        <w:pStyle w:val="Compact"/>
      </w:pPr>
      <w:r>
        <w:rPr>
          <w:bCs/>
          <w:b/>
        </w:rPr>
        <w:t xml:space="preserve">Reacciones inmunitarias:</w:t>
      </w:r>
      <w:r>
        <w:t xml:space="preserve"> </w:t>
      </w:r>
      <w:r>
        <w:t xml:space="preserve">Con inyecciones repetidas de un péptido pueden formarse anticuerpos; esto no se ha estudiado para MOTS-c.</w:t>
      </w:r>
    </w:p>
    <w:p>
      <w:pPr>
        <w:pStyle w:val="FirstParagraph"/>
      </w:pPr>
      <w:r>
        <w:rPr>
          <w:bCs/>
          <w:b/>
        </w:rPr>
        <w:t xml:space="preserve">Mercado gris y deporte:</w:t>
      </w:r>
      <w:r>
        <w:t xml:space="preserve"> </w:t>
      </w:r>
      <w:r>
        <w:t xml:space="preserve">MOTS-c es uno de los péptidos de «longevidad» y fitness más populares en internet y se vende en polvo para inyección. La pureza y el contenido no están comprobados. Para deportistas, su uso está expresamente prohibido (WADA S4).</w:t>
      </w:r>
    </w:p>
    <w:bookmarkEnd w:id="1837"/>
    <w:bookmarkStart w:id="1838" w:name="situación-legal-41"/>
    <w:p>
      <w:pPr>
        <w:pStyle w:val="Heading3"/>
      </w:pPr>
      <w:r>
        <w:t xml:space="preserve">Situación legal</w:t>
      </w:r>
    </w:p>
    <w:p>
      <w:pPr>
        <w:numPr>
          <w:ilvl w:val="0"/>
          <w:numId w:val="1230"/>
        </w:numPr>
        <w:pStyle w:val="Compact"/>
      </w:pPr>
      <w:r>
        <w:rPr>
          <w:bCs/>
          <w:b/>
        </w:rPr>
        <w:t xml:space="preserve">UE / Austria / Alemania:</w:t>
      </w:r>
      <w:r>
        <w:t xml:space="preserve"> </w:t>
      </w:r>
      <w:r>
        <w:t xml:space="preserve">no autorizado; como sustancia con efecto farmacológico, MOTS-c se considera medicamento, y su venta para uso en humanos no está permitida.</w:t>
      </w:r>
    </w:p>
    <w:p>
      <w:pPr>
        <w:numPr>
          <w:ilvl w:val="0"/>
          <w:numId w:val="1230"/>
        </w:numPr>
        <w:pStyle w:val="Compact"/>
      </w:pPr>
      <w:r>
        <w:rPr>
          <w:bCs/>
          <w:b/>
        </w:rPr>
        <w:t xml:space="preserve">EE. UU.:</w:t>
      </w:r>
      <w:r>
        <w:t xml:space="preserve"> </w:t>
      </w:r>
      <w:r>
        <w:t xml:space="preserve">no autorizado. Tras el voto positivo del PCAC de julio de 2026, MOTS-c podría utilizarse en el futuro en fórmulas magistrales de farmacia si la FDA sigue esa recomendación; la decisión estaba pendiente al cierre de la redacción (situación en octubre de 2026; comprueba la información actualizada).</w:t>
      </w:r>
    </w:p>
    <w:p>
      <w:pPr>
        <w:numPr>
          <w:ilvl w:val="0"/>
          <w:numId w:val="1230"/>
        </w:numPr>
        <w:pStyle w:val="Compact"/>
      </w:pPr>
      <w:r>
        <w:rPr>
          <w:bCs/>
          <w:b/>
        </w:rPr>
        <w:t xml:space="preserve">Deporte:</w:t>
      </w:r>
      <w:r>
        <w:t xml:space="preserve"> </w:t>
      </w:r>
      <w:r>
        <w:t xml:space="preserve">prohibido según la lista de la WADA, categoría S4 (situación en 2026; comprueba la información actualizada).</w:t>
      </w:r>
    </w:p>
    <w:bookmarkEnd w:id="1838"/>
    <w:bookmarkStart w:id="1841" w:name="estudios-en-curso-y-perspectivas-41"/>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31"/>
        </w:numPr>
        <w:pStyle w:val="Compact"/>
      </w:pPr>
      <w:r>
        <w:t xml:space="preserve">No existe ningún estudio registrado de forma fiable en el que se administre MOTS-c como principio activo.</w:t>
      </w:r>
    </w:p>
    <w:p>
      <w:pPr>
        <w:numPr>
          <w:ilvl w:val="0"/>
          <w:numId w:val="1231"/>
        </w:numPr>
        <w:pStyle w:val="Compact"/>
      </w:pPr>
      <w:r>
        <w:t xml:space="preserve">Varios estudios observacionales miden los niveles de MOTS-c, por ejemplo en el trasplante renal</w:t>
      </w:r>
      <w:r>
        <w:rPr>
          <w:rStyle w:val="FootnoteReference"/>
        </w:rPr>
        <w:footnoteReference w:id="1839"/>
      </w:r>
      <w:r>
        <w:t xml:space="preserve"> </w:t>
      </w:r>
      <w:r>
        <w:t xml:space="preserve">o en la diabetes con distintos medicamentos</w:t>
      </w:r>
      <w:r>
        <w:rPr>
          <w:rStyle w:val="FootnoteReference"/>
        </w:rPr>
        <w:footnoteReference w:id="1840"/>
      </w:r>
      <w:r>
        <w:t xml:space="preserve">.</w:t>
      </w:r>
    </w:p>
    <w:p>
      <w:pPr>
        <w:pStyle w:val="FirstParagraph"/>
      </w:pPr>
      <w:r>
        <w:rPr>
          <w:bCs/>
          <w:b/>
        </w:rPr>
        <w:t xml:space="preserve">Valoración:</w:t>
      </w:r>
      <w:r>
        <w:t xml:space="preserve"> </w:t>
      </w:r>
      <w:r>
        <w:t xml:space="preserve">La pregunta central –¿mejora el MOTS-c aportado la sensibilidad a la insulina en el ser humano?– no ha sido examinada hasta ahora por nadie en un estudio publicado. Para ello haría falta, en primer lugar, un estudio controlado de fase 1/2 con resultados publicados. Hasta entonces, cualquier afirmación sobre un efecto en el ser humano se basa en experimentos con animales y en mediciones de niveles.</w:t>
      </w:r>
    </w:p>
    <w:bookmarkEnd w:id="1841"/>
    <w:bookmarkStart w:id="1842" w:name="conclusión-41"/>
    <w:p>
      <w:pPr>
        <w:pStyle w:val="Heading3"/>
      </w:pPr>
      <w:r>
        <w:t xml:space="preserve">Conclusión</w:t>
      </w:r>
    </w:p>
    <w:p>
      <w:pPr>
        <w:pStyle w:val="FirstParagraph"/>
      </w:pPr>
      <w:r>
        <w:t xml:space="preserve">MOTS-c es un péptido propio del organismo, codificado en el material genético mitocondrial, que en ratones mejoró el metabolismo y el rendimiento y que en el ser humano aumenta tras el ejercicio. Los estudios observacionales muestran niveles más bajos en el sobrepeso, el hígado graso y las enfermedades vasculares, pero no demuestran ni una causa ni un beneficio de su aporte. El único estudio concluido con un derivado de MOTS-c (CB4211) no se ha publicado en una revista especializada, y con el propio MOTS-c no existe ningún estudio publicado en humanos. Los datos no bastan para valorar el beneficio ni la seguridad en el ser humano; en el deporte, MOTS-c está prohibido.</w:t>
      </w:r>
    </w:p>
    <w:bookmarkEnd w:id="1842"/>
    <w:bookmarkEnd w:id="1843"/>
    <w:bookmarkStart w:id="1866" w:name="humanina"/>
    <w:p>
      <w:pPr>
        <w:pStyle w:val="Heading2"/>
      </w:pPr>
      <w:r>
        <w:t xml:space="preserve">Humanina</w:t>
      </w:r>
    </w:p>
    <w:bookmarkStart w:id="1844" w:name="ficha-42"/>
    <w:p>
      <w:pPr>
        <w:pStyle w:val="Heading3"/>
      </w:pPr>
      <w:r>
        <w:t xml:space="preserve">Ficha</w:t>
      </w:r>
    </w:p>
    <w:p>
      <w:pPr>
        <w:numPr>
          <w:ilvl w:val="0"/>
          <w:numId w:val="1232"/>
        </w:numPr>
        <w:pStyle w:val="Compact"/>
      </w:pPr>
      <w:r>
        <w:rPr>
          <w:bCs/>
          <w:b/>
        </w:rPr>
        <w:t xml:space="preserve">Tipo y estructura:</w:t>
      </w:r>
      <w:r>
        <w:t xml:space="preserve"> </w:t>
      </w:r>
      <w:r>
        <w:t xml:space="preserve">péptido propio del organismo de 24 aminoácidos. En el mercado gris y en la investigación se utiliza sobre todo la forma modificada</w:t>
      </w:r>
      <w:r>
        <w:t xml:space="preserve"> </w:t>
      </w:r>
      <w:r>
        <w:rPr>
          <w:bCs/>
          <w:b/>
        </w:rPr>
        <w:t xml:space="preserve">HNG</w:t>
      </w:r>
      <w:r>
        <w:t xml:space="preserve"> </w:t>
      </w:r>
      <w:r>
        <w:t xml:space="preserve">(humanina-G, también S14G-humanina), en la que la serina de la posición 14 se ha sustituido por glicina; en experimentos de laboratorio actúa con mucha más fuerza.</w:t>
      </w:r>
    </w:p>
    <w:p>
      <w:pPr>
        <w:numPr>
          <w:ilvl w:val="0"/>
          <w:numId w:val="1232"/>
        </w:numPr>
        <w:pStyle w:val="Compact"/>
      </w:pPr>
      <w:r>
        <w:rPr>
          <w:bCs/>
          <w:b/>
        </w:rPr>
        <w:t xml:space="preserve">Origen:</w:t>
      </w:r>
      <w:r>
        <w:t xml:space="preserve"> </w:t>
      </w:r>
      <w:r>
        <w:t xml:space="preserve">descubierta en 2001 por investigadores japoneses cuando buscaban, en tejido cerebral de una persona con enfermedad de Alzheimer, factores que protegieran a las neuronas de la muerte; de ahí su nombre. Está codificada en el material genético de las mitocondrias; también existen segmentos similares en el material genético del núcleo celular.</w:t>
      </w:r>
    </w:p>
    <w:p>
      <w:pPr>
        <w:numPr>
          <w:ilvl w:val="0"/>
          <w:numId w:val="1232"/>
        </w:numPr>
        <w:pStyle w:val="Compact"/>
      </w:pPr>
      <w:r>
        <w:rPr>
          <w:bCs/>
          <w:b/>
        </w:rPr>
        <w:t xml:space="preserve">Mecanismo de acción:</w:t>
      </w:r>
      <w:r>
        <w:t xml:space="preserve"> </w:t>
      </w:r>
      <w:r>
        <w:t xml:space="preserve">«mitocina» (sustancia señalizadora de las mitocondrias) que debería proteger a las células de la muerte celular programada. Se une, entre otros, a un complejo receptor formado por el receptor de CNTF, WSX-1 y gp130 en la superficie celular.</w:t>
      </w:r>
    </w:p>
    <w:p>
      <w:pPr>
        <w:numPr>
          <w:ilvl w:val="0"/>
          <w:numId w:val="1232"/>
        </w:numPr>
        <w:pStyle w:val="Compact"/>
      </w:pPr>
      <w:r>
        <w:rPr>
          <w:bCs/>
          <w:b/>
        </w:rPr>
        <w:t xml:space="preserve">Autorización UE:</w:t>
      </w:r>
      <w:r>
        <w:t xml:space="preserve"> </w:t>
      </w:r>
      <w:r>
        <w:t xml:space="preserve">no.</w:t>
      </w:r>
    </w:p>
    <w:p>
      <w:pPr>
        <w:numPr>
          <w:ilvl w:val="0"/>
          <w:numId w:val="1232"/>
        </w:numPr>
        <w:pStyle w:val="Compact"/>
      </w:pPr>
      <w:r>
        <w:rPr>
          <w:bCs/>
          <w:b/>
        </w:rPr>
        <w:t xml:space="preserve">Autorización EE. UU.:</w:t>
      </w:r>
      <w:r>
        <w:t xml:space="preserve"> </w:t>
      </w:r>
      <w:r>
        <w:t xml:space="preserve">no.</w:t>
      </w:r>
    </w:p>
    <w:p>
      <w:pPr>
        <w:numPr>
          <w:ilvl w:val="0"/>
          <w:numId w:val="1232"/>
        </w:numPr>
        <w:pStyle w:val="Compact"/>
      </w:pPr>
      <w:r>
        <w:rPr>
          <w:bCs/>
          <w:b/>
        </w:rPr>
        <w:t xml:space="preserve">WADA:</w:t>
      </w:r>
      <w:r>
        <w:t xml:space="preserve"> </w:t>
      </w:r>
      <w:r>
        <w:t xml:space="preserve">no figura nominalmente; como sustancia no autorizada en ningún lugar, la humanina o la HNG entran, según nuestra valoración, en la categoría general S0.</w:t>
      </w:r>
    </w:p>
    <w:p>
      <w:pPr>
        <w:numPr>
          <w:ilvl w:val="0"/>
          <w:numId w:val="1232"/>
        </w:numPr>
        <w:pStyle w:val="Compact"/>
      </w:pPr>
      <w:r>
        <w:rPr>
          <w:bCs/>
          <w:b/>
        </w:rPr>
        <w:t xml:space="preserve">Nivel de evidencia:</w:t>
      </w:r>
      <w:r>
        <w:t xml:space="preserve"> </w:t>
      </w:r>
      <w:r>
        <w:rPr>
          <w:bCs/>
          <w:b/>
        </w:rPr>
        <w:t xml:space="preserve">D</w:t>
      </w:r>
      <w:r>
        <w:t xml:space="preserve"> </w:t>
      </w:r>
      <w:r>
        <w:t xml:space="preserve">para su administración como principio activo: ni un solo estudio en el que personas recibieran humanina o HNG; en el ser humano solo hay mediciones de los niveles propios del organismo.</w:t>
      </w:r>
    </w:p>
    <w:bookmarkEnd w:id="1844"/>
    <w:bookmarkStart w:id="1848" w:name="cómo-se-supone-que-actúa-42"/>
    <w:p>
      <w:pPr>
        <w:pStyle w:val="Heading3"/>
      </w:pPr>
      <w:r>
        <w:t xml:space="preserve">Cómo se supone que actúa</w:t>
      </w:r>
    </w:p>
    <w:p>
      <w:pPr>
        <w:pStyle w:val="FirstParagraph"/>
      </w:pPr>
      <w:r>
        <w:t xml:space="preserve">En 2001, los descubridores buscaron en una genoteca de tejido cerebral segmentos que protegieran a las neuronas de los efectos tóxicos de los genes del alzhéimer. Encontraron un péptido corto que, en cultivos celulares, preservó a las neuronas de numerosas lesiones típicas del alzhéimer –frente al beta-amiloide y frente al efecto de varias mutaciones hereditarias del alzhéimer–, pero no frente a otras sustancias tóxicas como el glutamato o fragmentos de priones</w:t>
      </w:r>
      <w:r>
        <w:rPr>
          <w:rStyle w:val="FootnoteReference"/>
        </w:rPr>
        <w:footnoteReference w:id="1845"/>
      </w:r>
      <w:r>
        <w:t xml:space="preserve">. La variante HNG fue en ese contexto más eficaz que otros factores protectores probados.</w:t>
      </w:r>
    </w:p>
    <w:p>
      <w:pPr>
        <w:pStyle w:val="BodyText"/>
      </w:pPr>
      <w:r>
        <w:t xml:space="preserve">Más tarde, el mismo grupo mostró que la humanina se une a un complejo receptor perteneciente a la familia de los receptores de citocinas (receptor de CNTF, WSX-1 y gp130) y actúa a través de la molécula señalizadora STAT3</w:t>
      </w:r>
      <w:r>
        <w:rPr>
          <w:rStyle w:val="FootnoteReference"/>
        </w:rPr>
        <w:footnoteReference w:id="1846"/>
      </w:r>
      <w:r>
        <w:t xml:space="preserve">. Además, estudios de laboratorio describen uniones a proteínas que regulan la muerte celular y al compañero de unión de factores de crecimiento IGFBP-3.</w:t>
      </w:r>
    </w:p>
    <w:p>
      <w:pPr>
        <w:pStyle w:val="BodyText"/>
      </w:pPr>
      <w:r>
        <w:t xml:space="preserve">Una particularidad: la humanina, como MOTS-c (véase el capítulo anterior), está codificada en el material genético de las mitocondrias. Estos «péptidos mitocondriales» se consideran un nuevo nivel de señalización a través del cual las mitocondrias se comunican con el resto del organismo</w:t>
      </w:r>
      <w:r>
        <w:rPr>
          <w:rStyle w:val="FootnoteReference"/>
        </w:rPr>
        <w:footnoteReference w:id="1847"/>
      </w:r>
      <w:r>
        <w:t xml:space="preserve">.</w:t>
      </w:r>
    </w:p>
    <w:bookmarkEnd w:id="1848"/>
    <w:bookmarkStart w:id="1852" w:name="estudios-en-humanos-42"/>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8 publicaciones clasificadas como estudios en humanos; en ninguna de ellas se administró humanina. Examinan cómo cambian los niveles propios del organismo con el entrenamiento, la oxigenoterapia o los complementos alimenticios, o se refieren a células de pacientes en el laboratorio. En total, PubMed recoge unos 550 trabajos sobre la humanina. En ClinicalTrials.gov hay registrados 3 estudios, todos ellos estudios observacionales sobre los niveles de humanina (en operaciones cardiacas, insuficiencia renal aguda y trasplante renal).</w:t>
      </w:r>
    </w:p>
    <w:bookmarkStart w:id="1850" w:name="niveles-y-edad"/>
    <w:p>
      <w:pPr>
        <w:pStyle w:val="Heading4"/>
      </w:pPr>
      <w:r>
        <w:t xml:space="preserve">Niveles y edad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Lee 2014, PMID 25040290</w:t>
            </w:r>
          </w:p>
        </w:tc>
        <w:tc>
          <w:tcPr/>
          <w:p>
            <w:pPr>
              <w:pStyle w:val="Compact"/>
              <w:jc w:val="left"/>
            </w:pPr>
            <w:r>
              <w:t xml:space="preserve">ratones y personas, observación y administración de hormonas</w:t>
            </w:r>
          </w:p>
        </w:tc>
        <w:tc>
          <w:tcPr/>
          <w:p>
            <w:pPr>
              <w:pStyle w:val="Compact"/>
              <w:jc w:val="left"/>
            </w:pPr>
            <w:r>
              <w:t xml:space="preserve">–</w:t>
            </w:r>
          </w:p>
        </w:tc>
        <w:tc>
          <w:tcPr/>
          <w:p>
            <w:pPr>
              <w:pStyle w:val="Compact"/>
              <w:jc w:val="left"/>
            </w:pPr>
            <w:r>
              <w:t xml:space="preserve">los niveles de humanina disminuyen con la edad; la hormona del crecimiento y el IGF-1 los redujeron en ratones y personas</w:t>
            </w:r>
          </w:p>
        </w:tc>
      </w:tr>
      <w:tr>
        <w:tc>
          <w:tcPr/>
          <w:p>
            <w:pPr>
              <w:pStyle w:val="Compact"/>
              <w:jc w:val="left"/>
            </w:pPr>
            <w:r>
              <w:t xml:space="preserve">Yen 2020, PMID 32575074</w:t>
            </w:r>
          </w:p>
        </w:tc>
        <w:tc>
          <w:tcPr/>
          <w:p>
            <w:pPr>
              <w:pStyle w:val="Compact"/>
              <w:jc w:val="left"/>
            </w:pPr>
            <w:r>
              <w:t xml:space="preserve">hijos de centenarios y personas de comparación; modelos animales</w:t>
            </w:r>
          </w:p>
        </w:tc>
        <w:tc>
          <w:tcPr/>
          <w:p>
            <w:pPr>
              <w:pStyle w:val="Compact"/>
              <w:jc w:val="left"/>
            </w:pPr>
            <w:r>
              <w:t xml:space="preserve">transversal</w:t>
            </w:r>
          </w:p>
        </w:tc>
        <w:tc>
          <w:tcPr/>
          <w:p>
            <w:pPr>
              <w:pStyle w:val="Compact"/>
              <w:jc w:val="left"/>
            </w:pPr>
            <w:r>
              <w:t xml:space="preserve">niveles claramente más altos en hijos de centenarios; más bajos en el alzhéimer y el MELAS</w:t>
            </w:r>
          </w:p>
        </w:tc>
      </w:tr>
      <w:tr>
        <w:tc>
          <w:tcPr/>
          <w:p>
            <w:pPr>
              <w:pStyle w:val="Compact"/>
              <w:jc w:val="left"/>
            </w:pPr>
            <w:r>
              <w:t xml:space="preserve">Miller 2024, PMID 38520065</w:t>
            </w:r>
          </w:p>
        </w:tc>
        <w:tc>
          <w:tcPr/>
          <w:p>
            <w:pPr>
              <w:pStyle w:val="Compact"/>
              <w:jc w:val="left"/>
            </w:pPr>
            <w:r>
              <w:t xml:space="preserve">centenarios portadores del gen de riesgo de alzhéimer APOE4; modelo murino</w:t>
            </w:r>
          </w:p>
        </w:tc>
        <w:tc>
          <w:tcPr/>
          <w:p>
            <w:pPr>
              <w:pStyle w:val="Compact"/>
              <w:jc w:val="left"/>
            </w:pPr>
            <w:r>
              <w:t xml:space="preserve">análisis genético</w:t>
            </w:r>
          </w:p>
        </w:tc>
        <w:tc>
          <w:tcPr/>
          <w:p>
            <w:pPr>
              <w:pStyle w:val="Compact"/>
              <w:jc w:val="left"/>
            </w:pPr>
            <w:r>
              <w:t xml:space="preserve">variante poco frecuente de humanina P3S acumulada en portadores longevos de APOE4</w:t>
            </w:r>
          </w:p>
        </w:tc>
      </w:tr>
      <w:tr>
        <w:tc>
          <w:tcPr/>
          <w:p>
            <w:pPr>
              <w:pStyle w:val="Compact"/>
              <w:jc w:val="left"/>
            </w:pPr>
            <w:r>
              <w:t xml:space="preserve">Gidlund 2016, PMID 27923980</w:t>
            </w:r>
          </w:p>
        </w:tc>
        <w:tc>
          <w:tcPr/>
          <w:p>
            <w:pPr>
              <w:pStyle w:val="Compact"/>
              <w:jc w:val="left"/>
            </w:pPr>
            <w:r>
              <w:t xml:space="preserve">55 hombres con alteración del metabolismo de la glucosa, entrenamiento de fuerza, marcha nórdica o control, aleatorizado</w:t>
            </w:r>
          </w:p>
        </w:tc>
        <w:tc>
          <w:tcPr/>
          <w:p>
            <w:pPr>
              <w:pStyle w:val="Compact"/>
              <w:jc w:val="left"/>
            </w:pPr>
            <w:r>
              <w:t xml:space="preserve">12 semanas</w:t>
            </w:r>
          </w:p>
        </w:tc>
        <w:tc>
          <w:tcPr/>
          <w:p>
            <w:pPr>
              <w:pStyle w:val="Compact"/>
              <w:jc w:val="left"/>
            </w:pPr>
            <w:r>
              <w:t xml:space="preserve">humanina en el músculo un 35 % más alta tras el entrenamiento de fuerza, sin cambios en la sangre</w:t>
            </w:r>
          </w:p>
        </w:tc>
      </w:tr>
      <w:tr>
        <w:tc>
          <w:tcPr/>
          <w:p>
            <w:pPr>
              <w:pStyle w:val="Compact"/>
              <w:jc w:val="left"/>
            </w:pPr>
            <w:r>
              <w:t xml:space="preserve">von Walden 2021, PMID 34351816</w:t>
            </w:r>
          </w:p>
        </w:tc>
        <w:tc>
          <w:tcPr/>
          <w:p>
            <w:pPr>
              <w:pStyle w:val="Compact"/>
              <w:jc w:val="left"/>
            </w:pPr>
            <w:r>
              <w:t xml:space="preserve">30 personas, una sesión de resistencia o de fuerza o control, aleatorizado</w:t>
            </w:r>
          </w:p>
        </w:tc>
        <w:tc>
          <w:tcPr/>
          <w:p>
            <w:pPr>
              <w:pStyle w:val="Compact"/>
              <w:jc w:val="left"/>
            </w:pPr>
            <w:r>
              <w:t xml:space="preserve">única</w:t>
            </w:r>
          </w:p>
        </w:tc>
        <w:tc>
          <w:tcPr/>
          <w:p>
            <w:pPr>
              <w:pStyle w:val="Compact"/>
              <w:jc w:val="left"/>
            </w:pPr>
            <w:r>
              <w:t xml:space="preserve">humanina en sangre elevada tras el esfuerzo de resistencia</w:t>
            </w:r>
          </w:p>
        </w:tc>
      </w:tr>
      <w:tr>
        <w:tc>
          <w:tcPr/>
          <w:p>
            <w:pPr>
              <w:pStyle w:val="Compact"/>
              <w:jc w:val="left"/>
            </w:pPr>
            <w:r>
              <w:t xml:space="preserve">Xu 2019, PMID 31134827</w:t>
            </w:r>
          </w:p>
        </w:tc>
        <w:tc>
          <w:tcPr/>
          <w:p>
            <w:pPr>
              <w:pStyle w:val="Compact"/>
              <w:jc w:val="left"/>
            </w:pPr>
            <w:r>
              <w:t xml:space="preserve">158 personas con demencia vascular, oxigenoterapia hiperbárica o estándar</w:t>
            </w:r>
          </w:p>
        </w:tc>
        <w:tc>
          <w:tcPr/>
          <w:p>
            <w:pPr>
              <w:pStyle w:val="Compact"/>
              <w:jc w:val="left"/>
            </w:pPr>
            <w:r>
              <w:t xml:space="preserve">12 semanas</w:t>
            </w:r>
          </w:p>
        </w:tc>
        <w:tc>
          <w:tcPr/>
          <w:p>
            <w:pPr>
              <w:pStyle w:val="Compact"/>
              <w:jc w:val="left"/>
            </w:pPr>
            <w:r>
              <w:t xml:space="preserve">niveles de humanina y valores del MMSE más altos con la terapia hiperbárica</w:t>
            </w:r>
          </w:p>
        </w:tc>
      </w:tr>
    </w:tbl>
    <w:p>
      <w:pPr>
        <w:pStyle w:val="BodyText"/>
      </w:pPr>
      <w:r>
        <w:t xml:space="preserve">Las observaciones forman un cuadro coherente: los niveles de humanina disminuyen con la edad, son más altos en los hijos de personas muy longevas, más bajos en algunas enfermedades y aumentan con el ejercicio. Es interesante la relación con el sistema de la hormona del crecimiento: la hormona del crecimiento y el IGF-1 redujeron los niveles de humanina en ratones y en personas, y los ratones longevos con déficit de hormona del crecimiento tenían niveles elevados</w:t>
      </w:r>
      <w:r>
        <w:rPr>
          <w:rStyle w:val="FootnoteReference"/>
        </w:rPr>
        <w:footnoteReference w:id="1849"/>
      </w:r>
      <w:r>
        <w:t xml:space="preserve">. Esto es llamativo, porque en el mismo mercado gris se ofrecen a menudo liberadores de hormona del crecimiento (véase la Parte II · C).</w:t>
      </w:r>
    </w:p>
    <w:p>
      <w:pPr>
        <w:pStyle w:val="BodyText"/>
      </w:pPr>
      <w:r>
        <w:t xml:space="preserve">Pero también aquí se cumple: un nivel que va unido a la salud no demuestra que un aporte haga más sano. La humanina puede ser igualmente un signo acompañante de unas mitocondrias sanas sin ser ella misma la causa.</w:t>
      </w:r>
    </w:p>
    <w:bookmarkEnd w:id="1850"/>
    <w:bookmarkStart w:id="1851" w:name="administración-como-principio-activo"/>
    <w:p>
      <w:pPr>
        <w:pStyle w:val="Heading4"/>
      </w:pPr>
      <w:r>
        <w:t xml:space="preserve">Administración como principio activo</w:t>
      </w:r>
    </w:p>
    <w:p>
      <w:pPr>
        <w:pStyle w:val="FirstParagraph"/>
      </w:pPr>
      <w:r>
        <w:t xml:space="preserve">No existe ningún estudio publicado ni ninguna entrada de registro en los que personas hayan recibido humanina o HNG (consulta de octubre de 2026). Tampoco se encontraron informes de casos sobre efectos adversos tras la autoadministración.</w:t>
      </w:r>
    </w:p>
    <w:bookmarkEnd w:id="1851"/>
    <w:bookmarkEnd w:id="1852"/>
    <w:bookmarkStart w:id="1858" w:name="estudios-en-animales-y-de-laboratorio-42"/>
    <w:p>
      <w:pPr>
        <w:pStyle w:val="Heading3"/>
      </w:pPr>
      <w:r>
        <w:t xml:space="preserve">Estudios en animales y de laboratorio</w:t>
      </w:r>
    </w:p>
    <w:p>
      <w:pPr>
        <w:pStyle w:val="FirstParagraph"/>
      </w:pPr>
      <w:r>
        <w:t xml:space="preserve">La literatura preclínica es amplia:</w:t>
      </w:r>
    </w:p>
    <w:p>
      <w:pPr>
        <w:numPr>
          <w:ilvl w:val="0"/>
          <w:numId w:val="1233"/>
        </w:numPr>
        <w:pStyle w:val="Compact"/>
      </w:pPr>
      <w:r>
        <w:rPr>
          <w:bCs/>
          <w:b/>
        </w:rPr>
        <w:t xml:space="preserve">Esperanza de vida:</w:t>
      </w:r>
      <w:r>
        <w:t xml:space="preserve"> </w:t>
      </w:r>
      <w:r>
        <w:t xml:space="preserve">En nematodos, una mayor producción de humanina prolongó la esperanza de vida; en ratones de mediana edad, la HNG mejoró los valores metabólicos y redujo los marcadores de inflamación</w:t>
      </w:r>
      <w:r>
        <w:rPr>
          <w:rStyle w:val="FootnoteReference"/>
        </w:rPr>
        <w:footnoteReference w:id="1853"/>
      </w:r>
      <w:r>
        <w:t xml:space="preserve">.</w:t>
      </w:r>
    </w:p>
    <w:p>
      <w:pPr>
        <w:numPr>
          <w:ilvl w:val="0"/>
          <w:numId w:val="1233"/>
        </w:numPr>
        <w:pStyle w:val="Compact"/>
      </w:pPr>
      <w:r>
        <w:rPr>
          <w:bCs/>
          <w:b/>
        </w:rPr>
        <w:t xml:space="preserve">Corazón:</w:t>
      </w:r>
      <w:r>
        <w:t xml:space="preserve"> </w:t>
      </w:r>
      <w:r>
        <w:t xml:space="preserve">En ratones, la HNG redujo el tamaño del infarto tras un infarto provocado artificialmente</w:t>
      </w:r>
      <w:r>
        <w:rPr>
          <w:rStyle w:val="FootnoteReference"/>
        </w:rPr>
        <w:footnoteReference w:id="1854"/>
      </w:r>
      <w:r>
        <w:t xml:space="preserve">; un tratamiento de 14 meses en ratones viejos redujo la cicatrización del músculo cardiaco asociada a la edad</w:t>
      </w:r>
      <w:r>
        <w:rPr>
          <w:rStyle w:val="FootnoteReference"/>
        </w:rPr>
        <w:footnoteReference w:id="1855"/>
      </w:r>
      <w:r>
        <w:t xml:space="preserve">.</w:t>
      </w:r>
    </w:p>
    <w:p>
      <w:pPr>
        <w:numPr>
          <w:ilvl w:val="0"/>
          <w:numId w:val="1233"/>
        </w:numPr>
        <w:pStyle w:val="Compact"/>
      </w:pPr>
      <w:r>
        <w:rPr>
          <w:bCs/>
          <w:b/>
        </w:rPr>
        <w:t xml:space="preserve">Modelos de alzhéimer:</w:t>
      </w:r>
      <w:r>
        <w:t xml:space="preserve"> </w:t>
      </w:r>
      <w:r>
        <w:t xml:space="preserve">La variante poco frecuente P3S redujo en ratones con APOE4 los depósitos de amiloide más que la humanina normal</w:t>
      </w:r>
      <w:r>
        <w:rPr>
          <w:rStyle w:val="FootnoteReference"/>
        </w:rPr>
        <w:footnoteReference w:id="1856"/>
      </w:r>
      <w:r>
        <w:t xml:space="preserve">.</w:t>
      </w:r>
    </w:p>
    <w:p>
      <w:pPr>
        <w:numPr>
          <w:ilvl w:val="0"/>
          <w:numId w:val="1233"/>
        </w:numPr>
        <w:pStyle w:val="Compact"/>
      </w:pPr>
      <w:r>
        <w:rPr>
          <w:bCs/>
          <w:b/>
        </w:rPr>
        <w:t xml:space="preserve">Retina:</w:t>
      </w:r>
      <w:r>
        <w:t xml:space="preserve"> </w:t>
      </w:r>
      <w:r>
        <w:t xml:space="preserve">En modelos celulares con mitocondrias de personas con degeneración macular asociada a la edad, la HNG protegió frente al daño celular</w:t>
      </w:r>
      <w:r>
        <w:rPr>
          <w:rStyle w:val="FootnoteReference"/>
        </w:rPr>
        <w:footnoteReference w:id="1857"/>
      </w:r>
      <w:r>
        <w:t xml:space="preserve">.</w:t>
      </w:r>
    </w:p>
    <w:bookmarkEnd w:id="1858"/>
    <w:bookmarkStart w:id="1861" w:name="riesgos-y-efectos-adversos-42"/>
    <w:p>
      <w:pPr>
        <w:pStyle w:val="Heading3"/>
      </w:pPr>
      <w:r>
        <w:t xml:space="preserve">Riesgos y efectos adversos</w:t>
      </w:r>
    </w:p>
    <w:p>
      <w:pPr>
        <w:pStyle w:val="FirstParagraph"/>
      </w:pPr>
      <w:r>
        <w:rPr>
          <w:bCs/>
          <w:b/>
        </w:rPr>
        <w:t xml:space="preserve">Demostrado:</w:t>
      </w:r>
      <w:r>
        <w:t xml:space="preserve"> </w:t>
      </w:r>
      <w:r>
        <w:t xml:space="preserve">No hay datos de seguridad sobre su administración en humanos.</w:t>
      </w:r>
    </w:p>
    <w:p>
      <w:pPr>
        <w:pStyle w:val="BodyText"/>
      </w:pPr>
      <w:r>
        <w:rPr>
          <w:bCs/>
          <w:b/>
        </w:rPr>
        <w:t xml:space="preserve">Teórico, con señales de alarma concretas del laboratorio:</w:t>
      </w:r>
    </w:p>
    <w:p>
      <w:pPr>
        <w:numPr>
          <w:ilvl w:val="0"/>
          <w:numId w:val="1234"/>
        </w:numPr>
        <w:pStyle w:val="Compact"/>
      </w:pPr>
      <w:r>
        <w:rPr>
          <w:bCs/>
          <w:b/>
        </w:rPr>
        <w:t xml:space="preserve">Cáncer:</w:t>
      </w:r>
      <w:r>
        <w:t xml:space="preserve"> </w:t>
      </w:r>
      <w:r>
        <w:t xml:space="preserve">La humanina protege a las células de la muerte celular programada, y eso vale también para las células cancerosas. En ratones con cáncer de mama triple negativo, la humanina aportada redujo la muerte celular en el tumor, atenuó el efecto de la quimioterapia y aceleró el crecimiento tumoral y las metástasis pulmonares. En biopsias de este tipo de cáncer de mama, la humanina era detectable en mayor cantidad. Los autores aconsejan expresamente precaución en el uso de la humanina contra enfermedades degenerativas</w:t>
      </w:r>
      <w:r>
        <w:rPr>
          <w:rStyle w:val="FootnoteReference"/>
        </w:rPr>
        <w:footnoteReference w:id="1859"/>
      </w:r>
      <w:r>
        <w:t xml:space="preserve">.</w:t>
      </w:r>
    </w:p>
    <w:p>
      <w:pPr>
        <w:numPr>
          <w:ilvl w:val="0"/>
          <w:numId w:val="1234"/>
        </w:numPr>
        <w:pStyle w:val="Compact"/>
      </w:pPr>
      <w:r>
        <w:rPr>
          <w:bCs/>
          <w:b/>
        </w:rPr>
        <w:t xml:space="preserve">Inflamación en células envejecidas:</w:t>
      </w:r>
      <w:r>
        <w:t xml:space="preserve"> </w:t>
      </w:r>
      <w:r>
        <w:t xml:space="preserve">En experimentos celulares, la humanina y MOTS-c aumentaron la liberación de mensajeros inflamatorios por células envejecidas («senescentes»)</w:t>
      </w:r>
      <w:r>
        <w:rPr>
          <w:rStyle w:val="FootnoteReference"/>
        </w:rPr>
        <w:footnoteReference w:id="1860"/>
      </w:r>
      <w:r>
        <w:t xml:space="preserve">.</w:t>
      </w:r>
    </w:p>
    <w:p>
      <w:pPr>
        <w:numPr>
          <w:ilvl w:val="0"/>
          <w:numId w:val="1234"/>
        </w:numPr>
        <w:pStyle w:val="Compact"/>
      </w:pPr>
      <w:r>
        <w:rPr>
          <w:bCs/>
          <w:b/>
        </w:rPr>
        <w:t xml:space="preserve">Reacciones inmunitarias:</w:t>
      </w:r>
      <w:r>
        <w:t xml:space="preserve"> </w:t>
      </w:r>
      <w:r>
        <w:t xml:space="preserve">Con la inyección repetida de un péptido pueden formarse anticuerpos; no se ha estudiado.</w:t>
      </w:r>
    </w:p>
    <w:p>
      <w:pPr>
        <w:pStyle w:val="FirstParagraph"/>
      </w:pPr>
      <w:r>
        <w:rPr>
          <w:bCs/>
          <w:b/>
        </w:rPr>
        <w:t xml:space="preserve">Mercado gris:</w:t>
      </w:r>
      <w:r>
        <w:t xml:space="preserve"> </w:t>
      </w:r>
      <w:r>
        <w:t xml:space="preserve">La humanina y la HNG se ofrecen como «péptidos de longevidad» para inyección. El contenido, la pureza y la esterilidad no están comprobados.</w:t>
      </w:r>
    </w:p>
    <w:bookmarkEnd w:id="1861"/>
    <w:bookmarkStart w:id="1862" w:name="situación-legal-42"/>
    <w:p>
      <w:pPr>
        <w:pStyle w:val="Heading3"/>
      </w:pPr>
      <w:r>
        <w:t xml:space="preserve">Situación legal</w:t>
      </w:r>
    </w:p>
    <w:p>
      <w:pPr>
        <w:numPr>
          <w:ilvl w:val="0"/>
          <w:numId w:val="1235"/>
        </w:numPr>
        <w:pStyle w:val="Compact"/>
      </w:pPr>
      <w:r>
        <w:rPr>
          <w:bCs/>
          <w:b/>
        </w:rPr>
        <w:t xml:space="preserve">UE / Austria / Alemania:</w:t>
      </w:r>
      <w:r>
        <w:t xml:space="preserve"> </w:t>
      </w:r>
      <w:r>
        <w:t xml:space="preserve">no autorizada; como sustancia con efecto farmacológico, la humanina se considera medicamento, y su venta para uso en humanos no está permitida.</w:t>
      </w:r>
    </w:p>
    <w:p>
      <w:pPr>
        <w:numPr>
          <w:ilvl w:val="0"/>
          <w:numId w:val="1235"/>
        </w:numPr>
        <w:pStyle w:val="Compact"/>
      </w:pPr>
      <w:r>
        <w:rPr>
          <w:bCs/>
          <w:b/>
        </w:rPr>
        <w:t xml:space="preserve">EE. UU.:</w:t>
      </w:r>
      <w:r>
        <w:t xml:space="preserve"> </w:t>
      </w:r>
      <w:r>
        <w:t xml:space="preserve">no autorizada.</w:t>
      </w:r>
    </w:p>
    <w:p>
      <w:pPr>
        <w:numPr>
          <w:ilvl w:val="0"/>
          <w:numId w:val="1235"/>
        </w:numPr>
        <w:pStyle w:val="Compact"/>
      </w:pPr>
      <w:r>
        <w:rPr>
          <w:bCs/>
          <w:b/>
        </w:rPr>
        <w:t xml:space="preserve">Deporte:</w:t>
      </w:r>
      <w:r>
        <w:t xml:space="preserve"> </w:t>
      </w:r>
      <w:r>
        <w:t xml:space="preserve">según nuestra valoración, categoría S0 de la WADA (situación en 2026; comprueba la información actualizada).</w:t>
      </w:r>
    </w:p>
    <w:bookmarkEnd w:id="1862"/>
    <w:bookmarkStart w:id="1864" w:name="estudios-en-curso-y-perspectivas-42"/>
    <w:p>
      <w:pPr>
        <w:pStyle w:val="Heading3"/>
      </w:pPr>
      <w:r>
        <w:t xml:space="preserve">Estudios en curso y perspectivas</w:t>
      </w:r>
    </w:p>
    <w:p>
      <w:pPr>
        <w:pStyle w:val="FirstParagraph"/>
      </w:pPr>
      <w:r>
        <w:rPr>
          <w:bCs/>
          <w:b/>
        </w:rPr>
        <w:t xml:space="preserve">Confirmado:</w:t>
      </w:r>
      <w:r>
        <w:t xml:space="preserve"> </w:t>
      </w:r>
      <w:r>
        <w:t xml:space="preserve">Solo hay registrados estudios observacionales sobre los niveles de humanina, por ejemplo tras operaciones cardiacas (NCT03431844, 106 participantes, concluido) y en el trasplante renal</w:t>
      </w:r>
      <w:r>
        <w:rPr>
          <w:rStyle w:val="FootnoteReference"/>
        </w:rPr>
        <w:footnoteReference w:id="1863"/>
      </w:r>
      <w:r>
        <w:t xml:space="preserve">. No existe ningún estudio sobre la administración de humanina.</w:t>
      </w:r>
    </w:p>
    <w:p>
      <w:pPr>
        <w:pStyle w:val="BodyText"/>
      </w:pPr>
      <w:r>
        <w:rPr>
          <w:bCs/>
          <w:b/>
        </w:rPr>
        <w:t xml:space="preserve">Valoración:</w:t>
      </w:r>
      <w:r>
        <w:t xml:space="preserve"> </w:t>
      </w:r>
      <w:r>
        <w:t xml:space="preserve">La humanina es un péptido señalizador científicamente apasionante y un posible biomarcador del envejecimiento. Está por ver si algún día se evaluará como medicamento; los hallazgos sobre el cáncer en el modelo animal tendrían que aclararse cuidadosamente antes de cualquier uso en humanos.</w:t>
      </w:r>
    </w:p>
    <w:bookmarkEnd w:id="1864"/>
    <w:bookmarkStart w:id="1865" w:name="conclusión-42"/>
    <w:p>
      <w:pPr>
        <w:pStyle w:val="Heading3"/>
      </w:pPr>
      <w:r>
        <w:t xml:space="preserve">Conclusión</w:t>
      </w:r>
    </w:p>
    <w:p>
      <w:pPr>
        <w:pStyle w:val="FirstParagraph"/>
      </w:pPr>
      <w:r>
        <w:t xml:space="preserve">La humanina es un péptido mitocondrial propio del organismo que se descubrió en 2001 como factor protector de las neuronas. Sus niveles disminuyen con la edad, son más altos en los hijos de centenarios y aumentan con el ejercicio; en experimentos con animales, la variante HNG protegió el corazón, el cerebro y el metabolismo. En humanos nunca se ha administrado como principio activo, y en ratones favoreció el crecimiento del cáncer de mama. Los datos no bastan para valorar el beneficio ni la seguridad de un aporte.</w:t>
      </w:r>
    </w:p>
    <w:bookmarkEnd w:id="1865"/>
    <w:bookmarkEnd w:id="1866"/>
    <w:bookmarkStart w:id="1906" w:name="ss-31-elamipretida"/>
    <w:p>
      <w:pPr>
        <w:pStyle w:val="Heading2"/>
      </w:pPr>
      <w:r>
        <w:t xml:space="preserve">SS-31 (elamipretida)</w:t>
      </w:r>
    </w:p>
    <w:bookmarkStart w:id="1867" w:name="ficha-43"/>
    <w:p>
      <w:pPr>
        <w:pStyle w:val="Heading3"/>
      </w:pPr>
      <w:r>
        <w:t xml:space="preserve">Ficha</w:t>
      </w:r>
    </w:p>
    <w:p>
      <w:pPr>
        <w:numPr>
          <w:ilvl w:val="0"/>
          <w:numId w:val="1236"/>
        </w:numPr>
        <w:pStyle w:val="Compact"/>
      </w:pPr>
      <w:r>
        <w:rPr>
          <w:bCs/>
          <w:b/>
        </w:rPr>
        <w:t xml:space="preserve">Tipo y estructura:</w:t>
      </w:r>
      <w:r>
        <w:t xml:space="preserve"> </w:t>
      </w:r>
      <w:r>
        <w:t xml:space="preserve">tetrapéptido sintético de cuatro componentes (D-arginina, dimetiltirosina, lisina, fenilalanina) que atraviesa las membranas celulares gracias a una secuencia inusual de aminoácidos con carga positiva y con estructura de anillo. Denominaciones de investigación SS-31, MTP-131 y Bendavia; nombre del principio activo elamipretida; nombre comercial Forzinity.</w:t>
      </w:r>
    </w:p>
    <w:p>
      <w:pPr>
        <w:numPr>
          <w:ilvl w:val="0"/>
          <w:numId w:val="1236"/>
        </w:numPr>
        <w:pStyle w:val="Compact"/>
      </w:pPr>
      <w:r>
        <w:rPr>
          <w:bCs/>
          <w:b/>
        </w:rPr>
        <w:t xml:space="preserve">Origen:</w:t>
      </w:r>
      <w:r>
        <w:t xml:space="preserve"> </w:t>
      </w:r>
      <w:r>
        <w:t xml:space="preserve">desarrollado por Hazel Szeto y Peter Schiller (de ahí los péptidos «SS») y desarrollado clínicamente por la empresa estadounidense Stealth BioTherapeutics.</w:t>
      </w:r>
    </w:p>
    <w:p>
      <w:pPr>
        <w:numPr>
          <w:ilvl w:val="0"/>
          <w:numId w:val="1236"/>
        </w:numPr>
        <w:pStyle w:val="Compact"/>
      </w:pPr>
      <w:r>
        <w:rPr>
          <w:bCs/>
          <w:b/>
        </w:rPr>
        <w:t xml:space="preserve">Mecanismo de acción:</w:t>
      </w:r>
      <w:r>
        <w:t xml:space="preserve"> </w:t>
      </w:r>
      <w:r>
        <w:t xml:space="preserve">se acumula en la membrana interna de las mitocondrias y se une allí a la cardiolipina, un lípido imprescindible para la obtención de energía. Debería estabilizar la cadena respiratoria y limitar la oxidación nociva.</w:t>
      </w:r>
    </w:p>
    <w:p>
      <w:pPr>
        <w:numPr>
          <w:ilvl w:val="0"/>
          <w:numId w:val="1236"/>
        </w:numPr>
        <w:pStyle w:val="Compact"/>
      </w:pPr>
      <w:r>
        <w:rPr>
          <w:bCs/>
          <w:b/>
        </w:rPr>
        <w:t xml:space="preserve">Autorización UE:</w:t>
      </w:r>
      <w:r>
        <w:t xml:space="preserve"> </w:t>
      </w:r>
      <w:r>
        <w:t xml:space="preserve">no.</w:t>
      </w:r>
    </w:p>
    <w:p>
      <w:pPr>
        <w:numPr>
          <w:ilvl w:val="0"/>
          <w:numId w:val="1236"/>
        </w:numPr>
        <w:pStyle w:val="Compact"/>
      </w:pPr>
      <w:r>
        <w:rPr>
          <w:bCs/>
          <w:b/>
        </w:rPr>
        <w:t xml:space="preserve">Autorización EE. UU.:</w:t>
      </w:r>
      <w:r>
        <w:t xml:space="preserve"> </w:t>
      </w:r>
      <w:r>
        <w:t xml:space="preserve">sí; en septiembre de 2025,</w:t>
      </w:r>
      <w:r>
        <w:t xml:space="preserve"> </w:t>
      </w:r>
      <w:r>
        <w:rPr>
          <w:bCs/>
          <w:b/>
        </w:rPr>
        <w:t xml:space="preserve">autorización acelerada</w:t>
      </w:r>
      <w:r>
        <w:t xml:space="preserve"> </w:t>
      </w:r>
      <w:r>
        <w:t xml:space="preserve">(accelerated approval) como Forzinity para mejorar la fuerza muscular en el síndrome de Barth en adultos y niños a partir de 30 kg de peso corporal. La autorización está vinculada a un estudio de confirmación.</w:t>
      </w:r>
    </w:p>
    <w:p>
      <w:pPr>
        <w:numPr>
          <w:ilvl w:val="0"/>
          <w:numId w:val="1236"/>
        </w:numPr>
        <w:pStyle w:val="Compact"/>
      </w:pPr>
      <w:r>
        <w:rPr>
          <w:bCs/>
          <w:b/>
        </w:rPr>
        <w:t xml:space="preserve">WADA:</w:t>
      </w:r>
      <w:r>
        <w:t xml:space="preserve"> </w:t>
      </w:r>
      <w:r>
        <w:t xml:space="preserve">no figura nominalmente.</w:t>
      </w:r>
    </w:p>
    <w:p>
      <w:pPr>
        <w:numPr>
          <w:ilvl w:val="0"/>
          <w:numId w:val="1236"/>
        </w:numPr>
        <w:pStyle w:val="Compact"/>
      </w:pPr>
      <w:r>
        <w:rPr>
          <w:bCs/>
          <w:b/>
        </w:rPr>
        <w:t xml:space="preserve">Nivel de evidencia:</w:t>
      </w:r>
      <w:r>
        <w:t xml:space="preserve"> </w:t>
      </w:r>
      <w:r>
        <w:rPr>
          <w:bCs/>
          <w:b/>
        </w:rPr>
        <w:t xml:space="preserve">B</w:t>
      </w:r>
      <w:r>
        <w:t xml:space="preserve"> </w:t>
      </w:r>
      <w:r>
        <w:t xml:space="preserve">– numerosos estudios aleatorizados, entre ellos un estudio de fase 3 con 218 participantes; sin embargo, la mayoría de los grandes estudios no alcanzaron su criterio de valoración principal, y la autorización se basa en un estudio muy pequeño en una enfermedad extremadamente rara.</w:t>
      </w:r>
    </w:p>
    <w:bookmarkEnd w:id="1867"/>
    <w:bookmarkStart w:id="1869" w:name="cómo-se-supone-que-actúa-43"/>
    <w:p>
      <w:pPr>
        <w:pStyle w:val="Heading3"/>
      </w:pPr>
      <w:r>
        <w:t xml:space="preserve">Cómo se supone que actúa</w:t>
      </w:r>
    </w:p>
    <w:p>
      <w:pPr>
        <w:pStyle w:val="FirstParagraph"/>
      </w:pPr>
      <w:r>
        <w:t xml:space="preserve">Las mitocondrias obtienen energía a través de una cadena de complejos proteicos en su membrana interna. Para que estos complejos colaboren correctamente se necesita cardiolipina, un lípido especial que solo existe en esta membrana. Si la cardiolipina se daña o falta, la cadena respiratoria funciona peor, y la proteína citocromo c puede pasar de ser un transportador de electrones a convertirse en una enzima nociva (una peroxidasa).</w:t>
      </w:r>
    </w:p>
    <w:p>
      <w:pPr>
        <w:pStyle w:val="BodyText"/>
      </w:pPr>
      <w:r>
        <w:t xml:space="preserve">Según su desarrolladora, SS-31 se une de forma selectiva a la cardiolipina mediante fuerzas eléctricas e hidrófobas, impide esta transformación del citocromo c y protege así la estructura de las mitocondrias</w:t>
      </w:r>
      <w:r>
        <w:rPr>
          <w:rStyle w:val="FootnoteReference"/>
        </w:rPr>
        <w:footnoteReference w:id="1868"/>
      </w:r>
      <w:r>
        <w:t xml:space="preserve">. El principio se ha estudiado en muchos modelos animales de enfermedades cardiacas, renales, musculares y oculares.</w:t>
      </w:r>
    </w:p>
    <w:p>
      <w:pPr>
        <w:pStyle w:val="BodyText"/>
      </w:pPr>
      <w:r>
        <w:t xml:space="preserve">La relación es más clara en el</w:t>
      </w:r>
      <w:r>
        <w:t xml:space="preserve"> </w:t>
      </w:r>
      <w:r>
        <w:rPr>
          <w:bCs/>
          <w:b/>
        </w:rPr>
        <w:t xml:space="preserve">síndrome de Barth</w:t>
      </w:r>
      <w:r>
        <w:t xml:space="preserve">: en esta enfermedad muy poco frecuente, de herencia ligada al cromosoma X, que afecta casi exclusivamente a niños y hombres, está defectuoso el gen</w:t>
      </w:r>
      <w:r>
        <w:t xml:space="preserve"> </w:t>
      </w:r>
      <w:r>
        <w:rPr>
          <w:iCs/>
          <w:i/>
        </w:rPr>
        <w:t xml:space="preserve">TAZ</w:t>
      </w:r>
      <w:r>
        <w:t xml:space="preserve">, necesario para la remodelación de la cardiolipina. Las personas afectadas presentan debilidad del músculo cardiaco, debilidad muscular, gran fatigabilidad y un número reducido de determinados glóbulos blancos. Un principio activo que actúa de forma selectiva sobre la cardiolipina resulta aquí biológicamente especialmente lógico.</w:t>
      </w:r>
    </w:p>
    <w:bookmarkEnd w:id="1869"/>
    <w:bookmarkStart w:id="1888" w:name="estudios-en-humanos-43"/>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19 publicaciones clasificadas como estudios en humanos; cuatro de ellas, tras un examen más detallado, se refieren a otros principios activos (la abreviatura «SS-31» aparece también en otros contextos). En ClinicalTrials.gov había registrados 21 estudios, casi todos del fabricante, sobre el síndrome de Barth, las miopatías mitocondriales, la insuficiencia cardiaca, el infarto de miocardio, la estenosis de la arteria renal, la degeneración macular seca y enfermedades oculares. La elamipretida es, por tanto, el péptido mejor estudiado de esta parte.</w:t>
      </w:r>
    </w:p>
    <w:bookmarkStart w:id="1877" w:name="Xa40c3d83755550e4f294e15242ce6ca1c13328d"/>
    <w:p>
      <w:pPr>
        <w:pStyle w:val="Heading4"/>
      </w:pPr>
      <w:r>
        <w:t xml:space="preserve">Síndrome de Barth: TAZPOWER y la autorización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TAZPOWER parte 1 (Reid Thompson 2021), PMID 33077895</w:t>
            </w:r>
          </w:p>
        </w:tc>
        <w:tc>
          <w:tcPr/>
          <w:p>
            <w:pPr>
              <w:pStyle w:val="Compact"/>
              <w:jc w:val="left"/>
            </w:pPr>
            <w:r>
              <w:t xml:space="preserve">12 personas, doble ciego, cruzado frente a placebo</w:t>
            </w:r>
          </w:p>
        </w:tc>
        <w:tc>
          <w:tcPr/>
          <w:p>
            <w:pPr>
              <w:pStyle w:val="Compact"/>
              <w:jc w:val="left"/>
            </w:pPr>
            <w:r>
              <w:t xml:space="preserve">12 semanas cada fase</w:t>
            </w:r>
          </w:p>
        </w:tc>
        <w:tc>
          <w:tcPr/>
          <w:p>
            <w:pPr>
              <w:pStyle w:val="Compact"/>
              <w:jc w:val="left"/>
            </w:pPr>
            <w:r>
              <w:t xml:space="preserve">ambos criterios principales (prueba de marcha de 6 minutos, escala de síntomas) no alcanzados</w:t>
            </w:r>
          </w:p>
        </w:tc>
      </w:tr>
      <w:tr>
        <w:tc>
          <w:tcPr/>
          <w:p>
            <w:pPr>
              <w:pStyle w:val="Compact"/>
              <w:jc w:val="left"/>
            </w:pPr>
            <w:r>
              <w:t xml:space="preserve">TAZPOWER, extensión abierta, PMID 33077895</w:t>
            </w:r>
          </w:p>
        </w:tc>
        <w:tc>
          <w:tcPr/>
          <w:p>
            <w:pPr>
              <w:pStyle w:val="Compact"/>
              <w:jc w:val="left"/>
            </w:pPr>
            <w:r>
              <w:t xml:space="preserve">10 personas, todas con elamipretida</w:t>
            </w:r>
          </w:p>
        </w:tc>
        <w:tc>
          <w:tcPr/>
          <w:p>
            <w:pPr>
              <w:pStyle w:val="Compact"/>
              <w:jc w:val="left"/>
            </w:pPr>
            <w:r>
              <w:t xml:space="preserve">36 semanas</w:t>
            </w:r>
          </w:p>
        </w:tc>
        <w:tc>
          <w:tcPr/>
          <w:p>
            <w:pPr>
              <w:pStyle w:val="Compact"/>
              <w:jc w:val="left"/>
            </w:pPr>
            <w:r>
              <w:t xml:space="preserve">distancia de marcha +95,9 m, escala de síntomas −2,1 puntos</w:t>
            </w:r>
          </w:p>
        </w:tc>
      </w:tr>
      <w:tr>
        <w:tc>
          <w:tcPr/>
          <w:p>
            <w:pPr>
              <w:pStyle w:val="Compact"/>
              <w:jc w:val="left"/>
            </w:pPr>
            <w:r>
              <w:t xml:space="preserve">Extensión hasta 168 semanas (Thompson 2024), PMID 38602181</w:t>
            </w:r>
          </w:p>
        </w:tc>
        <w:tc>
          <w:tcPr/>
          <w:p>
            <w:pPr>
              <w:pStyle w:val="Compact"/>
              <w:jc w:val="left"/>
            </w:pPr>
            <w:r>
              <w:t xml:space="preserve">10 incluidas, 8 hasta la semana 168</w:t>
            </w:r>
          </w:p>
        </w:tc>
        <w:tc>
          <w:tcPr/>
          <w:p>
            <w:pPr>
              <w:pStyle w:val="Compact"/>
              <w:jc w:val="left"/>
            </w:pPr>
            <w:r>
              <w:t xml:space="preserve">168 semanas</w:t>
            </w:r>
          </w:p>
        </w:tc>
        <w:tc>
          <w:tcPr/>
          <w:p>
            <w:pPr>
              <w:pStyle w:val="Compact"/>
              <w:jc w:val="left"/>
            </w:pPr>
            <w:r>
              <w:t xml:space="preserve">distancia de marcha acumulada +96,1 m; volúmenes cardiacos mejorados</w:t>
            </w:r>
          </w:p>
        </w:tc>
      </w:tr>
      <w:tr>
        <w:tc>
          <w:tcPr/>
          <w:p>
            <w:pPr>
              <w:pStyle w:val="Compact"/>
              <w:jc w:val="left"/>
            </w:pPr>
            <w:r>
              <w:t xml:space="preserve">Comparación con la evolución natural (Hornby 2022), PMID 36056411</w:t>
            </w:r>
          </w:p>
        </w:tc>
        <w:tc>
          <w:tcPr/>
          <w:p>
            <w:pPr>
              <w:pStyle w:val="Compact"/>
              <w:jc w:val="left"/>
            </w:pPr>
            <w:r>
              <w:t xml:space="preserve">8 personas tratadas frente a 19 no tratadas de un registro de la enfermedad</w:t>
            </w:r>
          </w:p>
        </w:tc>
        <w:tc>
          <w:tcPr/>
          <w:p>
            <w:pPr>
              <w:pStyle w:val="Compact"/>
              <w:jc w:val="left"/>
            </w:pPr>
            <w:r>
              <w:t xml:space="preserve">64–76 semanas</w:t>
            </w:r>
          </w:p>
        </w:tc>
        <w:tc>
          <w:tcPr/>
          <w:p>
            <w:pPr>
              <w:pStyle w:val="Compact"/>
              <w:jc w:val="left"/>
            </w:pPr>
            <w:r>
              <w:t xml:space="preserve">diferencia en la prueba de marcha de 79,7 y 91,0 m a favor de la elamipretida</w:t>
            </w:r>
          </w:p>
        </w:tc>
      </w:tr>
    </w:tbl>
    <w:p>
      <w:pPr>
        <w:pStyle w:val="BodyText"/>
      </w:pPr>
      <w:r>
        <w:t xml:space="preserve">La historia de la autorización muestra de forma ejemplar cómo se decide en enfermedades extremadamente raras:</w:t>
      </w:r>
    </w:p>
    <w:p>
      <w:pPr>
        <w:pStyle w:val="BodyText"/>
      </w:pPr>
      <w:r>
        <w:rPr>
          <w:bCs/>
          <w:b/>
        </w:rPr>
        <w:t xml:space="preserve">La parte controlada fracasó.</w:t>
      </w:r>
      <w:r>
        <w:t xml:space="preserve"> </w:t>
      </w:r>
      <w:r>
        <w:t xml:space="preserve">En TAZPOWER</w:t>
      </w:r>
      <w:r>
        <w:rPr>
          <w:rStyle w:val="FootnoteReference"/>
        </w:rPr>
        <w:footnoteReference w:id="1870"/>
      </w:r>
      <w:r>
        <w:t xml:space="preserve">, doce personas con síndrome de Barth recibieron durante doce semanas elamipretida subcutánea diaria o placebo y después, en cada caso, el otro. En esta parte enmascarada no se alcanzó una diferencia significativa ni en la prueba de marcha de 6 minutos ni en la escala de síntomas</w:t>
      </w:r>
      <w:r>
        <w:rPr>
          <w:rStyle w:val="FootnoteReference"/>
        </w:rPr>
        <w:footnoteReference w:id="1871"/>
      </w:r>
      <w:r>
        <w:t xml:space="preserve">.</w:t>
      </w:r>
    </w:p>
    <w:p>
      <w:pPr>
        <w:pStyle w:val="BodyText"/>
      </w:pPr>
      <w:r>
        <w:rPr>
          <w:bCs/>
          <w:b/>
        </w:rPr>
        <w:t xml:space="preserve">La extensión abierta fue positiva.</w:t>
      </w:r>
      <w:r>
        <w:t xml:space="preserve"> </w:t>
      </w:r>
      <w:r>
        <w:t xml:space="preserve">Diez personas continuaron el tratamiento de forma abierta. A las 36 semanas caminaban en promedio 95,9 m más que al principio, y también mejoraron la fuerza de extensión de la rodilla y algunos parámetros cardiacos</w:t>
      </w:r>
      <w:r>
        <w:rPr>
          <w:rStyle w:val="FootnoteReference"/>
        </w:rPr>
        <w:footnoteReference w:id="1872"/>
      </w:r>
      <w:r>
        <w:t xml:space="preserve">. La mejora se mantuvo hasta la semana 168; ocho personas llegaron a ese momento</w:t>
      </w:r>
      <w:r>
        <w:rPr>
          <w:rStyle w:val="FootnoteReference"/>
        </w:rPr>
        <w:footnoteReference w:id="1873"/>
      </w:r>
      <w:r>
        <w:t xml:space="preserve">. Sin grupo de control, sin embargo, no puede separarse qué parte corresponde al medicamento y qué parte a la familiarización con la prueba, la motivación o el azar.</w:t>
      </w:r>
    </w:p>
    <w:p>
      <w:pPr>
        <w:pStyle w:val="BodyText"/>
      </w:pPr>
      <w:r>
        <w:rPr>
          <w:bCs/>
          <w:b/>
        </w:rPr>
        <w:t xml:space="preserve">Comparación con un control de registro.</w:t>
      </w:r>
      <w:r>
        <w:t xml:space="preserve"> </w:t>
      </w:r>
      <w:r>
        <w:t xml:space="preserve">Para aclararlo, otro estudio comparó a ocho personas tratadas con 19 no tratadas de una observación de la evolución. La ventaja en la prueba de marcha fue de 79,7 m a las 64 semanas</w:t>
      </w:r>
      <w:r>
        <w:rPr>
          <w:rStyle w:val="FootnoteReference"/>
        </w:rPr>
        <w:footnoteReference w:id="1874"/>
      </w:r>
      <w:r>
        <w:t xml:space="preserve">. Estos «controles históricos» son a menudo la única posibilidad en las enfermedades raras, pero se consideran claramente más débiles que una aleatorización.</w:t>
      </w:r>
    </w:p>
    <w:p>
      <w:pPr>
        <w:pStyle w:val="BodyText"/>
      </w:pPr>
      <w:r>
        <w:rPr>
          <w:bCs/>
          <w:b/>
        </w:rPr>
        <w:t xml:space="preserve">La decisión de la FDA en 2025.</w:t>
      </w:r>
      <w:r>
        <w:t xml:space="preserve"> </w:t>
      </w:r>
      <w:r>
        <w:t xml:space="preserve">La agencia estadounidense del medicamento rechazó inicialmente la solicitud en mayo de 2025 (Complete Response Letter). En septiembre de 2025 concedió después una</w:t>
      </w:r>
      <w:r>
        <w:t xml:space="preserve"> </w:t>
      </w:r>
      <w:r>
        <w:rPr>
          <w:bCs/>
          <w:b/>
        </w:rPr>
        <w:t xml:space="preserve">autorización acelerada</w:t>
      </w:r>
      <w:r>
        <w:t xml:space="preserve"> </w:t>
      </w:r>
      <w:r>
        <w:t xml:space="preserve">para la elamipretida (Forzinity) para mejorar la fuerza muscular en el síndrome de Barth en pacientes a partir de 30 kg, como primer tratamiento específico de esta enfermedad</w:t>
      </w:r>
      <w:r>
        <w:rPr>
          <w:rStyle w:val="FootnoteReference"/>
        </w:rPr>
        <w:footnoteReference w:id="1875"/>
      </w:r>
      <w:r>
        <w:t xml:space="preserve">. La base fue la mejora de la fuerza de extensión de la rodilla, que la agencia considera un valor sustitutivo que hace «razonablemente probable» un beneficio clínico. Una autorización acelerada obliga al fabricante a realizar un estudio de confirmación; si allí no se demuestra el beneficio, la autorización puede retirarse. Un estudio correspondiente con 48 participantes previstos recluta desde julio de 2026</w:t>
      </w:r>
      <w:r>
        <w:rPr>
          <w:rStyle w:val="FootnoteReference"/>
        </w:rPr>
        <w:footnoteReference w:id="1876"/>
      </w:r>
      <w:r>
        <w:t xml:space="preserve">.</w:t>
      </w:r>
    </w:p>
    <w:bookmarkEnd w:id="1877"/>
    <w:bookmarkStart w:id="1882" w:name="miopatía-mitocondrial-primaria-mmpower-3"/>
    <w:p>
      <w:pPr>
        <w:pStyle w:val="Heading4"/>
      </w:pPr>
      <w:r>
        <w:t xml:space="preserve">Miopatía mitocondrial primaria: MMPOWER-3</w:t>
      </w:r>
    </w:p>
    <w:p>
      <w:pPr>
        <w:pStyle w:val="FirstParagraph"/>
      </w:pPr>
      <w:r>
        <w:t xml:space="preserve">Las miopatías mitocondriales son enfermedades hereditarias en las que está alterada la obtención de energía en los músculos; las personas afectadas sufren debilidad muscular y gran fatigabilidad.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MMPOWER (Karaa 2018), PMID 29500292</w:t>
            </w:r>
          </w:p>
        </w:tc>
        <w:tc>
          <w:tcPr/>
          <w:p>
            <w:pPr>
              <w:pStyle w:val="Compact"/>
              <w:jc w:val="left"/>
            </w:pPr>
            <w:r>
              <w:t xml:space="preserve">36 personas, infusión en dosis crecientes frente a placebo</w:t>
            </w:r>
          </w:p>
        </w:tc>
        <w:tc>
          <w:tcPr/>
          <w:p>
            <w:pPr>
              <w:pStyle w:val="Compact"/>
              <w:jc w:val="left"/>
            </w:pPr>
            <w:r>
              <w:t xml:space="preserve">5 días</w:t>
            </w:r>
          </w:p>
        </w:tc>
        <w:tc>
          <w:tcPr/>
          <w:p>
            <w:pPr>
              <w:pStyle w:val="Compact"/>
              <w:jc w:val="left"/>
            </w:pPr>
            <w:r>
              <w:t xml:space="preserve">dosis más alta +64,5 m en la prueba de marcha frente a +20,4 m (p = 0,053)</w:t>
            </w:r>
          </w:p>
        </w:tc>
      </w:tr>
      <w:tr>
        <w:tc>
          <w:tcPr/>
          <w:p>
            <w:pPr>
              <w:pStyle w:val="Compact"/>
              <w:jc w:val="left"/>
            </w:pPr>
            <w:r>
              <w:t xml:space="preserve">MMPOWER-2 (Karaa 2020), PMID 32096613</w:t>
            </w:r>
          </w:p>
        </w:tc>
        <w:tc>
          <w:tcPr/>
          <w:p>
            <w:pPr>
              <w:pStyle w:val="Compact"/>
              <w:jc w:val="left"/>
            </w:pPr>
            <w:r>
              <w:t xml:space="preserve">30 personas, cruzado frente a placebo</w:t>
            </w:r>
          </w:p>
        </w:tc>
        <w:tc>
          <w:tcPr/>
          <w:p>
            <w:pPr>
              <w:pStyle w:val="Compact"/>
              <w:jc w:val="left"/>
            </w:pPr>
            <w:r>
              <w:t xml:space="preserve">4 semanas cada fase</w:t>
            </w:r>
          </w:p>
        </w:tc>
        <w:tc>
          <w:tcPr/>
          <w:p>
            <w:pPr>
              <w:pStyle w:val="Compact"/>
              <w:jc w:val="left"/>
            </w:pPr>
            <w:r>
              <w:t xml:space="preserve">prueba de marcha +19,8 m (no significativo); menos fatiga</w:t>
            </w:r>
          </w:p>
        </w:tc>
      </w:tr>
      <w:tr>
        <w:tc>
          <w:tcPr/>
          <w:p>
            <w:pPr>
              <w:pStyle w:val="Compact"/>
              <w:jc w:val="left"/>
            </w:pPr>
            <w:r>
              <w:t xml:space="preserve">MMPOWER-3 (Karaa 2023), PMID 37268435</w:t>
            </w:r>
          </w:p>
        </w:tc>
        <w:tc>
          <w:tcPr/>
          <w:p>
            <w:pPr>
              <w:pStyle w:val="Compact"/>
              <w:jc w:val="left"/>
            </w:pPr>
            <w:r>
              <w:t xml:space="preserve">218 personas, fase 3 frente a placebo</w:t>
            </w:r>
          </w:p>
        </w:tc>
        <w:tc>
          <w:tcPr/>
          <w:p>
            <w:pPr>
              <w:pStyle w:val="Compact"/>
              <w:jc w:val="left"/>
            </w:pPr>
            <w:r>
              <w:t xml:space="preserve">24 semanas</w:t>
            </w:r>
          </w:p>
        </w:tc>
        <w:tc>
          <w:tcPr/>
          <w:p>
            <w:pPr>
              <w:pStyle w:val="Compact"/>
              <w:jc w:val="left"/>
            </w:pPr>
            <w:r>
              <w:t xml:space="preserve">ambos criterios principales no alcanzados; diferencia en la prueba de marcha −3,2 m</w:t>
            </w:r>
          </w:p>
        </w:tc>
      </w:tr>
    </w:tbl>
    <w:p>
      <w:pPr>
        <w:pStyle w:val="BodyText"/>
      </w:pPr>
      <w:r>
        <w:t xml:space="preserve">Tras estudios pequeños alentadores,</w:t>
      </w:r>
      <w:r>
        <w:t xml:space="preserve"> </w:t>
      </w:r>
      <w:r>
        <w:rPr>
          <w:bCs/>
          <w:b/>
        </w:rPr>
        <w:t xml:space="preserve">MMPOWER-3</w:t>
      </w:r>
      <w:r>
        <w:rPr>
          <w:rStyle w:val="FootnoteReference"/>
        </w:rPr>
        <w:footnoteReference w:id="1878"/>
      </w:r>
      <w:r>
        <w:t xml:space="preserve"> </w:t>
      </w:r>
      <w:r>
        <w:t xml:space="preserve">debía demostrar la eficacia. 218 adultos con miopatía mitocondrial confirmada genéticamente recibieron durante 24 semanas elamipretida o placebo. El estudio no alcanzó ninguno de los dos criterios principales: en la prueba de marcha de 6 minutos, la diferencia fue de −3,2 m (IC del 95 % −18,7 a 12,3), y en la escala de fatiga tampoco hubo diferencia. La tolerabilidad fue buena</w:t>
      </w:r>
      <w:r>
        <w:rPr>
          <w:rStyle w:val="FootnoteReference"/>
        </w:rPr>
        <w:footnoteReference w:id="1879"/>
      </w:r>
      <w:r>
        <w:t xml:space="preserve">. Las autoras y los autores lo clasifican como evidencia de la máxima clase de que la elamipretida no mejora la distancia de marcha ni la fatiga en este grupo.</w:t>
      </w:r>
    </w:p>
    <w:p>
      <w:pPr>
        <w:pStyle w:val="BodyText"/>
      </w:pPr>
      <w:r>
        <w:t xml:space="preserve">Un análisis a posteriori encontró indicios de un beneficio en un subgrupo: las personas con defectos en genes del núcleo celular necesarios para la replicación del ADN mitocondrial (por ejemplo</w:t>
      </w:r>
      <w:r>
        <w:t xml:space="preserve"> </w:t>
      </w:r>
      <w:r>
        <w:rPr>
          <w:iCs/>
          <w:i/>
        </w:rPr>
        <w:t xml:space="preserve">POLG</w:t>
      </w:r>
      <w:r>
        <w:t xml:space="preserve"> </w:t>
      </w:r>
      <w:r>
        <w:t xml:space="preserve">y</w:t>
      </w:r>
      <w:r>
        <w:t xml:space="preserve"> </w:t>
      </w:r>
      <w:r>
        <w:rPr>
          <w:iCs/>
          <w:i/>
        </w:rPr>
        <w:t xml:space="preserve">TWNK</w:t>
      </w:r>
      <w:r>
        <w:t xml:space="preserve">) caminaron con elamipretida 25,2 m más, frente a 2,0 m con placebo (p = 0,06)</w:t>
      </w:r>
      <w:r>
        <w:rPr>
          <w:rStyle w:val="FootnoteReference"/>
        </w:rPr>
        <w:footnoteReference w:id="1880"/>
      </w:r>
      <w:r>
        <w:t xml:space="preserve">. Los análisis de subgrupos a posteriori generan hipótesis, no pruebas. Sobre esta base se realizó el estudio de fase 3 NuPOWER</w:t>
      </w:r>
      <w:r>
        <w:rPr>
          <w:rStyle w:val="FootnoteReference"/>
        </w:rPr>
        <w:footnoteReference w:id="1881"/>
      </w:r>
      <w:r>
        <w:t xml:space="preserve"> </w:t>
      </w:r>
      <w:r>
        <w:t xml:space="preserve">con 102 participantes; según el registro, concluyó en diciembre de 2024, y en nuestra búsqueda los resultados no estaban publicados.</w:t>
      </w:r>
    </w:p>
    <w:bookmarkEnd w:id="1882"/>
    <w:bookmarkStart w:id="1887" w:name="corazón-riñón-ojo-y-vejez"/>
    <w:p>
      <w:pPr>
        <w:pStyle w:val="Heading4"/>
      </w:pPr>
      <w:r>
        <w:t xml:space="preserve">Corazón, riñón, ojo y vejez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EMBRACE STEMI (Gibson 2016), PMID 26586786</w:t>
            </w:r>
          </w:p>
        </w:tc>
        <w:tc>
          <w:tcPr/>
          <w:p>
            <w:pPr>
              <w:pStyle w:val="Compact"/>
              <w:jc w:val="left"/>
            </w:pPr>
            <w:r>
              <w:t xml:space="preserve">personas con un primer infarto de cara anterior, infusión durante el cateterismo, doble ciego</w:t>
            </w:r>
          </w:p>
        </w:tc>
        <w:tc>
          <w:tcPr/>
          <w:p>
            <w:pPr>
              <w:pStyle w:val="Compact"/>
              <w:jc w:val="left"/>
            </w:pPr>
            <w:r>
              <w:t xml:space="preserve">72 horas</w:t>
            </w:r>
          </w:p>
        </w:tc>
        <w:tc>
          <w:tcPr/>
          <w:p>
            <w:pPr>
              <w:pStyle w:val="Compact"/>
              <w:jc w:val="left"/>
            </w:pPr>
            <w:r>
              <w:t xml:space="preserve">tamaño del infarto no reducido</w:t>
            </w:r>
          </w:p>
        </w:tc>
      </w:tr>
      <w:tr>
        <w:tc>
          <w:tcPr/>
          <w:p>
            <w:pPr>
              <w:pStyle w:val="Compact"/>
              <w:jc w:val="left"/>
            </w:pPr>
            <w:r>
              <w:t xml:space="preserve">PROGRESS-HF (Butler 2020), PMID 32068002</w:t>
            </w:r>
          </w:p>
        </w:tc>
        <w:tc>
          <w:tcPr/>
          <w:p>
            <w:pPr>
              <w:pStyle w:val="Compact"/>
              <w:jc w:val="left"/>
            </w:pPr>
            <w:r>
              <w:t xml:space="preserve">71 personas con insuficiencia cardiaca (ICFEr), frente a placebo</w:t>
            </w:r>
          </w:p>
        </w:tc>
        <w:tc>
          <w:tcPr/>
          <w:p>
            <w:pPr>
              <w:pStyle w:val="Compact"/>
              <w:jc w:val="left"/>
            </w:pPr>
            <w:r>
              <w:t xml:space="preserve">4 semanas</w:t>
            </w:r>
          </w:p>
        </w:tc>
        <w:tc>
          <w:tcPr/>
          <w:p>
            <w:pPr>
              <w:pStyle w:val="Compact"/>
              <w:jc w:val="left"/>
            </w:pPr>
            <w:r>
              <w:t xml:space="preserve">sin mejora de los volúmenes cardiacos</w:t>
            </w:r>
          </w:p>
        </w:tc>
      </w:tr>
      <w:tr>
        <w:tc>
          <w:tcPr/>
          <w:p>
            <w:pPr>
              <w:pStyle w:val="Compact"/>
              <w:jc w:val="left"/>
            </w:pPr>
            <w:r>
              <w:t xml:space="preserve">Daubert 2017, PMID 29217757</w:t>
            </w:r>
          </w:p>
        </w:tc>
        <w:tc>
          <w:tcPr/>
          <w:p>
            <w:pPr>
              <w:pStyle w:val="Compact"/>
              <w:jc w:val="left"/>
            </w:pPr>
            <w:r>
              <w:t xml:space="preserve">36 personas con insuficiencia cardiaca, infusión única</w:t>
            </w:r>
          </w:p>
        </w:tc>
        <w:tc>
          <w:tcPr/>
          <w:p>
            <w:pPr>
              <w:pStyle w:val="Compact"/>
              <w:jc w:val="left"/>
            </w:pPr>
            <w:r>
              <w:t xml:space="preserve">24 horas</w:t>
            </w:r>
          </w:p>
        </w:tc>
        <w:tc>
          <w:tcPr/>
          <w:p>
            <w:pPr>
              <w:pStyle w:val="Compact"/>
              <w:jc w:val="left"/>
            </w:pPr>
            <w:r>
              <w:t xml:space="preserve">volúmenes cardiacos transitoriamente menores con la dosis más alta</w:t>
            </w:r>
          </w:p>
        </w:tc>
      </w:tr>
      <w:tr>
        <w:tc>
          <w:tcPr/>
          <w:p>
            <w:pPr>
              <w:pStyle w:val="Compact"/>
              <w:jc w:val="left"/>
            </w:pPr>
            <w:r>
              <w:t xml:space="preserve">Saad 2017, PMID 28916603</w:t>
            </w:r>
          </w:p>
        </w:tc>
        <w:tc>
          <w:tcPr/>
          <w:p>
            <w:pPr>
              <w:pStyle w:val="Compact"/>
              <w:jc w:val="left"/>
            </w:pPr>
            <w:r>
              <w:t xml:space="preserve">14 personas con estenosis de la arteria renal durante la colocación de un stent</w:t>
            </w:r>
          </w:p>
        </w:tc>
        <w:tc>
          <w:tcPr/>
          <w:p>
            <w:pPr>
              <w:pStyle w:val="Compact"/>
              <w:jc w:val="left"/>
            </w:pPr>
            <w:r>
              <w:t xml:space="preserve">3 meses</w:t>
            </w:r>
          </w:p>
        </w:tc>
        <w:tc>
          <w:tcPr/>
          <w:p>
            <w:pPr>
              <w:pStyle w:val="Compact"/>
              <w:jc w:val="left"/>
            </w:pPr>
            <w:r>
              <w:t xml:space="preserve">menos falta de oxígeno, mejor riego renal (estudio piloto)</w:t>
            </w:r>
          </w:p>
        </w:tc>
      </w:tr>
      <w:tr>
        <w:tc>
          <w:tcPr/>
          <w:p>
            <w:pPr>
              <w:pStyle w:val="Compact"/>
              <w:jc w:val="left"/>
            </w:pPr>
            <w:r>
              <w:t xml:space="preserve">ReCLAIM-2 (Ehlers 2025), PMID 39605874</w:t>
            </w:r>
          </w:p>
        </w:tc>
        <w:tc>
          <w:tcPr/>
          <w:p>
            <w:pPr>
              <w:pStyle w:val="Compact"/>
              <w:jc w:val="left"/>
            </w:pPr>
            <w:r>
              <w:t xml:space="preserve">176 personas con degeneración macular seca, frente a placebo</w:t>
            </w:r>
          </w:p>
        </w:tc>
        <w:tc>
          <w:tcPr/>
          <w:p>
            <w:pPr>
              <w:pStyle w:val="Compact"/>
              <w:jc w:val="left"/>
            </w:pPr>
            <w:r>
              <w:t xml:space="preserve">48 semanas</w:t>
            </w:r>
          </w:p>
        </w:tc>
        <w:tc>
          <w:tcPr/>
          <w:p>
            <w:pPr>
              <w:pStyle w:val="Compact"/>
              <w:jc w:val="left"/>
            </w:pPr>
            <w:r>
              <w:t xml:space="preserve">criterios principales no alcanzados; pérdida más lenta de estructuras fotorreceptoras (criterio secundario)</w:t>
            </w:r>
          </w:p>
        </w:tc>
      </w:tr>
      <w:tr>
        <w:tc>
          <w:tcPr/>
          <w:p>
            <w:pPr>
              <w:pStyle w:val="Compact"/>
              <w:jc w:val="left"/>
            </w:pPr>
            <w:r>
              <w:t xml:space="preserve">Roshanravan 2021, PMID 34264994</w:t>
            </w:r>
          </w:p>
        </w:tc>
        <w:tc>
          <w:tcPr/>
          <w:p>
            <w:pPr>
              <w:pStyle w:val="Compact"/>
              <w:jc w:val="left"/>
            </w:pPr>
            <w:r>
              <w:t xml:space="preserve">39 personas mayores sanas, infusión única frente a placebo</w:t>
            </w:r>
          </w:p>
        </w:tc>
        <w:tc>
          <w:tcPr/>
          <w:p>
            <w:pPr>
              <w:pStyle w:val="Compact"/>
              <w:jc w:val="left"/>
            </w:pPr>
            <w:r>
              <w:t xml:space="preserve">7 días</w:t>
            </w:r>
          </w:p>
        </w:tc>
        <w:tc>
          <w:tcPr/>
          <w:p>
            <w:pPr>
              <w:pStyle w:val="Compact"/>
              <w:jc w:val="left"/>
            </w:pPr>
            <w:r>
              <w:t xml:space="preserve">capacidad energética del músculo de la mano transitoriamente mayor, pero sin mejor resistencia a la fatiga</w:t>
            </w:r>
          </w:p>
        </w:tc>
      </w:tr>
    </w:tbl>
    <w:p>
      <w:pPr>
        <w:pStyle w:val="BodyText"/>
      </w:pPr>
      <w:r>
        <w:t xml:space="preserve">El patrón es llamativo: en el</w:t>
      </w:r>
      <w:r>
        <w:t xml:space="preserve"> </w:t>
      </w:r>
      <w:r>
        <w:rPr>
          <w:bCs/>
          <w:b/>
        </w:rPr>
        <w:t xml:space="preserve">infarto de miocardio</w:t>
      </w:r>
      <w:r>
        <w:t xml:space="preserve"> </w:t>
      </w:r>
      <w:r>
        <w:t xml:space="preserve">y la</w:t>
      </w:r>
      <w:r>
        <w:t xml:space="preserve"> </w:t>
      </w:r>
      <w:r>
        <w:rPr>
          <w:bCs/>
          <w:b/>
        </w:rPr>
        <w:t xml:space="preserve">insuficiencia cardiaca</w:t>
      </w:r>
      <w:r>
        <w:t xml:space="preserve">, los estudios controlados de mayor tamaño no mostraron ningún beneficio</w:t>
      </w:r>
      <w:r>
        <w:rPr>
          <w:rStyle w:val="FootnoteReference"/>
        </w:rPr>
        <w:footnoteReference w:id="1883"/>
      </w:r>
      <w:r>
        <w:t xml:space="preserve">. En la</w:t>
      </w:r>
      <w:r>
        <w:t xml:space="preserve"> </w:t>
      </w:r>
      <w:r>
        <w:rPr>
          <w:bCs/>
          <w:b/>
        </w:rPr>
        <w:t xml:space="preserve">degeneración macular seca</w:t>
      </w:r>
      <w:r>
        <w:t xml:space="preserve">, una causa frecuente de pérdida de visión en la vejez, ReCLAIM-2 no alcanzó ninguno de los dos criterios principales (agudeza visual con poca luz y crecimiento de la superficie retiniana dañada); un criterio secundario fijado de antemano –la pérdida de la capa de fotorreceptores– progresó más lentamente con elamipretida</w:t>
      </w:r>
      <w:r>
        <w:rPr>
          <w:rStyle w:val="FootnoteReference"/>
        </w:rPr>
        <w:footnoteReference w:id="1884"/>
      </w:r>
      <w:r>
        <w:t xml:space="preserve">. Este valor sirve ahora como criterio principal del estudio de fase 3 en curso ReNEW</w:t>
      </w:r>
      <w:r>
        <w:rPr>
          <w:rStyle w:val="FootnoteReference"/>
        </w:rPr>
        <w:footnoteReference w:id="1885"/>
      </w:r>
      <w:r>
        <w:t xml:space="preserve">.</w:t>
      </w:r>
    </w:p>
    <w:p>
      <w:pPr>
        <w:pStyle w:val="BodyText"/>
      </w:pPr>
      <w:r>
        <w:t xml:space="preserve">Para el mundo de la longevidad resulta interesante el estudio en personas mayores: una única infusión aumentó inmediatamente después la capacidad energética de un músculo de la mano; a los siete días el efecto había desaparecido, y la resistencia muscular no mejoró</w:t>
      </w:r>
      <w:r>
        <w:rPr>
          <w:rStyle w:val="FootnoteReference"/>
        </w:rPr>
        <w:footnoteReference w:id="1886"/>
      </w:r>
      <w:r>
        <w:t xml:space="preserve">. De ello no puede deducirse ningún beneficio «antienvejecimiento».</w:t>
      </w:r>
    </w:p>
    <w:bookmarkEnd w:id="1887"/>
    <w:bookmarkEnd w:id="1888"/>
    <w:bookmarkStart w:id="1892" w:name="estudios-en-animales-y-de-laboratorio-43"/>
    <w:p>
      <w:pPr>
        <w:pStyle w:val="Heading3"/>
      </w:pPr>
      <w:r>
        <w:t xml:space="preserve">Estudios en animales y de laboratorio</w:t>
      </w:r>
    </w:p>
    <w:p>
      <w:pPr>
        <w:pStyle w:val="FirstParagraph"/>
      </w:pPr>
      <w:r>
        <w:t xml:space="preserve">En modelos animales se describieron efectos favorables en la insuficiencia cardiaca, el daño renal, la debilidad muscular y enfermedades oculares y nerviosas</w:t>
      </w:r>
      <w:r>
        <w:rPr>
          <w:rStyle w:val="FootnoteReference"/>
        </w:rPr>
        <w:footnoteReference w:id="1889"/>
      </w:r>
      <w:r>
        <w:t xml:space="preserve">. En perros con insuficiencia cardiaca avanzada, un tratamiento continuado mejoró la función de bombeo y la función mitocondrial</w:t>
      </w:r>
      <w:r>
        <w:rPr>
          <w:rStyle w:val="FootnoteReference"/>
        </w:rPr>
        <w:footnoteReference w:id="1890"/>
      </w:r>
      <w:r>
        <w:t xml:space="preserve">. En un modelo de rata de insuficiencia cardiaca con función de bombeo conservada, la elamipretida mejoró ciertamente el metabolismo energético del músculo cardiaco, pero no la función cardiaca</w:t>
      </w:r>
      <w:r>
        <w:rPr>
          <w:rStyle w:val="FootnoteReference"/>
        </w:rPr>
        <w:footnoteReference w:id="1891"/>
      </w:r>
      <w:r>
        <w:t xml:space="preserve">. Esta discrepancia entre un mejor metabolismo energético y la falta de beneficio clínico se refleja en los estudios en humanos.</w:t>
      </w:r>
    </w:p>
    <w:bookmarkEnd w:id="1892"/>
    <w:bookmarkStart w:id="1897" w:name="riesgos-y-efectos-adversos-43"/>
    <w:p>
      <w:pPr>
        <w:pStyle w:val="Heading3"/>
      </w:pPr>
      <w:r>
        <w:t xml:space="preserve">Riesgos y efectos adversos</w:t>
      </w:r>
    </w:p>
    <w:p>
      <w:pPr>
        <w:pStyle w:val="FirstParagraph"/>
      </w:pPr>
      <w:r>
        <w:rPr>
          <w:bCs/>
          <w:b/>
        </w:rPr>
        <w:t xml:space="preserve">Demostrado:</w:t>
      </w:r>
    </w:p>
    <w:p>
      <w:pPr>
        <w:numPr>
          <w:ilvl w:val="0"/>
          <w:numId w:val="1237"/>
        </w:numPr>
        <w:pStyle w:val="Compact"/>
      </w:pPr>
      <w:r>
        <w:t xml:space="preserve">Los efectos adversos más frecuentes son las</w:t>
      </w:r>
      <w:r>
        <w:t xml:space="preserve"> </w:t>
      </w:r>
      <w:r>
        <w:rPr>
          <w:bCs/>
          <w:b/>
        </w:rPr>
        <w:t xml:space="preserve">reacciones en el lugar de inyección</w:t>
      </w:r>
      <w:r>
        <w:t xml:space="preserve"> </w:t>
      </w:r>
      <w:r>
        <w:t xml:space="preserve">(picor, dolor, hematomas, enrojecimiento). En MMPOWER-2 aparecieron en el 80 % de las personas tratadas, en general leves</w:t>
      </w:r>
      <w:r>
        <w:rPr>
          <w:rStyle w:val="FootnoteReference"/>
        </w:rPr>
        <w:footnoteReference w:id="1893"/>
      </w:r>
      <w:r>
        <w:t xml:space="preserve">. En ReCLAIM-2, el 86 % con elamipretida y el 71 % con placebo comunicaron algún acontecimiento adverso</w:t>
      </w:r>
      <w:r>
        <w:rPr>
          <w:rStyle w:val="FootnoteReference"/>
        </w:rPr>
        <w:footnoteReference w:id="1894"/>
      </w:r>
      <w:r>
        <w:t xml:space="preserve">.</w:t>
      </w:r>
    </w:p>
    <w:p>
      <w:pPr>
        <w:numPr>
          <w:ilvl w:val="0"/>
          <w:numId w:val="1237"/>
        </w:numPr>
        <w:pStyle w:val="Compact"/>
      </w:pPr>
      <w:r>
        <w:t xml:space="preserve">Los efectos adversos graves no fueron más frecuentes en los estudios; en MMPOWER-3, los acontecimientos fueron mayoritariamente leves a moderados</w:t>
      </w:r>
      <w:r>
        <w:rPr>
          <w:rStyle w:val="FootnoteReference"/>
        </w:rPr>
        <w:footnoteReference w:id="1895"/>
      </w:r>
      <w:r>
        <w:t xml:space="preserve">.</w:t>
      </w:r>
    </w:p>
    <w:p>
      <w:pPr>
        <w:numPr>
          <w:ilvl w:val="0"/>
          <w:numId w:val="1237"/>
        </w:numPr>
        <w:pStyle w:val="Compact"/>
      </w:pPr>
      <w:r>
        <w:t xml:space="preserve">Solo hay datos a largo plazo de pocas personas con síndrome de Barth durante algo más de tres años</w:t>
      </w:r>
      <w:r>
        <w:rPr>
          <w:rStyle w:val="FootnoteReference"/>
        </w:rPr>
        <w:footnoteReference w:id="1896"/>
      </w:r>
      <w:r>
        <w:t xml:space="preserve">.</w:t>
      </w:r>
    </w:p>
    <w:p>
      <w:pPr>
        <w:pStyle w:val="FirstParagraph"/>
      </w:pPr>
      <w:r>
        <w:rPr>
          <w:bCs/>
          <w:b/>
        </w:rPr>
        <w:t xml:space="preserve">Teórico:</w:t>
      </w:r>
      <w:r>
        <w:t xml:space="preserve"> </w:t>
      </w:r>
      <w:r>
        <w:t xml:space="preserve">Un principio activo que interviene de forma continuada en las mitocondrias de todas las células del organismo podría tener efectos desconocidos en personas sanas con un uso durante años; no hay datos al respecto.</w:t>
      </w:r>
    </w:p>
    <w:p>
      <w:pPr>
        <w:pStyle w:val="BodyText"/>
      </w:pPr>
      <w:r>
        <w:rPr>
          <w:bCs/>
          <w:b/>
        </w:rPr>
        <w:t xml:space="preserve">Mercado gris:</w:t>
      </w:r>
      <w:r>
        <w:t xml:space="preserve"> </w:t>
      </w:r>
      <w:r>
        <w:t xml:space="preserve">«SS-31» se vende en internet en polvo para inyección para el «rejuvenecimiento mitocondrial». Estos productos no son el medicamento autorizado; el contenido y la pureza no están comprobados. Para personas sanas no hay ningún beneficio demostrado.</w:t>
      </w:r>
    </w:p>
    <w:bookmarkEnd w:id="1897"/>
    <w:bookmarkStart w:id="1899" w:name="situación-legal-43"/>
    <w:p>
      <w:pPr>
        <w:pStyle w:val="Heading3"/>
      </w:pPr>
      <w:r>
        <w:t xml:space="preserve">Situación legal</w:t>
      </w:r>
    </w:p>
    <w:p>
      <w:pPr>
        <w:numPr>
          <w:ilvl w:val="0"/>
          <w:numId w:val="1238"/>
        </w:numPr>
        <w:pStyle w:val="Compact"/>
      </w:pPr>
      <w:r>
        <w:rPr>
          <w:bCs/>
          <w:b/>
        </w:rPr>
        <w:t xml:space="preserve">UE / Austria / Alemania:</w:t>
      </w:r>
      <w:r>
        <w:t xml:space="preserve"> </w:t>
      </w:r>
      <w:r>
        <w:t xml:space="preserve">no autorizada. La elamipretida es un medicamento; su uso solo es posible en el marco de estudios o de programas de uso compasivo.</w:t>
      </w:r>
    </w:p>
    <w:p>
      <w:pPr>
        <w:numPr>
          <w:ilvl w:val="0"/>
          <w:numId w:val="1238"/>
        </w:numPr>
        <w:pStyle w:val="Compact"/>
      </w:pPr>
      <w:r>
        <w:rPr>
          <w:bCs/>
          <w:b/>
        </w:rPr>
        <w:t xml:space="preserve">EE. UU.:</w:t>
      </w:r>
      <w:r>
        <w:t xml:space="preserve"> </w:t>
      </w:r>
      <w:r>
        <w:t xml:space="preserve">autorización acelerada (Forzinity, septiembre de 2025) solo para el síndrome de Barth a partir de 30 kg de peso corporal; remisión a la ficha técnica y acompañamiento médico. Para otras enfermedades existe un programa de uso compasivo</w:t>
      </w:r>
      <w:r>
        <w:rPr>
          <w:rStyle w:val="FootnoteReference"/>
        </w:rPr>
        <w:footnoteReference w:id="1898"/>
      </w:r>
      <w:r>
        <w:t xml:space="preserve">.</w:t>
      </w:r>
    </w:p>
    <w:p>
      <w:pPr>
        <w:numPr>
          <w:ilvl w:val="0"/>
          <w:numId w:val="1238"/>
        </w:numPr>
        <w:pStyle w:val="Compact"/>
      </w:pPr>
      <w:r>
        <w:rPr>
          <w:bCs/>
          <w:b/>
        </w:rPr>
        <w:t xml:space="preserve">Deporte:</w:t>
      </w:r>
      <w:r>
        <w:t xml:space="preserve"> </w:t>
      </w:r>
      <w:r>
        <w:t xml:space="preserve">no figura nominalmente en la lista de la WADA (situación en 2026; comprueba la información actualizada).</w:t>
      </w:r>
    </w:p>
    <w:bookmarkEnd w:id="1899"/>
    <w:bookmarkStart w:id="1904" w:name="estudios-en-curso-y-perspectivas-43"/>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39"/>
        </w:numPr>
        <w:pStyle w:val="Compact"/>
      </w:pPr>
      <w:r>
        <w:rPr>
          <w:bCs/>
          <w:b/>
        </w:rPr>
        <w:t xml:space="preserve">ReNEW</w:t>
      </w:r>
      <w:r>
        <w:rPr>
          <w:rStyle w:val="FootnoteReference"/>
        </w:rPr>
        <w:footnoteReference w:id="1900"/>
      </w:r>
      <w:r>
        <w:t xml:space="preserve">: fase 3 en la degeneración macular seca, 313 participantes, reclutamiento concluido, fin previsto en 2027.</w:t>
      </w:r>
    </w:p>
    <w:p>
      <w:pPr>
        <w:numPr>
          <w:ilvl w:val="0"/>
          <w:numId w:val="1239"/>
        </w:numPr>
        <w:pStyle w:val="Compact"/>
      </w:pPr>
      <w:r>
        <w:rPr>
          <w:bCs/>
          <w:b/>
        </w:rPr>
        <w:t xml:space="preserve">4TAZPower</w:t>
      </w:r>
      <w:r>
        <w:rPr>
          <w:rStyle w:val="FootnoteReference"/>
        </w:rPr>
        <w:footnoteReference w:id="1901"/>
      </w:r>
      <w:r>
        <w:t xml:space="preserve">: estudio de confirmación en el síndrome de Barth con 48 participantes previstos, en reclutamiento.</w:t>
      </w:r>
    </w:p>
    <w:p>
      <w:pPr>
        <w:numPr>
          <w:ilvl w:val="0"/>
          <w:numId w:val="1239"/>
        </w:numPr>
        <w:pStyle w:val="Compact"/>
      </w:pPr>
      <w:r>
        <w:rPr>
          <w:bCs/>
          <w:b/>
        </w:rPr>
        <w:t xml:space="preserve">NuPOWER</w:t>
      </w:r>
      <w:r>
        <w:rPr>
          <w:rStyle w:val="FootnoteReference"/>
        </w:rPr>
        <w:footnoteReference w:id="1902"/>
      </w:r>
      <w:r>
        <w:t xml:space="preserve">: fase 3 en la enfermedad mitocondrial por mutaciones del ADN nuclear, 102 participantes, concluido; resultados pendientes.</w:t>
      </w:r>
    </w:p>
    <w:p>
      <w:pPr>
        <w:numPr>
          <w:ilvl w:val="0"/>
          <w:numId w:val="1239"/>
        </w:numPr>
        <w:pStyle w:val="Compact"/>
      </w:pPr>
      <w:r>
        <w:t xml:space="preserve">Un pequeño estudio de fase 2 en personas mayores sanas examina la función física</w:t>
      </w:r>
      <w:r>
        <w:rPr>
          <w:rStyle w:val="FootnoteReference"/>
        </w:rPr>
        <w:footnoteReference w:id="1903"/>
      </w:r>
      <w:r>
        <w:t xml:space="preserve">.</w:t>
      </w:r>
    </w:p>
    <w:p>
      <w:pPr>
        <w:pStyle w:val="FirstParagraph"/>
      </w:pPr>
      <w:r>
        <w:rPr>
          <w:bCs/>
          <w:b/>
        </w:rPr>
        <w:t xml:space="preserve">Valoración:</w:t>
      </w:r>
      <w:r>
        <w:t xml:space="preserve"> </w:t>
      </w:r>
      <w:r>
        <w:t xml:space="preserve">Si la elamipretida encuentra un lugar más allá del síndrome de Barth lo decidirán ReNEW y NuPOWER. La experiencia de MMPOWER-3, EMBRACE y PROGRESS-HF aconseja prudencia: un mecanismo convincente no garantiza un beneficio clínico.</w:t>
      </w:r>
    </w:p>
    <w:bookmarkEnd w:id="1904"/>
    <w:bookmarkStart w:id="1905" w:name="conclusión-43"/>
    <w:p>
      <w:pPr>
        <w:pStyle w:val="Heading3"/>
      </w:pPr>
      <w:r>
        <w:t xml:space="preserve">Conclusión</w:t>
      </w:r>
    </w:p>
    <w:p>
      <w:pPr>
        <w:pStyle w:val="FirstParagraph"/>
      </w:pPr>
      <w:r>
        <w:t xml:space="preserve">La elamipretida (SS-31) es un tetrapéptido que se une a la cardiolipina de las mitocondrias y que, como primer medicamento mitocondrial, recibió en 2025 en EE. UU. una autorización acelerada para el síndrome de Barth, muy poco frecuente, sobre la base de un estudio con doce personas cuya parte controlada no alcanzó sus criterios principales y de datos abiertos a largo plazo. En estudios aleatorizados de mayor tamaño en la miopatía mitocondrial, el infarto de miocardio, la insuficiencia cardiaca y la degeneración macular no se alcanzaron los criterios de valoración principales. El medicamento se tolera bien; son frecuentes sobre todo las reacciones en el lugar de inyección. Para personas sanas o como remedio «antienvejecimiento» no hay ningún beneficio demostrado.</w:t>
      </w:r>
    </w:p>
    <w:bookmarkEnd w:id="1905"/>
    <w:bookmarkEnd w:id="1906"/>
    <w:bookmarkStart w:id="1925" w:name="foxo4-dri"/>
    <w:p>
      <w:pPr>
        <w:pStyle w:val="Heading2"/>
      </w:pPr>
      <w:r>
        <w:t xml:space="preserve">FOXO4-DRI</w:t>
      </w:r>
    </w:p>
    <w:bookmarkStart w:id="1907" w:name="ficha-44"/>
    <w:p>
      <w:pPr>
        <w:pStyle w:val="Heading3"/>
      </w:pPr>
      <w:r>
        <w:t xml:space="preserve">Ficha</w:t>
      </w:r>
    </w:p>
    <w:p>
      <w:pPr>
        <w:numPr>
          <w:ilvl w:val="0"/>
          <w:numId w:val="1240"/>
        </w:numPr>
        <w:pStyle w:val="Compact"/>
      </w:pPr>
      <w:r>
        <w:rPr>
          <w:bCs/>
          <w:b/>
        </w:rPr>
        <w:t xml:space="preserve">Tipo y estructura:</w:t>
      </w:r>
      <w:r>
        <w:t xml:space="preserve"> </w:t>
      </w:r>
      <w:r>
        <w:t xml:space="preserve">péptido sintético comparativamente largo, derivado de un segmento de la proteína FOXO4. «DRI» significa</w:t>
      </w:r>
      <w:r>
        <w:t xml:space="preserve"> </w:t>
      </w:r>
      <w:r>
        <w:rPr>
          <w:iCs/>
          <w:i/>
        </w:rPr>
        <w:t xml:space="preserve">D-retro-inverso</w:t>
      </w:r>
      <w:r>
        <w:t xml:space="preserve">: el péptido está formado por D-aminoácidos especulares en orden inverso. Por ello, las enzimas del organismo apenas lo degradan. Un segmento añadido con carga positiva (derivado de una proteína vírica) debería introducirlo en las células.</w:t>
      </w:r>
    </w:p>
    <w:p>
      <w:pPr>
        <w:numPr>
          <w:ilvl w:val="0"/>
          <w:numId w:val="1240"/>
        </w:numPr>
        <w:pStyle w:val="Compact"/>
      </w:pPr>
      <w:r>
        <w:rPr>
          <w:bCs/>
          <w:b/>
        </w:rPr>
        <w:t xml:space="preserve">Origen:</w:t>
      </w:r>
      <w:r>
        <w:t xml:space="preserve"> </w:t>
      </w:r>
      <w:r>
        <w:t xml:space="preserve">presentado en 2017 por un grupo de trabajo neerlandés dirigido por Peter de Keizer (Erasmus MC, Róterdam).</w:t>
      </w:r>
    </w:p>
    <w:p>
      <w:pPr>
        <w:numPr>
          <w:ilvl w:val="0"/>
          <w:numId w:val="1240"/>
        </w:numPr>
        <w:pStyle w:val="Compact"/>
      </w:pPr>
      <w:r>
        <w:rPr>
          <w:bCs/>
          <w:b/>
        </w:rPr>
        <w:t xml:space="preserve">Mecanismo de acción:</w:t>
      </w:r>
      <w:r>
        <w:t xml:space="preserve"> </w:t>
      </w:r>
      <w:r>
        <w:rPr>
          <w:bCs/>
          <w:b/>
        </w:rPr>
        <w:t xml:space="preserve">senolítico</w:t>
      </w:r>
      <w:r>
        <w:t xml:space="preserve">: una sustancia que debería empujar de forma selectiva a las células envejecidas, llamadas senescentes, hacia la muerte celular programada, alterando la unión entre FOXO4 y la proteína protectora p53.</w:t>
      </w:r>
    </w:p>
    <w:p>
      <w:pPr>
        <w:numPr>
          <w:ilvl w:val="0"/>
          <w:numId w:val="1240"/>
        </w:numPr>
        <w:pStyle w:val="Compact"/>
      </w:pPr>
      <w:r>
        <w:rPr>
          <w:bCs/>
          <w:b/>
        </w:rPr>
        <w:t xml:space="preserve">Autorización UE:</w:t>
      </w:r>
      <w:r>
        <w:t xml:space="preserve"> </w:t>
      </w:r>
      <w:r>
        <w:t xml:space="preserve">no.</w:t>
      </w:r>
    </w:p>
    <w:p>
      <w:pPr>
        <w:numPr>
          <w:ilvl w:val="0"/>
          <w:numId w:val="1240"/>
        </w:numPr>
        <w:pStyle w:val="Compact"/>
      </w:pPr>
      <w:r>
        <w:rPr>
          <w:bCs/>
          <w:b/>
        </w:rPr>
        <w:t xml:space="preserve">Autorización EE. UU.:</w:t>
      </w:r>
      <w:r>
        <w:t xml:space="preserve"> </w:t>
      </w:r>
      <w:r>
        <w:t xml:space="preserve">no.</w:t>
      </w:r>
    </w:p>
    <w:p>
      <w:pPr>
        <w:numPr>
          <w:ilvl w:val="0"/>
          <w:numId w:val="1240"/>
        </w:numPr>
        <w:pStyle w:val="Compact"/>
      </w:pPr>
      <w:r>
        <w:rPr>
          <w:bCs/>
          <w:b/>
        </w:rPr>
        <w:t xml:space="preserve">WADA:</w:t>
      </w:r>
      <w:r>
        <w:t xml:space="preserve"> </w:t>
      </w:r>
      <w:r>
        <w:t xml:space="preserve">no figura nominalmente; como sustancia no autorizada en ningún lugar, FOXO4-DRI entra, según nuestra valoración, en la categoría general S0.</w:t>
      </w:r>
    </w:p>
    <w:p>
      <w:pPr>
        <w:numPr>
          <w:ilvl w:val="0"/>
          <w:numId w:val="1240"/>
        </w:numPr>
        <w:pStyle w:val="Compact"/>
      </w:pPr>
      <w:r>
        <w:rPr>
          <w:bCs/>
          <w:b/>
        </w:rPr>
        <w:t xml:space="preserve">Nivel de evidencia:</w:t>
      </w:r>
      <w:r>
        <w:t xml:space="preserve"> </w:t>
      </w:r>
      <w:r>
        <w:rPr>
          <w:bCs/>
          <w:b/>
        </w:rPr>
        <w:t xml:space="preserve">D</w:t>
      </w:r>
      <w:r>
        <w:t xml:space="preserve"> </w:t>
      </w:r>
      <w:r>
        <w:t xml:space="preserve">– exclusivamente estudios en animales y de laboratorio.</w:t>
      </w:r>
    </w:p>
    <w:bookmarkEnd w:id="1907"/>
    <w:bookmarkStart w:id="1913" w:name="cómo-se-supone-que-actúa-44"/>
    <w:p>
      <w:pPr>
        <w:pStyle w:val="Heading3"/>
      </w:pPr>
      <w:r>
        <w:t xml:space="preserve">Cómo se supone que actúa</w:t>
      </w:r>
    </w:p>
    <w:p>
      <w:pPr>
        <w:pStyle w:val="FirstParagraph"/>
      </w:pPr>
      <w:r>
        <w:t xml:space="preserve">Las</w:t>
      </w:r>
      <w:r>
        <w:t xml:space="preserve"> </w:t>
      </w:r>
      <w:r>
        <w:rPr>
          <w:bCs/>
          <w:b/>
        </w:rPr>
        <w:t xml:space="preserve">células senescentes</w:t>
      </w:r>
      <w:r>
        <w:t xml:space="preserve"> </w:t>
      </w:r>
      <w:r>
        <w:t xml:space="preserve">son células que, tras sufrir daños –por ejemplo por radiación, quimioterapia, estrés oxidativo o simplemente por muchas divisiones–, ya no se dividen, pero tampoco mueren. Permanecen en el tejido y liberan una mezcla de mensajeros inflamatorios y enzimas que degradan el tejido, denominada SASP (</w:t>
      </w:r>
      <w:r>
        <w:rPr>
          <w:iCs/>
          <w:i/>
        </w:rPr>
        <w:t xml:space="preserve">senescence-associated secretory phenotype</w:t>
      </w:r>
      <w:r>
        <w:t xml:space="preserve">). Con la edad aumentan en muchos órganos. En ratones en los que estas células se eliminaron de forma genética selectiva, se retrasaron diversos signos del envejecimiento. De ahí surgió la idea de los</w:t>
      </w:r>
      <w:r>
        <w:t xml:space="preserve"> </w:t>
      </w:r>
      <w:r>
        <w:rPr>
          <w:bCs/>
          <w:b/>
        </w:rPr>
        <w:t xml:space="preserve">senolíticos</w:t>
      </w:r>
      <w:r>
        <w:t xml:space="preserve">: medicamentos que eliminan las células senescentes.</w:t>
      </w:r>
    </w:p>
    <w:p>
      <w:pPr>
        <w:pStyle w:val="BodyText"/>
      </w:pPr>
      <w:r>
        <w:t xml:space="preserve">Las células senescentes sobreviven, entre otras cosas, porque suprimen programas de autodestrucción. El grupo de Róterdam descubrió que la proteína FOXO4 desempeña en ello un papel clave: retiene en el núcleo celular a la proteína p53, que de otro modo desencadenaría la muerte celular. El péptido FOXO4-DRI altera esta unión; p53 es desplazada del núcleo y la célula senescente muere. Las células sanas que se dividen con normalidad deberían quedar en gran medida a salvo</w:t>
      </w:r>
      <w:r>
        <w:rPr>
          <w:rStyle w:val="FootnoteReference"/>
        </w:rPr>
        <w:footnoteReference w:id="1908"/>
      </w:r>
      <w:r>
        <w:t xml:space="preserve">. Estudios estructurales de 2025 confirmaron que FOXO4-DRI se une a un segmento desordenado de p53, y que en la unión participa también el segmento del péptido que lo introduce en las células</w:t>
      </w:r>
      <w:r>
        <w:rPr>
          <w:rStyle w:val="FootnoteReference"/>
        </w:rPr>
        <w:footnoteReference w:id="1909"/>
      </w:r>
      <w:r>
        <w:t xml:space="preserve">.</w:t>
      </w:r>
    </w:p>
    <w:bookmarkStart w:id="1912" w:name="senolíticos-en-el-ser-humano-el-contexto"/>
    <w:p>
      <w:pPr>
        <w:pStyle w:val="Heading4"/>
      </w:pPr>
      <w:r>
        <w:t xml:space="preserve">Senolíticos en el ser humano: el contexto</w:t>
      </w:r>
    </w:p>
    <w:p>
      <w:pPr>
        <w:pStyle w:val="FirstParagraph"/>
      </w:pPr>
      <w:r>
        <w:t xml:space="preserve">FOXO4-DRI en sí nunca se ha evaluado en humanos. Para situarlo ayuda echar un vistazo a otros senolíticos que ya se han estudiado clínicamente, sobre todo la combinación del fármaco antineoplásico dasatinib y la sustancia vegetal quercetina (abreviada D+Q):</w:t>
      </w:r>
    </w:p>
    <w:p>
      <w:pPr>
        <w:numPr>
          <w:ilvl w:val="0"/>
          <w:numId w:val="1241"/>
        </w:numPr>
        <w:pStyle w:val="Compact"/>
      </w:pPr>
      <w:r>
        <w:t xml:space="preserve">En un primer estudio piloto abierto con 14 personas con fibrosis pulmonar idiopática mejoraron la distancia y la velocidad de la marcha, pero no la función pulmonar; se produjo un acontecimiento adverso grave</w:t>
      </w:r>
      <w:r>
        <w:rPr>
          <w:rStyle w:val="FootnoteReference"/>
        </w:rPr>
        <w:footnoteReference w:id="1910"/>
      </w:r>
      <w:r>
        <w:t xml:space="preserve">.</w:t>
      </w:r>
    </w:p>
    <w:p>
      <w:pPr>
        <w:numPr>
          <w:ilvl w:val="0"/>
          <w:numId w:val="1241"/>
        </w:numPr>
        <w:pStyle w:val="Compact"/>
      </w:pPr>
      <w:r>
        <w:t xml:space="preserve">En un estudio aleatorizado de fase 2 con 60 mujeres posmenopáusicas, D+Q no redujo el marcador de resorción ósea (criterio principal no alcanzado); solo en un subgrupo analizado a posteriori con muchas células senescentes se observaron efectos favorables</w:t>
      </w:r>
      <w:r>
        <w:rPr>
          <w:rStyle w:val="FootnoteReference"/>
        </w:rPr>
        <w:footnoteReference w:id="1911"/>
      </w:r>
      <w:r>
        <w:t xml:space="preserve">.</w:t>
      </w:r>
    </w:p>
    <w:p>
      <w:pPr>
        <w:pStyle w:val="FirstParagraph"/>
      </w:pPr>
      <w:r>
        <w:t xml:space="preserve">La investigación clínica sobre senolíticos está, por tanto, aún en sus inicios, y los primeros resultados controlados son modestos. Ese es el trasfondo sobre el que FOXO4-DRI se vende en internet como «péptido rejuvenecedor».</w:t>
      </w:r>
    </w:p>
    <w:bookmarkEnd w:id="1912"/>
    <w:bookmarkEnd w:id="1913"/>
    <w:bookmarkStart w:id="1915" w:name="estudios-en-humanos-44"/>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w:t>
      </w:r>
      <w:r>
        <w:t xml:space="preserve"> </w:t>
      </w:r>
      <w:r>
        <w:rPr>
          <w:bCs/>
          <w:b/>
        </w:rPr>
        <w:t xml:space="preserve">no</w:t>
      </w:r>
      <w:r>
        <w:t xml:space="preserve"> </w:t>
      </w:r>
      <w:r>
        <w:t xml:space="preserve">arrojó ningún estudio en humanos con FOXO4-DRI; en total, PubMed recoge unos 20 trabajos con el término. En ClinicalTrials.gov no hay ningún estudio registrado. Tampoco se encontraron informes de casos sobre su uso en humanos ni análisis de productos del mercado gris.</w:t>
      </w:r>
    </w:p>
    <w:p>
      <w:pPr>
        <w:pStyle w:val="BodyText"/>
      </w:pPr>
      <w:r>
        <w:t xml:space="preserve">Lo más cercano al ser humano es un estudio de laboratorio con células de cartílago humanas: en células que se habían multiplicado en el laboratorio para un trasplante de cartílago, FOXO4-DRI eliminó más de la mitad de las células muy multiplicadas (y por tanto con más frecuencia senescentes), pero no mejoró la capacidad de formar cartílago nuevo</w:t>
      </w:r>
      <w:r>
        <w:rPr>
          <w:rStyle w:val="FootnoteReference"/>
        </w:rPr>
        <w:footnoteReference w:id="1914"/>
      </w:r>
      <w:r>
        <w:t xml:space="preserve">.</w:t>
      </w:r>
    </w:p>
    <w:bookmarkEnd w:id="1915"/>
    <w:bookmarkStart w:id="1918" w:name="estudios-en-animales-y-de-laboratorio-44"/>
    <w:p>
      <w:pPr>
        <w:pStyle w:val="Heading3"/>
      </w:pPr>
      <w:r>
        <w:t xml:space="preserve">Estudios en animales y de laboratorio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Baar 2017, PMID 28340339</w:t>
            </w:r>
          </w:p>
        </w:tc>
        <w:tc>
          <w:tcPr/>
          <w:p>
            <w:pPr>
              <w:pStyle w:val="Compact"/>
              <w:jc w:val="left"/>
            </w:pPr>
            <w:r>
              <w:t xml:space="preserve">ratones de envejecimiento acelerado y envejecidos de forma natural; daños por quimioterapia</w:t>
            </w:r>
          </w:p>
        </w:tc>
        <w:tc>
          <w:tcPr/>
          <w:p>
            <w:pPr>
              <w:pStyle w:val="Compact"/>
              <w:jc w:val="left"/>
            </w:pPr>
            <w:r>
              <w:t xml:space="preserve">mejor forma física, pelaje más denso, mejor función renal; protección frente a daños por doxorrubicina</w:t>
            </w:r>
          </w:p>
        </w:tc>
      </w:tr>
      <w:tr>
        <w:tc>
          <w:tcPr/>
          <w:p>
            <w:pPr>
              <w:pStyle w:val="Compact"/>
              <w:jc w:val="left"/>
            </w:pPr>
            <w:r>
              <w:t xml:space="preserve">Zhang 2020, PMID 31959736</w:t>
            </w:r>
          </w:p>
        </w:tc>
        <w:tc>
          <w:tcPr/>
          <w:p>
            <w:pPr>
              <w:pStyle w:val="Compact"/>
              <w:jc w:val="left"/>
            </w:pPr>
            <w:r>
              <w:t xml:space="preserve">ratones envejecidos de forma natural</w:t>
            </w:r>
          </w:p>
        </w:tc>
        <w:tc>
          <w:tcPr/>
          <w:p>
            <w:pPr>
              <w:pStyle w:val="Compact"/>
              <w:jc w:val="left"/>
            </w:pPr>
            <w:r>
              <w:t xml:space="preserve">mejora de la producción de testosterona en los testículos</w:t>
            </w:r>
          </w:p>
        </w:tc>
      </w:tr>
      <w:tr>
        <w:tc>
          <w:tcPr/>
          <w:p>
            <w:pPr>
              <w:pStyle w:val="Compact"/>
              <w:jc w:val="left"/>
            </w:pPr>
            <w:r>
              <w:t xml:space="preserve">Han 2022, PMID 35510614</w:t>
            </w:r>
          </w:p>
        </w:tc>
        <w:tc>
          <w:tcPr/>
          <w:p>
            <w:pPr>
              <w:pStyle w:val="Compact"/>
              <w:jc w:val="left"/>
            </w:pPr>
            <w:r>
              <w:t xml:space="preserve">fibrosis pulmonar en ratones</w:t>
            </w:r>
          </w:p>
        </w:tc>
        <w:tc>
          <w:tcPr/>
          <w:p>
            <w:pPr>
              <w:pStyle w:val="Compact"/>
              <w:jc w:val="left"/>
            </w:pPr>
            <w:r>
              <w:t xml:space="preserve">menos cicatrización</w:t>
            </w:r>
          </w:p>
        </w:tc>
      </w:tr>
      <w:tr>
        <w:tc>
          <w:tcPr/>
          <w:p>
            <w:pPr>
              <w:pStyle w:val="Compact"/>
              <w:jc w:val="left"/>
            </w:pPr>
            <w:r>
              <w:t xml:space="preserve">Kong 2025, PMID 39994346</w:t>
            </w:r>
          </w:p>
        </w:tc>
        <w:tc>
          <w:tcPr/>
          <w:p>
            <w:pPr>
              <w:pStyle w:val="Compact"/>
              <w:jc w:val="left"/>
            </w:pPr>
            <w:r>
              <w:t xml:space="preserve">tejido queloide (cicatrices excesivas) en el laboratorio</w:t>
            </w:r>
          </w:p>
        </w:tc>
        <w:tc>
          <w:tcPr/>
          <w:p>
            <w:pPr>
              <w:pStyle w:val="Compact"/>
              <w:jc w:val="left"/>
            </w:pPr>
            <w:r>
              <w:t xml:space="preserve">más muerte celular de fibroblastos senescentes</w:t>
            </w:r>
          </w:p>
        </w:tc>
      </w:tr>
      <w:tr>
        <w:tc>
          <w:tcPr/>
          <w:p>
            <w:pPr>
              <w:pStyle w:val="Compact"/>
              <w:jc w:val="left"/>
            </w:pPr>
            <w:r>
              <w:t xml:space="preserve">Born 2023, PMID 36515093</w:t>
            </w:r>
          </w:p>
        </w:tc>
        <w:tc>
          <w:tcPr/>
          <w:p>
            <w:pPr>
              <w:pStyle w:val="Compact"/>
              <w:jc w:val="left"/>
            </w:pPr>
            <w:r>
              <w:t xml:space="preserve">modelos de hipertensión pulmonar en ratones y ratas</w:t>
            </w:r>
          </w:p>
        </w:tc>
        <w:tc>
          <w:tcPr/>
          <w:p>
            <w:pPr>
              <w:pStyle w:val="Compact"/>
              <w:jc w:val="left"/>
            </w:pPr>
            <w:r>
              <w:t xml:space="preserve">la eliminación de células senescentes, también con FOXO4-DRI,</w:t>
            </w:r>
            <w:r>
              <w:t xml:space="preserve"> </w:t>
            </w:r>
            <w:r>
              <w:rPr>
                <w:bCs/>
                <w:b/>
              </w:rPr>
              <w:t xml:space="preserve">empeoró</w:t>
            </w:r>
            <w:r>
              <w:t xml:space="preserve"> </w:t>
            </w:r>
            <w:r>
              <w:t xml:space="preserve">la circulación pulmonar</w:t>
            </w:r>
          </w:p>
        </w:tc>
      </w:tr>
    </w:tbl>
    <w:p>
      <w:pPr>
        <w:pStyle w:val="BodyText"/>
      </w:pPr>
      <w:r>
        <w:t xml:space="preserve">La primera descripción despertó gran atención: en ratones de envejecimiento acelerado y en animales envejecidos de forma natural mejoraron la forma física, el aspecto del pelaje y la función renal</w:t>
      </w:r>
      <w:r>
        <w:rPr>
          <w:rStyle w:val="FootnoteReference"/>
        </w:rPr>
        <w:footnoteReference w:id="1916"/>
      </w:r>
      <w:r>
        <w:t xml:space="preserve">. Trabajos posteriores de otros grupos, sobre todo de China, describieron efectos en los testículos, el pulmón y la piel.</w:t>
      </w:r>
    </w:p>
    <w:p>
      <w:pPr>
        <w:pStyle w:val="BodyText"/>
      </w:pPr>
      <w:r>
        <w:t xml:space="preserve">Un importante hallazgo en sentido contrario procede de la investigación cardiovascular: en modelos de hipertensión pulmonar, la eliminación de células senescentes –tanto genética como con los senolíticos ABT263 o FOXO4-DRI– empeoró la presión en la circulación pulmonar y provocó la pérdida de células endoteliales del pulmón. Los autores concluyen que los senolíticos podrían dañar los vasos pulmonares</w:t>
      </w:r>
      <w:r>
        <w:rPr>
          <w:rStyle w:val="FootnoteReference"/>
        </w:rPr>
        <w:footnoteReference w:id="1917"/>
      </w:r>
      <w:r>
        <w:t xml:space="preserve">. Esto muestra que las células senescentes no son solo un «lastre», sino que en algunos tejidos también pueden tener funciones estabilizadoras.</w:t>
      </w:r>
    </w:p>
    <w:bookmarkEnd w:id="1918"/>
    <w:bookmarkStart w:id="1921" w:name="riesgos-y-efectos-adversos-44"/>
    <w:p>
      <w:pPr>
        <w:pStyle w:val="Heading3"/>
      </w:pPr>
      <w:r>
        <w:t xml:space="preserve">Riesgos y efectos adversos</w:t>
      </w:r>
    </w:p>
    <w:p>
      <w:pPr>
        <w:pStyle w:val="FirstParagraph"/>
      </w:pPr>
      <w:r>
        <w:rPr>
          <w:bCs/>
          <w:b/>
        </w:rPr>
        <w:t xml:space="preserve">Demostrado:</w:t>
      </w:r>
      <w:r>
        <w:t xml:space="preserve"> </w:t>
      </w:r>
      <w:r>
        <w:t xml:space="preserve">Sin datos en humanos.</w:t>
      </w:r>
    </w:p>
    <w:p>
      <w:pPr>
        <w:pStyle w:val="BodyText"/>
      </w:pPr>
      <w:r>
        <w:rPr>
          <w:bCs/>
          <w:b/>
        </w:rPr>
        <w:t xml:space="preserve">Teórico, y en parte respaldado por datos en animales:</w:t>
      </w:r>
    </w:p>
    <w:p>
      <w:pPr>
        <w:numPr>
          <w:ilvl w:val="0"/>
          <w:numId w:val="1242"/>
        </w:numPr>
        <w:pStyle w:val="Compact"/>
      </w:pPr>
      <w:r>
        <w:rPr>
          <w:bCs/>
          <w:b/>
        </w:rPr>
        <w:t xml:space="preserve">Vasos y pulmón:</w:t>
      </w:r>
      <w:r>
        <w:t xml:space="preserve"> </w:t>
      </w:r>
      <w:r>
        <w:t xml:space="preserve">En el modelo animal, FOXO4-DRI empeoró una hipertensión pulmonar existente</w:t>
      </w:r>
      <w:r>
        <w:rPr>
          <w:rStyle w:val="FootnoteReference"/>
        </w:rPr>
        <w:footnoteReference w:id="1919"/>
      </w:r>
      <w:r>
        <w:t xml:space="preserve">.</w:t>
      </w:r>
    </w:p>
    <w:p>
      <w:pPr>
        <w:numPr>
          <w:ilvl w:val="0"/>
          <w:numId w:val="1242"/>
        </w:numPr>
        <w:pStyle w:val="Compact"/>
      </w:pPr>
      <w:r>
        <w:rPr>
          <w:bCs/>
          <w:b/>
        </w:rPr>
        <w:t xml:space="preserve">p53 y cáncer:</w:t>
      </w:r>
      <w:r>
        <w:t xml:space="preserve"> </w:t>
      </w:r>
      <w:r>
        <w:t xml:space="preserve">p53 es uno de los supresores tumorales más importantes del organismo. FOXO4-DRI modifica de forma selectiva dónde se encuentra p53 dentro de la célula. No se han estudiado las consecuencias a largo plazo para la defensa contra el cáncer. Los desarrolladores ven el principio, a la inversa, también como un enfoque para el tratamiento del cáncer</w:t>
      </w:r>
      <w:r>
        <w:rPr>
          <w:rStyle w:val="FootnoteReference"/>
        </w:rPr>
        <w:footnoteReference w:id="1920"/>
      </w:r>
      <w:r>
        <w:t xml:space="preserve">.</w:t>
      </w:r>
    </w:p>
    <w:p>
      <w:pPr>
        <w:numPr>
          <w:ilvl w:val="0"/>
          <w:numId w:val="1242"/>
        </w:numPr>
        <w:pStyle w:val="Compact"/>
      </w:pPr>
      <w:r>
        <w:rPr>
          <w:bCs/>
          <w:b/>
        </w:rPr>
        <w:t xml:space="preserve">Cicatrización de heridas y reparación tisular:</w:t>
      </w:r>
      <w:r>
        <w:t xml:space="preserve"> </w:t>
      </w:r>
      <w:r>
        <w:t xml:space="preserve">Las células senescentes participan también en la cicatrización de heridas y la remodelación tisular; su eliminación puede alterar estos procesos.</w:t>
      </w:r>
    </w:p>
    <w:p>
      <w:pPr>
        <w:numPr>
          <w:ilvl w:val="0"/>
          <w:numId w:val="1242"/>
        </w:numPr>
        <w:pStyle w:val="Compact"/>
      </w:pPr>
      <w:r>
        <w:rPr>
          <w:bCs/>
          <w:b/>
        </w:rPr>
        <w:t xml:space="preserve">Reacciones inmunitarias:</w:t>
      </w:r>
      <w:r>
        <w:t xml:space="preserve"> </w:t>
      </w:r>
      <w:r>
        <w:t xml:space="preserve">El péptido contiene un segmento de una proteína vírica y es relativamente grande; son concebibles reacciones inmunitarias con la administración repetida, pero no se han estudiado.</w:t>
      </w:r>
    </w:p>
    <w:p>
      <w:pPr>
        <w:pStyle w:val="FirstParagraph"/>
      </w:pPr>
      <w:r>
        <w:rPr>
          <w:bCs/>
          <w:b/>
        </w:rPr>
        <w:t xml:space="preserve">Mercado gris:</w:t>
      </w:r>
      <w:r>
        <w:t xml:space="preserve"> </w:t>
      </w:r>
      <w:r>
        <w:t xml:space="preserve">FOXO4-DRI se ofrece en internet como «senolítico» para inyección, a menudo a precios elevados. La fabricación de un péptido largo a partir de D-aminoácidos es exigente; no está comprobado si los productos vendidos tienen realmente la secuencia y la pureza correctas.</w:t>
      </w:r>
    </w:p>
    <w:bookmarkEnd w:id="1921"/>
    <w:bookmarkStart w:id="1922" w:name="situación-legal-44"/>
    <w:p>
      <w:pPr>
        <w:pStyle w:val="Heading3"/>
      </w:pPr>
      <w:r>
        <w:t xml:space="preserve">Situación legal</w:t>
      </w:r>
    </w:p>
    <w:p>
      <w:pPr>
        <w:numPr>
          <w:ilvl w:val="0"/>
          <w:numId w:val="1243"/>
        </w:numPr>
        <w:pStyle w:val="Compact"/>
      </w:pPr>
      <w:r>
        <w:rPr>
          <w:bCs/>
          <w:b/>
        </w:rPr>
        <w:t xml:space="preserve">UE / Austria / Alemania:</w:t>
      </w:r>
      <w:r>
        <w:t xml:space="preserve"> </w:t>
      </w:r>
      <w:r>
        <w:t xml:space="preserve">no autorizado; como sustancia con efecto farmacológico, FOXO4-DRI se considera medicamento, y su venta para uso en humanos no está permitida.</w:t>
      </w:r>
    </w:p>
    <w:p>
      <w:pPr>
        <w:numPr>
          <w:ilvl w:val="0"/>
          <w:numId w:val="1243"/>
        </w:numPr>
        <w:pStyle w:val="Compact"/>
      </w:pPr>
      <w:r>
        <w:rPr>
          <w:bCs/>
          <w:b/>
        </w:rPr>
        <w:t xml:space="preserve">EE. UU.:</w:t>
      </w:r>
      <w:r>
        <w:t xml:space="preserve"> </w:t>
      </w:r>
      <w:r>
        <w:t xml:space="preserve">no autorizado.</w:t>
      </w:r>
    </w:p>
    <w:p>
      <w:pPr>
        <w:numPr>
          <w:ilvl w:val="0"/>
          <w:numId w:val="1243"/>
        </w:numPr>
        <w:pStyle w:val="Compact"/>
      </w:pPr>
      <w:r>
        <w:rPr>
          <w:bCs/>
          <w:b/>
        </w:rPr>
        <w:t xml:space="preserve">Deporte:</w:t>
      </w:r>
      <w:r>
        <w:t xml:space="preserve"> </w:t>
      </w:r>
      <w:r>
        <w:t xml:space="preserve">según nuestra valoración, categoría S0 de la WADA (situación en 2026; comprueba la información actualizada).</w:t>
      </w:r>
    </w:p>
    <w:bookmarkEnd w:id="1922"/>
    <w:bookmarkStart w:id="1923" w:name="estudios-en-curso-y-perspectivas-44"/>
    <w:p>
      <w:pPr>
        <w:pStyle w:val="Heading3"/>
      </w:pPr>
      <w:r>
        <w:t xml:space="preserve">Estudios en curso y perspectivas</w:t>
      </w:r>
    </w:p>
    <w:p>
      <w:pPr>
        <w:pStyle w:val="FirstParagraph"/>
      </w:pPr>
      <w:r>
        <w:rPr>
          <w:bCs/>
          <w:b/>
        </w:rPr>
        <w:t xml:space="preserve">Confirmado:</w:t>
      </w:r>
      <w:r>
        <w:t xml:space="preserve"> </w:t>
      </w:r>
      <w:r>
        <w:t xml:space="preserve">Ningún estudio clínico registrado con FOXO4-DRI (consulta de octubre de 2026). El grupo desarrollador trabaja en perfeccionamientos del principio; los estudios clínicos con senolíticos se realizan sobre todo con otros principios activos.</w:t>
      </w:r>
    </w:p>
    <w:p>
      <w:pPr>
        <w:pStyle w:val="BodyText"/>
      </w:pPr>
      <w:r>
        <w:rPr>
          <w:bCs/>
          <w:b/>
        </w:rPr>
        <w:t xml:space="preserve">Valoración:</w:t>
      </w:r>
      <w:r>
        <w:t xml:space="preserve"> </w:t>
      </w:r>
      <w:r>
        <w:t xml:space="preserve">La investigación sobre senolíticos es uno de los campos más apasionantes de la investigación sobre el envejecimiento, pero los primeros estudios controlados en humanos fueron decepcionantes. Para FOXO4-DRI harían falta primero estudios sistemáticos de toxicidad y un primer estudio prudente en humanos, idealmente en una enfermedad claramente definida y no como «antienvejecimiento» general.</w:t>
      </w:r>
    </w:p>
    <w:bookmarkEnd w:id="1923"/>
    <w:bookmarkStart w:id="1924" w:name="conclusión-44"/>
    <w:p>
      <w:pPr>
        <w:pStyle w:val="Heading3"/>
      </w:pPr>
      <w:r>
        <w:t xml:space="preserve">Conclusión</w:t>
      </w:r>
    </w:p>
    <w:p>
      <w:pPr>
        <w:pStyle w:val="FirstParagraph"/>
      </w:pPr>
      <w:r>
        <w:t xml:space="preserve">FOXO4-DRI es un péptido artificial que en cultivos celulares y en ratones eliminó de forma selectiva células senescentes y que en animales envejecidos mejoró la forma física, el pelaje y la función renal. Nunca se ha estudiado en humanos. En modelos animales de hipertensión pulmonar, la eliminación de células senescentes con FOXO4-DRI empeoró la evolución de la enfermedad, y la intervención sobre la proteína protectora contra el cáncer p53 plantea preguntas abiertas. Los datos no bastan para valorar el beneficio ni la seguridad en el ser humano.</w:t>
      </w:r>
    </w:p>
    <w:bookmarkEnd w:id="1924"/>
    <w:bookmarkEnd w:id="1925"/>
    <w:bookmarkStart w:id="1957" w:name="glutatión"/>
    <w:p>
      <w:pPr>
        <w:pStyle w:val="Heading2"/>
      </w:pPr>
      <w:r>
        <w:t xml:space="preserve">Glutatión</w:t>
      </w:r>
    </w:p>
    <w:bookmarkStart w:id="1926" w:name="ficha-45"/>
    <w:p>
      <w:pPr>
        <w:pStyle w:val="Heading3"/>
      </w:pPr>
      <w:r>
        <w:t xml:space="preserve">Ficha</w:t>
      </w:r>
    </w:p>
    <w:p>
      <w:pPr>
        <w:numPr>
          <w:ilvl w:val="0"/>
          <w:numId w:val="1244"/>
        </w:numPr>
        <w:pStyle w:val="Compact"/>
      </w:pPr>
      <w:r>
        <w:rPr>
          <w:bCs/>
          <w:b/>
        </w:rPr>
        <w:t xml:space="preserve">Tipo y estructura:</w:t>
      </w:r>
      <w:r>
        <w:t xml:space="preserve"> </w:t>
      </w:r>
      <w:r>
        <w:t xml:space="preserve">tripéptido de tres aminoácidos: ácido glutámico, cisteína y glicina (γ-glutamil-cisteinil-glicina, abreviado GSH). La forma reducida (GSH) es la activa; en la defensa frente a la oxidación, dos moléculas se unen para formar glutatión oxidado (GSSG).</w:t>
      </w:r>
    </w:p>
    <w:p>
      <w:pPr>
        <w:numPr>
          <w:ilvl w:val="0"/>
          <w:numId w:val="1244"/>
        </w:numPr>
        <w:pStyle w:val="Compact"/>
      </w:pPr>
      <w:r>
        <w:rPr>
          <w:bCs/>
          <w:b/>
        </w:rPr>
        <w:t xml:space="preserve">Origen:</w:t>
      </w:r>
      <w:r>
        <w:t xml:space="preserve"> </w:t>
      </w:r>
      <w:r>
        <w:t xml:space="preserve">lo producen prácticamente todas las células del organismo, en especial el hígado. Como preparado se fabrica sobre todo por fermentación con levaduras.</w:t>
      </w:r>
    </w:p>
    <w:p>
      <w:pPr>
        <w:numPr>
          <w:ilvl w:val="0"/>
          <w:numId w:val="1244"/>
        </w:numPr>
        <w:pStyle w:val="Compact"/>
      </w:pPr>
      <w:r>
        <w:rPr>
          <w:bCs/>
          <w:b/>
        </w:rPr>
        <w:t xml:space="preserve">Mecanismo de acción:</w:t>
      </w:r>
      <w:r>
        <w:t xml:space="preserve"> </w:t>
      </w:r>
      <w:r>
        <w:t xml:space="preserve">la sustancia protectora propia del organismo más importante frente a la oxidación en las células; participa en la desintoxicación de medicamentos y sustancias nocivas (por ejemplo, en la degradación del paracetamol) y en la regulación de las células inmunitarias. En la piel desplaza la formación de pigmento de la melanina oscura a la más clara.</w:t>
      </w:r>
    </w:p>
    <w:p>
      <w:pPr>
        <w:numPr>
          <w:ilvl w:val="0"/>
          <w:numId w:val="1244"/>
        </w:numPr>
        <w:pStyle w:val="Compact"/>
      </w:pPr>
      <w:r>
        <w:rPr>
          <w:bCs/>
          <w:b/>
        </w:rPr>
        <w:t xml:space="preserve">Autorización UE:</w:t>
      </w:r>
      <w:r>
        <w:t xml:space="preserve"> </w:t>
      </w:r>
      <w:r>
        <w:t xml:space="preserve">ampliamente comercializado como complemento alimenticio; como medicamento inyectable, solo en algunos países para indicaciones muy delimitadas, no para aclarar la piel.</w:t>
      </w:r>
    </w:p>
    <w:p>
      <w:pPr>
        <w:numPr>
          <w:ilvl w:val="0"/>
          <w:numId w:val="1244"/>
        </w:numPr>
        <w:pStyle w:val="Compact"/>
      </w:pPr>
      <w:r>
        <w:rPr>
          <w:bCs/>
          <w:b/>
        </w:rPr>
        <w:t xml:space="preserve">Autorización EE. UU.:</w:t>
      </w:r>
      <w:r>
        <w:t xml:space="preserve"> </w:t>
      </w:r>
      <w:r>
        <w:t xml:space="preserve">ningún medicamento de glutatión autorizado por la FDA; disponible como complemento alimenticio y como fórmula magistral de farmacia.</w:t>
      </w:r>
    </w:p>
    <w:p>
      <w:pPr>
        <w:numPr>
          <w:ilvl w:val="0"/>
          <w:numId w:val="1244"/>
        </w:numPr>
        <w:pStyle w:val="Compact"/>
      </w:pPr>
      <w:r>
        <w:rPr>
          <w:bCs/>
          <w:b/>
        </w:rPr>
        <w:t xml:space="preserve">WADA:</w:t>
      </w:r>
      <w:r>
        <w:t xml:space="preserve"> </w:t>
      </w:r>
      <w:r>
        <w:t xml:space="preserve">el glutatión en sí no está prohibido. Sin embargo, las infusiones o inyecciones de más de 100 ml en un plazo de doce horas están recogidas como método prohibido (M2), salvo en el marco de un tratamiento hospitalario o de una exploración.</w:t>
      </w:r>
    </w:p>
    <w:p>
      <w:pPr>
        <w:numPr>
          <w:ilvl w:val="0"/>
          <w:numId w:val="1244"/>
        </w:numPr>
        <w:pStyle w:val="Compact"/>
      </w:pPr>
      <w:r>
        <w:rPr>
          <w:bCs/>
          <w:b/>
        </w:rPr>
        <w:t xml:space="preserve">Nivel de evidencia:</w:t>
      </w:r>
      <w:r>
        <w:t xml:space="preserve"> </w:t>
      </w:r>
      <w:r>
        <w:rPr>
          <w:bCs/>
          <w:b/>
        </w:rPr>
        <w:t xml:space="preserve">B</w:t>
      </w:r>
      <w:r>
        <w:t xml:space="preserve"> </w:t>
      </w:r>
      <w:r>
        <w:t xml:space="preserve">– numerosos estudios aleatorizados, en su mayoría pequeños, con resultados variables; ninguna autorización basada en grandes estudios con criterios de valoración clínicos.</w:t>
      </w:r>
    </w:p>
    <w:bookmarkEnd w:id="1926"/>
    <w:bookmarkStart w:id="1927" w:name="cómo-se-supone-que-actúa-45"/>
    <w:p>
      <w:pPr>
        <w:pStyle w:val="Heading3"/>
      </w:pPr>
      <w:r>
        <w:t xml:space="preserve">Cómo se supone que actúa</w:t>
      </w:r>
    </w:p>
    <w:p>
      <w:pPr>
        <w:pStyle w:val="FirstParagraph"/>
      </w:pPr>
      <w:r>
        <w:t xml:space="preserve">El glutatión es un componente completamente normal de toda célula. Capta las especies reactivas de oxígeno, ayuda a las enzimas en la desintoxicación y mantiene en su forma activa otras sustancias protectoras como las vitaminas C y E. En muchas enfermedades –por ejemplo la diabetes, las enfermedades hepáticas, el VIH, el párkinson– y con la edad, los niveles de glutatión en la sangre o los tejidos son más bajos. De ahí surgió la idea evidente de aportar glutatión desde fuera.</w:t>
      </w:r>
    </w:p>
    <w:p>
      <w:pPr>
        <w:pStyle w:val="BodyText"/>
      </w:pPr>
      <w:r>
        <w:t xml:space="preserve">Esto es más difícil de lo que parece por tres motivos:</w:t>
      </w:r>
    </w:p>
    <w:p>
      <w:pPr>
        <w:numPr>
          <w:ilvl w:val="0"/>
          <w:numId w:val="1245"/>
        </w:numPr>
        <w:pStyle w:val="Compact"/>
      </w:pPr>
      <w:r>
        <w:rPr>
          <w:bCs/>
          <w:b/>
        </w:rPr>
        <w:t xml:space="preserve">Digestión:</w:t>
      </w:r>
      <w:r>
        <w:t xml:space="preserve"> </w:t>
      </w:r>
      <w:r>
        <w:t xml:space="preserve">Como péptido, el glutatión se descompone parcialmente en el intestino; por eso durante mucho tiempo se consideró apenas eficaz por vía oral.</w:t>
      </w:r>
    </w:p>
    <w:p>
      <w:pPr>
        <w:numPr>
          <w:ilvl w:val="0"/>
          <w:numId w:val="1245"/>
        </w:numPr>
        <w:pStyle w:val="Compact"/>
      </w:pPr>
      <w:r>
        <w:rPr>
          <w:bCs/>
          <w:b/>
        </w:rPr>
        <w:t xml:space="preserve">Absorción en las células:</w:t>
      </w:r>
      <w:r>
        <w:t xml:space="preserve"> </w:t>
      </w:r>
      <w:r>
        <w:t xml:space="preserve">El glutatión se forma mayoritariamente</w:t>
      </w:r>
      <w:r>
        <w:t xml:space="preserve"> </w:t>
      </w:r>
      <w:r>
        <w:rPr>
          <w:iCs/>
          <w:i/>
        </w:rPr>
        <w:t xml:space="preserve">dentro</w:t>
      </w:r>
      <w:r>
        <w:t xml:space="preserve"> </w:t>
      </w:r>
      <w:r>
        <w:t xml:space="preserve">de las células; desde la sangre solo entra en ellas de forma limitada.</w:t>
      </w:r>
    </w:p>
    <w:p>
      <w:pPr>
        <w:numPr>
          <w:ilvl w:val="0"/>
          <w:numId w:val="1245"/>
        </w:numPr>
        <w:pStyle w:val="Compact"/>
      </w:pPr>
      <w:r>
        <w:rPr>
          <w:bCs/>
          <w:b/>
        </w:rPr>
        <w:t xml:space="preserve">Permanencia breve:</w:t>
      </w:r>
      <w:r>
        <w:t xml:space="preserve"> </w:t>
      </w:r>
      <w:r>
        <w:t xml:space="preserve">El glutatión infundido se degrada rápidamente en la sangre.</w:t>
      </w:r>
    </w:p>
    <w:p>
      <w:pPr>
        <w:pStyle w:val="FirstParagraph"/>
      </w:pPr>
      <w:r>
        <w:t xml:space="preserve">Por eso se ofrecen distintas formas de administración: cápsulas y comprimidos, glutatión</w:t>
      </w:r>
      <w:r>
        <w:t xml:space="preserve"> </w:t>
      </w:r>
      <w:r>
        <w:rPr>
          <w:bCs/>
          <w:b/>
        </w:rPr>
        <w:t xml:space="preserve">liposomal</w:t>
      </w:r>
      <w:r>
        <w:t xml:space="preserve"> </w:t>
      </w:r>
      <w:r>
        <w:t xml:space="preserve">(envuelto en vesículas de grasa), comprimidos para chupar y láminas para la mucosa bucal, aerosol nasal, cremas e</w:t>
      </w:r>
      <w:r>
        <w:t xml:space="preserve"> </w:t>
      </w:r>
      <w:r>
        <w:rPr>
          <w:bCs/>
          <w:b/>
        </w:rPr>
        <w:t xml:space="preserve">infusiones</w:t>
      </w:r>
      <w:r>
        <w:t xml:space="preserve"> </w:t>
      </w:r>
      <w:r>
        <w:t xml:space="preserve">intravenosas. Además existen precursores como la N-acetilcisteína (NAC) o la glicina más NAC, que el organismo utiliza para la síntesis propia; no son tema de este capítulo.</w:t>
      </w:r>
    </w:p>
    <w:p>
      <w:pPr>
        <w:pStyle w:val="BodyText"/>
      </w:pPr>
      <w:r>
        <w:t xml:space="preserve">Para el aclaramiento de la piel se supone otro mecanismo: en experimentos de laboratorio, el glutatión inhibe la enzima tirosinasa y desvía la formación de pigmento de la eumelanina oscura hacia la feomelanina, más clara.</w:t>
      </w:r>
    </w:p>
    <w:bookmarkEnd w:id="1927"/>
    <w:bookmarkStart w:id="1947" w:name="estudios-en-humanos-45"/>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161 publicaciones clasificadas como estudios en humanos, además de 15 revisiones y metaanálisis. En ClinicalTrials.gov había registrados 273 estudios. Ambas cifras sobrestiman claramente los datos directos: muchos resultados solo miden el glutatión como valor de laboratorio (por ejemplo con selenio, vitaminas, deporte o NAC) o se refieren a la enzima glutatión-S-transferasa. Los estudios en los que se administró el propio glutatión son una minoría, aunque aun así unas cuantas docenas.</w:t>
      </w:r>
    </w:p>
    <w:bookmarkStart w:id="1931" w:name="llega-realmente-el-glutatión-ingerido"/>
    <w:p>
      <w:pPr>
        <w:pStyle w:val="Heading4"/>
      </w:pPr>
      <w:r>
        <w:t xml:space="preserve">¿Llega realmente el glutatión ingerido?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Allen 2011, PMID 21875351</w:t>
            </w:r>
          </w:p>
        </w:tc>
        <w:tc>
          <w:tcPr/>
          <w:p>
            <w:pPr>
              <w:pStyle w:val="Compact"/>
              <w:jc w:val="left"/>
            </w:pPr>
            <w:r>
              <w:t xml:space="preserve">40 personas sanas, cápsulas frente a placebo, doble ciego</w:t>
            </w:r>
          </w:p>
        </w:tc>
        <w:tc>
          <w:tcPr/>
          <w:p>
            <w:pPr>
              <w:pStyle w:val="Compact"/>
              <w:jc w:val="left"/>
            </w:pPr>
            <w:r>
              <w:t xml:space="preserve">4 semanas</w:t>
            </w:r>
          </w:p>
        </w:tc>
        <w:tc>
          <w:tcPr/>
          <w:p>
            <w:pPr>
              <w:pStyle w:val="Compact"/>
              <w:jc w:val="left"/>
            </w:pPr>
            <w:r>
              <w:t xml:space="preserve">sin cambios en los niveles de glutatión ni en los marcadores de oxidación</w:t>
            </w:r>
          </w:p>
        </w:tc>
      </w:tr>
      <w:tr>
        <w:tc>
          <w:tcPr/>
          <w:p>
            <w:pPr>
              <w:pStyle w:val="Compact"/>
              <w:jc w:val="left"/>
            </w:pPr>
            <w:r>
              <w:t xml:space="preserve">Richie 2015, PMID 24791752</w:t>
            </w:r>
          </w:p>
        </w:tc>
        <w:tc>
          <w:tcPr/>
          <w:p>
            <w:pPr>
              <w:pStyle w:val="Compact"/>
              <w:jc w:val="left"/>
            </w:pPr>
            <w:r>
              <w:t xml:space="preserve">54 personas sanas, dos dosis frente a placebo, doble ciego</w:t>
            </w:r>
          </w:p>
        </w:tc>
        <w:tc>
          <w:tcPr/>
          <w:p>
            <w:pPr>
              <w:pStyle w:val="Compact"/>
              <w:jc w:val="left"/>
            </w:pPr>
            <w:r>
              <w:t xml:space="preserve">6 meses</w:t>
            </w:r>
          </w:p>
        </w:tc>
        <w:tc>
          <w:tcPr/>
          <w:p>
            <w:pPr>
              <w:pStyle w:val="Compact"/>
              <w:jc w:val="left"/>
            </w:pPr>
            <w:r>
              <w:t xml:space="preserve">niveles en células sanguíneas y plasma un 30–35 % más altos (dosis alta); vuelta al valor inicial tras la suspensión</w:t>
            </w:r>
          </w:p>
        </w:tc>
      </w:tr>
      <w:tr>
        <w:tc>
          <w:tcPr/>
          <w:p>
            <w:pPr>
              <w:pStyle w:val="Compact"/>
              <w:jc w:val="left"/>
            </w:pPr>
            <w:r>
              <w:t xml:space="preserve">Sinha 2018, PMID 28853742</w:t>
            </w:r>
          </w:p>
        </w:tc>
        <w:tc>
          <w:tcPr/>
          <w:p>
            <w:pPr>
              <w:pStyle w:val="Compact"/>
              <w:jc w:val="left"/>
            </w:pPr>
            <w:r>
              <w:t xml:space="preserve">12 personas sanas, glutatión liposomal, sin placebo</w:t>
            </w:r>
          </w:p>
        </w:tc>
        <w:tc>
          <w:tcPr/>
          <w:p>
            <w:pPr>
              <w:pStyle w:val="Compact"/>
              <w:jc w:val="left"/>
            </w:pPr>
            <w:r>
              <w:t xml:space="preserve">4 semanas</w:t>
            </w:r>
          </w:p>
        </w:tc>
        <w:tc>
          <w:tcPr/>
          <w:p>
            <w:pPr>
              <w:pStyle w:val="Compact"/>
              <w:jc w:val="left"/>
            </w:pPr>
            <w:r>
              <w:t xml:space="preserve">niveles en sangre total hasta un 40 % más altos, en células inmunitarias hasta un 100 %</w:t>
            </w:r>
          </w:p>
        </w:tc>
      </w:tr>
      <w:tr>
        <w:tc>
          <w:tcPr/>
          <w:p>
            <w:pPr>
              <w:pStyle w:val="Compact"/>
              <w:jc w:val="left"/>
            </w:pPr>
            <w:r>
              <w:t xml:space="preserve">Schmitt 2015, PMID 26262996</w:t>
            </w:r>
          </w:p>
        </w:tc>
        <w:tc>
          <w:tcPr/>
          <w:p>
            <w:pPr>
              <w:pStyle w:val="Compact"/>
              <w:jc w:val="left"/>
            </w:pPr>
            <w:r>
              <w:t xml:space="preserve">20 personas con síndrome metabólico, cruzado: cápsula, forma sublingual, NAC</w:t>
            </w:r>
          </w:p>
        </w:tc>
        <w:tc>
          <w:tcPr/>
          <w:p>
            <w:pPr>
              <w:pStyle w:val="Compact"/>
              <w:jc w:val="left"/>
            </w:pPr>
            <w:r>
              <w:t xml:space="preserve">3 semanas cada fase</w:t>
            </w:r>
          </w:p>
        </w:tc>
        <w:tc>
          <w:tcPr/>
          <w:p>
            <w:pPr>
              <w:pStyle w:val="Compact"/>
              <w:jc w:val="left"/>
            </w:pPr>
            <w:r>
              <w:t xml:space="preserve">la forma sublingual aumentó los niveles plasmáticos más que las cápsulas</w:t>
            </w:r>
          </w:p>
        </w:tc>
      </w:tr>
      <w:tr>
        <w:tc>
          <w:tcPr/>
          <w:p>
            <w:pPr>
              <w:pStyle w:val="Compact"/>
              <w:jc w:val="left"/>
            </w:pPr>
            <w:r>
              <w:t xml:space="preserve">Jung 2026, PMID 42392376</w:t>
            </w:r>
          </w:p>
        </w:tc>
        <w:tc>
          <w:tcPr/>
          <w:p>
            <w:pPr>
              <w:pStyle w:val="Compact"/>
              <w:jc w:val="left"/>
            </w:pPr>
            <w:r>
              <w:t xml:space="preserve">personas sanas, lámina bucodispersable frente a comprimido</w:t>
            </w:r>
          </w:p>
        </w:tc>
        <w:tc>
          <w:tcPr/>
          <w:p>
            <w:pPr>
              <w:pStyle w:val="Compact"/>
              <w:jc w:val="left"/>
            </w:pPr>
            <w:r>
              <w:t xml:space="preserve">dosis única y 4 semanas</w:t>
            </w:r>
          </w:p>
        </w:tc>
        <w:tc>
          <w:tcPr/>
          <w:p>
            <w:pPr>
              <w:pStyle w:val="Compact"/>
              <w:jc w:val="left"/>
            </w:pPr>
            <w:r>
              <w:t xml:space="preserve">ambas formas aumentaron los niveles en sangre; sin cambios en los marcadores de oxidación</w:t>
            </w:r>
          </w:p>
        </w:tc>
      </w:tr>
    </w:tbl>
    <w:p>
      <w:pPr>
        <w:pStyle w:val="BodyText"/>
      </w:pPr>
      <w:r>
        <w:t xml:space="preserve">La cuestión fue controvertida durante mucho tiempo. Un estudio breve con 40 personas sanas no encontró ningún cambio a las cuatro semanas</w:t>
      </w:r>
      <w:r>
        <w:rPr>
          <w:rStyle w:val="FootnoteReference"/>
        </w:rPr>
        <w:footnoteReference w:id="1928"/>
      </w:r>
      <w:r>
        <w:t xml:space="preserve">. Un estudio más largo, también doble ciego, con 54 personas sanas encontró en cambio a los seis meses niveles de glutatión más altos, de forma dependiente de la dosis, en la sangre, las células sanguíneas y la mucosa bucal; un mes después de la suspensión, los valores habían vuelto al nivel inicial</w:t>
      </w:r>
      <w:r>
        <w:rPr>
          <w:rStyle w:val="FootnoteReference"/>
        </w:rPr>
        <w:footnoteReference w:id="1929"/>
      </w:r>
      <w:r>
        <w:t xml:space="preserve">. Un pequeño estudio piloto sin grupo placebo informó de aumentos con glutatión liposomal ya al cabo de una a dos semanas</w:t>
      </w:r>
      <w:r>
        <w:rPr>
          <w:rStyle w:val="FootnoteReference"/>
        </w:rPr>
        <w:footnoteReference w:id="1930"/>
      </w:r>
      <w:r>
        <w:t xml:space="preserve">.</w:t>
      </w:r>
    </w:p>
    <w:p>
      <w:pPr>
        <w:pStyle w:val="BodyText"/>
      </w:pPr>
      <w:r>
        <w:t xml:space="preserve">En resumen: el glutatión ingerido puede elevar de forma medible los niveles en sangre, probablemente en función de la dosis, la duración y la forma de administración. Si unos niveles más altos en sangre conducen también a un beneficio para la salud es otra cuestión.</w:t>
      </w:r>
    </w:p>
    <w:bookmarkEnd w:id="1931"/>
    <w:bookmarkStart w:id="1939" w:name="estudios-relacionados-con-enfermedades"/>
    <w:p>
      <w:pPr>
        <w:pStyle w:val="Heading4"/>
      </w:pPr>
      <w:r>
        <w:t xml:space="preserve">Estudios relacionados con enfermedades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Leal 2014, PMID 24619793</w:t>
            </w:r>
          </w:p>
        </w:tc>
        <w:tc>
          <w:tcPr/>
          <w:p>
            <w:pPr>
              <w:pStyle w:val="Compact"/>
              <w:jc w:val="left"/>
            </w:pPr>
            <w:r>
              <w:t xml:space="preserve">185 pacientes con cáncer en tratamiento con paclitaxel/carboplatino, infusión frente a placebo, fase 3</w:t>
            </w:r>
          </w:p>
        </w:tc>
        <w:tc>
          <w:tcPr/>
          <w:p>
            <w:pPr>
              <w:pStyle w:val="Compact"/>
              <w:jc w:val="left"/>
            </w:pPr>
            <w:r>
              <w:t xml:space="preserve">duración de la quimioterapia</w:t>
            </w:r>
          </w:p>
        </w:tc>
        <w:tc>
          <w:tcPr/>
          <w:p>
            <w:pPr>
              <w:pStyle w:val="Compact"/>
              <w:jc w:val="left"/>
            </w:pPr>
            <w:r>
              <w:rPr>
                <w:bCs/>
                <w:b/>
              </w:rPr>
              <w:t xml:space="preserve">ninguna</w:t>
            </w:r>
            <w:r>
              <w:t xml:space="preserve"> </w:t>
            </w:r>
            <w:r>
              <w:t xml:space="preserve">reducción del daño nervioso por la quimioterapia</w:t>
            </w:r>
          </w:p>
        </w:tc>
      </w:tr>
      <w:tr>
        <w:tc>
          <w:tcPr/>
          <w:p>
            <w:pPr>
              <w:pStyle w:val="Compact"/>
              <w:jc w:val="left"/>
            </w:pPr>
            <w:r>
              <w:t xml:space="preserve">Hauser 2009, PMID 19230029</w:t>
            </w:r>
          </w:p>
        </w:tc>
        <w:tc>
          <w:tcPr/>
          <w:p>
            <w:pPr>
              <w:pStyle w:val="Compact"/>
              <w:jc w:val="left"/>
            </w:pPr>
            <w:r>
              <w:t xml:space="preserve">21 personas con párkinson, infusión frente a placebo</w:t>
            </w:r>
          </w:p>
        </w:tc>
        <w:tc>
          <w:tcPr/>
          <w:p>
            <w:pPr>
              <w:pStyle w:val="Compact"/>
              <w:jc w:val="left"/>
            </w:pPr>
            <w:r>
              <w:t xml:space="preserve">4 semanas</w:t>
            </w:r>
          </w:p>
        </w:tc>
        <w:tc>
          <w:tcPr/>
          <w:p>
            <w:pPr>
              <w:pStyle w:val="Compact"/>
              <w:jc w:val="left"/>
            </w:pPr>
            <w:r>
              <w:t xml:space="preserve">sin diferencia significativa en la escala de párkinson</w:t>
            </w:r>
          </w:p>
        </w:tc>
      </w:tr>
      <w:tr>
        <w:tc>
          <w:tcPr/>
          <w:p>
            <w:pPr>
              <w:pStyle w:val="Compact"/>
              <w:jc w:val="left"/>
            </w:pPr>
            <w:r>
              <w:t xml:space="preserve">Mischley 2017, PMID 28436395</w:t>
            </w:r>
          </w:p>
        </w:tc>
        <w:tc>
          <w:tcPr/>
          <w:p>
            <w:pPr>
              <w:pStyle w:val="Compact"/>
              <w:jc w:val="left"/>
            </w:pPr>
            <w:r>
              <w:t xml:space="preserve">45 personas con párkinson, aerosol nasal en dos dosis frente a placebo</w:t>
            </w:r>
          </w:p>
        </w:tc>
        <w:tc>
          <w:tcPr/>
          <w:p>
            <w:pPr>
              <w:pStyle w:val="Compact"/>
              <w:jc w:val="left"/>
            </w:pPr>
            <w:r>
              <w:t xml:space="preserve">3 meses</w:t>
            </w:r>
          </w:p>
        </w:tc>
        <w:tc>
          <w:tcPr/>
          <w:p>
            <w:pPr>
              <w:pStyle w:val="Compact"/>
              <w:jc w:val="left"/>
            </w:pPr>
            <w:r>
              <w:t xml:space="preserve">todos los grupos mejoraron; el glutatión no fue mejor que el placebo</w:t>
            </w:r>
          </w:p>
        </w:tc>
      </w:tr>
      <w:tr>
        <w:tc>
          <w:tcPr/>
          <w:p>
            <w:pPr>
              <w:pStyle w:val="Compact"/>
              <w:jc w:val="left"/>
            </w:pPr>
            <w:r>
              <w:t xml:space="preserve">Bozic 2020, PMID 32960827</w:t>
            </w:r>
          </w:p>
        </w:tc>
        <w:tc>
          <w:tcPr/>
          <w:p>
            <w:pPr>
              <w:pStyle w:val="Compact"/>
              <w:jc w:val="left"/>
            </w:pPr>
            <w:r>
              <w:t xml:space="preserve">58 niños con fibrosis quística, cápsulas frente a placebo</w:t>
            </w:r>
          </w:p>
        </w:tc>
        <w:tc>
          <w:tcPr/>
          <w:p>
            <w:pPr>
              <w:pStyle w:val="Compact"/>
              <w:jc w:val="left"/>
            </w:pPr>
            <w:r>
              <w:t xml:space="preserve">24 semanas</w:t>
            </w:r>
          </w:p>
        </w:tc>
        <w:tc>
          <w:tcPr/>
          <w:p>
            <w:pPr>
              <w:pStyle w:val="Compact"/>
              <w:jc w:val="left"/>
            </w:pPr>
            <w:r>
              <w:t xml:space="preserve">sin efecto en el crecimiento ni en los marcadores de inflamación</w:t>
            </w:r>
          </w:p>
        </w:tc>
      </w:tr>
      <w:tr>
        <w:tc>
          <w:tcPr/>
          <w:p>
            <w:pPr>
              <w:pStyle w:val="Compact"/>
              <w:jc w:val="left"/>
            </w:pPr>
            <w:r>
              <w:t xml:space="preserve">Søndergård 2021, PMID 33740389</w:t>
            </w:r>
          </w:p>
        </w:tc>
        <w:tc>
          <w:tcPr/>
          <w:p>
            <w:pPr>
              <w:pStyle w:val="Compact"/>
              <w:jc w:val="left"/>
            </w:pPr>
            <w:r>
              <w:t xml:space="preserve">20 hombres con sobrepeso con y sin diabetes de tipo 2, frente a placebo</w:t>
            </w:r>
          </w:p>
        </w:tc>
        <w:tc>
          <w:tcPr/>
          <w:p>
            <w:pPr>
              <w:pStyle w:val="Compact"/>
              <w:jc w:val="left"/>
            </w:pPr>
            <w:r>
              <w:t xml:space="preserve">3 semanas</w:t>
            </w:r>
          </w:p>
        </w:tc>
        <w:tc>
          <w:tcPr/>
          <w:p>
            <w:pPr>
              <w:pStyle w:val="Compact"/>
              <w:jc w:val="left"/>
            </w:pPr>
            <w:r>
              <w:t xml:space="preserve">sensibilidad a la insulina mejorada; marcadores de oxidación sin cambios</w:t>
            </w:r>
          </w:p>
        </w:tc>
      </w:tr>
      <w:tr>
        <w:tc>
          <w:tcPr/>
          <w:p>
            <w:pPr>
              <w:pStyle w:val="Compact"/>
              <w:jc w:val="left"/>
            </w:pPr>
            <w:r>
              <w:t xml:space="preserve">Honda 2017, PMID 28789631</w:t>
            </w:r>
          </w:p>
        </w:tc>
        <w:tc>
          <w:tcPr/>
          <w:p>
            <w:pPr>
              <w:pStyle w:val="Compact"/>
              <w:jc w:val="left"/>
            </w:pPr>
            <w:r>
              <w:t xml:space="preserve">34 personas con hígado graso, abierto, sin grupo de control</w:t>
            </w:r>
          </w:p>
        </w:tc>
        <w:tc>
          <w:tcPr/>
          <w:p>
            <w:pPr>
              <w:pStyle w:val="Compact"/>
              <w:jc w:val="left"/>
            </w:pPr>
            <w:r>
              <w:t xml:space="preserve">4 meses</w:t>
            </w:r>
          </w:p>
        </w:tc>
        <w:tc>
          <w:tcPr/>
          <w:p>
            <w:pPr>
              <w:pStyle w:val="Compact"/>
              <w:jc w:val="left"/>
            </w:pPr>
            <w:r>
              <w:t xml:space="preserve">descenso del valor hepático ALT</w:t>
            </w:r>
          </w:p>
        </w:tc>
      </w:tr>
      <w:tr>
        <w:tc>
          <w:tcPr/>
          <w:p>
            <w:pPr>
              <w:pStyle w:val="Compact"/>
              <w:jc w:val="left"/>
            </w:pPr>
            <w:r>
              <w:t xml:space="preserve">Arrivi 2023, PMID 36083043</w:t>
            </w:r>
          </w:p>
        </w:tc>
        <w:tc>
          <w:tcPr/>
          <w:p>
            <w:pPr>
              <w:pStyle w:val="Compact"/>
              <w:jc w:val="left"/>
            </w:pPr>
            <w:r>
              <w:t xml:space="preserve">100 personas con infarto de miocardio, infusión frente a placebo (análisis posterior)</w:t>
            </w:r>
          </w:p>
        </w:tc>
        <w:tc>
          <w:tcPr/>
          <w:p>
            <w:pPr>
              <w:pStyle w:val="Compact"/>
              <w:jc w:val="left"/>
            </w:pPr>
            <w:r>
              <w:t xml:space="preserve">estancia hospitalaria</w:t>
            </w:r>
          </w:p>
        </w:tc>
        <w:tc>
          <w:tcPr/>
          <w:p>
            <w:pPr>
              <w:pStyle w:val="Compact"/>
              <w:jc w:val="left"/>
            </w:pPr>
            <w:r>
              <w:t xml:space="preserve">estancia de 8,6 en lugar de 10,8 días</w:t>
            </w:r>
          </w:p>
        </w:tc>
      </w:tr>
    </w:tbl>
    <w:p>
      <w:pPr>
        <w:pStyle w:val="BodyText"/>
      </w:pPr>
      <w:r>
        <w:t xml:space="preserve">El panorama es decepcionante: el estudio más grande y metodológicamente más sólido –un estudio de fase 3 con 185 pacientes con cáncer– no encontró protección frente al daño nervioso causado por la quimioterapia; en algunos objetivos secundarios, el placebo obtuvo incluso mejores resultados</w:t>
      </w:r>
      <w:r>
        <w:rPr>
          <w:rStyle w:val="FootnoteReference"/>
        </w:rPr>
        <w:footnoteReference w:id="1932"/>
      </w:r>
      <w:r>
        <w:t xml:space="preserve">. En el párkinson, el glutatión no fue mejor que el placebo ni en infusión</w:t>
      </w:r>
      <w:r>
        <w:rPr>
          <w:rStyle w:val="FootnoteReference"/>
        </w:rPr>
        <w:footnoteReference w:id="1933"/>
      </w:r>
      <w:r>
        <w:t xml:space="preserve"> </w:t>
      </w:r>
      <w:r>
        <w:t xml:space="preserve">ni en aerosol nasal; en el estudio con aerosol nasal, una persona con la dosis más alta desarrolló una enfermedad del músculo cardiaco</w:t>
      </w:r>
      <w:r>
        <w:rPr>
          <w:rStyle w:val="FootnoteReference"/>
        </w:rPr>
        <w:footnoteReference w:id="1934"/>
      </w:r>
      <w:r>
        <w:t xml:space="preserve">. En niños con fibrosis quística, el crecimiento no se vio influido</w:t>
      </w:r>
      <w:r>
        <w:rPr>
          <w:rStyle w:val="FootnoteReference"/>
        </w:rPr>
        <w:footnoteReference w:id="1935"/>
      </w:r>
      <w:r>
        <w:t xml:space="preserve">.</w:t>
      </w:r>
    </w:p>
    <w:p>
      <w:pPr>
        <w:pStyle w:val="BodyText"/>
      </w:pPr>
      <w:r>
        <w:t xml:space="preserve">Las señales positivas proceden de estudios pequeños: en 20 hombres con sobrepeso mejoró la sensibilidad a la insulina al cabo de tres semanas</w:t>
      </w:r>
      <w:r>
        <w:rPr>
          <w:rStyle w:val="FootnoteReference"/>
        </w:rPr>
        <w:footnoteReference w:id="1936"/>
      </w:r>
      <w:r>
        <w:t xml:space="preserve">; en el hígado graso bajaron los valores hepáticos en un estudio no controlado</w:t>
      </w:r>
      <w:r>
        <w:rPr>
          <w:rStyle w:val="FootnoteReference"/>
        </w:rPr>
        <w:footnoteReference w:id="1937"/>
      </w:r>
      <w:r>
        <w:t xml:space="preserve">; tras un infarto de miocardio, la estancia hospitalaria fue más corta en un análisis posterior</w:t>
      </w:r>
      <w:r>
        <w:rPr>
          <w:rStyle w:val="FootnoteReference"/>
        </w:rPr>
        <w:footnoteReference w:id="1938"/>
      </w:r>
      <w:r>
        <w:t xml:space="preserve">. Ninguno de estos hallazgos se ha confirmado hasta ahora en un estudio de mayor tamaño.</w:t>
      </w:r>
    </w:p>
    <w:bookmarkEnd w:id="1939"/>
    <w:bookmarkStart w:id="1946" w:name="X68437039b45aaaf103299937990192873011ad6"/>
    <w:p>
      <w:pPr>
        <w:pStyle w:val="Heading4"/>
      </w:pPr>
      <w:r>
        <w:t xml:space="preserve">Aclaramiento de la piel: oral, tópico, intravenoso</w:t>
      </w:r>
    </w:p>
    <w:p>
      <w:pPr>
        <w:pStyle w:val="FirstParagraph"/>
      </w:pPr>
      <w:r>
        <w:t xml:space="preserve">En partes de Asia, de África y cada vez más también en Europa, el glutatión se comercializa sobre todo como «aclarador de la piel»: en cápsulas, cremas y en forma de infusiones en clínicas de belleza.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Arjinpathana 2012, PMID 20524875</w:t>
            </w:r>
          </w:p>
        </w:tc>
        <w:tc>
          <w:tcPr/>
          <w:p>
            <w:pPr>
              <w:pStyle w:val="Compact"/>
              <w:jc w:val="left"/>
            </w:pPr>
            <w:r>
              <w:t xml:space="preserve">60 estudiantes de medicina en Tailandia, cápsulas frente a placebo</w:t>
            </w:r>
          </w:p>
        </w:tc>
        <w:tc>
          <w:tcPr/>
          <w:p>
            <w:pPr>
              <w:pStyle w:val="Compact"/>
              <w:jc w:val="left"/>
            </w:pPr>
            <w:r>
              <w:t xml:space="preserve">4 semanas</w:t>
            </w:r>
          </w:p>
        </w:tc>
        <w:tc>
          <w:tcPr/>
          <w:p>
            <w:pPr>
              <w:pStyle w:val="Compact"/>
              <w:jc w:val="left"/>
            </w:pPr>
            <w:r>
              <w:t xml:space="preserve">índice de melanina más reducido en 2 de 6 puntos de medición</w:t>
            </w:r>
          </w:p>
        </w:tc>
      </w:tr>
      <w:tr>
        <w:tc>
          <w:tcPr/>
          <w:p>
            <w:pPr>
              <w:pStyle w:val="Compact"/>
              <w:jc w:val="left"/>
            </w:pPr>
            <w:r>
              <w:t xml:space="preserve">Weschawalit 2017, PMID 28490897</w:t>
            </w:r>
          </w:p>
        </w:tc>
        <w:tc>
          <w:tcPr/>
          <w:p>
            <w:pPr>
              <w:pStyle w:val="Compact"/>
              <w:jc w:val="left"/>
            </w:pPr>
            <w:r>
              <w:t xml:space="preserve">mujeres sanas, glutatión reducido u oxidado frente a placebo</w:t>
            </w:r>
          </w:p>
        </w:tc>
        <w:tc>
          <w:tcPr/>
          <w:p>
            <w:pPr>
              <w:pStyle w:val="Compact"/>
              <w:jc w:val="left"/>
            </w:pPr>
            <w:r>
              <w:t xml:space="preserve">12 semanas</w:t>
            </w:r>
          </w:p>
        </w:tc>
        <w:tc>
          <w:tcPr/>
          <w:p>
            <w:pPr>
              <w:pStyle w:val="Compact"/>
              <w:jc w:val="left"/>
            </w:pPr>
            <w:r>
              <w:t xml:space="preserve">índice de melanina con tendencia a ser menor; en parte menos arrugas</w:t>
            </w:r>
          </w:p>
        </w:tc>
      </w:tr>
      <w:tr>
        <w:tc>
          <w:tcPr/>
          <w:p>
            <w:pPr>
              <w:pStyle w:val="Compact"/>
              <w:jc w:val="left"/>
            </w:pPr>
            <w:r>
              <w:t xml:space="preserve">Handog 2016, PMID 26148180</w:t>
            </w:r>
          </w:p>
        </w:tc>
        <w:tc>
          <w:tcPr/>
          <w:p>
            <w:pPr>
              <w:pStyle w:val="Compact"/>
              <w:jc w:val="left"/>
            </w:pPr>
            <w:r>
              <w:t xml:space="preserve">30 mujeres en Filipinas, comprimido para chupar, sin grupo de control</w:t>
            </w:r>
          </w:p>
        </w:tc>
        <w:tc>
          <w:tcPr/>
          <w:p>
            <w:pPr>
              <w:pStyle w:val="Compact"/>
              <w:jc w:val="left"/>
            </w:pPr>
            <w:r>
              <w:t xml:space="preserve">8 semanas</w:t>
            </w:r>
          </w:p>
        </w:tc>
        <w:tc>
          <w:tcPr/>
          <w:p>
            <w:pPr>
              <w:pStyle w:val="Compact"/>
              <w:jc w:val="left"/>
            </w:pPr>
            <w:r>
              <w:t xml:space="preserve">descenso del índice de melanina</w:t>
            </w:r>
          </w:p>
        </w:tc>
      </w:tr>
      <w:tr>
        <w:tc>
          <w:tcPr/>
          <w:p>
            <w:pPr>
              <w:pStyle w:val="Compact"/>
              <w:jc w:val="left"/>
            </w:pPr>
            <w:r>
              <w:t xml:space="preserve">Wahab 2021, PMID 33871071</w:t>
            </w:r>
          </w:p>
        </w:tc>
        <w:tc>
          <w:tcPr/>
          <w:p>
            <w:pPr>
              <w:pStyle w:val="Compact"/>
              <w:jc w:val="left"/>
            </w:pPr>
            <w:r>
              <w:t xml:space="preserve">46 personas, combinación de crema y cápsula frente a placebo</w:t>
            </w:r>
          </w:p>
        </w:tc>
        <w:tc>
          <w:tcPr/>
          <w:p>
            <w:pPr>
              <w:pStyle w:val="Compact"/>
              <w:jc w:val="left"/>
            </w:pPr>
            <w:r>
              <w:t xml:space="preserve">8 semanas</w:t>
            </w:r>
          </w:p>
        </w:tc>
        <w:tc>
          <w:tcPr/>
          <w:p>
            <w:pPr>
              <w:pStyle w:val="Compact"/>
              <w:jc w:val="left"/>
            </w:pPr>
            <w:r>
              <w:t xml:space="preserve">la combinación posiblemente más eficaz que el uso por separado</w:t>
            </w:r>
          </w:p>
        </w:tc>
      </w:tr>
    </w:tbl>
    <w:p>
      <w:pPr>
        <w:pStyle w:val="BodyText"/>
      </w:pPr>
      <w:r>
        <w:rPr>
          <w:bCs/>
          <w:b/>
        </w:rPr>
        <w:t xml:space="preserve">Oral y tópico:</w:t>
      </w:r>
      <w:r>
        <w:t xml:space="preserve"> </w:t>
      </w:r>
      <w:r>
        <w:t xml:space="preserve">Varios pequeños estudios aleatorizados muestran un ligero aclaramiento, sobre todo en zonas expuestas al sol. En el primer estudio, el efecto solo fue estadísticamente significativo en dos de seis puntos de medición</w:t>
      </w:r>
      <w:r>
        <w:rPr>
          <w:rStyle w:val="FootnoteReference"/>
        </w:rPr>
        <w:footnoteReference w:id="1940"/>
      </w:r>
      <w:r>
        <w:t xml:space="preserve">. Una revisión sistemática concluyó en 2019 que las pruebas «aún no son concluyentes» debido a la calidad de los estudios y a hallazgos contradictorios</w:t>
      </w:r>
      <w:r>
        <w:rPr>
          <w:rStyle w:val="FootnoteReference"/>
        </w:rPr>
        <w:footnoteReference w:id="1941"/>
      </w:r>
      <w:r>
        <w:t xml:space="preserve">. Una revisión más reciente valora las cremas y las cápsulas como moderadamente eficaces, con efectos que no se mantienen tras la suspensión</w:t>
      </w:r>
      <w:r>
        <w:rPr>
          <w:rStyle w:val="FootnoteReference"/>
        </w:rPr>
        <w:footnoteReference w:id="1942"/>
      </w:r>
      <w:r>
        <w:t xml:space="preserve">.</w:t>
      </w:r>
    </w:p>
    <w:p>
      <w:pPr>
        <w:pStyle w:val="BodyText"/>
      </w:pPr>
      <w:r>
        <w:rPr>
          <w:bCs/>
          <w:b/>
        </w:rPr>
        <w:t xml:space="preserve">Intravenoso:</w:t>
      </w:r>
      <w:r>
        <w:t xml:space="preserve"> </w:t>
      </w:r>
      <w:r>
        <w:t xml:space="preserve">Para las infusiones destinadas a aclarar la piel solo existe, según la misma revisión, un estudio controlado con placebo, que no encontró diferencias significativas (37,5 % frente a 18,7 %, p = 0,054). Las autoras y los autores consideran el glutatión intravenoso para aclarar la piel</w:t>
      </w:r>
      <w:r>
        <w:t xml:space="preserve"> </w:t>
      </w:r>
      <w:r>
        <w:rPr>
          <w:bCs/>
          <w:b/>
        </w:rPr>
        <w:t xml:space="preserve">contraindicado</w:t>
      </w:r>
      <w:r>
        <w:t xml:space="preserve">, es decir, no justificable, por la falta de eficacia y por sus efectos adversos</w:t>
      </w:r>
      <w:r>
        <w:rPr>
          <w:rStyle w:val="FootnoteReference"/>
        </w:rPr>
        <w:footnoteReference w:id="1943"/>
      </w:r>
      <w:r>
        <w:t xml:space="preserve">. Una revisión sudafricana no encontró ni un solo estudio sobre la seguridad de infusiones repetidas para ninguna aplicación</w:t>
      </w:r>
      <w:r>
        <w:rPr>
          <w:rStyle w:val="FootnoteReference"/>
        </w:rPr>
        <w:footnoteReference w:id="1944"/>
      </w:r>
      <w:r>
        <w:t xml:space="preserve">. En el British Medical Journal, esta práctica se criticó como «blanqueamiento no ético»</w:t>
      </w:r>
      <w:r>
        <w:rPr>
          <w:rStyle w:val="FootnoteReference"/>
        </w:rPr>
        <w:footnoteReference w:id="1945"/>
      </w:r>
      <w:r>
        <w:t xml:space="preserve">.</w:t>
      </w:r>
    </w:p>
    <w:bookmarkEnd w:id="1946"/>
    <w:bookmarkEnd w:id="1947"/>
    <w:bookmarkStart w:id="1948" w:name="estudios-en-animales-y-de-laboratorio-45"/>
    <w:p>
      <w:pPr>
        <w:pStyle w:val="Heading3"/>
      </w:pPr>
      <w:r>
        <w:t xml:space="preserve">Estudios en animales y de laboratorio</w:t>
      </w:r>
    </w:p>
    <w:p>
      <w:pPr>
        <w:pStyle w:val="FirstParagraph"/>
      </w:pPr>
      <w:r>
        <w:t xml:space="preserve">La investigación de laboratorio sobre el glutatión es enormemente amplia y abarca casi todos los ámbitos de la biología celular. Para este libro es relevante sobre todo que, en experimentos con células y animales, el glutatión o sus precursores pudieron proteger frente a daños oxidativos, la toxicidad de los medicamentos y las reacciones inflamatorias, efectos que en los estudios clínicos en humanos solo se encuentran en parte y en general de forma débil.</w:t>
      </w:r>
    </w:p>
    <w:bookmarkEnd w:id="1948"/>
    <w:bookmarkStart w:id="1952" w:name="riesgos-y-efectos-adversos-45"/>
    <w:p>
      <w:pPr>
        <w:pStyle w:val="Heading3"/>
      </w:pPr>
      <w:r>
        <w:t xml:space="preserve">Riesgos y efectos adversos</w:t>
      </w:r>
    </w:p>
    <w:p>
      <w:pPr>
        <w:pStyle w:val="FirstParagraph"/>
      </w:pPr>
      <w:r>
        <w:rPr>
          <w:bCs/>
          <w:b/>
        </w:rPr>
        <w:t xml:space="preserve">Toma oral:</w:t>
      </w:r>
      <w:r>
        <w:t xml:space="preserve"> </w:t>
      </w:r>
      <w:r>
        <w:t xml:space="preserve">bien tolerada en los estudios; se comunican de forma aislada molestias gastrointestinales. Faltan en gran medida datos a largo plazo de más de seis meses.</w:t>
      </w:r>
    </w:p>
    <w:p>
      <w:pPr>
        <w:pStyle w:val="BodyText"/>
      </w:pPr>
      <w:r>
        <w:rPr>
          <w:bCs/>
          <w:b/>
        </w:rPr>
        <w:t xml:space="preserve">Aerosol nasal:</w:t>
      </w:r>
      <w:r>
        <w:t xml:space="preserve"> </w:t>
      </w:r>
      <w:r>
        <w:t xml:space="preserve">En un estudio sobre el párkinson, una persona con la dosis más alta presentó una enfermedad del músculo cardiaco; no está demostrada una relación</w:t>
      </w:r>
      <w:r>
        <w:rPr>
          <w:rStyle w:val="FootnoteReference"/>
        </w:rPr>
        <w:footnoteReference w:id="1949"/>
      </w:r>
      <w:r>
        <w:t xml:space="preserve">.</w:t>
      </w:r>
    </w:p>
    <w:p>
      <w:pPr>
        <w:pStyle w:val="BodyText"/>
      </w:pPr>
      <w:r>
        <w:rPr>
          <w:bCs/>
          <w:b/>
        </w:rPr>
        <w:t xml:space="preserve">Infusiones: los verdaderos riesgos:</w:t>
      </w:r>
    </w:p>
    <w:p>
      <w:pPr>
        <w:numPr>
          <w:ilvl w:val="0"/>
          <w:numId w:val="1246"/>
        </w:numPr>
        <w:pStyle w:val="Compact"/>
      </w:pPr>
      <w:r>
        <w:rPr>
          <w:bCs/>
          <w:b/>
        </w:rPr>
        <w:t xml:space="preserve">Fórmulas contaminadas:</w:t>
      </w:r>
      <w:r>
        <w:t xml:space="preserve"> </w:t>
      </w:r>
      <w:r>
        <w:t xml:space="preserve">La agencia estadounidense del medicamento FDA advirtió en 2019 a las farmacias que no utilizaran para infusiones el glutatión de un determinado mayorista, después de que varios pacientes presentaran náuseas, vómitos y dificultad respiratoria tras las infusiones y se midieran valores elevados de endotoxinas (componentes de bacterias que pueden provocar fiebre y shock). En agosto de 2026, la FDA instó de nuevo a las farmacias a no utilizar glutatión de calidad de complemento alimenticio para inyecciones; tras infusiones de un lote determinado se habían producido fiebre, escalofríos, cuadros similares al shock e ingresos hospitalarios.</w:t>
      </w:r>
    </w:p>
    <w:p>
      <w:pPr>
        <w:numPr>
          <w:ilvl w:val="0"/>
          <w:numId w:val="1246"/>
        </w:numPr>
        <w:pStyle w:val="Compact"/>
      </w:pPr>
      <w:r>
        <w:rPr>
          <w:bCs/>
          <w:b/>
        </w:rPr>
        <w:t xml:space="preserve">Advertencias de las autoridades sobre el aclaramiento de la piel:</w:t>
      </w:r>
      <w:r>
        <w:t xml:space="preserve"> </w:t>
      </w:r>
      <w:r>
        <w:t xml:space="preserve">La agencia filipina del medicamento advirtió en 2011 y 2019 contra las inyecciones de glutatión para aclarar la piel; mencionó efectos adversos que van desde erupciones cutáneas hasta las reacciones cutáneas potencialmente mortales del síndrome de Stevens-Johnson y la necrólisis epidérmica tóxica, así como riesgos por inyecciones inadecuadas como la sepsis y la transmisión de infecciones. También la FDA estadounidense advirtió a los consumidores de que no hay preparados inyectables autorizados para aclarar la piel y de que estos productos pueden contener componentes desconocidos y nocivos.</w:t>
      </w:r>
    </w:p>
    <w:p>
      <w:pPr>
        <w:numPr>
          <w:ilvl w:val="0"/>
          <w:numId w:val="1246"/>
        </w:numPr>
        <w:pStyle w:val="Compact"/>
      </w:pPr>
      <w:r>
        <w:rPr>
          <w:bCs/>
          <w:b/>
        </w:rPr>
        <w:t xml:space="preserve">Cáncer de piel (teórico):</w:t>
      </w:r>
      <w:r>
        <w:t xml:space="preserve"> </w:t>
      </w:r>
      <w:r>
        <w:t xml:space="preserve">El desplazamiento de la melanina oscura a la clara podría reducir la protección solar natural de la piel</w:t>
      </w:r>
      <w:r>
        <w:rPr>
          <w:rStyle w:val="FootnoteReference"/>
        </w:rPr>
        <w:footnoteReference w:id="1950"/>
      </w:r>
      <w:r>
        <w:t xml:space="preserve">.</w:t>
      </w:r>
    </w:p>
    <w:p>
      <w:pPr>
        <w:pStyle w:val="FirstParagraph"/>
      </w:pPr>
      <w:r>
        <w:rPr>
          <w:bCs/>
          <w:b/>
        </w:rPr>
        <w:t xml:space="preserve">Interacciones:</w:t>
      </w:r>
      <w:r>
        <w:t xml:space="preserve"> </w:t>
      </w:r>
      <w:r>
        <w:t xml:space="preserve">En un estudio oncológico, el glutatión se administró antes de la quimioterapia; el tiempo hasta la progresión de la enfermedad no difirió allí del placebo</w:t>
      </w:r>
      <w:r>
        <w:rPr>
          <w:rStyle w:val="FootnoteReference"/>
        </w:rPr>
        <w:footnoteReference w:id="1951"/>
      </w:r>
      <w:r>
        <w:t xml:space="preserve">. En principio se discute si los antioxidantes podrían atenuar el efecto de algunos tratamientos contra el cáncer. Quien esté en tratamiento oncológico solo debería tomar glutatión tras consultarlo con el equipo que le trata.</w:t>
      </w:r>
    </w:p>
    <w:bookmarkEnd w:id="1952"/>
    <w:bookmarkStart w:id="1953" w:name="situación-legal-45"/>
    <w:p>
      <w:pPr>
        <w:pStyle w:val="Heading3"/>
      </w:pPr>
      <w:r>
        <w:t xml:space="preserve">Situación legal</w:t>
      </w:r>
    </w:p>
    <w:p>
      <w:pPr>
        <w:numPr>
          <w:ilvl w:val="0"/>
          <w:numId w:val="1247"/>
        </w:numPr>
        <w:pStyle w:val="Compact"/>
      </w:pPr>
      <w:r>
        <w:rPr>
          <w:bCs/>
          <w:b/>
        </w:rPr>
        <w:t xml:space="preserve">UE / Austria / Alemania:</w:t>
      </w:r>
      <w:r>
        <w:t xml:space="preserve"> </w:t>
      </w:r>
      <w:r>
        <w:t xml:space="preserve">El glutatión se vende como complemento alimenticio en cápsulas y polvos; las promesas de salud en la publicidad no están permitidas sin declaraciones de propiedades saludables (health claims) autorizadas. Las infusiones e inyecciones son medicamentos; los preparados para aclarar la piel por infusión no están autorizados. En algunos países (según nuestros conocimientos, por ejemplo Italia) existen inyecciones de glutatión autorizadas para aplicaciones médicas especiales; los detalles deben consultarse en la ficha técnica correspondiente.</w:t>
      </w:r>
    </w:p>
    <w:p>
      <w:pPr>
        <w:numPr>
          <w:ilvl w:val="0"/>
          <w:numId w:val="1247"/>
        </w:numPr>
        <w:pStyle w:val="Compact"/>
      </w:pPr>
      <w:r>
        <w:rPr>
          <w:bCs/>
          <w:b/>
        </w:rPr>
        <w:t xml:space="preserve">EE. UU.:</w:t>
      </w:r>
      <w:r>
        <w:t xml:space="preserve"> </w:t>
      </w:r>
      <w:r>
        <w:t xml:space="preserve">ningún medicamento de glutatión autorizado; los complementos alimenticios están permitidos, y las infusiones se elaboran como fórmula magistral de farmacia y están sujetas a las normas de la FDA para preparaciones estériles.</w:t>
      </w:r>
    </w:p>
    <w:p>
      <w:pPr>
        <w:numPr>
          <w:ilvl w:val="0"/>
          <w:numId w:val="1247"/>
        </w:numPr>
        <w:pStyle w:val="Compact"/>
      </w:pPr>
      <w:r>
        <w:rPr>
          <w:bCs/>
          <w:b/>
        </w:rPr>
        <w:t xml:space="preserve">Deporte:</w:t>
      </w:r>
      <w:r>
        <w:t xml:space="preserve"> </w:t>
      </w:r>
      <w:r>
        <w:t xml:space="preserve">el glutatión no está prohibido; las infusiones de más de 100 ml en doce horas, fuera de tratamientos hospitalarios, entran en el método M2 de la WADA (situación en 2026; comprueba la información actualizada).</w:t>
      </w:r>
    </w:p>
    <w:bookmarkEnd w:id="1953"/>
    <w:bookmarkStart w:id="1955" w:name="estudios-en-curso-y-perspectivas-45"/>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48"/>
        </w:numPr>
        <w:pStyle w:val="Compact"/>
      </w:pPr>
      <w:r>
        <w:t xml:space="preserve">Un estudio de fase 1 en China evalúa el glutatión junto con inmunoterapia y quimioterapia en el cáncer de pulmón avanzado (NCT06896422, 80 participantes previstos).</w:t>
      </w:r>
    </w:p>
    <w:p>
      <w:pPr>
        <w:numPr>
          <w:ilvl w:val="0"/>
          <w:numId w:val="1248"/>
        </w:numPr>
        <w:pStyle w:val="Compact"/>
      </w:pPr>
      <w:r>
        <w:t xml:space="preserve">Está registrado un estudio sobre el microneedling asistido con glutatión en el melasma (manchas de pigmentación)</w:t>
      </w:r>
      <w:r>
        <w:rPr>
          <w:rStyle w:val="FootnoteReference"/>
        </w:rPr>
        <w:footnoteReference w:id="1954"/>
      </w:r>
      <w:r>
        <w:t xml:space="preserve">.</w:t>
      </w:r>
    </w:p>
    <w:p>
      <w:pPr>
        <w:numPr>
          <w:ilvl w:val="0"/>
          <w:numId w:val="1248"/>
        </w:numPr>
        <w:pStyle w:val="Compact"/>
      </w:pPr>
      <w:r>
        <w:t xml:space="preserve">Varios estudios pequeños examinan nuevas formas de administración (liposomal, micelar) y la recuperación deportiva, a menudo financiados por fabricantes.</w:t>
      </w:r>
    </w:p>
    <w:p>
      <w:pPr>
        <w:pStyle w:val="FirstParagraph"/>
      </w:pPr>
      <w:r>
        <w:rPr>
          <w:bCs/>
          <w:b/>
        </w:rPr>
        <w:t xml:space="preserve">Valoración:</w:t>
      </w:r>
      <w:r>
        <w:t xml:space="preserve"> </w:t>
      </w:r>
      <w:r>
        <w:t xml:space="preserve">La principal pregunta abierta ya no es si el glutatión se absorbe, sino si unos niveles más altos aportan algo clínicamente. Los grandes estudios realizados hasta ahora apuntan más bien a que no. En las infusiones para aclarar la piel o como «goteo de bienestar», los riesgos superan un beneficio no demostrado.</w:t>
      </w:r>
    </w:p>
    <w:bookmarkEnd w:id="1955"/>
    <w:bookmarkStart w:id="1956" w:name="conclusión-45"/>
    <w:p>
      <w:pPr>
        <w:pStyle w:val="Heading3"/>
      </w:pPr>
      <w:r>
        <w:t xml:space="preserve">Conclusión</w:t>
      </w:r>
    </w:p>
    <w:p>
      <w:pPr>
        <w:pStyle w:val="FirstParagraph"/>
      </w:pPr>
      <w:r>
        <w:t xml:space="preserve">El glutatión es el péptido protector propio del organismo más importante frente a la oxidación; tomado en cápsulas, puede elevar de forma medible los niveles en sangre con una toma prolongada. Sin embargo, en la clínica los estudios de mayor tamaño no mostraron ningún beneficio, ni frente al daño nervioso causado por la quimioterapia ni en el párkinson o la fibrosis quística; los indicios positivos proceden de estudios pequeños. Las cápsulas y las cremas aclararon la piel de forma leve y transitoria en estudios pequeños. Las infusiones para aclarar la piel no tienen una eficacia demostrada, no están autorizadas y varias autoridades han advertido expresamente contra ellas por efectos adversos graves y preparados contaminados.</w:t>
      </w:r>
    </w:p>
    <w:bookmarkEnd w:id="1956"/>
    <w:bookmarkEnd w:id="1957"/>
    <w:bookmarkEnd w:id="1958"/>
    <w:bookmarkStart w:id="2314" w:name="X0b67c7c53e1f2e2bb52fd9a426cd6d240adb54d"/>
    <w:p>
      <w:pPr>
        <w:pStyle w:val="Heading1"/>
      </w:pPr>
      <w:r>
        <w:t xml:space="preserve">Parte II · E – Hormonas, sexualidad y pigmentación</w:t>
      </w:r>
    </w:p>
    <w:p>
      <w:pPr>
        <w:pStyle w:val="FirstParagraph"/>
      </w:pPr>
      <w:r>
        <w:t xml:space="preserve">Los seis péptidos de este grupo actúan sobre cosas muy distintas: el color de la piel, el deseo sexual, la fertilidad y la conducta social. Lo que tienen en común es que imitan vías de señalización propias del cerebro y de las glándulas endocrinas, estrechamente entrelazadas entre sí. Tres de ellos pertenecen a una única familia, el sistema de las melanocortinas; los otros tres regulan el eje hormonal de la reproducción o están vinculados a él.</w:t>
      </w:r>
    </w:p>
    <w:bookmarkStart w:id="1961" w:name="el-sistema-de-las-melanocortinas"/>
    <w:p>
      <w:pPr>
        <w:pStyle w:val="Heading3"/>
      </w:pPr>
      <w:r>
        <w:t xml:space="preserve">El sistema de las melanocortinas</w:t>
      </w:r>
    </w:p>
    <w:p>
      <w:pPr>
        <w:pStyle w:val="FirstParagraph"/>
      </w:pPr>
      <w:r>
        <w:t xml:space="preserve">Al principio hay una gran proteína precursora llamada proopiomelanocortina (POMC). A partir de ella, ciertas enzimas recortan varios péptidos más pequeños, entre ellos la hormona del estrés ACTH y las hormonas estimulantes de los melanocitos (MSH), sobre todo la alfa-MSH. En conjunto, estos mensajeros se denominan melanocortinas. Actúan a través de cinco receptores, de MC1R a MC5R, situados en distintos tejidos:</w:t>
      </w:r>
    </w:p>
    <w:p>
      <w:pPr>
        <w:numPr>
          <w:ilvl w:val="0"/>
          <w:numId w:val="1249"/>
        </w:numPr>
        <w:pStyle w:val="Compact"/>
      </w:pPr>
      <w:r>
        <w:rPr>
          <w:bCs/>
          <w:b/>
        </w:rPr>
        <w:t xml:space="preserve">MC1R</w:t>
      </w:r>
      <w:r>
        <w:t xml:space="preserve">, en las células pigmentarias de la piel, determina si estas producen eumelanina, oscura y protectora. Las personas pelirrojas y de piel clara suelen portar variantes menos eficaces de este receptor.</w:t>
      </w:r>
    </w:p>
    <w:p>
      <w:pPr>
        <w:numPr>
          <w:ilvl w:val="0"/>
          <w:numId w:val="1249"/>
        </w:numPr>
        <w:pStyle w:val="Compact"/>
      </w:pPr>
      <w:r>
        <w:rPr>
          <w:bCs/>
          <w:b/>
        </w:rPr>
        <w:t xml:space="preserve">MC2R</w:t>
      </w:r>
      <w:r>
        <w:t xml:space="preserve">, en la glándula suprarrenal, es el receptor de la ACTH y regula la producción de cortisol.</w:t>
      </w:r>
    </w:p>
    <w:p>
      <w:pPr>
        <w:numPr>
          <w:ilvl w:val="0"/>
          <w:numId w:val="1249"/>
        </w:numPr>
        <w:pStyle w:val="Compact"/>
      </w:pPr>
      <w:r>
        <w:rPr>
          <w:bCs/>
          <w:b/>
        </w:rPr>
        <w:t xml:space="preserve">MC3R y MC4R</w:t>
      </w:r>
      <w:r>
        <w:t xml:space="preserve">, en el cerebro, influyen en el apetito, el gasto energético y –como se descubrió por casualidad– la excitación sexual. Los defectos del MC4R son la causa genética más frecuente de obesidad grave.</w:t>
      </w:r>
    </w:p>
    <w:p>
      <w:pPr>
        <w:numPr>
          <w:ilvl w:val="0"/>
          <w:numId w:val="1249"/>
        </w:numPr>
        <w:pStyle w:val="Compact"/>
      </w:pPr>
      <w:r>
        <w:rPr>
          <w:bCs/>
          <w:b/>
        </w:rPr>
        <w:t xml:space="preserve">MC5R</w:t>
      </w:r>
      <w:r>
        <w:t xml:space="preserve"> </w:t>
      </w:r>
      <w:r>
        <w:t xml:space="preserve">actúa, entre otras, sobre las glándulas sebáceas y otras glándulas.</w:t>
      </w:r>
    </w:p>
    <w:p>
      <w:pPr>
        <w:pStyle w:val="FirstParagraph"/>
      </w:pPr>
      <w:r>
        <w:t xml:space="preserve">La historia de los tres péptidos melanocortínicos de esta parte comienza en la Universidad de Arizona. Allí, en las décadas de 1980 y 1990, un grupo de investigación desarrolló dos variantes estabilizadas de la alfa-MSH para conseguir un bronceado sin sol: el melanotán I, lineal, y el melanotán II, cíclico</w:t>
      </w:r>
      <w:r>
        <w:rPr>
          <w:rStyle w:val="FootnoteReference"/>
        </w:rPr>
        <w:footnoteReference w:id="1959"/>
      </w:r>
      <w:r>
        <w:t xml:space="preserve">. En ensayos con melanotán II, varios hombres refirieron erecciones espontáneas: así se descubrió que las melanocortinas influyen en la función sexual a través del cerebro</w:t>
      </w:r>
      <w:r>
        <w:rPr>
          <w:rStyle w:val="FootnoteReference"/>
        </w:rPr>
        <w:footnoteReference w:id="1960"/>
      </w:r>
      <w:r>
        <w:t xml:space="preserve">.</w:t>
      </w:r>
    </w:p>
    <w:p>
      <w:pPr>
        <w:pStyle w:val="BodyText"/>
      </w:pPr>
      <w:r>
        <w:t xml:space="preserve">De estos comienzos surgieron tres caminos:</w:t>
      </w:r>
    </w:p>
    <w:p>
      <w:pPr>
        <w:numPr>
          <w:ilvl w:val="0"/>
          <w:numId w:val="1250"/>
        </w:numPr>
        <w:pStyle w:val="Compact"/>
      </w:pPr>
      <w:r>
        <w:t xml:space="preserve">El</w:t>
      </w:r>
      <w:r>
        <w:t xml:space="preserve"> </w:t>
      </w:r>
      <w:r>
        <w:rPr>
          <w:bCs/>
          <w:b/>
        </w:rPr>
        <w:t xml:space="preserve">melanotán I</w:t>
      </w:r>
      <w:r>
        <w:t xml:space="preserve"> </w:t>
      </w:r>
      <w:r>
        <w:t xml:space="preserve">se desarrolló, con el nombre de</w:t>
      </w:r>
      <w:r>
        <w:t xml:space="preserve"> </w:t>
      </w:r>
      <w:r>
        <w:rPr>
          <w:bCs/>
          <w:b/>
        </w:rPr>
        <w:t xml:space="preserve">afamelanotida</w:t>
      </w:r>
      <w:r>
        <w:t xml:space="preserve">, como implante contra una fotosensibilidad rara y dolorosa, y está autorizado en la UE y en EE. UU.</w:t>
      </w:r>
    </w:p>
    <w:p>
      <w:pPr>
        <w:numPr>
          <w:ilvl w:val="0"/>
          <w:numId w:val="1250"/>
        </w:numPr>
        <w:pStyle w:val="Compact"/>
      </w:pPr>
      <w:r>
        <w:t xml:space="preserve">El</w:t>
      </w:r>
      <w:r>
        <w:t xml:space="preserve"> </w:t>
      </w:r>
      <w:r>
        <w:rPr>
          <w:bCs/>
          <w:b/>
        </w:rPr>
        <w:t xml:space="preserve">melanotán II</w:t>
      </w:r>
      <w:r>
        <w:t xml:space="preserve"> </w:t>
      </w:r>
      <w:r>
        <w:t xml:space="preserve">nunca fue autorizado, pero está extendido en el mercado gris como «inyección bronceadora».</w:t>
      </w:r>
    </w:p>
    <w:p>
      <w:pPr>
        <w:numPr>
          <w:ilvl w:val="0"/>
          <w:numId w:val="1250"/>
        </w:numPr>
        <w:pStyle w:val="Compact"/>
      </w:pPr>
      <w:r>
        <w:t xml:space="preserve">La</w:t>
      </w:r>
      <w:r>
        <w:t xml:space="preserve"> </w:t>
      </w:r>
      <w:r>
        <w:rPr>
          <w:bCs/>
          <w:b/>
        </w:rPr>
        <w:t xml:space="preserve">bremelanotida</w:t>
      </w:r>
      <w:r>
        <w:t xml:space="preserve">, una variante del melanotán II, está autorizada en EE. UU. contra el deseo sexual bajo en mujeres.</w:t>
      </w:r>
    </w:p>
    <w:p>
      <w:pPr>
        <w:pStyle w:val="FirstParagraph"/>
      </w:pPr>
      <w:r>
        <w:t xml:space="preserve">Un cuarto principio activo melanocortínico, la setmelanotida, actúa de forma selectiva sobre el MC4R y se emplea en formas genéticas raras de obesidad; se trata en la Parte II · A. Cuanto más selectivamente actúa un principio activo sobre un receptor, más dirigido es su efecto. El melanotán II activa casi todos y por eso reúne en una sola molécula bronceado, náuseas, pérdida de apetito y erecciones.</w:t>
      </w:r>
    </w:p>
    <w:bookmarkEnd w:id="1961"/>
    <w:bookmarkStart w:id="1962" w:name="el-eje-hormonal-de-la-reproducción"/>
    <w:p>
      <w:pPr>
        <w:pStyle w:val="Heading3"/>
      </w:pPr>
      <w:r>
        <w:t xml:space="preserve">El eje hormonal de la reproducción</w:t>
      </w:r>
    </w:p>
    <w:p>
      <w:pPr>
        <w:pStyle w:val="FirstParagraph"/>
      </w:pPr>
      <w:r>
        <w:t xml:space="preserve">Los otros tres péptidos de esta parte actúan sobre el eje que regula la pubertad, el ciclo menstrual y la fertilidad. La</w:t>
      </w:r>
      <w:r>
        <w:t xml:space="preserve"> </w:t>
      </w:r>
      <w:r>
        <w:rPr>
          <w:bCs/>
          <w:b/>
        </w:rPr>
        <w:t xml:space="preserve">kisspeptina</w:t>
      </w:r>
      <w:r>
        <w:t xml:space="preserve"> </w:t>
      </w:r>
      <w:r>
        <w:t xml:space="preserve">activa en el hipotálamo las neuronas de GnRH. La</w:t>
      </w:r>
      <w:r>
        <w:t xml:space="preserve"> </w:t>
      </w:r>
      <w:r>
        <w:rPr>
          <w:bCs/>
          <w:b/>
        </w:rPr>
        <w:t xml:space="preserve">gonadorelina</w:t>
      </w:r>
      <w:r>
        <w:t xml:space="preserve"> </w:t>
      </w:r>
      <w:r>
        <w:t xml:space="preserve">es la forma sintética de la propia GnRH, que, liberada en pulsos, estimula a la hipófisis para que secrete LH y FSH. Ambas muestran un principio común: administradas con el ritmo adecuado, activan el eje; como estímulo continuo, lo frenan. Por último, la</w:t>
      </w:r>
      <w:r>
        <w:t xml:space="preserve"> </w:t>
      </w:r>
      <w:r>
        <w:rPr>
          <w:bCs/>
          <w:b/>
        </w:rPr>
        <w:t xml:space="preserve">oxitocina</w:t>
      </w:r>
      <w:r>
        <w:t xml:space="preserve"> </w:t>
      </w:r>
      <w:r>
        <w:t xml:space="preserve">procede de las mismas regiones cerebrales, regula el parto y la lactancia y se estudia desde hace dos décadas como espray nasal para la conducta social, con resultados decepcionantes.</w:t>
      </w:r>
    </w:p>
    <w:bookmarkEnd w:id="1962"/>
    <w:bookmarkStart w:id="1963" w:name="visión-general-2"/>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EE. UU. (Vyleesi), no en la UE</w:t>
            </w:r>
          </w:p>
        </w:tc>
        <w:tc>
          <w:tcPr/>
          <w:p>
            <w:pPr>
              <w:pStyle w:val="Compact"/>
              <w:jc w:val="left"/>
            </w:pPr>
            <w:r>
              <w:t xml:space="preserve">Deseo en mujeres con HSDD; efecto pequeño, muchas náuseas</w:t>
            </w:r>
          </w:p>
        </w:tc>
      </w:tr>
      <w:tr>
        <w:tc>
          <w:tcPr/>
          <w:p>
            <w:pPr>
              <w:pStyle w:val="Compact"/>
              <w:jc w:val="left"/>
            </w:pPr>
            <w:r>
              <w:t xml:space="preserve">Melanotán II</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Bronceado del mercado gris; casos clínicos de lunares y priapismo</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UE y EE. UU. (Scenesse)</w:t>
            </w:r>
          </w:p>
        </w:tc>
        <w:tc>
          <w:tcPr/>
          <w:p>
            <w:pPr>
              <w:pStyle w:val="Compact"/>
              <w:jc w:val="left"/>
            </w:pPr>
            <w:r>
              <w:t xml:space="preserve">Fotoprotección en la EPP; vitíligo en estudio</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ninguna</w:t>
            </w:r>
          </w:p>
        </w:tc>
        <w:tc>
          <w:tcPr/>
          <w:p>
            <w:pPr>
              <w:pStyle w:val="Compact"/>
              <w:jc w:val="left"/>
            </w:pPr>
            <w:r>
              <w:t xml:space="preserve">Maduración ovocitaria en FIV, pruebas hormonales; investigación</w:t>
            </w:r>
          </w:p>
        </w:tc>
      </w:tr>
      <w:tr>
        <w:tc>
          <w:tcPr/>
          <w:p>
            <w:pPr>
              <w:pStyle w:val="Compact"/>
              <w:jc w:val="left"/>
            </w:pPr>
            <w:r>
              <w:t xml:space="preserve">Oxitocina (espray nasal)</w:t>
            </w:r>
          </w:p>
        </w:tc>
        <w:tc>
          <w:tcPr/>
          <w:p>
            <w:pPr>
              <w:pStyle w:val="Compact"/>
              <w:jc w:val="left"/>
            </w:pPr>
            <w:r>
              <w:t xml:space="preserve">B</w:t>
            </w:r>
          </w:p>
        </w:tc>
        <w:tc>
          <w:tcPr/>
          <w:p>
            <w:pPr>
              <w:pStyle w:val="Compact"/>
              <w:jc w:val="left"/>
            </w:pPr>
            <w:r>
              <w:t xml:space="preserve">solo como infusión (obstetricia)</w:t>
            </w:r>
          </w:p>
        </w:tc>
        <w:tc>
          <w:tcPr/>
          <w:p>
            <w:pPr>
              <w:pStyle w:val="Compact"/>
              <w:jc w:val="left"/>
            </w:pPr>
            <w:r>
              <w:t xml:space="preserve">Autismo y confianza: grandes estudios negativos</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(UE), ya no en EE. UU.</w:t>
            </w:r>
          </w:p>
        </w:tc>
        <w:tc>
          <w:tcPr/>
          <w:p>
            <w:pPr>
              <w:pStyle w:val="Compact"/>
              <w:jc w:val="left"/>
            </w:pPr>
            <w:r>
              <w:t xml:space="preserve">Prueba de GnRH y bomba en el deseo de tener hijos; prohibida en el deporte</w:t>
            </w:r>
          </w:p>
        </w:tc>
      </w:tr>
    </w:tbl>
    <w:p>
      <w:pPr>
        <w:pStyle w:val="BodyText"/>
      </w:pPr>
      <w:r>
        <w:t xml:space="preserve">Los datos de autorización corresponden a la situación de 2026 y conviene comprobarlos en su versión actual.</w:t>
      </w:r>
    </w:p>
    <w:bookmarkEnd w:id="1963"/>
    <w:bookmarkStart w:id="1964" w:name="indicaciones-de-lectura-1"/>
    <w:p>
      <w:pPr>
        <w:pStyle w:val="Heading3"/>
      </w:pPr>
      <w:r>
        <w:t xml:space="preserve">Indicaciones de lectura</w:t>
      </w:r>
    </w:p>
    <w:p>
      <w:pPr>
        <w:pStyle w:val="FirstParagraph"/>
      </w:pPr>
      <w:r>
        <w:t xml:space="preserve">Si te interesan los productos bronceadores, lee juntos los capítulos sobre el melanotán II y la afamelanotida: muestran lo distinto que puede resultar una misma idea de partida, una vez como medicamento evaluado en una consulta especializada y otra como polvo no evaluado comprado en internet. Para el tema de la sexualidad merece la pena comparar la bremelanotida, la kisspeptina y la oxitocina; las tres muestran lo intensos que son los efectos placebo en este campo. La kisspeptina y la gonadorelina explican juntas el eje hormonal de la fertilidad. Las cuestiones generales sobre los productos del mercado gris figuran en la Parte I, y la comparación de riesgos, en la Parte IV.</w:t>
      </w:r>
    </w:p>
    <w:bookmarkEnd w:id="1964"/>
    <w:bookmarkStart w:id="2021" w:name="bremelanotida-pt-141"/>
    <w:p>
      <w:pPr>
        <w:pStyle w:val="Heading2"/>
      </w:pPr>
      <w:r>
        <w:t xml:space="preserve">Bremelanotida (PT-141)</w:t>
      </w:r>
    </w:p>
    <w:bookmarkStart w:id="1967" w:name="ficha-46"/>
    <w:p>
      <w:pPr>
        <w:pStyle w:val="Heading3"/>
      </w:pPr>
      <w:r>
        <w:t xml:space="preserve">Ficha</w:t>
      </w:r>
    </w:p>
    <w:p>
      <w:pPr>
        <w:numPr>
          <w:ilvl w:val="0"/>
          <w:numId w:val="1251"/>
        </w:numPr>
        <w:pStyle w:val="Compact"/>
      </w:pPr>
      <w:r>
        <w:rPr>
          <w:bCs/>
          <w:b/>
        </w:rPr>
        <w:t xml:space="preserve">Tipo/estructura:</w:t>
      </w:r>
      <w:r>
        <w:t xml:space="preserve"> </w:t>
      </w:r>
      <w:r>
        <w:t xml:space="preserve">péptido cíclico (en forma de anillo) de siete aminoácidos, de fabricación sintética. Deriva de la hormona endógena alfa-MSH (hormona estimulante de los melanocitos alfa) y es un pariente cercano del melanotán II (capítulo 2E02). En la bibliografía también se denomina PT-141.</w:t>
      </w:r>
    </w:p>
    <w:p>
      <w:pPr>
        <w:numPr>
          <w:ilvl w:val="0"/>
          <w:numId w:val="1251"/>
        </w:numPr>
        <w:pStyle w:val="Compact"/>
      </w:pPr>
      <w:r>
        <w:rPr>
          <w:bCs/>
          <w:b/>
        </w:rPr>
        <w:t xml:space="preserve">Origen:</w:t>
      </w:r>
      <w:r>
        <w:t xml:space="preserve"> </w:t>
      </w:r>
      <w:r>
        <w:t xml:space="preserve">surgió del desarrollo del melanotán II en la Universidad de Arizona; posteriormente lo desarrolló la empresa Palatin Technologies</w:t>
      </w:r>
      <w:r>
        <w:rPr>
          <w:rStyle w:val="FootnoteReference"/>
        </w:rPr>
        <w:footnoteReference w:id="1965"/>
      </w:r>
      <w:r>
        <w:t xml:space="preserve">.</w:t>
      </w:r>
    </w:p>
    <w:p>
      <w:pPr>
        <w:numPr>
          <w:ilvl w:val="0"/>
          <w:numId w:val="1251"/>
        </w:numPr>
        <w:pStyle w:val="Compact"/>
      </w:pPr>
      <w:r>
        <w:rPr>
          <w:bCs/>
          <w:b/>
        </w:rPr>
        <w:t xml:space="preserve">Mecanismo de acción:</w:t>
      </w:r>
      <w:r>
        <w:t xml:space="preserve"> </w:t>
      </w:r>
      <w:r>
        <w:t xml:space="preserve">agonista de los receptores de melanocortinas, sobre todo del MC4R en el cerebro. No actúa sobre los vasos sanguíneos de los órganos genitales, como el sildenafilo, sino sobre regiones cerebrales implicadas en el deseo sexual.</w:t>
      </w:r>
    </w:p>
    <w:p>
      <w:pPr>
        <w:numPr>
          <w:ilvl w:val="0"/>
          <w:numId w:val="1251"/>
        </w:numPr>
        <w:pStyle w:val="Compact"/>
      </w:pPr>
      <w:r>
        <w:rPr>
          <w:bCs/>
          <w:b/>
        </w:rPr>
        <w:t xml:space="preserve">Forma farmacéutica:</w:t>
      </w:r>
      <w:r>
        <w:t xml:space="preserve"> </w:t>
      </w:r>
      <w:r>
        <w:t xml:space="preserve">jeringa precargada (autoinyector) para administración subcutánea a demanda, unos 45 minutos antes de la actividad sexual. Los primeros estudios utilizaron un espray nasal.</w:t>
      </w:r>
    </w:p>
    <w:p>
      <w:pPr>
        <w:numPr>
          <w:ilvl w:val="0"/>
          <w:numId w:val="1251"/>
        </w:numPr>
        <w:pStyle w:val="Compact"/>
      </w:pPr>
      <w:r>
        <w:rPr>
          <w:bCs/>
          <w:b/>
        </w:rPr>
        <w:t xml:space="preserve">Autorización en la UE:</w:t>
      </w:r>
      <w:r>
        <w:t xml:space="preserve"> </w:t>
      </w:r>
      <w:r>
        <w:t xml:space="preserve">no.</w:t>
      </w:r>
    </w:p>
    <w:p>
      <w:pPr>
        <w:numPr>
          <w:ilvl w:val="0"/>
          <w:numId w:val="1251"/>
        </w:numPr>
        <w:pStyle w:val="Compact"/>
      </w:pPr>
      <w:r>
        <w:rPr>
          <w:bCs/>
          <w:b/>
        </w:rPr>
        <w:t xml:space="preserve">Autorización en EE. UU.:</w:t>
      </w:r>
      <w:r>
        <w:t xml:space="preserve"> </w:t>
      </w:r>
      <w:r>
        <w:t xml:space="preserve">sí, desde 2019 como Vyleesi para mujeres premenopáusicas con trastorno del deseo sexual adquirido y generalizado (trastorno de deseo sexual hipoactivo, HSDD)</w:t>
      </w:r>
      <w:r>
        <w:rPr>
          <w:rStyle w:val="FootnoteReference"/>
        </w:rPr>
        <w:footnoteReference w:id="1966"/>
      </w:r>
      <w:r>
        <w:t xml:space="preserve">. Uso solo con prescripción médica y conforme a la ficha técnica.</w:t>
      </w:r>
    </w:p>
    <w:p>
      <w:pPr>
        <w:numPr>
          <w:ilvl w:val="0"/>
          <w:numId w:val="1251"/>
        </w:numPr>
        <w:pStyle w:val="Compact"/>
      </w:pPr>
      <w:r>
        <w:rPr>
          <w:bCs/>
          <w:b/>
        </w:rPr>
        <w:t xml:space="preserve">WADA:</w:t>
      </w:r>
      <w:r>
        <w:t xml:space="preserve"> </w:t>
      </w:r>
      <w:r>
        <w:t xml:space="preserve">no figura nominalmente.</w:t>
      </w:r>
    </w:p>
    <w:p>
      <w:pPr>
        <w:numPr>
          <w:ilvl w:val="0"/>
          <w:numId w:val="1251"/>
        </w:numPr>
        <w:pStyle w:val="Compact"/>
      </w:pPr>
      <w:r>
        <w:rPr>
          <w:bCs/>
          <w:b/>
        </w:rPr>
        <w:t xml:space="preserve">Nivel de evidencia:</w:t>
      </w:r>
      <w:r>
        <w:t xml:space="preserve"> </w:t>
      </w:r>
      <w:r>
        <w:rPr>
          <w:bCs/>
          <w:b/>
        </w:rPr>
        <w:t xml:space="preserve">A</w:t>
      </w:r>
      <w:r>
        <w:t xml:space="preserve"> </w:t>
      </w:r>
      <w:r>
        <w:t xml:space="preserve">– dos grandes estudios aleatorizados de fase 3 con más de 1200 participantes en total, autorización en EE. UU. No obstante, el beneficio clínico es pequeño y discutido (véase más abajo).</w:t>
      </w:r>
    </w:p>
    <w:bookmarkEnd w:id="1967"/>
    <w:bookmarkStart w:id="1972" w:name="cómo-se-supone-que-actúa-46"/>
    <w:p>
      <w:pPr>
        <w:pStyle w:val="Heading3"/>
      </w:pPr>
      <w:r>
        <w:t xml:space="preserve">Cómo se supone que actúa</w:t>
      </w:r>
    </w:p>
    <w:p>
      <w:pPr>
        <w:pStyle w:val="FirstParagraph"/>
      </w:pPr>
      <w:r>
        <w:t xml:space="preserve">El sistema de las melanocortinas es una red de mensajeros y cinco receptores (de MC1R a MC5R) que se describe con más detalle en la introducción de esta parte. Para la bremelanotida, el receptor más importante es el MC4R. Se encuentra, entre otros lugares, en el hipotálamo, un centro de control del diencéfalo, y allí influye en el apetito, el gasto energético y –como se descubrió por casualidad– la excitación sexual.</w:t>
      </w:r>
    </w:p>
    <w:p>
      <w:pPr>
        <w:pStyle w:val="BodyText"/>
      </w:pPr>
      <w:r>
        <w:t xml:space="preserve">El hallazgo fue un subproducto de la investigación sobre el bronceado: hombres que en la década de 1990 recibieron melanotán II para broncear la piel refirieron erecciones espontáneas</w:t>
      </w:r>
      <w:r>
        <w:rPr>
          <w:rStyle w:val="FootnoteReference"/>
        </w:rPr>
        <w:footnoteReference w:id="1968"/>
      </w:r>
      <w:r>
        <w:t xml:space="preserve">. La bremelanotida es una forma ligeramente modificada de esa molécula. Activa varios receptores de melanocortinas, pero a las dosis empleadas el más importante es el MC4R</w:t>
      </w:r>
      <w:r>
        <w:rPr>
          <w:rStyle w:val="FootnoteReference"/>
        </w:rPr>
        <w:footnoteReference w:id="1969"/>
      </w:r>
      <w:r>
        <w:t xml:space="preserve">. Sin embargo, no carece por completo de efecto sobre la piel, lo que explica las manchas pigmentarias observadas.</w:t>
      </w:r>
    </w:p>
    <w:p>
      <w:pPr>
        <w:pStyle w:val="BodyText"/>
      </w:pPr>
      <w:r>
        <w:t xml:space="preserve">Solo se entiende en parte cómo influye exactamente la activación del MC4R en el deseo sexual. Los experimentos con animales indican que la bremelanotida estimula, en una región concreta del hipotálamo (el área preóptica medial), la liberación del mensajero dopamina, que favorece el deseo sexual</w:t>
      </w:r>
      <w:r>
        <w:rPr>
          <w:rStyle w:val="FootnoteReference"/>
        </w:rPr>
        <w:footnoteReference w:id="1970"/>
      </w:r>
      <w:r>
        <w:t xml:space="preserve">. Un estudio británico con resonancia magnética funcional (RMf) en 31 mujeres con HSDD encontró, bajo un agonista del MC4R, una actividad modificada en regiones cerebrales que procesan los estímulos eróticos</w:t>
      </w:r>
      <w:r>
        <w:rPr>
          <w:rStyle w:val="FootnoteReference"/>
        </w:rPr>
        <w:footnoteReference w:id="1971"/>
      </w:r>
      <w:r>
        <w:t xml:space="preserve">. Las autoras y los autores lo interpretan como una menor autoobservación y una mayor receptividad a los estímulos eróticos: una interpretación, no una explicación demostrada.</w:t>
      </w:r>
    </w:p>
    <w:p>
      <w:pPr>
        <w:pStyle w:val="BodyText"/>
      </w:pPr>
      <w:r>
        <w:t xml:space="preserve">Importante para entenderlo: la autorización no se dirige a «más deseo» en personas sanas, sino a un diagnóstico definido. El HSDD significa un deseo sexual persistentemente bajo que causa malestar y que no se explica por otra enfermedad, por medicamentos ni por problemas de pareja.</w:t>
      </w:r>
    </w:p>
    <w:bookmarkEnd w:id="1972"/>
    <w:bookmarkStart w:id="1998" w:name="estudios-en-humanos-46"/>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16</w:t>
      </w:r>
      <w:r>
        <w:t xml:space="preserve"> </w:t>
      </w:r>
      <w:r>
        <w:t xml:space="preserve">estudios en humanos en PubMed (</w:t>
      </w:r>
      <w:r>
        <w:rPr>
          <w:rStyle w:val="VerbatimChar"/>
        </w:rPr>
        <w:t xml:space="preserve">humanstudien_alle</w:t>
      </w:r>
      <w:r>
        <w:t xml:space="preserve">) y</w:t>
      </w:r>
      <w:r>
        <w:t xml:space="preserve"> </w:t>
      </w:r>
      <w:r>
        <w:rPr>
          <w:bCs/>
          <w:b/>
        </w:rPr>
        <w:t xml:space="preserve">10</w:t>
      </w:r>
      <w:r>
        <w:t xml:space="preserve"> </w:t>
      </w:r>
      <w:r>
        <w:t xml:space="preserve">registros en ClinicalTrials.gov. A ello se suman varias revisiones y metaanálisis. Para la valoración cuentan sobre todo los dos estudios de autorización RECONNECT, su extensión y el análisis de seguridad de todo el programa de desarrollo.</w:t>
      </w:r>
    </w:p>
    <w:bookmarkStart w:id="1978" w:name="primeros-estudios-en-hombres"/>
    <w:p>
      <w:pPr>
        <w:pStyle w:val="Heading4"/>
      </w:pPr>
      <w:r>
        <w:t xml:space="preserve">Primeros estudios en hombres</w:t>
      </w:r>
    </w:p>
    <w:p>
      <w:pPr>
        <w:pStyle w:val="FirstParagraph"/>
      </w:pPr>
      <w:r>
        <w:t xml:space="preserve">La bremelanotida se desarrolló primero como medicamento contra la disfunción eréctil. En estudios de fase 1 con espray nasal</w:t>
      </w:r>
      <w:r>
        <w:rPr>
          <w:rStyle w:val="FootnoteReference"/>
        </w:rPr>
        <w:footnoteReference w:id="1973"/>
      </w:r>
      <w:r>
        <w:t xml:space="preserve"> </w:t>
      </w:r>
      <w:r>
        <w:t xml:space="preserve">e inyección</w:t>
      </w:r>
      <w:r>
        <w:rPr>
          <w:rStyle w:val="FootnoteReference"/>
        </w:rPr>
        <w:footnoteReference w:id="1974"/>
      </w:r>
      <w:r>
        <w:t xml:space="preserve"> </w:t>
      </w:r>
      <w:r>
        <w:t xml:space="preserve">provocó erecciones medibles en hombres sanos y en hombres con disfunción eréctil, incluso en aquellos que respondían de forma insuficiente a la Viagra. En un pequeño estudio con 19 pacientes, una dosis baja de bremelanotida potenció el efecto de una dosis baja de sildenafilo</w:t>
      </w:r>
      <w:r>
        <w:rPr>
          <w:rStyle w:val="FootnoteReference"/>
        </w:rPr>
        <w:footnoteReference w:id="1975"/>
      </w:r>
      <w:r>
        <w:t xml:space="preserve">.</w:t>
      </w:r>
    </w:p>
    <w:p>
      <w:pPr>
        <w:pStyle w:val="BodyText"/>
      </w:pPr>
      <w:r>
        <w:t xml:space="preserve">Un estudio con 342 hombres en los que el sildenafilo no había funcionado comunicó un resultado positivo en el 33,5 % con bremelanotida en espray nasal frente al 8,5 % con placebo</w:t>
      </w:r>
      <w:r>
        <w:rPr>
          <w:rStyle w:val="FootnoteReference"/>
        </w:rPr>
        <w:footnoteReference w:id="1976"/>
      </w:r>
      <w:r>
        <w:t xml:space="preserve">. Este trabajo debe leerse con cautela: un segundo estudio sobre bremelanotida del mismo primer autor, realizado en mujeres, fue retractado por la revista porque sus métodos y resultados no eran verificables</w:t>
      </w:r>
      <w:r>
        <w:rPr>
          <w:rStyle w:val="FootnoteReference"/>
        </w:rPr>
        <w:footnoteReference w:id="1977"/>
      </w:r>
      <w:r>
        <w:t xml:space="preserve">; otros trabajos del autor también fueron retractados.</w:t>
      </w:r>
    </w:p>
    <w:p>
      <w:pPr>
        <w:pStyle w:val="BodyText"/>
      </w:pPr>
      <w:r>
        <w:t xml:space="preserve">El desarrollo del espray nasal se abandonó después de que en los estudios se observaran subidas de la presión arterial. La empresa pasó a la inyección y a las mujeres como grupo destinatario.</w:t>
      </w:r>
    </w:p>
    <w:bookmarkEnd w:id="1978"/>
    <w:bookmarkStart w:id="1982" w:name="búsqueda-de-dosis-en-mujeres"/>
    <w:p>
      <w:pPr>
        <w:pStyle w:val="Heading4"/>
      </w:pPr>
      <w:r>
        <w:t xml:space="preserve">Búsqueda de dosis en mujeres</w:t>
      </w:r>
    </w:p>
    <w:p>
      <w:pPr>
        <w:pStyle w:val="FirstParagraph"/>
      </w:pPr>
      <w:r>
        <w:t xml:space="preserve">Un primer pequeño estudio de laboratorio con 18 mujeres con trastorno de la excitación mostró, tras una única administración, un deseo moderado a alto con más frecuencia que tras el placebo, pero ningún cambio medible del flujo sanguíneo vaginal al ver películas eróticas</w:t>
      </w:r>
      <w:r>
        <w:rPr>
          <w:rStyle w:val="FootnoteReference"/>
        </w:rPr>
        <w:footnoteReference w:id="1979"/>
      </w:r>
      <w:r>
        <w:t xml:space="preserve">.</w:t>
      </w:r>
    </w:p>
    <w:p>
      <w:pPr>
        <w:pStyle w:val="BodyText"/>
      </w:pPr>
      <w:r>
        <w:t xml:space="preserve">El decisivo estudio de fase 2b</w:t>
      </w:r>
      <w:r>
        <w:rPr>
          <w:rStyle w:val="FootnoteReference"/>
        </w:rPr>
        <w:footnoteReference w:id="1980"/>
      </w:r>
      <w:r>
        <w:t xml:space="preserve"> </w:t>
      </w:r>
      <w:r>
        <w:t xml:space="preserve">comparó tres dosis con placebo durante doce semanas en mujeres premenopáusicas. Se analizaron 327 participantes. Con las dos dosis más altas combinadas, el número de «acontecimientos sexuales satisfactorios» aumentó en 0,7 al mes, frente a 0,2 con placebo. En el cuestionario FSFI (Female Sexual Function Index, una puntuación de la función sexual), el aumento fue de 3,6 frente a 1,9 puntos. Un análisis posterior estableció a partir de qué cambio un efecto se considera clínicamente relevante; esos umbrales se adoptaron después para los estudios de fase 3</w:t>
      </w:r>
      <w:r>
        <w:rPr>
          <w:rStyle w:val="FootnoteReference"/>
        </w:rPr>
        <w:footnoteReference w:id="1981"/>
      </w:r>
      <w:r>
        <w:t xml:space="preserve">.</w:t>
      </w:r>
    </w:p>
    <w:bookmarkEnd w:id="1982"/>
    <w:bookmarkStart w:id="1986" w:name="los-estudios-de-autorización-reconnect"/>
    <w:p>
      <w:pPr>
        <w:pStyle w:val="Heading4"/>
      </w:pPr>
      <w:r>
        <w:t xml:space="preserve">Los estudios de autorización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RECONNECT 301 y 302 (Kingsberg 2019), PMID 31599840</w:t>
            </w:r>
          </w:p>
        </w:tc>
        <w:tc>
          <w:tcPr/>
          <w:p>
            <w:pPr>
              <w:pStyle w:val="Compact"/>
              <w:jc w:val="left"/>
            </w:pPr>
            <w:r>
              <w:t xml:space="preserve">1267 mujeres premenopáusicas con HSDD, dos ECA frente a placebo, uso a demanda</w:t>
            </w:r>
          </w:p>
        </w:tc>
        <w:tc>
          <w:tcPr/>
          <w:p>
            <w:pPr>
              <w:pStyle w:val="Compact"/>
              <w:jc w:val="left"/>
            </w:pPr>
            <w:r>
              <w:t xml:space="preserve">24 semanas</w:t>
            </w:r>
          </w:p>
        </w:tc>
        <w:tc>
          <w:tcPr/>
          <w:p>
            <w:pPr>
              <w:pStyle w:val="Compact"/>
              <w:jc w:val="left"/>
            </w:pPr>
            <w:r>
              <w:t xml:space="preserve">Deseo (FSFI-Desire) +0,35 puntos más que con placebo; malestar reducido 0,33 puntos más</w:t>
            </w:r>
          </w:p>
        </w:tc>
      </w:tr>
      <w:tr>
        <w:tc>
          <w:tcPr/>
          <w:p>
            <w:pPr>
              <w:pStyle w:val="Compact"/>
              <w:jc w:val="left"/>
            </w:pPr>
            <w:r>
              <w:t xml:space="preserve">Extensión abierta (Simon 2019), PMID 31599847</w:t>
            </w:r>
          </w:p>
        </w:tc>
        <w:tc>
          <w:tcPr/>
          <w:p>
            <w:pPr>
              <w:pStyle w:val="Compact"/>
              <w:jc w:val="left"/>
            </w:pPr>
            <w:r>
              <w:t xml:space="preserve">684 mujeres de ambos estudios, todas con bremelanotida</w:t>
            </w:r>
          </w:p>
        </w:tc>
        <w:tc>
          <w:tcPr/>
          <w:p>
            <w:pPr>
              <w:pStyle w:val="Compact"/>
              <w:jc w:val="left"/>
            </w:pPr>
            <w:r>
              <w:t xml:space="preserve">52 semanas</w:t>
            </w:r>
          </w:p>
        </w:tc>
        <w:tc>
          <w:tcPr/>
          <w:p>
            <w:pPr>
              <w:pStyle w:val="Compact"/>
              <w:jc w:val="left"/>
            </w:pPr>
            <w:r>
              <w:t xml:space="preserve">272 completaron la extensión; ninguna nueva señal de seguridad</w:t>
            </w:r>
          </w:p>
        </w:tc>
      </w:tr>
      <w:tr>
        <w:tc>
          <w:tcPr/>
          <w:p>
            <w:pPr>
              <w:pStyle w:val="Compact"/>
              <w:jc w:val="left"/>
            </w:pPr>
            <w:r>
              <w:t xml:space="preserve">Análisis de subgrupos (Simon 2022), PMID 35230162</w:t>
            </w:r>
          </w:p>
        </w:tc>
        <w:tc>
          <w:tcPr/>
          <w:p>
            <w:pPr>
              <w:pStyle w:val="Compact"/>
              <w:jc w:val="left"/>
            </w:pPr>
            <w:r>
              <w:t xml:space="preserve">1202 mujeres de ambos estudios</w:t>
            </w:r>
          </w:p>
        </w:tc>
        <w:tc>
          <w:tcPr/>
          <w:p>
            <w:pPr>
              <w:pStyle w:val="Compact"/>
              <w:jc w:val="left"/>
            </w:pPr>
            <w:r>
              <w:t xml:space="preserve">24 semanas</w:t>
            </w:r>
          </w:p>
        </w:tc>
        <w:tc>
          <w:tcPr/>
          <w:p>
            <w:pPr>
              <w:pStyle w:val="Compact"/>
              <w:jc w:val="left"/>
            </w:pPr>
            <w:r>
              <w:t xml:space="preserve">Efecto similar en casi todos los subgrupos de edad, peso y estado hormonal</w:t>
            </w:r>
          </w:p>
        </w:tc>
      </w:tr>
      <w:tr>
        <w:tc>
          <w:tcPr/>
          <w:p>
            <w:pPr>
              <w:pStyle w:val="Compact"/>
              <w:jc w:val="left"/>
            </w:pPr>
            <w:r>
              <w:t xml:space="preserve">Análisis de seguridad (Clayton 2022), PMID 35147466</w:t>
            </w:r>
          </w:p>
        </w:tc>
        <w:tc>
          <w:tcPr/>
          <w:p>
            <w:pPr>
              <w:pStyle w:val="Compact"/>
              <w:jc w:val="left"/>
            </w:pPr>
            <w:r>
              <w:t xml:space="preserve">unas 3500 personas en 43 estudios</w:t>
            </w:r>
          </w:p>
        </w:tc>
        <w:tc>
          <w:tcPr/>
          <w:p>
            <w:pPr>
              <w:pStyle w:val="Compact"/>
              <w:jc w:val="left"/>
            </w:pPr>
            <w:r>
              <w:t xml:space="preserve">hasta 18 meses</w:t>
            </w:r>
          </w:p>
        </w:tc>
        <w:tc>
          <w:tcPr/>
          <w:p>
            <w:pPr>
              <w:pStyle w:val="Compact"/>
              <w:jc w:val="left"/>
            </w:pPr>
            <w:r>
              <w:t xml:space="preserve">Náuseas 40,0 % frente a 1,3 %, sofocos 20,3 % frente a 1,3 %</w:t>
            </w:r>
          </w:p>
        </w:tc>
      </w:tr>
    </w:tbl>
    <w:p>
      <w:pPr>
        <w:pStyle w:val="BodyText"/>
      </w:pPr>
      <w:r>
        <w:t xml:space="preserve">Los dos estudios idénticos 301 y 302</w:t>
      </w:r>
      <w:r>
        <w:rPr>
          <w:rStyle w:val="FootnoteReference"/>
        </w:rPr>
        <w:footnoteReference w:id="1983"/>
      </w:r>
      <w:r>
        <w:t xml:space="preserve"> </w:t>
      </w:r>
      <w:r>
        <w:t xml:space="preserve">se realizaron en 2015 y 2016, principalmente en EE. UU. Las participantes se inyectaban a demanda, antes de la actividad sexual, 1,75 mg de bremelanotida o placebo con un autoinyector. Se midieron dos variables principales: el deseo sexual (dominio de deseo del FSFI, escala de 1,2 a 6) y el malestar por el deseo bajo (una pregunta aislada del cuestionario FSDS-DAO, escala de 0 a 4).</w:t>
      </w:r>
    </w:p>
    <w:p>
      <w:pPr>
        <w:pStyle w:val="BodyText"/>
      </w:pPr>
      <w:r>
        <w:t xml:space="preserve">Ambos estudios alcanzaron sus objetivos principales. En el análisis conjunto, el deseo aumentó 0,35 puntos más que con placebo y el malestar disminuyó 0,33 puntos más</w:t>
      </w:r>
      <w:r>
        <w:rPr>
          <w:rStyle w:val="FootnoteReference"/>
        </w:rPr>
        <w:footnoteReference w:id="1984"/>
      </w:r>
      <w:r>
        <w:t xml:space="preserve">. Estas cifras son estadísticamente claras, pero pequeñas: en una escala que llega hasta 6, un tercio de punto supone una diferencia modesta. También con placebo mejoraron claramente los valores, un patrón conocido en medicina sexual.</w:t>
      </w:r>
    </w:p>
    <w:p>
      <w:pPr>
        <w:pStyle w:val="BodyText"/>
      </w:pPr>
      <w:r>
        <w:t xml:space="preserve">En entrevistas de salida con 242 participantes que aún no sabían qué habían recibido, las mujeres tratadas con bremelanotida describieron con más frecuencia excitación física y más deseo; las del grupo placebo mencionaron más bien una mejor comunicación en la pareja</w:t>
      </w:r>
      <w:r>
        <w:rPr>
          <w:rStyle w:val="FootnoteReference"/>
        </w:rPr>
        <w:footnoteReference w:id="1985"/>
      </w:r>
      <w:r>
        <w:t xml:space="preserve">.</w:t>
      </w:r>
    </w:p>
    <w:bookmarkEnd w:id="1986"/>
    <w:bookmarkStart w:id="1989" w:name="Xc90f5b04a2b1b559292680923d045b941da26a5"/>
    <w:p>
      <w:pPr>
        <w:pStyle w:val="Heading4"/>
      </w:pPr>
      <w:r>
        <w:t xml:space="preserve">Las críticas a los estudios de autorización</w:t>
      </w:r>
    </w:p>
    <w:p>
      <w:pPr>
        <w:pStyle w:val="FirstParagraph"/>
      </w:pPr>
      <w:r>
        <w:t xml:space="preserve">Un nuevo análisis independiente basado en la documentación presentada a la agencia estadounidense del medicamento, la FDA, llegó a una valoración global distinta</w:t>
      </w:r>
      <w:r>
        <w:rPr>
          <w:rStyle w:val="FootnoteReference"/>
        </w:rPr>
        <w:footnoteReference w:id="1987"/>
      </w:r>
      <w:r>
        <w:t xml:space="preserve">. El autor confirma los pequeños efectos, pero critica que alrededor del 73 % de los resultados previstos en el protocolo del estudio no se publicaron. Dos hallazgos faltaban en la publicación principal:</w:t>
      </w:r>
    </w:p>
    <w:p>
      <w:pPr>
        <w:numPr>
          <w:ilvl w:val="0"/>
          <w:numId w:val="1252"/>
        </w:numPr>
        <w:pStyle w:val="Compact"/>
      </w:pPr>
      <w:r>
        <w:t xml:space="preserve">Los abandonos por efectos adversos fueron claramente más frecuentes con bremelanotida (odds ratio 11,98). Por cálculo, aproximadamente una de cada seis mujeres tratadas abandonó por efectos adversos cuando con placebo no lo habría hecho.</w:t>
      </w:r>
    </w:p>
    <w:p>
      <w:pPr>
        <w:numPr>
          <w:ilvl w:val="0"/>
          <w:numId w:val="1252"/>
        </w:numPr>
        <w:pStyle w:val="Compact"/>
      </w:pPr>
      <w:r>
        <w:t xml:space="preserve">Quienes completaron el estudio y pasaron luego a la extensión abierta procedían con más frecuencia del grupo placebo. También el análisis de seguridad del fabricante recoge estas cifras: el 70 % del grupo de bremelanotida frente al 87 % del grupo placebo pasaron a la extensión</w:t>
      </w:r>
      <w:r>
        <w:rPr>
          <w:rStyle w:val="FootnoteReference"/>
        </w:rPr>
        <w:footnoteReference w:id="1988"/>
      </w:r>
      <w:r>
        <w:t xml:space="preserve">.</w:t>
      </w:r>
    </w:p>
    <w:p>
      <w:pPr>
        <w:pStyle w:val="FirstParagraph"/>
      </w:pPr>
      <w:r>
        <w:t xml:space="preserve">Spielmans concluye que el medicamento no es útil para la mayoría de las mujeres. Es una opinión individual tajante, pero se basa en datos que también ha publicado la parte del fabricante.</w:t>
      </w:r>
    </w:p>
    <w:bookmarkEnd w:id="1989"/>
    <w:bookmarkStart w:id="1993" w:name="metaanálisis-1"/>
    <w:p>
      <w:pPr>
        <w:pStyle w:val="Heading4"/>
      </w:pPr>
      <w:r>
        <w:t xml:space="preserve">Metaanálisis</w:t>
      </w:r>
    </w:p>
    <w:p>
      <w:pPr>
        <w:pStyle w:val="FirstParagraph"/>
      </w:pPr>
      <w:r>
        <w:t xml:space="preserve">Un metaanálisis sobre medicamentos contra la disfunción sexual femenina (entre ellos la bremelanotida, la flibanserina y la oxitocina intranasal) halló que alrededor del 67,7 % de la mejoría en los grupos de tratamiento se producía también con placebo</w:t>
      </w:r>
      <w:r>
        <w:rPr>
          <w:rStyle w:val="FootnoteReference"/>
        </w:rPr>
        <w:footnoteReference w:id="1990"/>
      </w:r>
      <w:r>
        <w:t xml:space="preserve">. Un metaanálisis más reciente confirma para la bremelanotida pequeñas mejorías del deseo y la excitación y una reducción del malestar, sin comparación con la psicoterapia</w:t>
      </w:r>
      <w:r>
        <w:rPr>
          <w:rStyle w:val="FootnoteReference"/>
        </w:rPr>
        <w:footnoteReference w:id="1991"/>
      </w:r>
      <w:r>
        <w:t xml:space="preserve">. Una revisión de los estudios finalizados en ClinicalTrials.gov critica variables de resultado heterogéneas e informes incompletos</w:t>
      </w:r>
      <w:r>
        <w:rPr>
          <w:rStyle w:val="FootnoteReference"/>
        </w:rPr>
        <w:footnoteReference w:id="1992"/>
      </w:r>
      <w:r>
        <w:t xml:space="preserve">.</w:t>
      </w:r>
    </w:p>
    <w:bookmarkEnd w:id="1993"/>
    <w:bookmarkStart w:id="1997" w:name="otras-cuestiones"/>
    <w:p>
      <w:pPr>
        <w:pStyle w:val="Heading4"/>
      </w:pPr>
      <w:r>
        <w:t xml:space="preserve">Otras cuestiones</w:t>
      </w:r>
    </w:p>
    <w:p>
      <w:pPr>
        <w:numPr>
          <w:ilvl w:val="0"/>
          <w:numId w:val="1253"/>
        </w:numPr>
        <w:pStyle w:val="Compact"/>
      </w:pPr>
      <w:r>
        <w:rPr>
          <w:bCs/>
          <w:b/>
        </w:rPr>
        <w:t xml:space="preserve">Alcohol:</w:t>
      </w:r>
      <w:r>
        <w:t xml:space="preserve"> </w:t>
      </w:r>
      <w:r>
        <w:t xml:space="preserve">en un estudio de fase 1 con 24 personas sanas no se produjeron interacciones relevantes con el consumo simultáneo de alcohol</w:t>
      </w:r>
      <w:r>
        <w:rPr>
          <w:rStyle w:val="FootnoteReference"/>
        </w:rPr>
        <w:footnoteReference w:id="1994"/>
      </w:r>
      <w:r>
        <w:t xml:space="preserve">.</w:t>
      </w:r>
    </w:p>
    <w:p>
      <w:pPr>
        <w:numPr>
          <w:ilvl w:val="0"/>
          <w:numId w:val="1253"/>
        </w:numPr>
        <w:pStyle w:val="Compact"/>
      </w:pPr>
      <w:r>
        <w:rPr>
          <w:bCs/>
          <w:b/>
        </w:rPr>
        <w:t xml:space="preserve">Peso:</w:t>
      </w:r>
      <w:r>
        <w:t xml:space="preserve"> </w:t>
      </w:r>
      <w:r>
        <w:t xml:space="preserve">como el MC4R también regula el apetito, la bremelanotida se probó en mujeres con obesidad. En dos pequeños estudios de fase 1, la ingesta calórica disminuyó unas 400 kcal al día; a los 16 días, el peso era 1,3 kg inferior al del grupo placebo</w:t>
      </w:r>
      <w:r>
        <w:rPr>
          <w:rStyle w:val="FootnoteReference"/>
        </w:rPr>
        <w:footnoteReference w:id="1995"/>
      </w:r>
      <w:r>
        <w:t xml:space="preserve">. Son datos a corto plazo que no permiten conclusiones sobre un tratamiento prolongado.</w:t>
      </w:r>
    </w:p>
    <w:p>
      <w:pPr>
        <w:numPr>
          <w:ilvl w:val="0"/>
          <w:numId w:val="1253"/>
        </w:numPr>
        <w:pStyle w:val="Compact"/>
      </w:pPr>
      <w:r>
        <w:rPr>
          <w:bCs/>
          <w:b/>
        </w:rPr>
        <w:t xml:space="preserve">Cerebro:</w:t>
      </w:r>
      <w:r>
        <w:t xml:space="preserve"> </w:t>
      </w:r>
      <w:r>
        <w:t xml:space="preserve">el estudio de RMf ya mencionado</w:t>
      </w:r>
      <w:r>
        <w:rPr>
          <w:rStyle w:val="FootnoteReference"/>
        </w:rPr>
        <w:footnoteReference w:id="1996"/>
      </w:r>
      <w:r>
        <w:t xml:space="preserve"> </w:t>
      </w:r>
      <w:r>
        <w:t xml:space="preserve">es uno de los pocos trabajos no dirigidos por el fabricante.</w:t>
      </w:r>
    </w:p>
    <w:bookmarkEnd w:id="1997"/>
    <w:bookmarkEnd w:id="1998"/>
    <w:bookmarkStart w:id="2002" w:name="estudios-en-animales-y-de-laboratorio-46"/>
    <w:p>
      <w:pPr>
        <w:pStyle w:val="Heading3"/>
      </w:pPr>
      <w:r>
        <w:t xml:space="preserve">Estudios en animales y de laboratorio</w:t>
      </w:r>
    </w:p>
    <w:p>
      <w:pPr>
        <w:pStyle w:val="FirstParagraph"/>
      </w:pPr>
      <w:r>
        <w:t xml:space="preserve">La investigación animal sobre la bremelanotida procede sobre todo de ratas. Una revisión la resume así: la bremelanotida activa el MC4R en neuronas del hipotálamo, que en consecuencia liberan más dopamina; en ratas hembra aumentaron las conductas con las que las hembras muestran interés sexual</w:t>
      </w:r>
      <w:r>
        <w:rPr>
          <w:rStyle w:val="FootnoteReference"/>
        </w:rPr>
        <w:footnoteReference w:id="1999"/>
      </w:r>
      <w:r>
        <w:t xml:space="preserve">. La revisión procede de investigadores vinculados al desarrollo del medicamento.</w:t>
      </w:r>
    </w:p>
    <w:p>
      <w:pPr>
        <w:pStyle w:val="BodyText"/>
      </w:pPr>
      <w:r>
        <w:t xml:space="preserve">Un estudio independiente en hámsteres hembra llegó a un resultado decepcionante: la bremelanotida no modificó los receptores del sistema de recompensa ni reforzó el «valor de recompensa» de los encuentros sexuales en una prueba de conducta</w:t>
      </w:r>
      <w:r>
        <w:rPr>
          <w:rStyle w:val="FootnoteReference"/>
        </w:rPr>
        <w:footnoteReference w:id="2000"/>
      </w:r>
      <w:r>
        <w:t xml:space="preserve">. Las autoras y los autores concluyen que el medicamento no actúa a través del circuito de recompensa clásico. Así pues, cómo actúa exactamente sigue sin aclararse.</w:t>
      </w:r>
    </w:p>
    <w:p>
      <w:pPr>
        <w:pStyle w:val="BodyText"/>
      </w:pPr>
      <w:r>
        <w:t xml:space="preserve">En cultivos celulares, la bremelanotida inhibió el crecimiento de células de glioblastoma, un tipo de tumor cerebral</w:t>
      </w:r>
      <w:r>
        <w:rPr>
          <w:rStyle w:val="FootnoteReference"/>
        </w:rPr>
        <w:footnoteReference w:id="2001"/>
      </w:r>
      <w:r>
        <w:t xml:space="preserve">. Es un hallazgo puramente de laboratorio, sin relevancia clínica.</w:t>
      </w:r>
    </w:p>
    <w:bookmarkEnd w:id="2002"/>
    <w:bookmarkStart w:id="2013" w:name="riesgos-y-efectos-adversos-46"/>
    <w:p>
      <w:pPr>
        <w:pStyle w:val="Heading3"/>
      </w:pPr>
      <w:r>
        <w:t xml:space="preserve">Riesgos y efectos adversos</w:t>
      </w:r>
    </w:p>
    <w:bookmarkStart w:id="2008" w:name="demostrados"/>
    <w:p>
      <w:pPr>
        <w:pStyle w:val="Heading4"/>
      </w:pPr>
      <w:r>
        <w:t xml:space="preserve">Demostrados</w:t>
      </w:r>
    </w:p>
    <w:p>
      <w:pPr>
        <w:numPr>
          <w:ilvl w:val="0"/>
          <w:numId w:val="1254"/>
        </w:numPr>
        <w:pStyle w:val="Compact"/>
      </w:pPr>
      <w:r>
        <w:rPr>
          <w:bCs/>
          <w:b/>
        </w:rPr>
        <w:t xml:space="preserve">Náuseas:</w:t>
      </w:r>
      <w:r>
        <w:t xml:space="preserve"> </w:t>
      </w:r>
      <w:r>
        <w:t xml:space="preserve">el efecto adverso más frecuente. En los estudios de fase 3 afectaron al 40,0 % frente al 1,3 % con placebo y fueron el motivo de abandono más frecuente</w:t>
      </w:r>
      <w:r>
        <w:rPr>
          <w:rStyle w:val="FootnoteReference"/>
        </w:rPr>
        <w:footnoteReference w:id="2003"/>
      </w:r>
      <w:r>
        <w:t xml:space="preserve">. Un estudio específico con 228 mujeres sanas examinó si el antiemético ondansetrón ayuda de forma preventiva</w:t>
      </w:r>
      <w:r>
        <w:rPr>
          <w:rStyle w:val="FootnoteReference"/>
        </w:rPr>
        <w:footnoteReference w:id="2004"/>
      </w:r>
      <w:r>
        <w:t xml:space="preserve">.</w:t>
      </w:r>
    </w:p>
    <w:p>
      <w:pPr>
        <w:numPr>
          <w:ilvl w:val="0"/>
          <w:numId w:val="1254"/>
        </w:numPr>
        <w:pStyle w:val="Compact"/>
      </w:pPr>
      <w:r>
        <w:rPr>
          <w:bCs/>
          <w:b/>
        </w:rPr>
        <w:t xml:space="preserve">Sofocos (flushing)</w:t>
      </w:r>
      <w:r>
        <w:t xml:space="preserve"> </w:t>
      </w:r>
      <w:r>
        <w:t xml:space="preserve">en el 20,3 %,</w:t>
      </w:r>
      <w:r>
        <w:t xml:space="preserve"> </w:t>
      </w:r>
      <w:r>
        <w:rPr>
          <w:bCs/>
          <w:b/>
        </w:rPr>
        <w:t xml:space="preserve">cefalea</w:t>
      </w:r>
      <w:r>
        <w:t xml:space="preserve"> </w:t>
      </w:r>
      <w:r>
        <w:t xml:space="preserve">en el 11,3 %,</w:t>
      </w:r>
      <w:r>
        <w:t xml:space="preserve"> </w:t>
      </w:r>
      <w:r>
        <w:rPr>
          <w:bCs/>
          <w:b/>
        </w:rPr>
        <w:t xml:space="preserve">reacciones en el lugar de inyección</w:t>
      </w:r>
      <w:r>
        <w:t xml:space="preserve"> </w:t>
      </w:r>
      <w:r>
        <w:t xml:space="preserve">en el 5,4 % (frente al 1,3 %, el 1,9 % y el 0,5 % con placebo).</w:t>
      </w:r>
    </w:p>
    <w:p>
      <w:pPr>
        <w:numPr>
          <w:ilvl w:val="0"/>
          <w:numId w:val="1254"/>
        </w:numPr>
        <w:pStyle w:val="Compact"/>
      </w:pPr>
      <w:r>
        <w:rPr>
          <w:bCs/>
          <w:b/>
        </w:rPr>
        <w:t xml:space="preserve">Presión arterial:</w:t>
      </w:r>
      <w:r>
        <w:t xml:space="preserve"> </w:t>
      </w:r>
      <w:r>
        <w:t xml:space="preserve">en un estudio con medición de 24 horas en 397 mujeres, la presión sistólica aumentó transitoriamente entre 2,4 y 3,2 mmHg tras la administración; los picos duraron por lo general menos de 15 minutos. Al mismo tiempo, la frecuencia cardiaca disminuyó unos 4,6 latidos por minuto</w:t>
      </w:r>
      <w:r>
        <w:rPr>
          <w:rStyle w:val="FootnoteReference"/>
        </w:rPr>
        <w:footnoteReference w:id="2005"/>
      </w:r>
      <w:r>
        <w:t xml:space="preserve">. Por ello, la ficha técnica desaconseja su uso en caso de hipertensión no controlada o enfermedad cardiovascular conocida.</w:t>
      </w:r>
    </w:p>
    <w:p>
      <w:pPr>
        <w:numPr>
          <w:ilvl w:val="0"/>
          <w:numId w:val="1254"/>
        </w:numPr>
        <w:pStyle w:val="Compact"/>
      </w:pPr>
      <w:r>
        <w:rPr>
          <w:bCs/>
          <w:b/>
        </w:rPr>
        <w:t xml:space="preserve">Manchas pigmentarias:</w:t>
      </w:r>
      <w:r>
        <w:t xml:space="preserve"> </w:t>
      </w:r>
      <w:r>
        <w:t xml:space="preserve">raras con el uso conforme a la ficha técnica. Sin embargo, cuando la bremelanotida se administró hasta 16 días consecutivos, más de un tercio de los participantes desarrolló manchas oscuras circunscritas</w:t>
      </w:r>
      <w:r>
        <w:rPr>
          <w:rStyle w:val="FootnoteReference"/>
        </w:rPr>
        <w:footnoteReference w:id="2006"/>
      </w:r>
      <w:r>
        <w:t xml:space="preserve">, un indicio del efecto residual sobre el receptor pigmentario.</w:t>
      </w:r>
    </w:p>
    <w:p>
      <w:pPr>
        <w:numPr>
          <w:ilvl w:val="0"/>
          <w:numId w:val="1254"/>
        </w:numPr>
        <w:pStyle w:val="Compact"/>
      </w:pPr>
      <w:r>
        <w:rPr>
          <w:bCs/>
          <w:b/>
        </w:rPr>
        <w:t xml:space="preserve">Interacciones:</w:t>
      </w:r>
      <w:r>
        <w:t xml:space="preserve"> </w:t>
      </w:r>
      <w:r>
        <w:t xml:space="preserve">la bremelanotida retrasa brevemente el vaciamiento gástrico y, en estudios, redujo las concentraciones sanguíneas de indometacina y naltrexona</w:t>
      </w:r>
      <w:r>
        <w:rPr>
          <w:rStyle w:val="FootnoteReference"/>
        </w:rPr>
        <w:footnoteReference w:id="2007"/>
      </w:r>
      <w:r>
        <w:t xml:space="preserve">.</w:t>
      </w:r>
    </w:p>
    <w:bookmarkEnd w:id="2008"/>
    <w:bookmarkStart w:id="2010" w:name="sin-aclarar"/>
    <w:p>
      <w:pPr>
        <w:pStyle w:val="Heading4"/>
      </w:pPr>
      <w:r>
        <w:t xml:space="preserve">Sin aclarar</w:t>
      </w:r>
    </w:p>
    <w:p>
      <w:pPr>
        <w:pStyle w:val="FirstParagraph"/>
      </w:pPr>
      <w:r>
        <w:t xml:space="preserve">No hay datos suficientes sobre el embarazo. Un pequeño estudio mide actualmente el paso a la leche materna</w:t>
      </w:r>
      <w:r>
        <w:rPr>
          <w:rStyle w:val="FootnoteReference"/>
        </w:rPr>
        <w:footnoteReference w:id="2009"/>
      </w:r>
      <w:r>
        <w:t xml:space="preserve">. Faltan datos a largo plazo más allá de 18 meses.</w:t>
      </w:r>
    </w:p>
    <w:bookmarkEnd w:id="2010"/>
    <w:bookmarkStart w:id="2012" w:name="mercado-gris-1"/>
    <w:p>
      <w:pPr>
        <w:pStyle w:val="Heading4"/>
      </w:pPr>
      <w:r>
        <w:t xml:space="preserve">Mercado gris</w:t>
      </w:r>
    </w:p>
    <w:p>
      <w:pPr>
        <w:pStyle w:val="FirstParagraph"/>
      </w:pPr>
      <w:r>
        <w:t xml:space="preserve">Con el nombre «PT-141», la bremelanotida se ofrece en internet como polvo para autoinyección, a menudo junto al melanotán II. Laboratorios forenses identificaron ambas sustancias en muestras incautadas por la policía en el entorno del culturismo</w:t>
      </w:r>
      <w:r>
        <w:rPr>
          <w:rStyle w:val="FootnoteReference"/>
        </w:rPr>
        <w:footnoteReference w:id="2011"/>
      </w:r>
      <w:r>
        <w:t xml:space="preserve">. A estos productos se aplican los mismos riesgos que a otros péptidos del mercado gris (Parte I, capítulo «El mercado gris»): pureza desconocida, cantidades erróneas, impurezas, fabricación no estéril. Se sabe que el espray nasal de bremelanotida tenía un efecto más intenso sobre la presión arterial; los espráis del mercado gris no están evaluados.</w:t>
      </w:r>
    </w:p>
    <w:bookmarkEnd w:id="2012"/>
    <w:bookmarkEnd w:id="2013"/>
    <w:bookmarkStart w:id="2015" w:name="situación-legal-46"/>
    <w:p>
      <w:pPr>
        <w:pStyle w:val="Heading3"/>
      </w:pPr>
      <w:r>
        <w:t xml:space="preserve">Situación legal</w:t>
      </w:r>
    </w:p>
    <w:p>
      <w:pPr>
        <w:pStyle w:val="FirstParagraph"/>
      </w:pPr>
      <w:r>
        <w:rPr>
          <w:iCs/>
          <w:i/>
        </w:rPr>
        <w:t xml:space="preserve">Situación en 2026, compruébese la versión actual.</w:t>
      </w:r>
    </w:p>
    <w:p>
      <w:pPr>
        <w:numPr>
          <w:ilvl w:val="0"/>
          <w:numId w:val="1255"/>
        </w:numPr>
        <w:pStyle w:val="Compact"/>
      </w:pPr>
      <w:r>
        <w:rPr>
          <w:bCs/>
          <w:b/>
        </w:rPr>
        <w:t xml:space="preserve">UE:</w:t>
      </w:r>
      <w:r>
        <w:t xml:space="preserve"> </w:t>
      </w:r>
      <w:r>
        <w:t xml:space="preserve">sin autorización y sin ningún procedimiento de autorización conocido en curso. La venta para uso en humanos no está permitida en la UE.</w:t>
      </w:r>
    </w:p>
    <w:p>
      <w:pPr>
        <w:numPr>
          <w:ilvl w:val="0"/>
          <w:numId w:val="1255"/>
        </w:numPr>
        <w:pStyle w:val="Compact"/>
      </w:pPr>
      <w:r>
        <w:rPr>
          <w:bCs/>
          <w:b/>
        </w:rPr>
        <w:t xml:space="preserve">Alemania y Austria:</w:t>
      </w:r>
      <w:r>
        <w:t xml:space="preserve"> </w:t>
      </w:r>
      <w:r>
        <w:t xml:space="preserve">sin autorización. La importación individual de un medicamento autorizado en EE. UU. con prescripción médica es legalmente posible dentro de límites estrechos; los productos del mercado gris no están incluidos.</w:t>
      </w:r>
    </w:p>
    <w:p>
      <w:pPr>
        <w:numPr>
          <w:ilvl w:val="0"/>
          <w:numId w:val="1255"/>
        </w:numPr>
        <w:pStyle w:val="Compact"/>
      </w:pPr>
      <w:r>
        <w:rPr>
          <w:bCs/>
          <w:b/>
        </w:rPr>
        <w:t xml:space="preserve">EE. UU.:</w:t>
      </w:r>
      <w:r>
        <w:t xml:space="preserve"> </w:t>
      </w:r>
      <w:r>
        <w:t xml:space="preserve">autorizada desde junio de 2019 (Vyleesi) para mujeres premenopáusicas con HSDD adquirido y generalizado. No autorizada para hombres, para mujeres posmenopáusicas ni para aumentar el deseo en personas sanas. Los derechos de comercialización han cambiado varias veces; según los registros, la responsable es ahora la empresa Cosette Pharmaceuticals.</w:t>
      </w:r>
    </w:p>
    <w:p>
      <w:pPr>
        <w:numPr>
          <w:ilvl w:val="0"/>
          <w:numId w:val="1255"/>
        </w:numPr>
        <w:pStyle w:val="Compact"/>
      </w:pPr>
      <w:r>
        <w:rPr>
          <w:bCs/>
          <w:b/>
        </w:rPr>
        <w:t xml:space="preserve">Otros países:</w:t>
      </w:r>
      <w:r>
        <w:t xml:space="preserve"> </w:t>
      </w:r>
      <w:r>
        <w:t xml:space="preserve">en Corea del Sur se realizó un estudio puente con 193 mujeres para una autorización en ese país</w:t>
      </w:r>
      <w:r>
        <w:rPr>
          <w:rStyle w:val="FootnoteReference"/>
        </w:rPr>
        <w:footnoteReference w:id="2014"/>
      </w:r>
      <w:r>
        <w:t xml:space="preserve">.</w:t>
      </w:r>
    </w:p>
    <w:p>
      <w:pPr>
        <w:numPr>
          <w:ilvl w:val="0"/>
          <w:numId w:val="1255"/>
        </w:numPr>
        <w:pStyle w:val="Compact"/>
      </w:pPr>
      <w:r>
        <w:rPr>
          <w:bCs/>
          <w:b/>
        </w:rPr>
        <w:t xml:space="preserve">WADA:</w:t>
      </w:r>
      <w:r>
        <w:t xml:space="preserve"> </w:t>
      </w:r>
      <w:r>
        <w:t xml:space="preserve">no figura nominalmente. Consulte la lista de prohibiciones vigente.</w:t>
      </w:r>
    </w:p>
    <w:bookmarkEnd w:id="2015"/>
    <w:bookmarkStart w:id="2019" w:name="estudios-en-curso-y-perspectivas-46"/>
    <w:p>
      <w:pPr>
        <w:pStyle w:val="Heading3"/>
      </w:pPr>
      <w:r>
        <w:t xml:space="preserve">Estudios en curso y perspectivas</w:t>
      </w:r>
    </w:p>
    <w:p>
      <w:pPr>
        <w:pStyle w:val="FirstParagraph"/>
      </w:pPr>
      <w:r>
        <w:rPr>
          <w:bCs/>
          <w:b/>
        </w:rPr>
        <w:t xml:space="preserve">Confirmado (estudios registrados):</w:t>
      </w:r>
    </w:p>
    <w:p>
      <w:pPr>
        <w:numPr>
          <w:ilvl w:val="0"/>
          <w:numId w:val="1256"/>
        </w:numPr>
        <w:pStyle w:val="Compact"/>
      </w:pPr>
      <w:r>
        <w:t xml:space="preserve">Un estudio de fase 2 con 108 personas examina la bremelanotida añadida a la tirzepatida en la obesidad</w:t>
      </w:r>
      <w:r>
        <w:rPr>
          <w:rStyle w:val="FootnoteReference"/>
        </w:rPr>
        <w:footnoteReference w:id="2016"/>
      </w:r>
      <w:r>
        <w:t xml:space="preserve">. El trasfondo es el efecto reductor del apetito a través del MC4R. Al cierre de la redacción no había en PubMed resultados publicados y revisados por pares.</w:t>
      </w:r>
    </w:p>
    <w:p>
      <w:pPr>
        <w:numPr>
          <w:ilvl w:val="0"/>
          <w:numId w:val="1256"/>
        </w:numPr>
        <w:pStyle w:val="Compact"/>
      </w:pPr>
      <w:r>
        <w:t xml:space="preserve">Ha finalizado un pequeño estudio abierto de fase 2 con 16 personas con enfermedad renal diabética</w:t>
      </w:r>
      <w:r>
        <w:rPr>
          <w:rStyle w:val="FootnoteReference"/>
        </w:rPr>
        <w:footnoteReference w:id="2017"/>
      </w:r>
      <w:r>
        <w:t xml:space="preserve">, también sin resultados publicados en PubMed.</w:t>
      </w:r>
    </w:p>
    <w:p>
      <w:pPr>
        <w:numPr>
          <w:ilvl w:val="0"/>
          <w:numId w:val="1256"/>
        </w:numPr>
        <w:pStyle w:val="Compact"/>
      </w:pPr>
      <w:r>
        <w:t xml:space="preserve">El estudio sobre lactancia</w:t>
      </w:r>
      <w:r>
        <w:rPr>
          <w:rStyle w:val="FootnoteReference"/>
        </w:rPr>
        <w:footnoteReference w:id="2018"/>
      </w:r>
      <w:r>
        <w:t xml:space="preserve">, con 10 mujeres, finalizó en 2025.</w:t>
      </w:r>
    </w:p>
    <w:p>
      <w:pPr>
        <w:pStyle w:val="FirstParagraph"/>
      </w:pPr>
      <w:r>
        <w:rPr>
          <w:bCs/>
          <w:b/>
        </w:rPr>
        <w:t xml:space="preserve">Valoración del autor:</w:t>
      </w:r>
      <w:r>
        <w:t xml:space="preserve"> </w:t>
      </w:r>
      <w:r>
        <w:t xml:space="preserve">según la situación actual, falta interés económico para una autorización en Europa; no se conoce ninguna solicitud. Más interesante es el papel del MC4R en la investigación de la obesidad, donde con la setmelanotida (capítulo en la Parte II · A) ya hay un agonista del MC4R autorizado para formas genéticas raras. Si la bremelanotida encuentra aquí un nicho dependerá de los resultados de los estudios aún pendientes.</w:t>
      </w:r>
    </w:p>
    <w:bookmarkEnd w:id="2019"/>
    <w:bookmarkStart w:id="2020" w:name="conclusión-46"/>
    <w:p>
      <w:pPr>
        <w:pStyle w:val="Heading3"/>
      </w:pPr>
      <w:r>
        <w:t xml:space="preserve">Conclusión</w:t>
      </w:r>
    </w:p>
    <w:p>
      <w:pPr>
        <w:pStyle w:val="FirstParagraph"/>
      </w:pPr>
      <w:r>
        <w:t xml:space="preserve">La bremelanotida es el único medicamento autorizado que actúa sobre el deseo sexual a través del sistema de las melanocortinas en el cerebro, aunque solo en EE. UU. y solo para un grupo de mujeres muy delimitado. En dos grandes estudios de fase 3, el deseo y el malestar mejoraron de forma estadísticamente clara, pero en pequeña medida y con un efecto placebo elevado. Las náuseas afectan a casi la mitad de las usuarias y llevan con frecuencia al abandono; las subidas transitorias de la presión arterial exigen precaución en caso de riesgo cardiovascular. Los productos del mercado gris con el nombre «PT-141» no están evaluados, y para hombres o personas sin diagnóstico falta cualquier evidencia suficiente para una autorización.</w:t>
      </w:r>
    </w:p>
    <w:bookmarkEnd w:id="2020"/>
    <w:bookmarkEnd w:id="2021"/>
    <w:bookmarkStart w:id="2076" w:name="melanotán-ii"/>
    <w:p>
      <w:pPr>
        <w:pStyle w:val="Heading2"/>
      </w:pPr>
      <w:r>
        <w:t xml:space="preserve">Melanotán II</w:t>
      </w:r>
    </w:p>
    <w:bookmarkStart w:id="2024" w:name="ficha-47"/>
    <w:p>
      <w:pPr>
        <w:pStyle w:val="Heading3"/>
      </w:pPr>
      <w:r>
        <w:t xml:space="preserve">Ficha</w:t>
      </w:r>
    </w:p>
    <w:p>
      <w:pPr>
        <w:numPr>
          <w:ilvl w:val="0"/>
          <w:numId w:val="1257"/>
        </w:numPr>
        <w:pStyle w:val="Compact"/>
      </w:pPr>
      <w:r>
        <w:rPr>
          <w:bCs/>
          <w:b/>
        </w:rPr>
        <w:t xml:space="preserve">Tipo/estructura:</w:t>
      </w:r>
      <w:r>
        <w:t xml:space="preserve"> </w:t>
      </w:r>
      <w:r>
        <w:t xml:space="preserve">péptido cíclico (en forma de anillo) de siete aminoácidos, una variante acortada y químicamente estabilizada de la hormona endógena alfa-MSH. La estructura en anillo la protege de una degradación rápida y hace que la molécula sea mucho más potente que su modelo natural</w:t>
      </w:r>
      <w:r>
        <w:rPr>
          <w:rStyle w:val="FootnoteReference"/>
        </w:rPr>
        <w:footnoteReference w:id="2022"/>
      </w:r>
      <w:r>
        <w:t xml:space="preserve">.</w:t>
      </w:r>
    </w:p>
    <w:p>
      <w:pPr>
        <w:numPr>
          <w:ilvl w:val="0"/>
          <w:numId w:val="1257"/>
        </w:numPr>
        <w:pStyle w:val="Compact"/>
      </w:pPr>
      <w:r>
        <w:rPr>
          <w:bCs/>
          <w:b/>
        </w:rPr>
        <w:t xml:space="preserve">Origen:</w:t>
      </w:r>
      <w:r>
        <w:t xml:space="preserve"> </w:t>
      </w:r>
      <w:r>
        <w:t xml:space="preserve">desarrollado a finales de la década de 1980 y principios de la de 1990 en la Universidad de Arizona, en Tucson, inicialmente con el objetivo de conseguir un bronceado sin sol y prevenir así el cáncer de piel</w:t>
      </w:r>
      <w:r>
        <w:rPr>
          <w:rStyle w:val="FootnoteReference"/>
        </w:rPr>
        <w:footnoteReference w:id="2023"/>
      </w:r>
      <w:r>
        <w:t xml:space="preserve">.</w:t>
      </w:r>
    </w:p>
    <w:p>
      <w:pPr>
        <w:numPr>
          <w:ilvl w:val="0"/>
          <w:numId w:val="1257"/>
        </w:numPr>
        <w:pStyle w:val="Compact"/>
      </w:pPr>
      <w:r>
        <w:rPr>
          <w:bCs/>
          <w:b/>
        </w:rPr>
        <w:t xml:space="preserve">Mecanismo de acción:</w:t>
      </w:r>
      <w:r>
        <w:t xml:space="preserve"> </w:t>
      </w:r>
      <w:r>
        <w:t xml:space="preserve">agonista no selectivo de los receptores de melanocortinas: MC1R (pigmentación de la piel), MC3R y MC4R (apetito, función sexual) y otros.</w:t>
      </w:r>
    </w:p>
    <w:p>
      <w:pPr>
        <w:numPr>
          <w:ilvl w:val="0"/>
          <w:numId w:val="1257"/>
        </w:numPr>
        <w:pStyle w:val="Compact"/>
      </w:pPr>
      <w:r>
        <w:rPr>
          <w:bCs/>
          <w:b/>
        </w:rPr>
        <w:t xml:space="preserve">Autorización en la UE:</w:t>
      </w:r>
      <w:r>
        <w:t xml:space="preserve"> </w:t>
      </w:r>
      <w:r>
        <w:t xml:space="preserve">no.</w:t>
      </w:r>
    </w:p>
    <w:p>
      <w:pPr>
        <w:numPr>
          <w:ilvl w:val="0"/>
          <w:numId w:val="1257"/>
        </w:numPr>
        <w:pStyle w:val="Compact"/>
      </w:pPr>
      <w:r>
        <w:rPr>
          <w:bCs/>
          <w:b/>
        </w:rPr>
        <w:t xml:space="preserve">Autorización en EE. UU.:</w:t>
      </w:r>
      <w:r>
        <w:t xml:space="preserve"> </w:t>
      </w:r>
      <w:r>
        <w:t xml:space="preserve">no.</w:t>
      </w:r>
    </w:p>
    <w:p>
      <w:pPr>
        <w:numPr>
          <w:ilvl w:val="0"/>
          <w:numId w:val="1257"/>
        </w:numPr>
        <w:pStyle w:val="Compact"/>
      </w:pPr>
      <w:r>
        <w:rPr>
          <w:bCs/>
          <w:b/>
        </w:rPr>
        <w:t xml:space="preserve">WADA:</w:t>
      </w:r>
      <w:r>
        <w:t xml:space="preserve"> </w:t>
      </w:r>
      <w:r>
        <w:t xml:space="preserve">no se menciona nominalmente; como principio activo no autorizado en ninguna parte, entra en el grupo S0 (sustancias no aprobadas) y, por tanto, está prohibido en todo momento.</w:t>
      </w:r>
    </w:p>
    <w:p>
      <w:pPr>
        <w:numPr>
          <w:ilvl w:val="0"/>
          <w:numId w:val="1257"/>
        </w:numPr>
        <w:pStyle w:val="Compact"/>
      </w:pPr>
      <w:r>
        <w:rPr>
          <w:bCs/>
          <w:b/>
        </w:rPr>
        <w:t xml:space="preserve">Nivel de evidencia:</w:t>
      </w:r>
      <w:r>
        <w:t xml:space="preserve"> </w:t>
      </w:r>
      <w:r>
        <w:rPr>
          <w:bCs/>
          <w:b/>
        </w:rPr>
        <w:t xml:space="preserve">C</w:t>
      </w:r>
      <w:r>
        <w:t xml:space="preserve"> </w:t>
      </w:r>
      <w:r>
        <w:t xml:space="preserve">– solo estudios piloto muy pequeños de la década de 1990 con unas dos docenas de participantes en total, complementados por numerosos casos clínicos de efectos adversos en la autoadministración no controlada.</w:t>
      </w:r>
    </w:p>
    <w:bookmarkEnd w:id="2024"/>
    <w:bookmarkStart w:id="2026" w:name="cómo-se-supone-que-actúa-47"/>
    <w:p>
      <w:pPr>
        <w:pStyle w:val="Heading3"/>
      </w:pPr>
      <w:r>
        <w:t xml:space="preserve">Cómo se supone que actúa</w:t>
      </w:r>
    </w:p>
    <w:p>
      <w:pPr>
        <w:pStyle w:val="FirstParagraph"/>
      </w:pPr>
      <w:r>
        <w:t xml:space="preserve">La piel se broncea cuando las células pigmentarias (melanocitos) producen más melanina. La señal para ello la aporta, entre otras, la hormona alfa-MSH, que se une al receptor MC1R de las células pigmentarias. Tras tomar el sol, aumenta la producción de alfa-MSH en la piel y las células pigmentarias pasan a producir eumelanina, oscura y protectora.</w:t>
      </w:r>
    </w:p>
    <w:p>
      <w:pPr>
        <w:pStyle w:val="BodyText"/>
      </w:pPr>
      <w:r>
        <w:t xml:space="preserve">El melanotán II imita esta señal sin que la radiación UV tenga que dañar antes la piel. Esa era la idea original: un «bronceado inyectable» que proteja de las quemaduras solares. El problema: el melanotán II no solo se une al MC1R, sino también a los receptores MC3R y MC4R del cerebro. Estos regulan el apetito, el gasto energético y la excitación sexual. De ahí proceden los efectos acompañantes típicos: náuseas, bostezos y estiramientos, disminución del apetito y erecciones espontáneas.</w:t>
      </w:r>
    </w:p>
    <w:p>
      <w:pPr>
        <w:pStyle w:val="BodyText"/>
      </w:pPr>
      <w:r>
        <w:t xml:space="preserve">De la investigación de este «efecto adverso» surgieron otros dos principios activos que, a diferencia del melanotán II, sí continuaron su desarrollo clínico:</w:t>
      </w:r>
    </w:p>
    <w:p>
      <w:pPr>
        <w:numPr>
          <w:ilvl w:val="0"/>
          <w:numId w:val="1258"/>
        </w:numPr>
        <w:pStyle w:val="Compact"/>
      </w:pPr>
      <w:r>
        <w:t xml:space="preserve">La</w:t>
      </w:r>
      <w:r>
        <w:t xml:space="preserve"> </w:t>
      </w:r>
      <w:r>
        <w:rPr>
          <w:bCs/>
          <w:b/>
        </w:rPr>
        <w:t xml:space="preserve">afamelanotida</w:t>
      </w:r>
      <w:r>
        <w:t xml:space="preserve">, antes llamada melanotán I, es una molécula lineal y más larga que actúa preferentemente sobre la piel y está autorizada como implante para una enfermedad rara de fotosensibilidad (capítulo 2E03).</w:t>
      </w:r>
    </w:p>
    <w:p>
      <w:pPr>
        <w:numPr>
          <w:ilvl w:val="0"/>
          <w:numId w:val="1258"/>
        </w:numPr>
        <w:pStyle w:val="Compact"/>
      </w:pPr>
      <w:r>
        <w:t xml:space="preserve">La</w:t>
      </w:r>
      <w:r>
        <w:t xml:space="preserve"> </w:t>
      </w:r>
      <w:r>
        <w:rPr>
          <w:bCs/>
          <w:b/>
        </w:rPr>
        <w:t xml:space="preserve">bremelanotida</w:t>
      </w:r>
      <w:r>
        <w:t xml:space="preserve"> </w:t>
      </w:r>
      <w:r>
        <w:t xml:space="preserve">(PT-141) es una forma ligeramente modificada del melanotán II, autorizada en EE. UU. para el tratamiento del deseo sexual bajo en mujeres (capítulo 2E01).</w:t>
      </w:r>
    </w:p>
    <w:p>
      <w:pPr>
        <w:pStyle w:val="FirstParagraph"/>
      </w:pPr>
      <w:r>
        <w:t xml:space="preserve">En internet estos nombres se mezclan a menudo. «Melanotán» sin más puede designar, según el vendedor, uno u otro, o algo completamente distinto</w:t>
      </w:r>
      <w:r>
        <w:rPr>
          <w:rStyle w:val="FootnoteReference"/>
        </w:rPr>
        <w:footnoteReference w:id="2025"/>
      </w:r>
      <w:r>
        <w:t xml:space="preserve">.</w:t>
      </w:r>
    </w:p>
    <w:bookmarkEnd w:id="2026"/>
    <w:bookmarkStart w:id="2040" w:name="estudios-en-humanos-47"/>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8</w:t>
      </w:r>
      <w:r>
        <w:t xml:space="preserve"> </w:t>
      </w:r>
      <w:r>
        <w:t xml:space="preserve">estudios en humanos en PubMed (</w:t>
      </w:r>
      <w:r>
        <w:rPr>
          <w:rStyle w:val="VerbatimChar"/>
        </w:rPr>
        <w:t xml:space="preserve">humanstudien_alle</w:t>
      </w:r>
      <w:r>
        <w:t xml:space="preserve">) y un único registro en ClinicalTrials.gov, que al examinarlo resultó no ser fiable (véanse las perspectivas); por tanto, hay</w:t>
      </w:r>
      <w:r>
        <w:t xml:space="preserve"> </w:t>
      </w:r>
      <w:r>
        <w:rPr>
          <w:bCs/>
          <w:b/>
        </w:rPr>
        <w:t xml:space="preserve">0</w:t>
      </w:r>
      <w:r>
        <w:t xml:space="preserve"> </w:t>
      </w:r>
      <w:r>
        <w:t xml:space="preserve">estudios registrados sólidos. También la cifra de PubMed engaña: cuatro de los ocho estudios investigaron el melanotán I, es decir, la posterior afamelanotida, y no el melanotán II. Sobre el propio melanotán II solo existen tres pequeños estudios originales y un resumen del mismo grupo de investigación. Mucho más amplia es la bibliografía sobre efectos adversos: casos clínicos, series de casos, análisis de foros de internet y análisis de laboratorio de productos del mercado gris.</w:t>
      </w:r>
    </w:p>
    <w:bookmarkStart w:id="2030" w:name="X2280dc4d638c735c19860c2b5a31f88e5b0e43e"/>
    <w:p>
      <w:pPr>
        <w:pStyle w:val="Heading4"/>
      </w:pPr>
      <w:r>
        <w:t xml:space="preserve">Los estudios clínicos de la década de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Dorr 1996, PMID 8637402</w:t>
            </w:r>
          </w:p>
        </w:tc>
        <w:tc>
          <w:tcPr/>
          <w:p>
            <w:pPr>
              <w:pStyle w:val="Compact"/>
              <w:jc w:val="left"/>
            </w:pPr>
            <w:r>
              <w:t xml:space="preserve">3 hombres sanos, simple ciego, alternando principio activo y suero salino</w:t>
            </w:r>
          </w:p>
        </w:tc>
        <w:tc>
          <w:tcPr/>
          <w:p>
            <w:pPr>
              <w:pStyle w:val="Compact"/>
              <w:jc w:val="left"/>
            </w:pPr>
            <w:r>
              <w:t xml:space="preserve">2 semanas</w:t>
            </w:r>
          </w:p>
        </w:tc>
        <w:tc>
          <w:tcPr/>
          <w:p>
            <w:pPr>
              <w:pStyle w:val="Compact"/>
              <w:jc w:val="left"/>
            </w:pPr>
            <w:r>
              <w:t xml:space="preserve">Bronceado en cara, torso y nalgas en 2 de 3; erecciones espontáneas; náuseas, cansancio</w:t>
            </w:r>
          </w:p>
        </w:tc>
      </w:tr>
      <w:tr>
        <w:tc>
          <w:tcPr/>
          <w:p>
            <w:pPr>
              <w:pStyle w:val="Compact"/>
              <w:jc w:val="left"/>
            </w:pPr>
            <w:r>
              <w:t xml:space="preserve">Wessells 1998, PMID 9679884</w:t>
            </w:r>
          </w:p>
        </w:tc>
        <w:tc>
          <w:tcPr/>
          <w:p>
            <w:pPr>
              <w:pStyle w:val="Compact"/>
              <w:jc w:val="left"/>
            </w:pPr>
            <w:r>
              <w:t xml:space="preserve">10 hombres con disfunción eréctil psicógena, estudio cruzado doble ciego frente a placebo</w:t>
            </w:r>
          </w:p>
        </w:tc>
        <w:tc>
          <w:tcPr/>
          <w:p>
            <w:pPr>
              <w:pStyle w:val="Compact"/>
              <w:jc w:val="left"/>
            </w:pPr>
            <w:r>
              <w:t xml:space="preserve">Dosis únicas</w:t>
            </w:r>
          </w:p>
        </w:tc>
        <w:tc>
          <w:tcPr/>
          <w:p>
            <w:pPr>
              <w:pStyle w:val="Compact"/>
              <w:jc w:val="left"/>
            </w:pPr>
            <w:r>
              <w:t xml:space="preserve">Erecciones en 8 de 10; duración de rigidez elevada 38,0 frente a 3,0 minutos</w:t>
            </w:r>
          </w:p>
        </w:tc>
      </w:tr>
      <w:tr>
        <w:tc>
          <w:tcPr/>
          <w:p>
            <w:pPr>
              <w:pStyle w:val="Compact"/>
              <w:jc w:val="left"/>
            </w:pPr>
            <w:r>
              <w:t xml:space="preserve">Wessells 2000, PMID 11018622</w:t>
            </w:r>
          </w:p>
        </w:tc>
        <w:tc>
          <w:tcPr/>
          <w:p>
            <w:pPr>
              <w:pStyle w:val="Compact"/>
              <w:jc w:val="left"/>
            </w:pPr>
            <w:r>
              <w:t xml:space="preserve">10 hombres con disfunción eréctil orgánica, estudio cruzado doble ciego</w:t>
            </w:r>
          </w:p>
        </w:tc>
        <w:tc>
          <w:tcPr/>
          <w:p>
            <w:pPr>
              <w:pStyle w:val="Compact"/>
              <w:jc w:val="left"/>
            </w:pPr>
            <w:r>
              <w:t xml:space="preserve">Dosis únicas</w:t>
            </w:r>
          </w:p>
        </w:tc>
        <w:tc>
          <w:tcPr/>
          <w:p>
            <w:pPr>
              <w:pStyle w:val="Compact"/>
              <w:jc w:val="left"/>
            </w:pPr>
            <w:r>
              <w:t xml:space="preserve">Erecciones tras 12 de 19 inyecciones frente a 1 de 21 dosis de placebo; 4 de 19 inyecciones con náuseas intensas</w:t>
            </w:r>
          </w:p>
        </w:tc>
      </w:tr>
      <w:tr>
        <w:tc>
          <w:tcPr/>
          <w:p>
            <w:pPr>
              <w:pStyle w:val="Compact"/>
              <w:jc w:val="left"/>
            </w:pPr>
            <w:r>
              <w:t xml:space="preserve">Wessells 2000 (resumen), PMID 11035391</w:t>
            </w:r>
          </w:p>
        </w:tc>
        <w:tc>
          <w:tcPr/>
          <w:p>
            <w:pPr>
              <w:pStyle w:val="Compact"/>
              <w:jc w:val="left"/>
            </w:pPr>
            <w:r>
              <w:t xml:space="preserve">ambos estudios juntos, 20 hombres</w:t>
            </w:r>
          </w:p>
        </w:tc>
        <w:tc>
          <w:tcPr/>
          <w:p>
            <w:pPr>
              <w:pStyle w:val="Compact"/>
              <w:jc w:val="left"/>
            </w:pPr>
            <w:r>
              <w:t xml:space="preserve">Dosis únicas</w:t>
            </w:r>
          </w:p>
        </w:tc>
        <w:tc>
          <w:tcPr/>
          <w:p>
            <w:pPr>
              <w:pStyle w:val="Compact"/>
              <w:jc w:val="left"/>
            </w:pPr>
            <w:r>
              <w:t xml:space="preserve">Erecciones sin estímulos sexuales en 17 de 20; más deseo tras el 68 % frente al 19 % de las dosis</w:t>
            </w:r>
          </w:p>
        </w:tc>
      </w:tr>
    </w:tbl>
    <w:p>
      <w:pPr>
        <w:pStyle w:val="BodyText"/>
      </w:pPr>
      <w:r>
        <w:t xml:space="preserve">El primer estudio en humanos</w:t>
      </w:r>
      <w:r>
        <w:rPr>
          <w:rStyle w:val="FootnoteReference"/>
        </w:rPr>
        <w:footnoteReference w:id="2027"/>
      </w:r>
      <w:r>
        <w:t xml:space="preserve"> </w:t>
      </w:r>
      <w:r>
        <w:t xml:space="preserve">fue un estudio piloto con solo tres hombres. Ya en él se observaron todos los efectos que más tarde describen los usuarios en internet: dos de los tres hombres se broncearon visiblemente, en la mayoría de los niveles de dosis aparecieron náuseas leves y uno sufrió un cansancio más intenso. Un «complejo de estiramientos y bostezos» se acompañó de erecciones espontáneas que, según la dosis, reaparecían una y otra vez durante una a cinco horas.</w:t>
      </w:r>
    </w:p>
    <w:p>
      <w:pPr>
        <w:pStyle w:val="BodyText"/>
      </w:pPr>
      <w:r>
        <w:t xml:space="preserve">A continuación, el grupo de trabajo del urólogo Hunter Wessells estudió el efecto eréctil. En dos pequeños estudios cruzados (cada participante recibía, en orden aleatorio, principio activo y placebo), el melanotán II provocó erecciones en la mayoría de los hombres con disfunción eréctil, incluso sin estímulos sexuales</w:t>
      </w:r>
      <w:r>
        <w:rPr>
          <w:rStyle w:val="FootnoteReference"/>
        </w:rPr>
        <w:footnoteReference w:id="2028"/>
      </w:r>
      <w:r>
        <w:t xml:space="preserve">. En el resumen de ambos estudios, los hombres refirieron un aumento del deseo tras el 68 % de las dosis de melanotán y tras el 19 % de las de placebo. En el 12,9 % aparecieron náuseas intensas</w:t>
      </w:r>
      <w:r>
        <w:rPr>
          <w:rStyle w:val="FootnoteReference"/>
        </w:rPr>
        <w:footnoteReference w:id="2029"/>
      </w:r>
      <w:r>
        <w:t xml:space="preserve">.</w:t>
      </w:r>
    </w:p>
    <w:p>
      <w:pPr>
        <w:pStyle w:val="BodyText"/>
      </w:pPr>
      <w:r>
        <w:t xml:space="preserve">Después terminó la investigación clínica sobre el melanotán II. El desarrollo pasó a la bremelanotida, que se evaluó como espray nasal y más tarde como inyección. Sobre el bronceado de la piel en personas sanas no existe ni un solo estudio controlado con melanotán II.</w:t>
      </w:r>
    </w:p>
    <w:bookmarkEnd w:id="2030"/>
    <w:bookmarkStart w:id="2033" w:name="los-estudios-sobre-el-melanotán-i"/>
    <w:p>
      <w:pPr>
        <w:pStyle w:val="Heading4"/>
      </w:pPr>
      <w:r>
        <w:t xml:space="preserve">Los estudios sobre el melanotán I</w:t>
      </w:r>
    </w:p>
    <w:p>
      <w:pPr>
        <w:pStyle w:val="FirstParagraph"/>
      </w:pPr>
      <w:r>
        <w:t xml:space="preserve">Para situarlos: los demás estudios de la consulta en la base de datos se refieren al melanotán I. En ellos, voluntarios produjeron tras las inyecciones más eumelanina, casi el doble que antes en la piel del antebrazo</w:t>
      </w:r>
      <w:r>
        <w:rPr>
          <w:rStyle w:val="FootnoteReference"/>
        </w:rPr>
        <w:footnoteReference w:id="2031"/>
      </w:r>
      <w:r>
        <w:t xml:space="preserve">. En combinación con la luz solar, el bronceado se intensificó y se prolongó</w:t>
      </w:r>
      <w:r>
        <w:rPr>
          <w:rStyle w:val="FootnoteReference"/>
        </w:rPr>
        <w:footnoteReference w:id="2032"/>
      </w:r>
      <w:r>
        <w:t xml:space="preserve">. Estos resultados forman parte de la historia de la afamelanotida y no pueden trasladarse al melanotán II, que actúa con más intensidad en el cerebro.</w:t>
      </w:r>
    </w:p>
    <w:bookmarkEnd w:id="2033"/>
    <w:bookmarkStart w:id="2039" w:name="quién-usa-el-melanotán-ii"/>
    <w:p>
      <w:pPr>
        <w:pStyle w:val="Heading4"/>
      </w:pPr>
      <w:r>
        <w:t xml:space="preserve">Quién usa el melanotán II</w:t>
      </w:r>
    </w:p>
    <w:p>
      <w:pPr>
        <w:pStyle w:val="FirstParagraph"/>
      </w:pPr>
      <w:r>
        <w:t xml:space="preserve">Como el melanotán II nunca fue autorizado, casi todo lo que se sabe sobre su uso actual procede de observaciones fuera de estudios. Ya en 2009, especialistas británicos describieron en el British Medical Journal la difusión del melanotán I y II en la población general</w:t>
      </w:r>
      <w:r>
        <w:rPr>
          <w:rStyle w:val="FootnoteReference"/>
        </w:rPr>
        <w:footnoteReference w:id="2034"/>
      </w:r>
      <w:r>
        <w:t xml:space="preserve">. Una revisión sistemática incluyó el melanotán entre los productos inyectados con frecuencia para optimizar el cuerpo y el rendimiento, junto con los esteroides anabolizantes y la hormona del crecimiento</w:t>
      </w:r>
      <w:r>
        <w:rPr>
          <w:rStyle w:val="FootnoteReference"/>
        </w:rPr>
        <w:footnoteReference w:id="2035"/>
      </w:r>
      <w:r>
        <w:t xml:space="preserve">.</w:t>
      </w:r>
    </w:p>
    <w:p>
      <w:pPr>
        <w:pStyle w:val="BodyText"/>
      </w:pPr>
      <w:r>
        <w:t xml:space="preserve">Un análisis de foros de internet británicos e irlandeses de los años 2016 y 2017 evaluó 623 mensajes de 205 personas</w:t>
      </w:r>
      <w:r>
        <w:rPr>
          <w:rStyle w:val="FootnoteReference"/>
        </w:rPr>
        <w:footnoteReference w:id="2036"/>
      </w:r>
      <w:r>
        <w:t xml:space="preserve">. Como motivos, las usuarias y los usuarios citaron sobre todo una tez bronceada antes de las vacaciones y de las competiciones de culturismo. Los foros mostraban desinformación, pautas de dosificación de elaboración propia, la combinación con solárium y otras prácticas de riesgo. Una encuesta en línea entre usuarios describe lo fácil que era conseguir la sustancia</w:t>
      </w:r>
      <w:r>
        <w:rPr>
          <w:rStyle w:val="FootnoteReference"/>
        </w:rPr>
        <w:footnoteReference w:id="2037"/>
      </w:r>
      <w:r>
        <w:t xml:space="preserve">.</w:t>
      </w:r>
    </w:p>
    <w:p>
      <w:pPr>
        <w:pStyle w:val="BodyText"/>
      </w:pPr>
      <w:r>
        <w:t xml:space="preserve">En los últimos años, la publicidad se ha desplazado cada vez más a redes sociales como TikTok, donde el melanotán se promociona como «Barbie Drug». Varias revistas dermatológicas han analizado estos contenidos y advierten contra su banalización</w:t>
      </w:r>
      <w:r>
        <w:rPr>
          <w:rStyle w:val="FootnoteReference"/>
        </w:rPr>
        <w:footnoteReference w:id="2038"/>
      </w:r>
      <w:r>
        <w:t xml:space="preserve">.</w:t>
      </w:r>
    </w:p>
    <w:bookmarkEnd w:id="2039"/>
    <w:bookmarkEnd w:id="2040"/>
    <w:bookmarkStart w:id="2044" w:name="estudios-en-animales-y-de-laboratorio-47"/>
    <w:p>
      <w:pPr>
        <w:pStyle w:val="Heading3"/>
      </w:pPr>
      <w:r>
        <w:t xml:space="preserve">Estudios en animales y de laboratorio</w:t>
      </w:r>
    </w:p>
    <w:p>
      <w:pPr>
        <w:pStyle w:val="FirstParagraph"/>
      </w:pPr>
      <w:r>
        <w:t xml:space="preserve">En la investigación básica, el melanotán II es una herramienta estándar para activar los receptores de melanocortinas. En consecuencia, los experimentos con animales son numerosos, pero en su mayoría responden a preguntas de neurociencia y no se refieren a la seguridad en humanos:</w:t>
      </w:r>
    </w:p>
    <w:p>
      <w:pPr>
        <w:numPr>
          <w:ilvl w:val="0"/>
          <w:numId w:val="1259"/>
        </w:numPr>
        <w:pStyle w:val="Compact"/>
      </w:pPr>
      <w:r>
        <w:rPr>
          <w:bCs/>
          <w:b/>
        </w:rPr>
        <w:t xml:space="preserve">Peso y grasa:</w:t>
      </w:r>
      <w:r>
        <w:t xml:space="preserve"> </w:t>
      </w:r>
      <w:r>
        <w:t xml:space="preserve">en ratones y ratas con sobrepeso sometidos a una dieta rica en grasas, el melanotán II redujo el peso y la masa grasa, sobre todo mediante una menor ingesta de alimento</w:t>
      </w:r>
      <w:r>
        <w:rPr>
          <w:rStyle w:val="FootnoteReference"/>
        </w:rPr>
        <w:footnoteReference w:id="2041"/>
      </w:r>
      <w:r>
        <w:t xml:space="preserve">.</w:t>
      </w:r>
    </w:p>
    <w:p>
      <w:pPr>
        <w:numPr>
          <w:ilvl w:val="0"/>
          <w:numId w:val="1259"/>
        </w:numPr>
        <w:pStyle w:val="Compact"/>
      </w:pPr>
      <w:r>
        <w:rPr>
          <w:bCs/>
          <w:b/>
        </w:rPr>
        <w:t xml:space="preserve">Temperatura corporal:</w:t>
      </w:r>
      <w:r>
        <w:t xml:space="preserve"> </w:t>
      </w:r>
      <w:r>
        <w:t xml:space="preserve">en ratones provocó una hipotermia intensa transitoria, mediada por mastocitos e histamina</w:t>
      </w:r>
      <w:r>
        <w:rPr>
          <w:rStyle w:val="FootnoteReference"/>
        </w:rPr>
        <w:footnoteReference w:id="2042"/>
      </w:r>
      <w:r>
        <w:t xml:space="preserve">.</w:t>
      </w:r>
    </w:p>
    <w:p>
      <w:pPr>
        <w:numPr>
          <w:ilvl w:val="0"/>
          <w:numId w:val="1259"/>
        </w:numPr>
        <w:pStyle w:val="Compact"/>
      </w:pPr>
      <w:r>
        <w:rPr>
          <w:bCs/>
          <w:b/>
        </w:rPr>
        <w:t xml:space="preserve">Conducta social:</w:t>
      </w:r>
      <w:r>
        <w:t xml:space="preserve"> </w:t>
      </w:r>
      <w:r>
        <w:t xml:space="preserve">en un modelo murino de autismo, una administración de una semana mejoró medidas de conducta social</w:t>
      </w:r>
      <w:r>
        <w:rPr>
          <w:rStyle w:val="FootnoteReference"/>
        </w:rPr>
        <w:footnoteReference w:id="2043"/>
      </w:r>
      <w:r>
        <w:t xml:space="preserve">. La vía supuesta pasa por una activación del sistema de la oxitocina (capítulo 2E05).</w:t>
      </w:r>
    </w:p>
    <w:p>
      <w:pPr>
        <w:pStyle w:val="FirstParagraph"/>
      </w:pPr>
      <w:r>
        <w:t xml:space="preserve">Ninguno de estos resultados se ha confirmado en humanos.</w:t>
      </w:r>
    </w:p>
    <w:bookmarkEnd w:id="2044"/>
    <w:bookmarkStart w:id="2070" w:name="riesgos-y-efectos-adversos-47"/>
    <w:p>
      <w:pPr>
        <w:pStyle w:val="Heading3"/>
      </w:pPr>
      <w:r>
        <w:t xml:space="preserve">Riesgos y efectos adversos</w:t>
      </w:r>
    </w:p>
    <w:p>
      <w:pPr>
        <w:pStyle w:val="FirstParagraph"/>
      </w:pPr>
      <w:r>
        <w:t xml:space="preserve">Los riesgos del melanotán II pueden ordenarse en tres grupos: los efectos previsibles a través de los receptores de melanocortinas, los cambios cutáneos con la cuestión abierta del cáncer de piel y los casos graves aislados.</w:t>
      </w:r>
    </w:p>
    <w:bookmarkStart w:id="2049" w:name="efectos-previsibles"/>
    <w:p>
      <w:pPr>
        <w:pStyle w:val="Heading4"/>
      </w:pPr>
      <w:r>
        <w:t xml:space="preserve">Efectos previsibles</w:t>
      </w:r>
    </w:p>
    <w:p>
      <w:pPr>
        <w:pStyle w:val="FirstParagraph"/>
      </w:pPr>
      <w:r>
        <w:t xml:space="preserve">Náuseas, enrojecimiento facial, bostezos y estiramientos, pérdida de apetito, cansancio y erecciones espontáneas aparecieron ya en los estudios</w:t>
      </w:r>
      <w:r>
        <w:rPr>
          <w:rStyle w:val="FootnoteReference"/>
        </w:rPr>
        <w:footnoteReference w:id="2045"/>
      </w:r>
      <w:r>
        <w:t xml:space="preserve">. La pigmentación no afecta solo a la piel: casos clínicos describen bandas oscuras transversales en las uñas de las manos</w:t>
      </w:r>
      <w:r>
        <w:rPr>
          <w:rStyle w:val="FootnoteReference"/>
        </w:rPr>
        <w:footnoteReference w:id="2046"/>
      </w:r>
      <w:r>
        <w:t xml:space="preserve"> </w:t>
      </w:r>
      <w:r>
        <w:t xml:space="preserve">y cambios pigmentarios de la mucosa oral</w:t>
      </w:r>
      <w:r>
        <w:rPr>
          <w:rStyle w:val="FootnoteReference"/>
        </w:rPr>
        <w:footnoteReference w:id="2047"/>
      </w:r>
      <w:r>
        <w:t xml:space="preserve">. Paradójicamente, también se han descrito manchas claras, despigmentadas</w:t>
      </w:r>
      <w:r>
        <w:rPr>
          <w:rStyle w:val="FootnoteReference"/>
        </w:rPr>
        <w:footnoteReference w:id="2048"/>
      </w:r>
      <w:r>
        <w:t xml:space="preserve">.</w:t>
      </w:r>
    </w:p>
    <w:bookmarkEnd w:id="2049"/>
    <w:bookmarkStart w:id="2057" w:name="lunares-y-melanoma"/>
    <w:p>
      <w:pPr>
        <w:pStyle w:val="Heading4"/>
      </w:pPr>
      <w:r>
        <w:t xml:space="preserve">Lunares y melanoma</w:t>
      </w:r>
    </w:p>
    <w:p>
      <w:pPr>
        <w:pStyle w:val="FirstParagraph"/>
      </w:pPr>
      <w:r>
        <w:t xml:space="preserve">Esta es la preocupación que más ocupa a las y los dermatólogos. El melanotán II estimula todas las células pigmentarias, también las de los lunares (nevos) ya existentes. Varios casos clínicos describen:</w:t>
      </w:r>
    </w:p>
    <w:p>
      <w:pPr>
        <w:numPr>
          <w:ilvl w:val="0"/>
          <w:numId w:val="1260"/>
        </w:numPr>
        <w:pStyle w:val="Compact"/>
      </w:pPr>
      <w:r>
        <w:rPr>
          <w:bCs/>
          <w:b/>
        </w:rPr>
        <w:t xml:space="preserve">aparición de lunares nuevos en gran número</w:t>
      </w:r>
      <w:r>
        <w:t xml:space="preserve"> </w:t>
      </w:r>
      <w:r>
        <w:t xml:space="preserve">(nevos eruptivos) tras inyecciones de melanotán</w:t>
      </w:r>
      <w:r>
        <w:rPr>
          <w:rStyle w:val="FootnoteReference"/>
        </w:rPr>
        <w:footnoteReference w:id="2050"/>
      </w:r>
      <w:r>
        <w:t xml:space="preserve">, en parte con un aspecto llamativo y atípico</w:t>
      </w:r>
      <w:r>
        <w:rPr>
          <w:rStyle w:val="FootnoteReference"/>
        </w:rPr>
        <w:footnoteReference w:id="2051"/>
      </w:r>
      <w:r>
        <w:t xml:space="preserve">;</w:t>
      </w:r>
    </w:p>
    <w:p>
      <w:pPr>
        <w:numPr>
          <w:ilvl w:val="0"/>
          <w:numId w:val="1260"/>
        </w:numPr>
        <w:pStyle w:val="Compact"/>
      </w:pPr>
      <w:r>
        <w:rPr>
          <w:bCs/>
          <w:b/>
        </w:rPr>
        <w:t xml:space="preserve">lunares existentes que se oscurecen y se modifican</w:t>
      </w:r>
      <w:r>
        <w:t xml:space="preserve">;</w:t>
      </w:r>
    </w:p>
    <w:p>
      <w:pPr>
        <w:numPr>
          <w:ilvl w:val="0"/>
          <w:numId w:val="1260"/>
        </w:numPr>
        <w:pStyle w:val="Compact"/>
      </w:pPr>
      <w:r>
        <w:rPr>
          <w:bCs/>
          <w:b/>
        </w:rPr>
        <w:t xml:space="preserve">melanomas</w:t>
      </w:r>
      <w:r>
        <w:t xml:space="preserve">, es decir, cáncer de piel negro, durante el uso o poco después</w:t>
      </w:r>
      <w:r>
        <w:rPr>
          <w:rStyle w:val="FootnoteReference"/>
        </w:rPr>
        <w:footnoteReference w:id="2052"/>
      </w:r>
      <w:r>
        <w:t xml:space="preserve">. Una mujer de 20 años de piel clara desarrolló un melanoma en la nalga tres meses después de un autotratamiento de tres a cuatro semanas combinado con sesiones de solárium</w:t>
      </w:r>
      <w:r>
        <w:rPr>
          <w:rStyle w:val="FootnoteReference"/>
        </w:rPr>
        <w:footnoteReference w:id="2053"/>
      </w:r>
      <w:r>
        <w:t xml:space="preserve">. Un caso publicado en 2025 describe un melanoma de la mucosa oral en una joven de 22 años que había usado melanotán II en espray nasal</w:t>
      </w:r>
      <w:r>
        <w:rPr>
          <w:rStyle w:val="FootnoteReference"/>
        </w:rPr>
        <w:footnoteReference w:id="2054"/>
      </w:r>
      <w:r>
        <w:t xml:space="preserve">.</w:t>
      </w:r>
    </w:p>
    <w:p>
      <w:pPr>
        <w:pStyle w:val="FirstParagraph"/>
      </w:pPr>
      <w:r>
        <w:t xml:space="preserve">Una revisión de todos los casos publicados de lunares de aparición súbita (179 personas) encontró entre los desencadenantes, además de la inmunosupresión y la quimioterapia, el melanotán; el 16 % de los casos tenía al menos un lunar displásico, es decir, con alteraciones llamativas</w:t>
      </w:r>
      <w:r>
        <w:rPr>
          <w:rStyle w:val="FootnoteReference"/>
        </w:rPr>
        <w:footnoteReference w:id="2055"/>
      </w:r>
      <w:r>
        <w:t xml:space="preserve">.</w:t>
      </w:r>
    </w:p>
    <w:p>
      <w:pPr>
        <w:pStyle w:val="BodyText"/>
      </w:pPr>
      <w:r>
        <w:rPr>
          <w:bCs/>
          <w:b/>
        </w:rPr>
        <w:t xml:space="preserve">Qué significan estos datos:</w:t>
      </w:r>
      <w:r>
        <w:t xml:space="preserve"> </w:t>
      </w:r>
      <w:r>
        <w:t xml:space="preserve">los casos clínicos no demuestran una relación causal. Muchas de las personas afectadas usaban a la vez el solárium o tomaban el sol intensamente, lo que aumenta de forma independiente el riesgo de melanoma. Una revisión concluye que la relación no está demostrada de forma concluyente, pero que la acumulación de casos justifica la cautela</w:t>
      </w:r>
      <w:r>
        <w:rPr>
          <w:rStyle w:val="FootnoteReference"/>
        </w:rPr>
        <w:footnoteReference w:id="2056"/>
      </w:r>
      <w:r>
        <w:t xml:space="preserve">. Como el melanotán II nunca se ha estudiado de forma sistemática, nadie puede decir cuán alto es un posible riesgo. A modo de comparación: para la afamelanotida, emparentada y autorizada, un estudio con dermatoscopia solo mostró cambios transitorios en los lunares, sin indicios de transformación maligna (capítulo 2E03); pero estos datos no son válidos para el melanotán II.</w:t>
      </w:r>
    </w:p>
    <w:bookmarkEnd w:id="2057"/>
    <w:bookmarkStart w:id="2065" w:name="casos-graves-aislados"/>
    <w:p>
      <w:pPr>
        <w:pStyle w:val="Heading4"/>
      </w:pPr>
      <w:r>
        <w:t xml:space="preserve">Casos graves aislados</w:t>
      </w:r>
    </w:p>
    <w:p>
      <w:pPr>
        <w:numPr>
          <w:ilvl w:val="0"/>
          <w:numId w:val="1261"/>
        </w:numPr>
        <w:pStyle w:val="Compact"/>
      </w:pPr>
      <w:r>
        <w:rPr>
          <w:bCs/>
          <w:b/>
        </w:rPr>
        <w:t xml:space="preserve">Priapismo:</w:t>
      </w:r>
      <w:r>
        <w:t xml:space="preserve"> </w:t>
      </w:r>
      <w:r>
        <w:t xml:space="preserve">erección dolorosa y persistente, una urgencia urológica. Varios casos clínicos la describen tras inyecciones de melanotán</w:t>
      </w:r>
      <w:r>
        <w:rPr>
          <w:rStyle w:val="FootnoteReference"/>
        </w:rPr>
        <w:footnoteReference w:id="2058"/>
      </w:r>
      <w:r>
        <w:t xml:space="preserve">. En un caso fue necesario un drenaje quirúrgico</w:t>
      </w:r>
      <w:r>
        <w:rPr>
          <w:rStyle w:val="FootnoteReference"/>
        </w:rPr>
        <w:footnoteReference w:id="2059"/>
      </w:r>
      <w:r>
        <w:t xml:space="preserve">; en otro, la capacidad eréctil aún no se había recuperado cuatro semanas después</w:t>
      </w:r>
      <w:r>
        <w:rPr>
          <w:rStyle w:val="FootnoteReference"/>
        </w:rPr>
        <w:footnoteReference w:id="2060"/>
      </w:r>
      <w:r>
        <w:t xml:space="preserve">.</w:t>
      </w:r>
    </w:p>
    <w:p>
      <w:pPr>
        <w:numPr>
          <w:ilvl w:val="0"/>
          <w:numId w:val="1261"/>
        </w:numPr>
        <w:pStyle w:val="Compact"/>
      </w:pPr>
      <w:r>
        <w:rPr>
          <w:bCs/>
          <w:b/>
        </w:rPr>
        <w:t xml:space="preserve">Destrucción muscular y daño renal:</w:t>
      </w:r>
      <w:r>
        <w:t xml:space="preserve"> </w:t>
      </w:r>
      <w:r>
        <w:t xml:space="preserve">un hombre de 39 años se inyectó, según sus propias declaraciones, seis veces la cantidad inicial recomendada. Desarrolló taquicardia, agitación y una destrucción muscular grave (rabdomiólisis), con un aumento de la enzima muscular CK hasta 17.773 UI/l y daño renal transitorio; el laboratorio confirmó que la sustancia era melanotán II</w:t>
      </w:r>
      <w:r>
        <w:rPr>
          <w:rStyle w:val="FootnoteReference"/>
        </w:rPr>
        <w:footnoteReference w:id="2061"/>
      </w:r>
      <w:r>
        <w:t xml:space="preserve">.</w:t>
      </w:r>
    </w:p>
    <w:p>
      <w:pPr>
        <w:numPr>
          <w:ilvl w:val="0"/>
          <w:numId w:val="1261"/>
        </w:numPr>
        <w:pStyle w:val="Compact"/>
      </w:pPr>
      <w:r>
        <w:rPr>
          <w:bCs/>
          <w:b/>
        </w:rPr>
        <w:t xml:space="preserve">Infarto renal:</w:t>
      </w:r>
      <w:r>
        <w:t xml:space="preserve"> </w:t>
      </w:r>
      <w:r>
        <w:t xml:space="preserve">un caso clínico con revisión de la bibliografía apunta al melanotán II como causa de una oclusión de vasos renales</w:t>
      </w:r>
      <w:r>
        <w:rPr>
          <w:rStyle w:val="FootnoteReference"/>
        </w:rPr>
        <w:footnoteReference w:id="2062"/>
      </w:r>
      <w:r>
        <w:t xml:space="preserve">.</w:t>
      </w:r>
    </w:p>
    <w:p>
      <w:pPr>
        <w:numPr>
          <w:ilvl w:val="0"/>
          <w:numId w:val="1261"/>
        </w:numPr>
        <w:pStyle w:val="Compact"/>
      </w:pPr>
      <w:r>
        <w:rPr>
          <w:bCs/>
          <w:b/>
        </w:rPr>
        <w:t xml:space="preserve">Edema cerebral:</w:t>
      </w:r>
      <w:r>
        <w:t xml:space="preserve"> </w:t>
      </w:r>
      <w:r>
        <w:t xml:space="preserve">un caso clínico describe un síndrome de encefalopatía posterior reversible (PRES), una inflamación en la región occipital del cerebro, en relación con el melanotán</w:t>
      </w:r>
      <w:r>
        <w:rPr>
          <w:rStyle w:val="FootnoteReference"/>
        </w:rPr>
        <w:footnoteReference w:id="2063"/>
      </w:r>
      <w:r>
        <w:t xml:space="preserve">.</w:t>
      </w:r>
    </w:p>
    <w:p>
      <w:pPr>
        <w:numPr>
          <w:ilvl w:val="0"/>
          <w:numId w:val="1261"/>
        </w:numPr>
        <w:pStyle w:val="Compact"/>
      </w:pPr>
      <w:r>
        <w:rPr>
          <w:bCs/>
          <w:b/>
        </w:rPr>
        <w:t xml:space="preserve">Inflamación cutánea:</w:t>
      </w:r>
      <w:r>
        <w:t xml:space="preserve"> </w:t>
      </w:r>
      <w:r>
        <w:t xml:space="preserve">también se ha descrito un pioderma gangrenoso, una enfermedad cutánea ulcerosa grave</w:t>
      </w:r>
      <w:r>
        <w:rPr>
          <w:rStyle w:val="FootnoteReference"/>
        </w:rPr>
        <w:footnoteReference w:id="2064"/>
      </w:r>
      <w:r>
        <w:t xml:space="preserve">.</w:t>
      </w:r>
    </w:p>
    <w:bookmarkEnd w:id="2065"/>
    <w:bookmarkStart w:id="2069" w:name="riesgos-del-mercado-gris-1"/>
    <w:p>
      <w:pPr>
        <w:pStyle w:val="Heading4"/>
      </w:pPr>
      <w:r>
        <w:t xml:space="preserve">Riesgos del mercado gris</w:t>
      </w:r>
    </w:p>
    <w:p>
      <w:pPr>
        <w:pStyle w:val="FirstParagraph"/>
      </w:pPr>
      <w:r>
        <w:t xml:space="preserve">Un laboratorio compró viales de melanotán II en tres tiendas en línea. Todas prometían 10 mg por vial; en realidad contenían entre 4,32 y 8,84 mg. En productos de dos tiendas se hallaron entre un 4,1 y un 5,9 % de impurezas desconocidas</w:t>
      </w:r>
      <w:r>
        <w:rPr>
          <w:rStyle w:val="FootnoteReference"/>
        </w:rPr>
        <w:footnoteReference w:id="2066"/>
      </w:r>
      <w:r>
        <w:t xml:space="preserve">. Un laboratorio forense determinó en una muestra incautada una pureza del 30 %</w:t>
      </w:r>
      <w:r>
        <w:rPr>
          <w:rStyle w:val="FootnoteReference"/>
        </w:rPr>
        <w:footnoteReference w:id="2067"/>
      </w:r>
      <w:r>
        <w:t xml:space="preserve">. A ello se suman los riesgos de la preparación no estéril y del uso compartido de agujas, sobre los que los especialistas advierten expresamente</w:t>
      </w:r>
      <w:r>
        <w:rPr>
          <w:rStyle w:val="FootnoteReference"/>
        </w:rPr>
        <w:footnoteReference w:id="2068"/>
      </w:r>
      <w:r>
        <w:t xml:space="preserve">. Más información sobre pureza y falsificaciones en el mercado gris en la Parte I y la Parte IV.</w:t>
      </w:r>
    </w:p>
    <w:bookmarkEnd w:id="2069"/>
    <w:bookmarkEnd w:id="2070"/>
    <w:bookmarkStart w:id="2073" w:name="situación-legal-47"/>
    <w:p>
      <w:pPr>
        <w:pStyle w:val="Heading3"/>
      </w:pPr>
      <w:r>
        <w:t xml:space="preserve">Situación legal</w:t>
      </w:r>
    </w:p>
    <w:p>
      <w:pPr>
        <w:pStyle w:val="FirstParagraph"/>
      </w:pPr>
      <w:r>
        <w:rPr>
          <w:iCs/>
          <w:i/>
        </w:rPr>
        <w:t xml:space="preserve">Situación en 2026, compruébese la versión actual.</w:t>
      </w:r>
    </w:p>
    <w:p>
      <w:pPr>
        <w:numPr>
          <w:ilvl w:val="0"/>
          <w:numId w:val="1262"/>
        </w:numPr>
        <w:pStyle w:val="Compact"/>
      </w:pPr>
      <w:r>
        <w:rPr>
          <w:bCs/>
          <w:b/>
        </w:rPr>
        <w:t xml:space="preserve">UE:</w:t>
      </w:r>
      <w:r>
        <w:t xml:space="preserve"> </w:t>
      </w:r>
      <w:r>
        <w:t xml:space="preserve">el melanotán II no está autorizado en ningún Estado miembro. Como se ofrece para uso en humanos con efecto sobre funciones corporales, se considera jurídicamente un medicamento; la fabricación, la importación y la venta sin autorización están prohibidas. La etiqueta «solo para fines de investigación» no cambia nada.</w:t>
      </w:r>
    </w:p>
    <w:p>
      <w:pPr>
        <w:numPr>
          <w:ilvl w:val="0"/>
          <w:numId w:val="1262"/>
        </w:numPr>
        <w:pStyle w:val="Compact"/>
      </w:pPr>
      <w:r>
        <w:rPr>
          <w:bCs/>
          <w:b/>
        </w:rPr>
        <w:t xml:space="preserve">Alemania y Austria:</w:t>
      </w:r>
      <w:r>
        <w:t xml:space="preserve"> </w:t>
      </w:r>
      <w:r>
        <w:t xml:space="preserve">no autorizado. La dispensación para uso en humanos infringe la respectiva ley del medicamento. Las autoridades y la aduana incautan los envíos.</w:t>
      </w:r>
    </w:p>
    <w:p>
      <w:pPr>
        <w:numPr>
          <w:ilvl w:val="0"/>
          <w:numId w:val="1262"/>
        </w:numPr>
        <w:pStyle w:val="Compact"/>
      </w:pPr>
      <w:r>
        <w:rPr>
          <w:bCs/>
          <w:b/>
        </w:rPr>
        <w:t xml:space="preserve">Advertencias de las autoridades:</w:t>
      </w:r>
      <w:r>
        <w:t xml:space="preserve"> </w:t>
      </w:r>
      <w:r>
        <w:t xml:space="preserve">varias autoridades nacionales sanitarias y del medicamento han advertido contra el melanotán I y II</w:t>
      </w:r>
      <w:r>
        <w:rPr>
          <w:rStyle w:val="FootnoteReference"/>
        </w:rPr>
        <w:footnoteReference w:id="2071"/>
      </w:r>
      <w:r>
        <w:t xml:space="preserve">. Según el conocimiento del autor, las autoridades del Reino Unido e Irlanda estuvieron entre las primeras a partir de 2008; después siguieron otros países europeos y Australia. En el Reino Unido la venta es expresamente ilegal</w:t>
      </w:r>
      <w:r>
        <w:rPr>
          <w:rStyle w:val="FootnoteReference"/>
        </w:rPr>
        <w:footnoteReference w:id="2072"/>
      </w:r>
      <w:r>
        <w:t xml:space="preserve">.</w:t>
      </w:r>
    </w:p>
    <w:p>
      <w:pPr>
        <w:numPr>
          <w:ilvl w:val="0"/>
          <w:numId w:val="1262"/>
        </w:numPr>
        <w:pStyle w:val="Compact"/>
      </w:pPr>
      <w:r>
        <w:rPr>
          <w:bCs/>
          <w:b/>
        </w:rPr>
        <w:t xml:space="preserve">EE. UU.:</w:t>
      </w:r>
      <w:r>
        <w:t xml:space="preserve"> </w:t>
      </w:r>
      <w:r>
        <w:t xml:space="preserve">sin autorización de la FDA; la distribución como medicamento para uso en humanos no está permitida.</w:t>
      </w:r>
    </w:p>
    <w:p>
      <w:pPr>
        <w:numPr>
          <w:ilvl w:val="0"/>
          <w:numId w:val="1262"/>
        </w:numPr>
        <w:pStyle w:val="Compact"/>
      </w:pPr>
      <w:r>
        <w:rPr>
          <w:bCs/>
          <w:b/>
        </w:rPr>
        <w:t xml:space="preserve">WADA:</w:t>
      </w:r>
      <w:r>
        <w:t xml:space="preserve"> </w:t>
      </w:r>
      <w:r>
        <w:t xml:space="preserve">prohibido como sustancia no aprobada (S0).</w:t>
      </w:r>
    </w:p>
    <w:bookmarkEnd w:id="2073"/>
    <w:bookmarkStart w:id="2074" w:name="estudios-en-curso-y-perspectivas-47"/>
    <w:p>
      <w:pPr>
        <w:pStyle w:val="Heading3"/>
      </w:pPr>
      <w:r>
        <w:t xml:space="preserve">Estudios en curso y perspectivas</w:t>
      </w:r>
    </w:p>
    <w:p>
      <w:pPr>
        <w:pStyle w:val="FirstParagraph"/>
      </w:pPr>
      <w:r>
        <w:rPr>
          <w:bCs/>
          <w:b/>
        </w:rPr>
        <w:t xml:space="preserve">Confirmado (estudios registrados):</w:t>
      </w:r>
      <w:r>
        <w:t xml:space="preserve"> </w:t>
      </w:r>
      <w:r>
        <w:t xml:space="preserve">ninguno. En ClinicalTrials.gov se encontró un registro sobre el melanotán II en el vitíligo; sin embargo, el promotor de ese registro ha inscrito también registros que se califican a sí mismos de ficticios. Por ello, el registro no se considera aquí un estudio real. Esto muestra, de paso, que tampoco un registro demuestra que un estudio se esté realizando de verdad.</w:t>
      </w:r>
    </w:p>
    <w:p>
      <w:pPr>
        <w:pStyle w:val="BodyText"/>
      </w:pPr>
      <w:r>
        <w:rPr>
          <w:bCs/>
          <w:b/>
        </w:rPr>
        <w:t xml:space="preserve">Valoración del autor:</w:t>
      </w:r>
      <w:r>
        <w:t xml:space="preserve"> </w:t>
      </w:r>
      <w:r>
        <w:t xml:space="preserve">no existe una vía realista para su autorización como bronceador en personas sanas: el beneficio es cosmético, los efectos adversos a través del cerebro son marcados y la cuestión de los lunares y el melanoma tendría que aclararse en estudios grandes y prolongados. Las aplicaciones médicamente razonables de los agonistas de melanocortinas se persiguen con moléculas más selectivas: la afamelanotida para la piel, la bremelanotida y la setmelanotida para el cerebro. La popularidad en las redes sociales probablemente seguirá aumentando el número de casos clínicos.</w:t>
      </w:r>
    </w:p>
    <w:bookmarkEnd w:id="2074"/>
    <w:bookmarkStart w:id="2075" w:name="conclusión-47"/>
    <w:p>
      <w:pPr>
        <w:pStyle w:val="Heading3"/>
      </w:pPr>
      <w:r>
        <w:t xml:space="preserve">Conclusión</w:t>
      </w:r>
    </w:p>
    <w:p>
      <w:pPr>
        <w:pStyle w:val="FirstParagraph"/>
      </w:pPr>
      <w:r>
        <w:t xml:space="preserve">El melanotán II es un péptido de investigación de la década de 1990 que solo se evaluó en unas dos docenas de personas en estudios pequeños y que nunca obtuvo una autorización. Broncea la piel, pero a través de receptores cerebrales provoca con regularidad náuseas y erecciones espontáneas. Los casos clínicos describen lunares nuevos y modificados, melanomas, priapismo y destrucción muscular; una relación causal con el cáncer de piel no está demostrada, pero tampoco descartada. En análisis de laboratorio, los productos del mercado gris contenían menos principio activo del declarado e impurezas desconocidas. Los datos no bastan para calificar de seguro el melanotán II.</w:t>
      </w:r>
    </w:p>
    <w:bookmarkEnd w:id="2075"/>
    <w:bookmarkEnd w:id="2076"/>
    <w:bookmarkStart w:id="2136" w:name="afamelanotida"/>
    <w:p>
      <w:pPr>
        <w:pStyle w:val="Heading2"/>
      </w:pPr>
      <w:r>
        <w:t xml:space="preserve">Afamelanotida</w:t>
      </w:r>
    </w:p>
    <w:bookmarkStart w:id="2079" w:name="ficha-48"/>
    <w:p>
      <w:pPr>
        <w:pStyle w:val="Heading3"/>
      </w:pPr>
      <w:r>
        <w:t xml:space="preserve">Ficha</w:t>
      </w:r>
    </w:p>
    <w:p>
      <w:pPr>
        <w:numPr>
          <w:ilvl w:val="0"/>
          <w:numId w:val="1263"/>
        </w:numPr>
        <w:pStyle w:val="Compact"/>
      </w:pPr>
      <w:r>
        <w:rPr>
          <w:bCs/>
          <w:b/>
        </w:rPr>
        <w:t xml:space="preserve">Tipo/estructura:</w:t>
      </w:r>
      <w:r>
        <w:t xml:space="preserve"> </w:t>
      </w:r>
      <w:r>
        <w:t xml:space="preserve">péptido lineal de 13 aminoácidos. Corresponde a la hormona endógena alfa-MSH con dos componentes sustituidos (norleucina en la posición 4 y, en la posición 7, la forma especular D de la fenilalanina). Estos cambios la hacen más estable y más potente. Nombres anteriores: melanotán I, MT-I, NDP-MSH, CUV1647.</w:t>
      </w:r>
    </w:p>
    <w:p>
      <w:pPr>
        <w:numPr>
          <w:ilvl w:val="0"/>
          <w:numId w:val="1263"/>
        </w:numPr>
        <w:pStyle w:val="Compact"/>
      </w:pPr>
      <w:r>
        <w:rPr>
          <w:bCs/>
          <w:b/>
        </w:rPr>
        <w:t xml:space="preserve">Origen:</w:t>
      </w:r>
      <w:r>
        <w:t xml:space="preserve"> </w:t>
      </w:r>
      <w:r>
        <w:t xml:space="preserve">desarrollada en la Universidad de Arizona junto con el melanotán II</w:t>
      </w:r>
      <w:r>
        <w:rPr>
          <w:rStyle w:val="FootnoteReference"/>
        </w:rPr>
        <w:footnoteReference w:id="2077"/>
      </w:r>
      <w:r>
        <w:t xml:space="preserve">; posteriormente, la empresa australiana Clinuvel la convirtió en medicamento.</w:t>
      </w:r>
    </w:p>
    <w:p>
      <w:pPr>
        <w:numPr>
          <w:ilvl w:val="0"/>
          <w:numId w:val="1263"/>
        </w:numPr>
        <w:pStyle w:val="Compact"/>
      </w:pPr>
      <w:r>
        <w:rPr>
          <w:bCs/>
          <w:b/>
        </w:rPr>
        <w:t xml:space="preserve">Mecanismo de acción:</w:t>
      </w:r>
      <w:r>
        <w:t xml:space="preserve"> </w:t>
      </w:r>
      <w:r>
        <w:t xml:space="preserve">agonista del receptor de melanocortina 1 (MC1R) de las células pigmentarias. Estimula la producción del pigmento oscuro y fotoprotector eumelanina, sin radiación UV previa.</w:t>
      </w:r>
    </w:p>
    <w:p>
      <w:pPr>
        <w:numPr>
          <w:ilvl w:val="0"/>
          <w:numId w:val="1263"/>
        </w:numPr>
        <w:pStyle w:val="Compact"/>
      </w:pPr>
      <w:r>
        <w:rPr>
          <w:bCs/>
          <w:b/>
        </w:rPr>
        <w:t xml:space="preserve">Forma farmacéutica:</w:t>
      </w:r>
      <w:r>
        <w:t xml:space="preserve"> </w:t>
      </w:r>
      <w:r>
        <w:t xml:space="preserve">pequeño implante reabsorbible (16 mg) que se coloca bajo la piel y libera el principio activo durante semanas. Se coloca en centros especializados.</w:t>
      </w:r>
    </w:p>
    <w:p>
      <w:pPr>
        <w:numPr>
          <w:ilvl w:val="0"/>
          <w:numId w:val="1263"/>
        </w:numPr>
        <w:pStyle w:val="Compact"/>
      </w:pPr>
      <w:r>
        <w:rPr>
          <w:bCs/>
          <w:b/>
        </w:rPr>
        <w:t xml:space="preserve">Autorización en la UE:</w:t>
      </w:r>
      <w:r>
        <w:t xml:space="preserve"> </w:t>
      </w:r>
      <w:r>
        <w:t xml:space="preserve">sí, desde 2014 (Scenesse) para la prevención del daño por la luz en adultos con protoporfiria eritropoyética (EPP). La autorización estaba sujeta a condiciones, entre ellas un estudio de seguridad posautorización y un registro de pacientes</w:t>
      </w:r>
      <w:r>
        <w:rPr>
          <w:rStyle w:val="FootnoteReference"/>
        </w:rPr>
        <w:footnoteReference w:id="2078"/>
      </w:r>
      <w:r>
        <w:t xml:space="preserve">.</w:t>
      </w:r>
    </w:p>
    <w:p>
      <w:pPr>
        <w:numPr>
          <w:ilvl w:val="0"/>
          <w:numId w:val="1263"/>
        </w:numPr>
        <w:pStyle w:val="Compact"/>
      </w:pPr>
      <w:r>
        <w:rPr>
          <w:bCs/>
          <w:b/>
        </w:rPr>
        <w:t xml:space="preserve">Autorización en EE. UU.:</w:t>
      </w:r>
      <w:r>
        <w:t xml:space="preserve"> </w:t>
      </w:r>
      <w:r>
        <w:t xml:space="preserve">sí, desde 2019 para adultos con EPP.</w:t>
      </w:r>
    </w:p>
    <w:p>
      <w:pPr>
        <w:numPr>
          <w:ilvl w:val="0"/>
          <w:numId w:val="1263"/>
        </w:numPr>
        <w:pStyle w:val="Compact"/>
      </w:pPr>
      <w:r>
        <w:rPr>
          <w:bCs/>
          <w:b/>
        </w:rPr>
        <w:t xml:space="preserve">WADA:</w:t>
      </w:r>
      <w:r>
        <w:t xml:space="preserve"> </w:t>
      </w:r>
      <w:r>
        <w:t xml:space="preserve">no figura en la lista.</w:t>
      </w:r>
    </w:p>
    <w:p>
      <w:pPr>
        <w:numPr>
          <w:ilvl w:val="0"/>
          <w:numId w:val="1263"/>
        </w:numPr>
        <w:pStyle w:val="Compact"/>
      </w:pPr>
      <w:r>
        <w:rPr>
          <w:bCs/>
          <w:b/>
        </w:rPr>
        <w:t xml:space="preserve">Nivel de evidencia:</w:t>
      </w:r>
      <w:r>
        <w:t xml:space="preserve"> </w:t>
      </w:r>
      <w:r>
        <w:rPr>
          <w:bCs/>
          <w:b/>
        </w:rPr>
        <w:t xml:space="preserve">A</w:t>
      </w:r>
      <w:r>
        <w:t xml:space="preserve"> </w:t>
      </w:r>
      <w:r>
        <w:t xml:space="preserve">– autorización en la UE y EE. UU. basada en dos estudios aleatorizados y controlados con placebo, complementados por varias cohortes a largo plazo. Debido a la rareza de la enfermedad, los estudios son más pequeños que en las enfermedades frecuentes.</w:t>
      </w:r>
    </w:p>
    <w:bookmarkEnd w:id="2079"/>
    <w:bookmarkStart w:id="2082" w:name="cómo-se-supone-que-actúa-48"/>
    <w:p>
      <w:pPr>
        <w:pStyle w:val="Heading3"/>
      </w:pPr>
      <w:r>
        <w:t xml:space="preserve">Cómo se supone que actúa</w:t>
      </w:r>
    </w:p>
    <w:p>
      <w:pPr>
        <w:pStyle w:val="FirstParagraph"/>
      </w:pPr>
      <w:r>
        <w:t xml:space="preserve">La protoporfiria eritropoyética (EPP) es una enfermedad hereditaria rara. En Europa afecta al menos a una de cada 140.000 personas</w:t>
      </w:r>
      <w:r>
        <w:rPr>
          <w:rStyle w:val="FootnoteReference"/>
        </w:rPr>
        <w:footnoteReference w:id="2080"/>
      </w:r>
      <w:r>
        <w:t xml:space="preserve">. Debido a un defecto enzimático en la síntesis del pigmento rojo de la sangre, un precursor, la protoporfirina IX, se acumula en la sangre y la piel. Esta sustancia se activa con la luz visible y entonces daña los tejidos y los pequeños vasos sanguíneos de la piel.</w:t>
      </w:r>
    </w:p>
    <w:p>
      <w:pPr>
        <w:pStyle w:val="BodyText"/>
      </w:pPr>
      <w:r>
        <w:t xml:space="preserve">La consecuencia son dolores urentes, a menudo de días de duración, tras pocos minutos a la luz del sol, con frecuencia sin cambios visibles en la piel. Las personas afectadas evitan la luz del día desde la infancia. La protección solar convencional apenas ayuda, porque la reacción la desencadena sobre todo la luz visible y no la radiación UV. Además, una parte de las personas afectadas desarrolla daño hepático, porque el exceso de protoporfirina se elimina por la bilis</w:t>
      </w:r>
      <w:r>
        <w:rPr>
          <w:rStyle w:val="FootnoteReference"/>
        </w:rPr>
        <w:footnoteReference w:id="2081"/>
      </w:r>
      <w:r>
        <w:t xml:space="preserve">.</w:t>
      </w:r>
    </w:p>
    <w:p>
      <w:pPr>
        <w:pStyle w:val="BodyText"/>
      </w:pPr>
      <w:r>
        <w:t xml:space="preserve">La afamelanotida no actúa sobre la causa, sino sobre la piel: la broncea, y la eumelanina adicional absorbe parte de la luz antes de que llegue a la protoporfirina. Los experimentos de laboratorio sugieren además efectos antiinflamatorios y antioxidantes. No está claro qué papel desempeñan en humanos.</w:t>
      </w:r>
    </w:p>
    <w:p>
      <w:pPr>
        <w:pStyle w:val="BodyText"/>
      </w:pPr>
      <w:r>
        <w:t xml:space="preserve">A diferencia del melanotán II (capítulo 2E02), la afamelanotida actúa sobre todo en el receptor pigmentario MC1R y solo poco en los receptores cerebrales. Por eso, las náuseas y los efectos acompañantes sexuales son mucho menos frecuentes.</w:t>
      </w:r>
    </w:p>
    <w:bookmarkEnd w:id="2082"/>
    <w:bookmarkStart w:id="2110" w:name="estudios-en-humanos-48"/>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10</w:t>
      </w:r>
      <w:r>
        <w:t xml:space="preserve"> </w:t>
      </w:r>
      <w:r>
        <w:t xml:space="preserve">estudios en humanos en PubMed (</w:t>
      </w:r>
      <w:r>
        <w:rPr>
          <w:rStyle w:val="VerbatimChar"/>
        </w:rPr>
        <w:t xml:space="preserve">humanstudien_alle</w:t>
      </w:r>
      <w:r>
        <w:t xml:space="preserve">) y</w:t>
      </w:r>
      <w:r>
        <w:t xml:space="preserve"> </w:t>
      </w:r>
      <w:r>
        <w:rPr>
          <w:bCs/>
          <w:b/>
        </w:rPr>
        <w:t xml:space="preserve">23</w:t>
      </w:r>
      <w:r>
        <w:t xml:space="preserve"> </w:t>
      </w:r>
      <w:r>
        <w:t xml:space="preserve">registros en ClinicalTrials.gov. No obstante, la búsqueda solo abarca el nombre «afamelanotide»; los estudios antiguos con el nombre de melanotán I o NDP-MSH, así como varios estudios de cohortes, no están incluidos y se comentan aquí de forma complementaria.</w:t>
      </w:r>
    </w:p>
    <w:bookmarkStart w:id="2086" w:name="Xf0b01840f013860496ef6c8732c2cd1242a7f38"/>
    <w:p>
      <w:pPr>
        <w:pStyle w:val="Heading4"/>
      </w:pPr>
      <w:r>
        <w:t xml:space="preserve">Antecedentes: el melanotán I en personas sanas</w:t>
      </w:r>
    </w:p>
    <w:p>
      <w:pPr>
        <w:pStyle w:val="FirstParagraph"/>
      </w:pPr>
      <w:r>
        <w:t xml:space="preserve">En la década de 1990 y a principios de la de 2000, voluntarios sanos de Arizona recibieron inyecciones diarias. Su piel se oscureció en la cara, el cuello y los antebrazos; el contenido de eumelanina de la piel del antebrazo aumentó de media un 98 %</w:t>
      </w:r>
      <w:r>
        <w:rPr>
          <w:rStyle w:val="FootnoteReference"/>
        </w:rPr>
        <w:footnoteReference w:id="2083"/>
      </w:r>
      <w:r>
        <w:t xml:space="preserve">. En combinación con la luz solar, la piel se bronceó más y durante más tiempo, y los participantes sin principio activo necesitaron un 50 % más de tiempo al sol para el mismo bronceado</w:t>
      </w:r>
      <w:r>
        <w:rPr>
          <w:rStyle w:val="FootnoteReference"/>
        </w:rPr>
        <w:footnoteReference w:id="2084"/>
      </w:r>
      <w:r>
        <w:t xml:space="preserve">. En un estudio con 77 personas de piel clara, el efecto fue incluso mayor en portadores de determinadas variantes genéticas del MC1R, es decir, en personas con una piel especialmente sensible al sol</w:t>
      </w:r>
      <w:r>
        <w:rPr>
          <w:rStyle w:val="FootnoteReference"/>
        </w:rPr>
        <w:footnoteReference w:id="2085"/>
      </w:r>
      <w:r>
        <w:t xml:space="preserve">. No se siguió adelante con el plan de convertirlo en una protección contra el cáncer de piel para la población general.</w:t>
      </w:r>
    </w:p>
    <w:bookmarkEnd w:id="2086"/>
    <w:bookmarkStart w:id="2090" w:name="los-estudios-de-autorización-en-la-epp"/>
    <w:p>
      <w:pPr>
        <w:pStyle w:val="Heading4"/>
      </w:pPr>
      <w:r>
        <w:t xml:space="preserve">Los estudios de autorización en la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Harms 2009, PMID 19656325</w:t>
            </w:r>
          </w:p>
        </w:tc>
        <w:tc>
          <w:tcPr/>
          <w:p>
            <w:pPr>
              <w:pStyle w:val="Compact"/>
              <w:jc w:val="left"/>
            </w:pPr>
            <w:r>
              <w:t xml:space="preserve">5 personas con EPP, estudio piloto abierto</w:t>
            </w:r>
          </w:p>
        </w:tc>
        <w:tc>
          <w:tcPr/>
          <w:p>
            <w:pPr>
              <w:pStyle w:val="Compact"/>
              <w:jc w:val="left"/>
            </w:pPr>
            <w:r>
              <w:t xml:space="preserve">120 días</w:t>
            </w:r>
          </w:p>
        </w:tc>
        <w:tc>
          <w:tcPr/>
          <w:p>
            <w:pPr>
              <w:pStyle w:val="Compact"/>
              <w:jc w:val="left"/>
            </w:pPr>
            <w:r>
              <w:t xml:space="preserve">Tolerancia a la luz claramente aumentada</w:t>
            </w:r>
          </w:p>
        </w:tc>
      </w:tr>
      <w:tr>
        <w:tc>
          <w:tcPr/>
          <w:p>
            <w:pPr>
              <w:pStyle w:val="Compact"/>
              <w:jc w:val="left"/>
            </w:pPr>
            <w:r>
              <w:t xml:space="preserve">Estudio de la UE (Langendonk 2015), PMID 26132941</w:t>
            </w:r>
          </w:p>
        </w:tc>
        <w:tc>
          <w:tcPr/>
          <w:p>
            <w:pPr>
              <w:pStyle w:val="Compact"/>
              <w:jc w:val="left"/>
            </w:pPr>
            <w:r>
              <w:t xml:space="preserve">74 personas, ECA frente a implante de placebo</w:t>
            </w:r>
          </w:p>
        </w:tc>
        <w:tc>
          <w:tcPr/>
          <w:p>
            <w:pPr>
              <w:pStyle w:val="Compact"/>
              <w:jc w:val="left"/>
            </w:pPr>
            <w:r>
              <w:t xml:space="preserve">9 meses</w:t>
            </w:r>
          </w:p>
        </w:tc>
        <w:tc>
          <w:tcPr/>
          <w:p>
            <w:pPr>
              <w:pStyle w:val="Compact"/>
              <w:jc w:val="left"/>
            </w:pPr>
            <w:r>
              <w:t xml:space="preserve">tiempo sin dolor al sol directo, mediana 6,0 frente a 0,8 horas; 77 frente a 146 reacciones fototóxicas</w:t>
            </w:r>
          </w:p>
        </w:tc>
      </w:tr>
      <w:tr>
        <w:tc>
          <w:tcPr/>
          <w:p>
            <w:pPr>
              <w:pStyle w:val="Compact"/>
              <w:jc w:val="left"/>
            </w:pPr>
            <w:r>
              <w:t xml:space="preserve">Estudio de EE. UU. (Langendonk 2015), PMID 26132941</w:t>
            </w:r>
          </w:p>
        </w:tc>
        <w:tc>
          <w:tcPr/>
          <w:p>
            <w:pPr>
              <w:pStyle w:val="Compact"/>
              <w:jc w:val="left"/>
            </w:pPr>
            <w:r>
              <w:t xml:space="preserve">94 personas, ECA frente a implante de placebo</w:t>
            </w:r>
          </w:p>
        </w:tc>
        <w:tc>
          <w:tcPr/>
          <w:p>
            <w:pPr>
              <w:pStyle w:val="Compact"/>
              <w:jc w:val="left"/>
            </w:pPr>
            <w:r>
              <w:t xml:space="preserve">6 meses</w:t>
            </w:r>
          </w:p>
        </w:tc>
        <w:tc>
          <w:tcPr/>
          <w:p>
            <w:pPr>
              <w:pStyle w:val="Compact"/>
              <w:jc w:val="left"/>
            </w:pPr>
            <w:r>
              <w:t xml:space="preserve">tiempo sin dolor al sol directo, mediana 69,4 frente a 40,8 horas</w:t>
            </w:r>
          </w:p>
        </w:tc>
      </w:tr>
      <w:tr>
        <w:tc>
          <w:tcPr/>
          <w:p>
            <w:pPr>
              <w:pStyle w:val="Compact"/>
              <w:jc w:val="left"/>
            </w:pPr>
            <w:r>
              <w:t xml:space="preserve">Revisión sistemática (Heerfordt 2023), PMID 36525819</w:t>
            </w:r>
          </w:p>
        </w:tc>
        <w:tc>
          <w:tcPr/>
          <w:p>
            <w:pPr>
              <w:pStyle w:val="Compact"/>
              <w:jc w:val="left"/>
            </w:pPr>
            <w:r>
              <w:t xml:space="preserve">40 estudios sobre 18 tratamientos en la EPP</w:t>
            </w:r>
          </w:p>
        </w:tc>
        <w:tc>
          <w:tcPr/>
          <w:p>
            <w:pPr>
              <w:pStyle w:val="Compact"/>
              <w:jc w:val="left"/>
            </w:pPr>
            <w:r>
              <w:t xml:space="preserve">–</w:t>
            </w:r>
          </w:p>
        </w:tc>
        <w:tc>
          <w:tcPr/>
          <w:p>
            <w:pPr>
              <w:pStyle w:val="Compact"/>
              <w:jc w:val="left"/>
            </w:pPr>
            <w:r>
              <w:t xml:space="preserve">efecto positivo moderado para la afamelanotida y la protección solar mineral; sin efecto para el betacaroteno, entre otros</w:t>
            </w:r>
          </w:p>
        </w:tc>
      </w:tr>
    </w:tbl>
    <w:p>
      <w:pPr>
        <w:pStyle w:val="BodyText"/>
      </w:pPr>
      <w:r>
        <w:t xml:space="preserve">En el primer estudio piloto, cinco personas afectadas recibieron dos implantes con un intervalo de 60 días. Después toleraron mucha más luz en una prueba lumínica estandarizada, y la densidad de melanina de la piel aumentó</w:t>
      </w:r>
      <w:r>
        <w:rPr>
          <w:rStyle w:val="FootnoteReference"/>
        </w:rPr>
        <w:footnoteReference w:id="2087"/>
      </w:r>
      <w:r>
        <w:t xml:space="preserve">.</w:t>
      </w:r>
    </w:p>
    <w:p>
      <w:pPr>
        <w:pStyle w:val="BodyText"/>
      </w:pPr>
      <w:r>
        <w:t xml:space="preserve">La autorización se basa en dos estudios doble ciego publicados conjuntamente en el New England Journal of Medicine</w:t>
      </w:r>
      <w:r>
        <w:rPr>
          <w:rStyle w:val="FootnoteReference"/>
        </w:rPr>
        <w:footnoteReference w:id="2088"/>
      </w:r>
      <w:r>
        <w:t xml:space="preserve">. Cada 60 días, los participantes recibían un implante con afamelanotida o un implante simulado. La variable principal fue el número de horas al sol directo sin dolor, que los participantes anotaban en un diario.</w:t>
      </w:r>
    </w:p>
    <w:p>
      <w:pPr>
        <w:pStyle w:val="BodyText"/>
      </w:pPr>
      <w:r>
        <w:t xml:space="preserve">Ambos estudios mostraron una ventaja para la afamelanotida, y en ambos mejoró la calidad de vida. Pero las cifras absolutas son decepcionantes: en el estudio europeo, los participantes pasaron en nueve meses una mediana de seis horas sin dolor al sol directo, frente a poco menos de una hora con placebo. Que los valores sean tan bajos se debe también a la propia enfermedad: quien ha sufrido dolor durante años sigue evitando el sol, aunque lo tolere mejor. Además, una medición basada en un diario depende mucho del tiempo atmosférico y de la estación del año, lo que dificulta comparar los estudios</w:t>
      </w:r>
      <w:r>
        <w:rPr>
          <w:rStyle w:val="FootnoteReference"/>
        </w:rPr>
        <w:footnoteReference w:id="2089"/>
      </w:r>
      <w:r>
        <w:t xml:space="preserve">.</w:t>
      </w:r>
    </w:p>
    <w:bookmarkEnd w:id="2090"/>
    <w:bookmarkStart w:id="2094" w:name="X1d38845f10609e6b5c4ee5b834776c23da9b4f0"/>
    <w:p>
      <w:pPr>
        <w:pStyle w:val="Heading4"/>
      </w:pPr>
      <w:r>
        <w:t xml:space="preserve">Datos a largo plazo de la práctica clínica</w:t>
      </w:r>
    </w:p>
    <w:p>
      <w:pPr>
        <w:pStyle w:val="FirstParagraph"/>
      </w:pPr>
      <w:r>
        <w:t xml:space="preserve">Como los estudios de autorización fueron cortos y pequeños, las observaciones de la asistencia habitual son especialmente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Biolcati 2015, PMID 25494545</w:t>
            </w:r>
          </w:p>
        </w:tc>
        <w:tc>
          <w:tcPr/>
          <w:p>
            <w:pPr>
              <w:pStyle w:val="Compact"/>
              <w:jc w:val="left"/>
            </w:pPr>
            <w:r>
              <w:t xml:space="preserve">115 personas en Roma y Zúrich, 1023 implantes, estudio observacional</w:t>
            </w:r>
          </w:p>
        </w:tc>
        <w:tc>
          <w:tcPr/>
          <w:p>
            <w:pPr>
              <w:pStyle w:val="Compact"/>
              <w:jc w:val="left"/>
            </w:pPr>
            <w:r>
              <w:t xml:space="preserve">hasta 8 años</w:t>
            </w:r>
          </w:p>
        </w:tc>
        <w:tc>
          <w:tcPr/>
          <w:p>
            <w:pPr>
              <w:pStyle w:val="Compact"/>
              <w:jc w:val="left"/>
            </w:pPr>
            <w:r>
              <w:t xml:space="preserve">Calidad de vida del 31 % al 74 % del valor máximo</w:t>
            </w:r>
          </w:p>
        </w:tc>
      </w:tr>
      <w:tr>
        <w:tc>
          <w:tcPr/>
          <w:p>
            <w:pPr>
              <w:pStyle w:val="Compact"/>
              <w:jc w:val="left"/>
            </w:pPr>
            <w:r>
              <w:t xml:space="preserve">Wensink 2020, PMID 32186677</w:t>
            </w:r>
          </w:p>
        </w:tc>
        <w:tc>
          <w:tcPr/>
          <w:p>
            <w:pPr>
              <w:pStyle w:val="Compact"/>
              <w:jc w:val="left"/>
            </w:pPr>
            <w:r>
              <w:t xml:space="preserve">117 personas en Róterdam, cohorte prospectiva</w:t>
            </w:r>
          </w:p>
        </w:tc>
        <w:tc>
          <w:tcPr/>
          <w:p>
            <w:pPr>
              <w:pStyle w:val="Compact"/>
              <w:jc w:val="left"/>
            </w:pPr>
            <w:r>
              <w:t xml:space="preserve">mediana 2 años</w:t>
            </w:r>
          </w:p>
        </w:tc>
        <w:tc>
          <w:tcPr/>
          <w:p>
            <w:pPr>
              <w:pStyle w:val="Compact"/>
              <w:jc w:val="left"/>
            </w:pPr>
            <w:r>
              <w:t xml:space="preserve">6,1 horas más a la semana al aire libre; el 98 % continuó</w:t>
            </w:r>
          </w:p>
        </w:tc>
      </w:tr>
      <w:tr>
        <w:tc>
          <w:tcPr/>
          <w:p>
            <w:pPr>
              <w:pStyle w:val="Compact"/>
              <w:jc w:val="left"/>
            </w:pPr>
            <w:r>
              <w:t xml:space="preserve">Homey 2025, PMID 40082741</w:t>
            </w:r>
          </w:p>
        </w:tc>
        <w:tc>
          <w:tcPr/>
          <w:p>
            <w:pPr>
              <w:pStyle w:val="Compact"/>
              <w:jc w:val="left"/>
            </w:pPr>
            <w:r>
              <w:t xml:space="preserve">200 personas en Alemania, estudio de seguridad posautorización</w:t>
            </w:r>
          </w:p>
        </w:tc>
        <w:tc>
          <w:tcPr/>
          <w:p>
            <w:pPr>
              <w:pStyle w:val="Compact"/>
              <w:jc w:val="left"/>
            </w:pPr>
            <w:r>
              <w:t xml:space="preserve">en curso</w:t>
            </w:r>
          </w:p>
        </w:tc>
        <w:tc>
          <w:tcPr/>
          <w:p>
            <w:pPr>
              <w:pStyle w:val="Compact"/>
              <w:jc w:val="left"/>
            </w:pPr>
            <w:r>
              <w:t xml:space="preserve">Calidad de vida significativamente mejor; el 91,0 % continuó</w:t>
            </w:r>
          </w:p>
        </w:tc>
      </w:tr>
      <w:tr>
        <w:tc>
          <w:tcPr/>
          <w:p>
            <w:pPr>
              <w:pStyle w:val="Compact"/>
              <w:jc w:val="left"/>
            </w:pPr>
            <w:r>
              <w:t xml:space="preserve">Seidl-Philipp 2026, PMID 41793078</w:t>
            </w:r>
          </w:p>
        </w:tc>
        <w:tc>
          <w:tcPr/>
          <w:p>
            <w:pPr>
              <w:pStyle w:val="Compact"/>
              <w:jc w:val="left"/>
            </w:pPr>
            <w:r>
              <w:t xml:space="preserve">20 personas en Austria</w:t>
            </w:r>
          </w:p>
        </w:tc>
        <w:tc>
          <w:tcPr/>
          <w:p>
            <w:pPr>
              <w:pStyle w:val="Compact"/>
              <w:jc w:val="left"/>
            </w:pPr>
            <w:r>
              <w:t xml:space="preserve">2023</w:t>
            </w:r>
          </w:p>
        </w:tc>
        <w:tc>
          <w:tcPr/>
          <w:p>
            <w:pPr>
              <w:pStyle w:val="Compact"/>
              <w:jc w:val="left"/>
            </w:pPr>
            <w:r>
              <w:t xml:space="preserve">Tolerancia a la luz, mediana de 15 a 250 minutos; reacciones fototóxicas en el 88 % frente al 33 %</w:t>
            </w:r>
          </w:p>
        </w:tc>
      </w:tr>
    </w:tbl>
    <w:p>
      <w:pPr>
        <w:pStyle w:val="BodyText"/>
      </w:pPr>
      <w:r>
        <w:t xml:space="preserve">El estudio observacional italo-suizo abarcó tratamientos desde 2006. Solo tres personas indicaron que el efecto no cumplía sus expectativas; el 23 % interrumpió por otros motivos, por ejemplo por embarazo o por los costes</w:t>
      </w:r>
      <w:r>
        <w:rPr>
          <w:rStyle w:val="FootnoteReference"/>
        </w:rPr>
        <w:footnoteReference w:id="2091"/>
      </w:r>
      <w:r>
        <w:t xml:space="preserve">. En la cohorte neerlandesa, las reacciones fototóxicas fueron menos dolorosas, pero su número y su duración no cambiaron significativamente</w:t>
      </w:r>
      <w:r>
        <w:rPr>
          <w:rStyle w:val="FootnoteReference"/>
        </w:rPr>
        <w:footnoteReference w:id="2092"/>
      </w:r>
      <w:r>
        <w:t xml:space="preserve">. El análisis austriaco de las 20 personas tratadas en 2023 muestra mejoras especialmente claras de la calidad de vida</w:t>
      </w:r>
      <w:r>
        <w:rPr>
          <w:rStyle w:val="FootnoteReference"/>
        </w:rPr>
        <w:footnoteReference w:id="2093"/>
      </w:r>
      <w:r>
        <w:t xml:space="preserve">.</w:t>
      </w:r>
    </w:p>
    <w:p>
      <w:pPr>
        <w:pStyle w:val="BodyText"/>
      </w:pPr>
      <w:r>
        <w:t xml:space="preserve">Estas cohortes no tienen grupo de control. Quien responde bien tiende a seguir en tratamiento, y las expectativas ante un medicamento caro influyen en lo que se declara. Aun así, las tasas de continuación sistemáticamente altas en un tratamiento que exige una visita médica cada dos meses son una señal notable.</w:t>
      </w:r>
    </w:p>
    <w:bookmarkEnd w:id="2094"/>
    <w:bookmarkStart w:id="2098" w:name="otras-observaciones-en-la-epp"/>
    <w:p>
      <w:pPr>
        <w:pStyle w:val="Heading4"/>
      </w:pPr>
      <w:r>
        <w:t xml:space="preserve">Otras observaciones en la EPP</w:t>
      </w:r>
    </w:p>
    <w:p>
      <w:pPr>
        <w:numPr>
          <w:ilvl w:val="0"/>
          <w:numId w:val="1264"/>
        </w:numPr>
        <w:pStyle w:val="Compact"/>
      </w:pPr>
      <w:r>
        <w:rPr>
          <w:bCs/>
          <w:b/>
        </w:rPr>
        <w:t xml:space="preserve">Hígado:</w:t>
      </w:r>
      <w:r>
        <w:t xml:space="preserve"> </w:t>
      </w:r>
      <w:r>
        <w:t xml:space="preserve">en un análisis suizo de 70 personas tratadas con casi 3000 valores hepáticos, la ALAT y la bilirrubina disminuyeron cuanto más implantes se habían colocado el año anterior</w:t>
      </w:r>
      <w:r>
        <w:rPr>
          <w:rStyle w:val="FootnoteReference"/>
        </w:rPr>
        <w:footnoteReference w:id="2095"/>
      </w:r>
      <w:r>
        <w:t xml:space="preserve">. Es una asociación procedente de datos observacionales, no una prueba de protección hepática.</w:t>
      </w:r>
    </w:p>
    <w:p>
      <w:pPr>
        <w:numPr>
          <w:ilvl w:val="0"/>
          <w:numId w:val="1264"/>
        </w:numPr>
        <w:pStyle w:val="Compact"/>
      </w:pPr>
      <w:r>
        <w:rPr>
          <w:bCs/>
          <w:b/>
        </w:rPr>
        <w:t xml:space="preserve">Vitamina D:</w:t>
      </w:r>
      <w:r>
        <w:t xml:space="preserve"> </w:t>
      </w:r>
      <w:r>
        <w:t xml:space="preserve">la afamelanotida no modificó la concentración de vitamina D. En un estudio con 230 personas, el déficit persistió en el 71,8 %; solo la administración de vitamina D3 elevó los valores</w:t>
      </w:r>
      <w:r>
        <w:rPr>
          <w:rStyle w:val="FootnoteReference"/>
        </w:rPr>
        <w:footnoteReference w:id="2096"/>
      </w:r>
      <w:r>
        <w:t xml:space="preserve">.</w:t>
      </w:r>
    </w:p>
    <w:p>
      <w:pPr>
        <w:numPr>
          <w:ilvl w:val="0"/>
          <w:numId w:val="1264"/>
        </w:numPr>
        <w:pStyle w:val="Compact"/>
      </w:pPr>
      <w:r>
        <w:rPr>
          <w:bCs/>
          <w:b/>
        </w:rPr>
        <w:t xml:space="preserve">Anticuerpos:</w:t>
      </w:r>
      <w:r>
        <w:t xml:space="preserve"> </w:t>
      </w:r>
      <w:r>
        <w:t xml:space="preserve">en 23 de 26 personas no se formaron anticuerpos contra el principio activo a lo largo de hasta seis años; tres tenían ya antes del tratamiento anticuerpos medibles que no cambiaron</w:t>
      </w:r>
      <w:r>
        <w:rPr>
          <w:rStyle w:val="FootnoteReference"/>
        </w:rPr>
        <w:footnoteReference w:id="2097"/>
      </w:r>
      <w:r>
        <w:t xml:space="preserve">.</w:t>
      </w:r>
    </w:p>
    <w:bookmarkEnd w:id="2098"/>
    <w:bookmarkStart w:id="2103" w:name="vitíligo"/>
    <w:p>
      <w:pPr>
        <w:pStyle w:val="Heading4"/>
      </w:pPr>
      <w:r>
        <w:t xml:space="preserve">Vitíligo</w:t>
      </w:r>
    </w:p>
    <w:p>
      <w:pPr>
        <w:pStyle w:val="FirstParagraph"/>
      </w:pPr>
      <w:r>
        <w:t xml:space="preserve">En el vitíligo, el sistema inmunitario destruye las células pigmentarias y aparecen manchas claras. El tratamiento estándar es la fototerapia con UVB de banda estrecha. La afamelanotida debe estimular además las células pigmentarias restantes.</w:t>
      </w:r>
    </w:p>
    <w:p>
      <w:pPr>
        <w:pStyle w:val="BodyText"/>
      </w:pPr>
      <w:r>
        <w:t xml:space="preserve">Tras una serie de casos con cuatro personas</w:t>
      </w:r>
      <w:r>
        <w:rPr>
          <w:rStyle w:val="FootnoteReference"/>
        </w:rPr>
        <w:footnoteReference w:id="2099"/>
      </w:r>
      <w:r>
        <w:t xml:space="preserve"> </w:t>
      </w:r>
      <w:r>
        <w:t xml:space="preserve">se realizó un estudio aleatorizado con 55 participantes</w:t>
      </w:r>
      <w:r>
        <w:rPr>
          <w:rStyle w:val="FootnoteReference"/>
        </w:rPr>
        <w:footnoteReference w:id="2100"/>
      </w:r>
      <w:r>
        <w:t xml:space="preserve">. La combinación de fototerapia e implantes mensuales llevó a una repigmentación más rápida que la fototerapia sola. A los 168 días, en el grupo de combinación se había repigmentado el 48,64 % de la superficie, frente al 33,26 % con fototerapia sola. La ventaja se observó sobre todo en los fototipos más oscuros (IV a VI). Un inconveniente que señalan los especialistas: también la piel sana se oscurece, de modo que al principio el contraste con las manchas claras puede aumentar</w:t>
      </w:r>
      <w:r>
        <w:rPr>
          <w:rStyle w:val="FootnoteReference"/>
        </w:rPr>
        <w:footnoteReference w:id="2101"/>
      </w:r>
      <w:r>
        <w:t xml:space="preserve">. También se ha publicado un estudio en pacientes asiáticos</w:t>
      </w:r>
      <w:r>
        <w:rPr>
          <w:rStyle w:val="FootnoteReference"/>
        </w:rPr>
        <w:footnoteReference w:id="2102"/>
      </w:r>
      <w:r>
        <w:t xml:space="preserve">.</w:t>
      </w:r>
    </w:p>
    <w:bookmarkEnd w:id="2103"/>
    <w:bookmarkStart w:id="2109" w:name="otras-aplicaciones-en-estudios-piloto"/>
    <w:p>
      <w:pPr>
        <w:pStyle w:val="Heading4"/>
      </w:pPr>
      <w:r>
        <w:t xml:space="preserve">Otras aplicaciones en estudios piloto</w:t>
      </w:r>
    </w:p>
    <w:p>
      <w:pPr>
        <w:pStyle w:val="FirstParagraph"/>
      </w:pPr>
      <w:r>
        <w:t xml:space="preserve">Los siguientes resultados proceden de estudios muy pequeños, en su mayoría abiertos, y deben entenderse como hipótesis:</w:t>
      </w:r>
    </w:p>
    <w:p>
      <w:pPr>
        <w:numPr>
          <w:ilvl w:val="0"/>
          <w:numId w:val="1265"/>
        </w:numPr>
        <w:pStyle w:val="Compact"/>
      </w:pPr>
      <w:r>
        <w:rPr>
          <w:bCs/>
          <w:b/>
        </w:rPr>
        <w:t xml:space="preserve">Urticaria solar</w:t>
      </w:r>
      <w:r>
        <w:t xml:space="preserve"> </w:t>
      </w:r>
      <w:r>
        <w:t xml:space="preserve">(urticaria provocada por la luz): en 5 personas, menor formación de habones tras un implante</w:t>
      </w:r>
      <w:r>
        <w:rPr>
          <w:rStyle w:val="FootnoteReference"/>
        </w:rPr>
        <w:footnoteReference w:id="2104"/>
      </w:r>
      <w:r>
        <w:t xml:space="preserve">.</w:t>
      </w:r>
    </w:p>
    <w:p>
      <w:pPr>
        <w:numPr>
          <w:ilvl w:val="0"/>
          <w:numId w:val="1265"/>
        </w:numPr>
        <w:pStyle w:val="Compact"/>
      </w:pPr>
      <w:r>
        <w:rPr>
          <w:bCs/>
          <w:b/>
        </w:rPr>
        <w:t xml:space="preserve">Acné:</w:t>
      </w:r>
      <w:r>
        <w:t xml:space="preserve"> </w:t>
      </w:r>
      <w:r>
        <w:t xml:space="preserve">en 3 personas, menos lesiones inflamatorias</w:t>
      </w:r>
      <w:r>
        <w:rPr>
          <w:rStyle w:val="FootnoteReference"/>
        </w:rPr>
        <w:footnoteReference w:id="2105"/>
      </w:r>
      <w:r>
        <w:t xml:space="preserve">.</w:t>
      </w:r>
    </w:p>
    <w:p>
      <w:pPr>
        <w:numPr>
          <w:ilvl w:val="0"/>
          <w:numId w:val="1265"/>
        </w:numPr>
        <w:pStyle w:val="Compact"/>
      </w:pPr>
      <w:r>
        <w:rPr>
          <w:bCs/>
          <w:b/>
        </w:rPr>
        <w:t xml:space="preserve">Enfermedad de Hailey-Hailey</w:t>
      </w:r>
      <w:r>
        <w:t xml:space="preserve"> </w:t>
      </w:r>
      <w:r>
        <w:t xml:space="preserve">(enfermedad ampollosa hereditaria): curación de las lesiones cutáneas en 2 personas</w:t>
      </w:r>
      <w:r>
        <w:rPr>
          <w:rStyle w:val="FootnoteReference"/>
        </w:rPr>
        <w:footnoteReference w:id="2106"/>
      </w:r>
      <w:r>
        <w:t xml:space="preserve">.</w:t>
      </w:r>
    </w:p>
    <w:p>
      <w:pPr>
        <w:numPr>
          <w:ilvl w:val="0"/>
          <w:numId w:val="1265"/>
        </w:numPr>
        <w:pStyle w:val="Compact"/>
      </w:pPr>
      <w:r>
        <w:rPr>
          <w:bCs/>
          <w:b/>
        </w:rPr>
        <w:t xml:space="preserve">Ictus:</w:t>
      </w:r>
      <w:r>
        <w:t xml:space="preserve"> </w:t>
      </w:r>
      <w:r>
        <w:t xml:space="preserve">en un estudio abierto de viabilidad con 6 personas, la administración fue factible; una persona murió por un nuevo ictus, que los investigadores no atribuyeron al medicamento</w:t>
      </w:r>
      <w:r>
        <w:rPr>
          <w:rStyle w:val="FootnoteReference"/>
        </w:rPr>
        <w:footnoteReference w:id="2107"/>
      </w:r>
      <w:r>
        <w:t xml:space="preserve">.</w:t>
      </w:r>
    </w:p>
    <w:p>
      <w:pPr>
        <w:numPr>
          <w:ilvl w:val="0"/>
          <w:numId w:val="1265"/>
        </w:numPr>
        <w:pStyle w:val="Compact"/>
      </w:pPr>
      <w:r>
        <w:rPr>
          <w:bCs/>
          <w:b/>
        </w:rPr>
        <w:t xml:space="preserve">Piel sana:</w:t>
      </w:r>
      <w:r>
        <w:t xml:space="preserve"> </w:t>
      </w:r>
      <w:r>
        <w:t xml:space="preserve">en 9 voluntarios sanos, el enrojecimiento cutáneo tras la irradiación UV fue menor seis días después del implante</w:t>
      </w:r>
      <w:r>
        <w:rPr>
          <w:rStyle w:val="FootnoteReference"/>
        </w:rPr>
        <w:footnoteReference w:id="2108"/>
      </w:r>
      <w:r>
        <w:t xml:space="preserve">.</w:t>
      </w:r>
    </w:p>
    <w:bookmarkEnd w:id="2109"/>
    <w:bookmarkEnd w:id="2110"/>
    <w:bookmarkStart w:id="2113" w:name="estudios-en-animales-y-de-laboratorio-48"/>
    <w:p>
      <w:pPr>
        <w:pStyle w:val="Heading3"/>
      </w:pPr>
      <w:r>
        <w:t xml:space="preserve">Estudios en animales y de laboratorio</w:t>
      </w:r>
    </w:p>
    <w:p>
      <w:pPr>
        <w:pStyle w:val="FirstParagraph"/>
      </w:pPr>
      <w:r>
        <w:t xml:space="preserve">En cultivos celulares, la afamelanotida tiene efectos antioxidantes. En células cutáneas de personas con enfermedad de Hailey-Hailey activó el factor protector Nrf2 y restableció parcialmente la división celular alterada</w:t>
      </w:r>
      <w:r>
        <w:rPr>
          <w:rStyle w:val="FootnoteReference"/>
        </w:rPr>
        <w:footnoteReference w:id="2111"/>
      </w:r>
      <w:r>
        <w:t xml:space="preserve">. Los estudios sobre la estabilidad y los productos de degradación del principio activo se refieren a la calidad del medicamento</w:t>
      </w:r>
      <w:r>
        <w:rPr>
          <w:rStyle w:val="FootnoteReference"/>
        </w:rPr>
        <w:footnoteReference w:id="2112"/>
      </w:r>
      <w:r>
        <w:t xml:space="preserve">. Para la valoración en humanos, los datos en animales desempeñan hoy un papel secundario, porque los datos clínicos son más concluyentes.</w:t>
      </w:r>
    </w:p>
    <w:bookmarkEnd w:id="2113"/>
    <w:bookmarkStart w:id="2124" w:name="riesgos-y-efectos-adversos-48"/>
    <w:p>
      <w:pPr>
        <w:pStyle w:val="Heading3"/>
      </w:pPr>
      <w:r>
        <w:t xml:space="preserve">Riesgos y efectos adversos</w:t>
      </w:r>
    </w:p>
    <w:bookmarkStart w:id="2118" w:name="demostrados-1"/>
    <w:p>
      <w:pPr>
        <w:pStyle w:val="Heading4"/>
      </w:pPr>
      <w:r>
        <w:t xml:space="preserve">Demostrados</w:t>
      </w:r>
    </w:p>
    <w:p>
      <w:pPr>
        <w:numPr>
          <w:ilvl w:val="0"/>
          <w:numId w:val="1266"/>
        </w:numPr>
        <w:pStyle w:val="Compact"/>
      </w:pPr>
      <w:r>
        <w:rPr>
          <w:bCs/>
          <w:b/>
        </w:rPr>
        <w:t xml:space="preserve">Efectos adversos frecuentes, en su mayoría leves:</w:t>
      </w:r>
      <w:r>
        <w:t xml:space="preserve"> </w:t>
      </w:r>
      <w:r>
        <w:t xml:space="preserve">náuseas, cefalea, cansancio y reacciones en el lugar de colocación del implante</w:t>
      </w:r>
      <w:r>
        <w:rPr>
          <w:rStyle w:val="FootnoteReference"/>
        </w:rPr>
        <w:footnoteReference w:id="2114"/>
      </w:r>
      <w:r>
        <w:t xml:space="preserve">. En los estudios de autorización, los acontecimientos adversos graves no se atribuyeron al principio activo.</w:t>
      </w:r>
    </w:p>
    <w:p>
      <w:pPr>
        <w:numPr>
          <w:ilvl w:val="0"/>
          <w:numId w:val="1266"/>
        </w:numPr>
        <w:pStyle w:val="Compact"/>
      </w:pPr>
      <w:r>
        <w:rPr>
          <w:bCs/>
          <w:b/>
        </w:rPr>
        <w:t xml:space="preserve">Piel y lunares más oscuros:</w:t>
      </w:r>
      <w:r>
        <w:t xml:space="preserve"> </w:t>
      </w:r>
      <w:r>
        <w:t xml:space="preserve">el bronceado es el efecto buscado. Los lunares y las pecas también se oscurecen. En un estudio con 15 personas y 103 lunares, la dermatoscopia mostró cambios transitorios que habían remitido al cabo de un año; no aparecieron lunares nuevos ni indicios de malignidad</w:t>
      </w:r>
      <w:r>
        <w:rPr>
          <w:rStyle w:val="FootnoteReference"/>
        </w:rPr>
        <w:footnoteReference w:id="2115"/>
      </w:r>
      <w:r>
        <w:t xml:space="preserve">. La ficha técnica prevé exploraciones cutáneas periódicas.</w:t>
      </w:r>
    </w:p>
    <w:p>
      <w:pPr>
        <w:numPr>
          <w:ilvl w:val="0"/>
          <w:numId w:val="1266"/>
        </w:numPr>
        <w:pStyle w:val="Compact"/>
      </w:pPr>
      <w:r>
        <w:t xml:space="preserve">Se han descrito</w:t>
      </w:r>
      <w:r>
        <w:t xml:space="preserve"> </w:t>
      </w:r>
      <w:r>
        <w:rPr>
          <w:bCs/>
          <w:b/>
        </w:rPr>
        <w:t xml:space="preserve">cambios pigmentarios de la mucosa oral</w:t>
      </w:r>
      <w:r>
        <w:t xml:space="preserve"> </w:t>
      </w:r>
      <w:r>
        <w:t xml:space="preserve">(de Baat 2020, PMID 32459219; no obstante, la revisión mezcla hallazgos del implante autorizado con otros del melanotán del mercado gris), así como un caso de aparente despigmentación con dermatitis atópica concomitante</w:t>
      </w:r>
      <w:r>
        <w:rPr>
          <w:rStyle w:val="FootnoteReference"/>
        </w:rPr>
        <w:footnoteReference w:id="2116"/>
      </w:r>
      <w:r>
        <w:t xml:space="preserve">.</w:t>
      </w:r>
    </w:p>
    <w:p>
      <w:pPr>
        <w:numPr>
          <w:ilvl w:val="0"/>
          <w:numId w:val="1266"/>
        </w:numPr>
        <w:pStyle w:val="Compact"/>
      </w:pPr>
      <w:r>
        <w:rPr>
          <w:bCs/>
          <w:b/>
        </w:rPr>
        <w:t xml:space="preserve">Sin efecto sobre la vitamina D:</w:t>
      </w:r>
      <w:r>
        <w:t xml:space="preserve"> </w:t>
      </w:r>
      <w:r>
        <w:t xml:space="preserve">véase más arriba</w:t>
      </w:r>
      <w:r>
        <w:rPr>
          <w:rStyle w:val="FootnoteReference"/>
        </w:rPr>
        <w:footnoteReference w:id="2117"/>
      </w:r>
      <w:r>
        <w:t xml:space="preserve">.</w:t>
      </w:r>
    </w:p>
    <w:bookmarkEnd w:id="2118"/>
    <w:bookmarkStart w:id="2121" w:name="sin-aclarar-1"/>
    <w:p>
      <w:pPr>
        <w:pStyle w:val="Heading4"/>
      </w:pPr>
      <w:r>
        <w:t xml:space="preserve">Sin aclarar</w:t>
      </w:r>
    </w:p>
    <w:p>
      <w:pPr>
        <w:pStyle w:val="FirstParagraph"/>
      </w:pPr>
      <w:r>
        <w:t xml:space="preserve">Faltan en gran medida datos sobre el embarazo; en la práctica, el tratamiento se interrumpe. La afamelanotida no está autorizada para niños y adolescentes</w:t>
      </w:r>
      <w:r>
        <w:rPr>
          <w:rStyle w:val="FootnoteReference"/>
        </w:rPr>
        <w:footnoteReference w:id="2119"/>
      </w:r>
      <w:r>
        <w:t xml:space="preserve">, aunque la EPP suele comenzar en la primera infancia. Se han publicado como casos clínicos algunos tratamientos de niños fuera de la autorización</w:t>
      </w:r>
      <w:r>
        <w:rPr>
          <w:rStyle w:val="FootnoteReference"/>
        </w:rPr>
        <w:footnoteReference w:id="2120"/>
      </w:r>
      <w:r>
        <w:t xml:space="preserve">. Con los periodos de observación disponibles hasta ahora no puede decirse de forma definitiva si la estimulación de las células pigmentarias durante décadas influye en el riesgo de cáncer de piel.</w:t>
      </w:r>
    </w:p>
    <w:bookmarkEnd w:id="2121"/>
    <w:bookmarkStart w:id="2123" w:name="diferencias-con-el-mercado-gris"/>
    <w:p>
      <w:pPr>
        <w:pStyle w:val="Heading4"/>
      </w:pPr>
      <w:r>
        <w:t xml:space="preserve">Diferencias con el mercado gris</w:t>
      </w:r>
    </w:p>
    <w:p>
      <w:pPr>
        <w:pStyle w:val="FirstParagraph"/>
      </w:pPr>
      <w:r>
        <w:t xml:space="preserve">En internet se ofrece «melanotán I» como bronceador. Estos productos solo comparten con el implante autorizado el nombre del principio activo: se venden como polvo para autoinyección, su pureza y su contenido no están evaluados y no hay control médico de la piel. Los datos de seguridad del tratamiento de la EPP no pueden trasladarse a ellos</w:t>
      </w:r>
      <w:r>
        <w:rPr>
          <w:rStyle w:val="FootnoteReference"/>
        </w:rPr>
        <w:footnoteReference w:id="2122"/>
      </w:r>
      <w:r>
        <w:t xml:space="preserve">.</w:t>
      </w:r>
    </w:p>
    <w:bookmarkEnd w:id="2123"/>
    <w:bookmarkEnd w:id="2124"/>
    <w:bookmarkStart w:id="2128" w:name="situación-legal-48"/>
    <w:p>
      <w:pPr>
        <w:pStyle w:val="Heading3"/>
      </w:pPr>
      <w:r>
        <w:t xml:space="preserve">Situación legal</w:t>
      </w:r>
    </w:p>
    <w:p>
      <w:pPr>
        <w:pStyle w:val="FirstParagraph"/>
      </w:pPr>
      <w:r>
        <w:rPr>
          <w:iCs/>
          <w:i/>
        </w:rPr>
        <w:t xml:space="preserve">Situación en 2026, compruébese la versión actual.</w:t>
      </w:r>
    </w:p>
    <w:p>
      <w:pPr>
        <w:numPr>
          <w:ilvl w:val="0"/>
          <w:numId w:val="1267"/>
        </w:numPr>
        <w:pStyle w:val="Compact"/>
      </w:pPr>
      <w:r>
        <w:rPr>
          <w:bCs/>
          <w:b/>
        </w:rPr>
        <w:t xml:space="preserve">UE:</w:t>
      </w:r>
      <w:r>
        <w:t xml:space="preserve"> </w:t>
      </w:r>
      <w:r>
        <w:t xml:space="preserve">autorizada por procedimiento centralizado desde 2014 como medicamento huérfano (Scenesse) para adultos con EPP. El tratamiento se realiza en centros especializados; un estudio de seguridad y un registro europeo forman parte de las condiciones</w:t>
      </w:r>
      <w:r>
        <w:rPr>
          <w:rStyle w:val="FootnoteReference"/>
        </w:rPr>
        <w:footnoteReference w:id="2125"/>
      </w:r>
      <w:r>
        <w:t xml:space="preserve">.</w:t>
      </w:r>
    </w:p>
    <w:p>
      <w:pPr>
        <w:numPr>
          <w:ilvl w:val="0"/>
          <w:numId w:val="1267"/>
        </w:numPr>
        <w:pStyle w:val="Compact"/>
      </w:pPr>
      <w:r>
        <w:rPr>
          <w:bCs/>
          <w:b/>
        </w:rPr>
        <w:t xml:space="preserve">Alemania y Austria:</w:t>
      </w:r>
      <w:r>
        <w:t xml:space="preserve"> </w:t>
      </w:r>
      <w:r>
        <w:t xml:space="preserve">disponible a través de clínicas especializadas en porfirias y dermatología; la financiación debe aclararse en cada caso. Hay cohortes de tratamiento publicadas de ambos países</w:t>
      </w:r>
      <w:r>
        <w:rPr>
          <w:rStyle w:val="FootnoteReference"/>
        </w:rPr>
        <w:footnoteReference w:id="2126"/>
      </w:r>
      <w:r>
        <w:t xml:space="preserve">.</w:t>
      </w:r>
    </w:p>
    <w:p>
      <w:pPr>
        <w:numPr>
          <w:ilvl w:val="0"/>
          <w:numId w:val="1267"/>
        </w:numPr>
        <w:pStyle w:val="Compact"/>
      </w:pPr>
      <w:r>
        <w:rPr>
          <w:bCs/>
          <w:b/>
        </w:rPr>
        <w:t xml:space="preserve">EE. UU.:</w:t>
      </w:r>
      <w:r>
        <w:t xml:space="preserve"> </w:t>
      </w:r>
      <w:r>
        <w:t xml:space="preserve">autorizada desde 2019 para adultos con EPP y reacciones fototóxicas.</w:t>
      </w:r>
    </w:p>
    <w:p>
      <w:pPr>
        <w:numPr>
          <w:ilvl w:val="0"/>
          <w:numId w:val="1267"/>
        </w:numPr>
        <w:pStyle w:val="Compact"/>
      </w:pPr>
      <w:r>
        <w:rPr>
          <w:bCs/>
          <w:b/>
        </w:rPr>
        <w:t xml:space="preserve">Costes:</w:t>
      </w:r>
      <w:r>
        <w:t xml:space="preserve"> </w:t>
      </w:r>
      <w:r>
        <w:t xml:space="preserve">la afamelanotida es uno de los medicamentos caros para enfermedades raras. En Inglaterra, la agencia de evaluación NICE rechazó su financiación, siendo hasta ahora la única terapia rechazada en su programa para enfermedades muy raras. Los representantes de pacientes critican el cálculo utilizado</w:t>
      </w:r>
      <w:r>
        <w:rPr>
          <w:rStyle w:val="FootnoteReference"/>
        </w:rPr>
        <w:footnoteReference w:id="2127"/>
      </w:r>
      <w:r>
        <w:t xml:space="preserve">.</w:t>
      </w:r>
    </w:p>
    <w:p>
      <w:pPr>
        <w:numPr>
          <w:ilvl w:val="0"/>
          <w:numId w:val="1267"/>
        </w:numPr>
        <w:pStyle w:val="Compact"/>
      </w:pPr>
      <w:r>
        <w:rPr>
          <w:bCs/>
          <w:b/>
        </w:rPr>
        <w:t xml:space="preserve">WADA:</w:t>
      </w:r>
      <w:r>
        <w:t xml:space="preserve"> </w:t>
      </w:r>
      <w:r>
        <w:t xml:space="preserve">no figura en la lista.</w:t>
      </w:r>
    </w:p>
    <w:bookmarkEnd w:id="2128"/>
    <w:bookmarkStart w:id="2134" w:name="estudios-en-curso-y-perspectivas-48"/>
    <w:p>
      <w:pPr>
        <w:pStyle w:val="Heading3"/>
      </w:pPr>
      <w:r>
        <w:t xml:space="preserve">Estudios en curso y perspectivas</w:t>
      </w:r>
    </w:p>
    <w:p>
      <w:pPr>
        <w:pStyle w:val="FirstParagraph"/>
      </w:pPr>
      <w:r>
        <w:rPr>
          <w:bCs/>
          <w:b/>
        </w:rPr>
        <w:t xml:space="preserve">Confirmado (estudios registrados):</w:t>
      </w:r>
    </w:p>
    <w:p>
      <w:pPr>
        <w:numPr>
          <w:ilvl w:val="0"/>
          <w:numId w:val="1268"/>
        </w:numPr>
        <w:pStyle w:val="Compact"/>
      </w:pPr>
      <w:r>
        <w:rPr>
          <w:bCs/>
          <w:b/>
        </w:rPr>
        <w:t xml:space="preserve">Vitíligo, fase 3:</w:t>
      </w:r>
      <w:r>
        <w:t xml:space="preserve"> </w:t>
      </w:r>
      <w:r>
        <w:t xml:space="preserve">un estudio con 200 personas compara la afamelanotida más UVB de banda estrecha con la fototerapia sola</w:t>
      </w:r>
      <w:r>
        <w:rPr>
          <w:rStyle w:val="FootnoteReference"/>
        </w:rPr>
        <w:footnoteReference w:id="2129"/>
      </w:r>
      <w:r>
        <w:t xml:space="preserve">. La finalización prevista era junio de 2026; al cierre de la redacción no se habían publicado en PubMed resultados revisados por pares. Está registrado un pequeño estudio sobre el vitíligo facial</w:t>
      </w:r>
      <w:r>
        <w:rPr>
          <w:rStyle w:val="FootnoteReference"/>
        </w:rPr>
        <w:footnoteReference w:id="2130"/>
      </w:r>
      <w:r>
        <w:t xml:space="preserve">.</w:t>
      </w:r>
    </w:p>
    <w:p>
      <w:pPr>
        <w:numPr>
          <w:ilvl w:val="0"/>
          <w:numId w:val="1268"/>
        </w:numPr>
        <w:pStyle w:val="Compact"/>
      </w:pPr>
      <w:r>
        <w:rPr>
          <w:bCs/>
          <w:b/>
        </w:rPr>
        <w:t xml:space="preserve">Otras fotodermatosis raras:</w:t>
      </w:r>
      <w:r>
        <w:t xml:space="preserve"> </w:t>
      </w:r>
      <w:r>
        <w:t xml:space="preserve">pequeños estudios de fase 2 sobre la porfiria variegata (NCT05854784, finalizado) y sobre el xeroderma pigmentoso, una enfermedad hereditaria con reparación alterada del daño UV</w:t>
      </w:r>
      <w:r>
        <w:rPr>
          <w:rStyle w:val="FootnoteReference"/>
        </w:rPr>
        <w:footnoteReference w:id="2131"/>
      </w:r>
      <w:r>
        <w:t xml:space="preserve">.</w:t>
      </w:r>
    </w:p>
    <w:p>
      <w:pPr>
        <w:numPr>
          <w:ilvl w:val="0"/>
          <w:numId w:val="1268"/>
        </w:numPr>
        <w:pStyle w:val="Compact"/>
      </w:pPr>
      <w:r>
        <w:rPr>
          <w:bCs/>
          <w:b/>
        </w:rPr>
        <w:t xml:space="preserve">Farmacología:</w:t>
      </w:r>
      <w:r>
        <w:t xml:space="preserve"> </w:t>
      </w:r>
      <w:r>
        <w:t xml:space="preserve">ha finalizado un estudio de farmacocinética en la EPP con 28 personas</w:t>
      </w:r>
      <w:r>
        <w:rPr>
          <w:rStyle w:val="FootnoteReference"/>
        </w:rPr>
        <w:footnoteReference w:id="2132"/>
      </w:r>
      <w:r>
        <w:t xml:space="preserve">.</w:t>
      </w:r>
    </w:p>
    <w:p>
      <w:pPr>
        <w:pStyle w:val="FirstParagraph"/>
      </w:pPr>
      <w:r>
        <w:rPr>
          <w:bCs/>
          <w:b/>
        </w:rPr>
        <w:t xml:space="preserve">Nueva competencia:</w:t>
      </w:r>
      <w:r>
        <w:t xml:space="preserve"> </w:t>
      </w:r>
      <w:r>
        <w:t xml:space="preserve">para la EPP se están desarrollando dos comprimidos: el dersimelagón, un agonista no peptídico del MC1R, y la bitopertina, que actúa sobre la síntesis del pigmento rojo de la sangre. Ambos mostraron efectos frente a placebo en estudios; aún faltan comparaciones con la afamelanotida</w:t>
      </w:r>
      <w:r>
        <w:rPr>
          <w:rStyle w:val="FootnoteReference"/>
        </w:rPr>
        <w:footnoteReference w:id="2133"/>
      </w:r>
      <w:r>
        <w:t xml:space="preserve">.</w:t>
      </w:r>
    </w:p>
    <w:p>
      <w:pPr>
        <w:pStyle w:val="BodyText"/>
      </w:pPr>
      <w:r>
        <w:rPr>
          <w:bCs/>
          <w:b/>
        </w:rPr>
        <w:t xml:space="preserve">Valoración del autor:</w:t>
      </w:r>
      <w:r>
        <w:t xml:space="preserve"> </w:t>
      </w:r>
      <w:r>
        <w:t xml:space="preserve">por el momento, la afamelanotida seguirá siendo la referencia en la EPP. Que desempeñe un papel en el vitíligo depende del resultado del estudio de fase 3; la combinación con fototerapia es laboriosa y, con las cremas de inhibidores de JAK, existen ya otras opciones. Una autorización para adolescentes sería especialmente importante en la EPP, porque la enfermedad comienza en la infancia.</w:t>
      </w:r>
    </w:p>
    <w:bookmarkEnd w:id="2134"/>
    <w:bookmarkStart w:id="2135" w:name="conclusión-48"/>
    <w:p>
      <w:pPr>
        <w:pStyle w:val="Heading3"/>
      </w:pPr>
      <w:r>
        <w:t xml:space="preserve">Conclusión</w:t>
      </w:r>
    </w:p>
    <w:p>
      <w:pPr>
        <w:pStyle w:val="FirstParagraph"/>
      </w:pPr>
      <w:r>
        <w:t xml:space="preserve">La afamelanotida es el péptido mejor estudiado y el único autorizado en la UE que estimula el bronceado de la piel a través del sistema de las melanocortinas. En adultos con protoporfiria eritropoyética prolongó en dos estudios aleatorizados el tiempo sin dolor a la luz del sol y mejoró la calidad de vida; cohortes a largo plazo de varios países muestran tasas de continuación altas con efectos adversos mayoritariamente leves. En el vitíligo aceleró en un estudio aleatorizado la repigmentación bajo fototerapia; los resultados de fase 3 están pendientes. El implante controlado en la consulta especializada no tiene prácticamente nada en común con el «melanotán I» del mercado gris para el bronceado cosmético.</w:t>
      </w:r>
    </w:p>
    <w:bookmarkEnd w:id="2135"/>
    <w:bookmarkEnd w:id="2136"/>
    <w:bookmarkStart w:id="2195" w:name="kisspeptina"/>
    <w:p>
      <w:pPr>
        <w:pStyle w:val="Heading2"/>
      </w:pPr>
      <w:r>
        <w:t xml:space="preserve">Kisspeptina</w:t>
      </w:r>
    </w:p>
    <w:bookmarkStart w:id="2139" w:name="ficha-49"/>
    <w:p>
      <w:pPr>
        <w:pStyle w:val="Heading3"/>
      </w:pPr>
      <w:r>
        <w:t xml:space="preserve">Ficha</w:t>
      </w:r>
    </w:p>
    <w:p>
      <w:pPr>
        <w:numPr>
          <w:ilvl w:val="0"/>
          <w:numId w:val="1269"/>
        </w:numPr>
        <w:pStyle w:val="Compact"/>
      </w:pPr>
      <w:r>
        <w:rPr>
          <w:bCs/>
          <w:b/>
        </w:rPr>
        <w:t xml:space="preserve">Tipo/estructura:</w:t>
      </w:r>
      <w:r>
        <w:t xml:space="preserve"> </w:t>
      </w:r>
      <w:r>
        <w:t xml:space="preserve">familia de péptidos endógenos. El gen KISS1 da lugar a una proteína precursora de la que se forman fragmentos de distinta longitud: kisspeptina-54 (54 aminoácidos, la forma predominante en la sangre), kisspeptina-14, -13 y -10. La forma más corta, la kisspeptina-10, contiene ya la parte plenamente activa. En los estudios se emplean las formas naturales, así como variantes sintéticas más estables (por ejemplo, MVT-602 y TAK-448).</w:t>
      </w:r>
    </w:p>
    <w:p>
      <w:pPr>
        <w:numPr>
          <w:ilvl w:val="0"/>
          <w:numId w:val="1269"/>
        </w:numPr>
        <w:pStyle w:val="Compact"/>
      </w:pPr>
      <w:r>
        <w:rPr>
          <w:bCs/>
          <w:b/>
        </w:rPr>
        <w:t xml:space="preserve">Origen:</w:t>
      </w:r>
      <w:r>
        <w:t xml:space="preserve"> </w:t>
      </w:r>
      <w:r>
        <w:t xml:space="preserve">descubierta en 1996 primero como gen que frena la formación de metástasis de células de melanoma</w:t>
      </w:r>
      <w:r>
        <w:rPr>
          <w:rStyle w:val="FootnoteReference"/>
        </w:rPr>
        <w:footnoteReference w:id="2137"/>
      </w:r>
      <w:r>
        <w:t xml:space="preserve">. El nombre procede de la ciudad de Hershey, en Pensilvania, cuna de los bombones «Kisses». En 2001, el péptido se identificó como mensajero de un receptor hasta entonces «huérfano» y se llamó inicialmente metastina</w:t>
      </w:r>
      <w:r>
        <w:rPr>
          <w:rStyle w:val="FootnoteReference"/>
        </w:rPr>
        <w:footnoteReference w:id="2138"/>
      </w:r>
      <w:r>
        <w:t xml:space="preserve">.</w:t>
      </w:r>
    </w:p>
    <w:p>
      <w:pPr>
        <w:numPr>
          <w:ilvl w:val="0"/>
          <w:numId w:val="1269"/>
        </w:numPr>
        <w:pStyle w:val="Compact"/>
      </w:pPr>
      <w:r>
        <w:rPr>
          <w:bCs/>
          <w:b/>
        </w:rPr>
        <w:t xml:space="preserve">Mecanismo de acción:</w:t>
      </w:r>
      <w:r>
        <w:t xml:space="preserve"> </w:t>
      </w:r>
      <w:r>
        <w:t xml:space="preserve">agonista del receptor de kisspeptina (KISS1R, antes GPR54) en las neuronas de GnRH del hipotálamo. La kisspeptina es el desencadenante conocido más importante de la liberación de GnRH y, con ello, de todo el eje hormonal de la reproducción.</w:t>
      </w:r>
    </w:p>
    <w:p>
      <w:pPr>
        <w:numPr>
          <w:ilvl w:val="0"/>
          <w:numId w:val="1269"/>
        </w:numPr>
        <w:pStyle w:val="Compact"/>
      </w:pPr>
      <w:r>
        <w:rPr>
          <w:bCs/>
          <w:b/>
        </w:rPr>
        <w:t xml:space="preserve">Autorización en la UE:</w:t>
      </w:r>
      <w:r>
        <w:t xml:space="preserve"> </w:t>
      </w:r>
      <w:r>
        <w:t xml:space="preserve">no.</w:t>
      </w:r>
    </w:p>
    <w:p>
      <w:pPr>
        <w:numPr>
          <w:ilvl w:val="0"/>
          <w:numId w:val="1269"/>
        </w:numPr>
        <w:pStyle w:val="Compact"/>
      </w:pPr>
      <w:r>
        <w:rPr>
          <w:bCs/>
          <w:b/>
        </w:rPr>
        <w:t xml:space="preserve">Autorización en EE. UU.:</w:t>
      </w:r>
      <w:r>
        <w:t xml:space="preserve"> </w:t>
      </w:r>
      <w:r>
        <w:t xml:space="preserve">no.</w:t>
      </w:r>
    </w:p>
    <w:p>
      <w:pPr>
        <w:numPr>
          <w:ilvl w:val="0"/>
          <w:numId w:val="1269"/>
        </w:numPr>
        <w:pStyle w:val="Compact"/>
      </w:pPr>
      <w:r>
        <w:rPr>
          <w:bCs/>
          <w:b/>
        </w:rPr>
        <w:t xml:space="preserve">WADA:</w:t>
      </w:r>
      <w:r>
        <w:t xml:space="preserve"> </w:t>
      </w:r>
      <w:r>
        <w:t xml:space="preserve">no se menciona nominalmente. Como principio activo no autorizado, la kisspeptina entra en S0; en los hombres, el grupo S2 abarca además los factores liberadores de la hormona luteinizante.</w:t>
      </w:r>
    </w:p>
    <w:p>
      <w:pPr>
        <w:numPr>
          <w:ilvl w:val="0"/>
          <w:numId w:val="1269"/>
        </w:numPr>
        <w:pStyle w:val="Compact"/>
      </w:pPr>
      <w:r>
        <w:rPr>
          <w:bCs/>
          <w:b/>
        </w:rPr>
        <w:t xml:space="preserve">Nivel de evidencia:</w:t>
      </w:r>
      <w:r>
        <w:t xml:space="preserve"> </w:t>
      </w:r>
      <w:r>
        <w:rPr>
          <w:bCs/>
          <w:b/>
        </w:rPr>
        <w:t xml:space="preserve">B</w:t>
      </w:r>
      <w:r>
        <w:t xml:space="preserve"> </w:t>
      </w:r>
      <w:r>
        <w:t xml:space="preserve">– numerosos estudios pequeños, en parte aleatorizados, y varios estudios aleatorizados de fase 2, sobre todo de Londres y Boston. Ningún estudio de fase 3, ninguna autorización.</w:t>
      </w:r>
    </w:p>
    <w:bookmarkEnd w:id="2139"/>
    <w:bookmarkStart w:id="2141" w:name="cómo-se-supone-que-actúa-49"/>
    <w:p>
      <w:pPr>
        <w:pStyle w:val="Heading3"/>
      </w:pPr>
      <w:r>
        <w:t xml:space="preserve">Cómo se supone que actúa</w:t>
      </w:r>
    </w:p>
    <w:p>
      <w:pPr>
        <w:pStyle w:val="FirstParagraph"/>
      </w:pPr>
      <w:r>
        <w:t xml:space="preserve">La reproducción humana está regulada por una cadena de hormonas. En lo más alto se encuentra la hormona GnRH (hormona liberadora de gonadotropinas) del hipotálamo, que se secreta en pulsos. Esta hace que la hipófisis libere las hormonas LH (hormona luteinizante) y FSH (hormona foliculoestimulante). Estas, a su vez, regulan los ovarios y los testículos: maduración de los óvulos y ovulación, producción de espermatozoides, producción de estrógenos y testosterona. El capítulo sobre la gonadorelina (2E06) describe este eje con más detalle.</w:t>
      </w:r>
    </w:p>
    <w:p>
      <w:pPr>
        <w:pStyle w:val="BodyText"/>
      </w:pPr>
      <w:r>
        <w:t xml:space="preserve">La kisspeptina se sitúa un escalón por encima de la GnRH. Neuronas especiales del hipotálamo la secretan y así «encienden» las células de GnRH. Lo central que es esta función se demostró en 2003: las personas con un receptor de kisspeptina defectuoso no entran en la pubertad y permanecen infértiles</w:t>
      </w:r>
      <w:r>
        <w:rPr>
          <w:rStyle w:val="FootnoteReference"/>
        </w:rPr>
        <w:footnoteReference w:id="2140"/>
      </w:r>
      <w:r>
        <w:t xml:space="preserve">.</w:t>
      </w:r>
    </w:p>
    <w:p>
      <w:pPr>
        <w:pStyle w:val="BodyText"/>
      </w:pPr>
      <w:r>
        <w:t xml:space="preserve">Para la medicina, la kisspeptina es interesante por dos motivos:</w:t>
      </w:r>
    </w:p>
    <w:p>
      <w:pPr>
        <w:numPr>
          <w:ilvl w:val="0"/>
          <w:numId w:val="1270"/>
        </w:numPr>
        <w:pStyle w:val="Compact"/>
      </w:pPr>
      <w:r>
        <w:rPr>
          <w:bCs/>
          <w:b/>
        </w:rPr>
        <w:t xml:space="preserve">Actúa «desde arriba».</w:t>
      </w:r>
      <w:r>
        <w:t xml:space="preserve"> </w:t>
      </w:r>
      <w:r>
        <w:t xml:space="preserve">A diferencia de los medicamentos que sustituyen directamente la LH o la FSH, la kisspeptina estimula la secreción endógena de GnRH. La liberación hormonal posterior sigue sometida a los mecanismos de retroalimentación naturales. Eso hace menos probable una hiperestimulación de los ovarios.</w:t>
      </w:r>
    </w:p>
    <w:p>
      <w:pPr>
        <w:numPr>
          <w:ilvl w:val="0"/>
          <w:numId w:val="1270"/>
        </w:numPr>
        <w:pStyle w:val="Compact"/>
      </w:pPr>
      <w:r>
        <w:rPr>
          <w:bCs/>
          <w:b/>
        </w:rPr>
        <w:t xml:space="preserve">A corto plazo estimula, de forma continua frena.</w:t>
      </w:r>
      <w:r>
        <w:t xml:space="preserve"> </w:t>
      </w:r>
      <w:r>
        <w:t xml:space="preserve">Con una administración ininterrumpida, los receptores se habitúan a la señal (taquifilaxia) y el eje hormonal se desactiva. Esto es un problema si se quiere favorecer la fertilidad, y una oportunidad si se quieren reducir las hormonas, por ejemplo en el cáncer de próstata.</w:t>
      </w:r>
    </w:p>
    <w:p>
      <w:pPr>
        <w:pStyle w:val="FirstParagraph"/>
      </w:pPr>
      <w:r>
        <w:t xml:space="preserve">También hay receptores de kisspeptina en regiones cerebrales que procesan las emociones y los estímulos sexuales. De ahí surgió la idea de que la kisspeptina podría influir en el deseo sexual.</w:t>
      </w:r>
    </w:p>
    <w:bookmarkEnd w:id="2141"/>
    <w:bookmarkStart w:id="2176" w:name="estudios-en-humanos-49"/>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37</w:t>
      </w:r>
      <w:r>
        <w:t xml:space="preserve"> </w:t>
      </w:r>
      <w:r>
        <w:t xml:space="preserve">estudios en humanos en PubMed (</w:t>
      </w:r>
      <w:r>
        <w:rPr>
          <w:rStyle w:val="VerbatimChar"/>
        </w:rPr>
        <w:t xml:space="preserve">humanstudien_alle</w:t>
      </w:r>
      <w:r>
        <w:t xml:space="preserve">) y</w:t>
      </w:r>
      <w:r>
        <w:t xml:space="preserve"> </w:t>
      </w:r>
      <w:r>
        <w:rPr>
          <w:bCs/>
          <w:b/>
        </w:rPr>
        <w:t xml:space="preserve">36</w:t>
      </w:r>
      <w:r>
        <w:t xml:space="preserve"> </w:t>
      </w:r>
      <w:r>
        <w:t xml:space="preserve">registros en ClinicalTrials.gov. No todos administran kisspeptina como principio activo: algunos estudios solo miden las concentraciones de kisspeptina en sangre, por ejemplo durante el embarazo. La administración de kisspeptina en humanos la han impulsado unos pocos grupos de trabajo, sobre todo en el Imperial College de Londres y en el Massachusetts General Hospital de Boston. La mayoría de los estudios tiene menos de 50 participantes.</w:t>
      </w:r>
    </w:p>
    <w:bookmarkStart w:id="2146" w:name="primeras-administraciones-y-fundamentos"/>
    <w:p>
      <w:pPr>
        <w:pStyle w:val="Heading4"/>
      </w:pPr>
      <w:r>
        <w:t xml:space="preserve">Primeras administraciones y fundamentos</w:t>
      </w:r>
    </w:p>
    <w:p>
      <w:pPr>
        <w:pStyle w:val="FirstParagraph"/>
      </w:pPr>
      <w:r>
        <w:t xml:space="preserve">En el primer estudio en humanos, en 2005, participaron seis hombres sanos. Una infusión de kisspeptina-54 de 90 minutos aumentó significativamente la LH, la FSH y la testosterona en comparación con el suero salino</w:t>
      </w:r>
      <w:r>
        <w:rPr>
          <w:rStyle w:val="FootnoteReference"/>
        </w:rPr>
        <w:footnoteReference w:id="2142"/>
      </w:r>
      <w:r>
        <w:t xml:space="preserve">. La semivida en sangre fue de algo menos de 28 minutos. En las mujeres, el efecto depende mucho de la fase del ciclo y es máximo poco antes de la ovulación</w:t>
      </w:r>
      <w:r>
        <w:rPr>
          <w:rStyle w:val="FootnoteReference"/>
        </w:rPr>
        <w:footnoteReference w:id="2143"/>
      </w:r>
      <w:r>
        <w:t xml:space="preserve">.</w:t>
      </w:r>
    </w:p>
    <w:p>
      <w:pPr>
        <w:pStyle w:val="BodyText"/>
      </w:pPr>
      <w:r>
        <w:t xml:space="preserve">La kisspeptina-10 provocó rápidamente en hombres sanos un aumento de la LH dependiente de la dosis y, en infusión continua, aumentó la frecuencia de los pulsos de LH</w:t>
      </w:r>
      <w:r>
        <w:rPr>
          <w:rStyle w:val="FootnoteReference"/>
        </w:rPr>
        <w:footnoteReference w:id="2144"/>
      </w:r>
      <w:r>
        <w:t xml:space="preserve">. Los niños con pubertad retrasada reaccionaron de forma muy diversa: algunos tuvieron una respuesta clara, otros ninguna</w:t>
      </w:r>
      <w:r>
        <w:rPr>
          <w:rStyle w:val="FootnoteReference"/>
        </w:rPr>
        <w:footnoteReference w:id="2145"/>
      </w:r>
      <w:r>
        <w:t xml:space="preserve">. En el futuro, esto podría ayudar a distinguir una pubertad simplemente tardía de un déficit hormonal permanente.</w:t>
      </w:r>
    </w:p>
    <w:bookmarkEnd w:id="2146"/>
    <w:bookmarkStart w:id="2153" w:name="Xafb0ea4d8cb00fe5f1739f26fe9ee402f8bf82c"/>
    <w:p>
      <w:pPr>
        <w:pStyle w:val="Heading4"/>
      </w:pPr>
      <w:r>
        <w:t xml:space="preserve">Tratamiento de fertilidad: maduración de los óvulos</w:t>
      </w:r>
    </w:p>
    <w:p>
      <w:pPr>
        <w:pStyle w:val="FirstParagraph"/>
      </w:pPr>
      <w:r>
        <w:t xml:space="preserve">La aplicación más avanzada hasta ahora es el desencadenamiento de la maduración ovocitaria en la fecundación in vitro (FIV). Normalmente, para ello se inyecta la hormona hCG. La hCG actúa durante mucho tiempo y, en mujeres sensibles, puede provocar un síndrome de hiperestimulación ovárica (OHSS), un desplazamiento de líquidos que en casos extremos pone en peligro la vida. La kisspeptina, en cambio, desencadena una onda de LH endógena y más corta.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Jayasena 2014, PMID 25036713</w:t>
            </w:r>
          </w:p>
        </w:tc>
        <w:tc>
          <w:tcPr/>
          <w:p>
            <w:pPr>
              <w:pStyle w:val="Compact"/>
              <w:jc w:val="left"/>
            </w:pPr>
            <w:r>
              <w:t xml:space="preserve">53 mujeres en tratamiento de FIV, estudio de dosis sin grupo de control</w:t>
            </w:r>
          </w:p>
        </w:tc>
        <w:tc>
          <w:tcPr/>
          <w:p>
            <w:pPr>
              <w:pStyle w:val="Compact"/>
              <w:jc w:val="left"/>
            </w:pPr>
            <w:r>
              <w:t xml:space="preserve">un ciclo</w:t>
            </w:r>
          </w:p>
        </w:tc>
        <w:tc>
          <w:tcPr/>
          <w:p>
            <w:pPr>
              <w:pStyle w:val="Compact"/>
              <w:jc w:val="left"/>
            </w:pPr>
            <w:r>
              <w:t xml:space="preserve">Maduración ovocitaria con todas las dosis; embarazo clínico 23 %</w:t>
            </w:r>
          </w:p>
        </w:tc>
      </w:tr>
      <w:tr>
        <w:tc>
          <w:tcPr/>
          <w:p>
            <w:pPr>
              <w:pStyle w:val="Compact"/>
              <w:jc w:val="left"/>
            </w:pPr>
            <w:r>
              <w:t xml:space="preserve">Abbara 2015, PMID 26192876</w:t>
            </w:r>
          </w:p>
        </w:tc>
        <w:tc>
          <w:tcPr/>
          <w:p>
            <w:pPr>
              <w:pStyle w:val="Compact"/>
              <w:jc w:val="left"/>
            </w:pPr>
            <w:r>
              <w:t xml:space="preserve">60 mujeres con riesgo alto de OHSS, estudio de dosis aleatorizado</w:t>
            </w:r>
          </w:p>
        </w:tc>
        <w:tc>
          <w:tcPr/>
          <w:p>
            <w:pPr>
              <w:pStyle w:val="Compact"/>
              <w:jc w:val="left"/>
            </w:pPr>
            <w:r>
              <w:t xml:space="preserve">un ciclo</w:t>
            </w:r>
          </w:p>
        </w:tc>
        <w:tc>
          <w:tcPr/>
          <w:p>
            <w:pPr>
              <w:pStyle w:val="Compact"/>
              <w:jc w:val="left"/>
            </w:pPr>
            <w:r>
              <w:t xml:space="preserve">Maduración ovocitaria en el 95 %; nacido vivo 45 % por transferencia; ningún OHSS moderado o grave</w:t>
            </w:r>
          </w:p>
        </w:tc>
      </w:tr>
      <w:tr>
        <w:tc>
          <w:tcPr/>
          <w:p>
            <w:pPr>
              <w:pStyle w:val="Compact"/>
              <w:jc w:val="left"/>
            </w:pPr>
            <w:r>
              <w:t xml:space="preserve">Abbara 2017, PMID 28854728</w:t>
            </w:r>
          </w:p>
        </w:tc>
        <w:tc>
          <w:tcPr/>
          <w:p>
            <w:pPr>
              <w:pStyle w:val="Compact"/>
              <w:jc w:val="left"/>
            </w:pPr>
            <w:r>
              <w:t xml:space="preserve">62 mujeres con riesgo alto de OHSS, ECA: segunda dosis frente a suero salino</w:t>
            </w:r>
          </w:p>
        </w:tc>
        <w:tc>
          <w:tcPr/>
          <w:p>
            <w:pPr>
              <w:pStyle w:val="Compact"/>
              <w:jc w:val="left"/>
            </w:pPr>
            <w:r>
              <w:t xml:space="preserve">un ciclo</w:t>
            </w:r>
          </w:p>
        </w:tc>
        <w:tc>
          <w:tcPr/>
          <w:p>
            <w:pPr>
              <w:pStyle w:val="Compact"/>
              <w:jc w:val="left"/>
            </w:pPr>
            <w:r>
              <w:t xml:space="preserve">obtención suficiente de óvulos en el 71 % frente al 45 %</w:t>
            </w:r>
          </w:p>
        </w:tc>
      </w:tr>
      <w:tr>
        <w:tc>
          <w:tcPr/>
          <w:p>
            <w:pPr>
              <w:pStyle w:val="Compact"/>
              <w:jc w:val="left"/>
            </w:pPr>
            <w:r>
              <w:t xml:space="preserve">Abbara 2024, PMID 37925096</w:t>
            </w:r>
          </w:p>
        </w:tc>
        <w:tc>
          <w:tcPr/>
          <w:p>
            <w:pPr>
              <w:pStyle w:val="Compact"/>
              <w:jc w:val="left"/>
            </w:pPr>
            <w:r>
              <w:t xml:space="preserve">24 y 75 mujeres sanas, dos ECA con el análogo MVT-602</w:t>
            </w:r>
          </w:p>
        </w:tc>
        <w:tc>
          <w:tcPr/>
          <w:p>
            <w:pPr>
              <w:pStyle w:val="Compact"/>
              <w:jc w:val="left"/>
            </w:pPr>
            <w:r>
              <w:t xml:space="preserve">dosis única</w:t>
            </w:r>
          </w:p>
        </w:tc>
        <w:tc>
          <w:tcPr/>
          <w:p>
            <w:pPr>
              <w:pStyle w:val="Compact"/>
              <w:jc w:val="left"/>
            </w:pPr>
            <w:r>
              <w:t xml:space="preserve">aumento de LH similar al de mitad del ciclo natural; ovulación en 5 días hasta en el 100 %</w:t>
            </w:r>
          </w:p>
        </w:tc>
      </w:tr>
    </w:tbl>
    <w:p>
      <w:pPr>
        <w:pStyle w:val="BodyText"/>
      </w:pPr>
      <w:r>
        <w:t xml:space="preserve">En el primer estudio</w:t>
      </w:r>
      <w:r>
        <w:rPr>
          <w:rStyle w:val="FootnoteReference"/>
        </w:rPr>
        <w:footnoteReference w:id="2147"/>
      </w:r>
      <w:r>
        <w:t xml:space="preserve">, 53 mujeres recibieron una única inyección de kisspeptina. Con todas las dosis probadas maduraron óvulos; en 49 mujeres se transfirieron embriones y doce lograron un embarazo clínico. Con ello se demostró por primera vez que es posible un embarazo tras una maduración ovocitaria controlada con kisspeptina.</w:t>
      </w:r>
    </w:p>
    <w:p>
      <w:pPr>
        <w:pStyle w:val="BodyText"/>
      </w:pPr>
      <w:r>
        <w:t xml:space="preserve">El estudio posterior se centró en mujeres con riesgo alto de hiperestimulación</w:t>
      </w:r>
      <w:r>
        <w:rPr>
          <w:rStyle w:val="FootnoteReference"/>
        </w:rPr>
        <w:footnoteReference w:id="2148"/>
      </w:r>
      <w:r>
        <w:t xml:space="preserve">. Ninguna de las 60 mujeres desarrolló un OHSS moderado o grave; la tasa de nacidos vivos por transferencia embrionaria fue del 45 %. Una segunda dosis de kisspeptina diez horas después de la primera mejoró la obtención de óvulos maduros</w:t>
      </w:r>
      <w:r>
        <w:rPr>
          <w:rStyle w:val="FootnoteReference"/>
        </w:rPr>
        <w:footnoteReference w:id="2149"/>
      </w:r>
      <w:r>
        <w:t xml:space="preserve">.</w:t>
      </w:r>
    </w:p>
    <w:p>
      <w:pPr>
        <w:pStyle w:val="BodyText"/>
      </w:pPr>
      <w:r>
        <w:rPr>
          <w:bCs/>
          <w:b/>
        </w:rPr>
        <w:t xml:space="preserve">Valoración:</w:t>
      </w:r>
      <w:r>
        <w:t xml:space="preserve"> </w:t>
      </w:r>
      <w:r>
        <w:t xml:space="preserve">estos estudios muestran que el principio funciona. Pero no estaban diseñados para comparar directamente la kisspeptina con las alternativas establecidas: además de la hCG, para las pacientes de alto riesgo ya existe el desencadenamiento con un agonista de la GnRH. Las propias autoras y autores reclaman este tipo de estudios comparativos</w:t>
      </w:r>
      <w:r>
        <w:rPr>
          <w:rStyle w:val="FootnoteReference"/>
        </w:rPr>
        <w:footnoteReference w:id="2150"/>
      </w:r>
      <w:r>
        <w:t xml:space="preserve">.</w:t>
      </w:r>
    </w:p>
    <w:p>
      <w:pPr>
        <w:pStyle w:val="BodyText"/>
      </w:pPr>
      <w:r>
        <w:t xml:space="preserve">El análogo sintético MVT-602 actúa mucho más tiempo que la kisspeptina natural: en mujeres sanas, el pico de LH llegó a las 21 horas aproximadamente, en lugar de a las 5, y la cantidad total de LH secretada fue unas cuatro veces mayor</w:t>
      </w:r>
      <w:r>
        <w:rPr>
          <w:rStyle w:val="FootnoteReference"/>
        </w:rPr>
        <w:footnoteReference w:id="2151"/>
      </w:r>
      <w:r>
        <w:t xml:space="preserve">. En dos estudios aleatorizados con 99 mujeres en total, el MVT-602 fue bien tolerado y, en el segundo estudio, desencadenó la ovulación en cinco días en el 75 al 100 % de las mujeres según la dosis, aunque también en el 60 % con placebo, porque las participantes estaban sanas</w:t>
      </w:r>
      <w:r>
        <w:rPr>
          <w:rStyle w:val="FootnoteReference"/>
        </w:rPr>
        <w:footnoteReference w:id="2152"/>
      </w:r>
      <w:r>
        <w:t xml:space="preserve">.</w:t>
      </w:r>
    </w:p>
    <w:bookmarkEnd w:id="2153"/>
    <w:bookmarkStart w:id="2159" w:name="ausencia-de-menstruación-y-sop"/>
    <w:p>
      <w:pPr>
        <w:pStyle w:val="Heading4"/>
      </w:pPr>
      <w:r>
        <w:t xml:space="preserve">Ausencia de menstruación y SOP</w:t>
      </w:r>
    </w:p>
    <w:p>
      <w:pPr>
        <w:pStyle w:val="FirstParagraph"/>
      </w:pPr>
      <w:r>
        <w:t xml:space="preserve">En la amenorrea hipotalámica falta la regla porque el cerebro –a menudo por bajo peso, deporte intenso o estrés– secreta demasiado poca GnRH. Una única inyección de kisspeptina elevó con fuerza la LH y la FSH en las mujeres afectadas. Sin embargo, con dos administraciones diarias durante dos semanas, el efecto casi había desaparecido</w:t>
      </w:r>
      <w:r>
        <w:rPr>
          <w:rStyle w:val="FootnoteReference"/>
        </w:rPr>
        <w:footnoteReference w:id="2154"/>
      </w:r>
      <w:r>
        <w:t xml:space="preserve">. Las administraciones dos veces por semana solo produjeron una habituación parcial</w:t>
      </w:r>
      <w:r>
        <w:rPr>
          <w:rStyle w:val="FootnoteReference"/>
        </w:rPr>
        <w:footnoteReference w:id="2155"/>
      </w:r>
      <w:r>
        <w:t xml:space="preserve">, y una infusión continua triplicó transitoriamente el número de pulsos de LH</w:t>
      </w:r>
      <w:r>
        <w:rPr>
          <w:rStyle w:val="FootnoteReference"/>
        </w:rPr>
        <w:footnoteReference w:id="2156"/>
      </w:r>
      <w:r>
        <w:t xml:space="preserve">. En personas con un defecto genético del sistema de la neuroquinina B, una infusión de kisspeptina restableció la secreción hormonal pulsátil</w:t>
      </w:r>
      <w:r>
        <w:rPr>
          <w:rStyle w:val="FootnoteReference"/>
        </w:rPr>
        <w:footnoteReference w:id="2157"/>
      </w:r>
      <w:r>
        <w:t xml:space="preserve">.</w:t>
      </w:r>
    </w:p>
    <w:p>
      <w:pPr>
        <w:pStyle w:val="BodyText"/>
      </w:pPr>
      <w:r>
        <w:t xml:space="preserve">En el síndrome de ovario poliquístico (SOP), la situación es más complicada. En un estudio piloto con 12 mujeres, la kisspeptina solo aumentó ligeramente la LH; dos mujeres ovularon y en la mayoría no ocurrió nada</w:t>
      </w:r>
      <w:r>
        <w:rPr>
          <w:rStyle w:val="FootnoteReference"/>
        </w:rPr>
        <w:footnoteReference w:id="2158"/>
      </w:r>
      <w:r>
        <w:t xml:space="preserve">.</w:t>
      </w:r>
    </w:p>
    <w:bookmarkEnd w:id="2159"/>
    <w:bookmarkStart w:id="2162" w:name="hombres-testosterona-y-diabetes"/>
    <w:p>
      <w:pPr>
        <w:pStyle w:val="Heading4"/>
      </w:pPr>
      <w:r>
        <w:t xml:space="preserve">Hombres: testosterona y diabetes</w:t>
      </w:r>
    </w:p>
    <w:p>
      <w:pPr>
        <w:pStyle w:val="FirstParagraph"/>
      </w:pPr>
      <w:r>
        <w:t xml:space="preserve">En cinco hombres con diabetes tipo 2 y testosterona baja, una infusión de kisspeptina-10 aumentó la LH, la frecuencia de pulsos de LH y la testosterona</w:t>
      </w:r>
      <w:r>
        <w:rPr>
          <w:rStyle w:val="FootnoteReference"/>
        </w:rPr>
        <w:footnoteReference w:id="2160"/>
      </w:r>
      <w:r>
        <w:t xml:space="preserve">. Un estudio reciente con 15 hombres sanos mostró que infusiones subcutáneas diarias de ocho horas mantenían la secreción hormonal durante doce días, mientras que una infusión continua ya no tenía efecto sobre la LH y la FSH al cabo de cinco días</w:t>
      </w:r>
      <w:r>
        <w:rPr>
          <w:rStyle w:val="FootnoteReference"/>
        </w:rPr>
        <w:footnoteReference w:id="2161"/>
      </w:r>
      <w:r>
        <w:t xml:space="preserve">. Es un paso importante hacia un posible tratamiento a largo plazo.</w:t>
      </w:r>
    </w:p>
    <w:bookmarkEnd w:id="2162"/>
    <w:bookmarkStart w:id="2166" w:name="deseo-sexual-y-cerebro"/>
    <w:p>
      <w:pPr>
        <w:pStyle w:val="Heading4"/>
      </w:pPr>
      <w:r>
        <w:t xml:space="preserve">Deseo sexual y cerebro</w:t>
      </w:r>
    </w:p>
    <w:p>
      <w:pPr>
        <w:pStyle w:val="FirstParagraph"/>
      </w:pPr>
      <w:r>
        <w:t xml:space="preserve">El grupo de Londres investigó con resonancia magnética funcional (RMf) cómo modifica la kisspeptina el procesamiento de imágenes eróticas.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Comninos 2017, PMID 28112678</w:t>
            </w:r>
          </w:p>
        </w:tc>
        <w:tc>
          <w:tcPr/>
          <w:p>
            <w:pPr>
              <w:pStyle w:val="Compact"/>
              <w:jc w:val="left"/>
            </w:pPr>
            <w:r>
              <w:t xml:space="preserve">29 hombres jóvenes sanos, estudio cruzado frente a placebo</w:t>
            </w:r>
          </w:p>
        </w:tc>
        <w:tc>
          <w:tcPr/>
          <w:p>
            <w:pPr>
              <w:pStyle w:val="Compact"/>
              <w:jc w:val="left"/>
            </w:pPr>
            <w:r>
              <w:t xml:space="preserve">infusión única</w:t>
            </w:r>
          </w:p>
        </w:tc>
        <w:tc>
          <w:tcPr/>
          <w:p>
            <w:pPr>
              <w:pStyle w:val="Compact"/>
              <w:jc w:val="left"/>
            </w:pPr>
            <w:r>
              <w:t xml:space="preserve">más actividad en regiones cerebrales límbicas ante estímulos sexuales; menos estado de ánimo negativo</w:t>
            </w:r>
          </w:p>
        </w:tc>
      </w:tr>
      <w:tr>
        <w:tc>
          <w:tcPr/>
          <w:p>
            <w:pPr>
              <w:pStyle w:val="Compact"/>
              <w:jc w:val="left"/>
            </w:pPr>
            <w:r>
              <w:t xml:space="preserve">Thurston 2022, PMID 36287566</w:t>
            </w:r>
          </w:p>
        </w:tc>
        <w:tc>
          <w:tcPr/>
          <w:p>
            <w:pPr>
              <w:pStyle w:val="Compact"/>
              <w:jc w:val="left"/>
            </w:pPr>
            <w:r>
              <w:t xml:space="preserve">32 mujeres con HSDD, estudio cruzado doble ciego</w:t>
            </w:r>
          </w:p>
        </w:tc>
        <w:tc>
          <w:tcPr/>
          <w:p>
            <w:pPr>
              <w:pStyle w:val="Compact"/>
              <w:jc w:val="left"/>
            </w:pPr>
            <w:r>
              <w:t xml:space="preserve">75 minutos</w:t>
            </w:r>
          </w:p>
        </w:tc>
        <w:tc>
          <w:tcPr/>
          <w:p>
            <w:pPr>
              <w:pStyle w:val="Compact"/>
              <w:jc w:val="left"/>
            </w:pPr>
            <w:r>
              <w:t xml:space="preserve">actividad modificada en regiones cerebrales de los estímulos sexuales y del atractivo; sin efectos adversos</w:t>
            </w:r>
          </w:p>
        </w:tc>
      </w:tr>
      <w:tr>
        <w:tc>
          <w:tcPr/>
          <w:p>
            <w:pPr>
              <w:pStyle w:val="Compact"/>
              <w:jc w:val="left"/>
            </w:pPr>
            <w:r>
              <w:t xml:space="preserve">Mills 2023, PMID 36735255</w:t>
            </w:r>
          </w:p>
        </w:tc>
        <w:tc>
          <w:tcPr/>
          <w:p>
            <w:pPr>
              <w:pStyle w:val="Compact"/>
              <w:jc w:val="left"/>
            </w:pPr>
            <w:r>
              <w:t xml:space="preserve">32 hombres con HSDD, estudio cruzado doble ciego</w:t>
            </w:r>
          </w:p>
        </w:tc>
        <w:tc>
          <w:tcPr/>
          <w:p>
            <w:pPr>
              <w:pStyle w:val="Compact"/>
              <w:jc w:val="left"/>
            </w:pPr>
            <w:r>
              <w:t xml:space="preserve">75 minutos</w:t>
            </w:r>
          </w:p>
        </w:tc>
        <w:tc>
          <w:tcPr/>
          <w:p>
            <w:pPr>
              <w:pStyle w:val="Compact"/>
              <w:jc w:val="left"/>
            </w:pPr>
            <w:r>
              <w:t xml:space="preserve">actividad cerebral modificada; tumescencia del pene ante vídeos eróticos hasta un 56 % mayor que con placebo</w:t>
            </w:r>
          </w:p>
        </w:tc>
      </w:tr>
    </w:tbl>
    <w:p>
      <w:pPr>
        <w:pStyle w:val="BodyText"/>
      </w:pPr>
      <w:r>
        <w:t xml:space="preserve">El HSDD (trastorno de deseo sexual hipoactivo) significa un deseo sexual persistentemente bajo que causa malestar. En hombres con HSDD, una única infusión de kisspeptina no solo potenció la actividad de las regiones cerebrales sexuales, sino también la excitación física medible y algunas respuestas sobre el deseo, como las «ganas de tener relaciones sexuales»</w:t>
      </w:r>
      <w:r>
        <w:rPr>
          <w:rStyle w:val="FootnoteReference"/>
        </w:rPr>
        <w:footnoteReference w:id="2163"/>
      </w:r>
      <w:r>
        <w:t xml:space="preserve">. En mujeres con HSDD, los cambios de la actividad cerebral se correlacionaron con el malestar y la aversión sexual</w:t>
      </w:r>
      <w:r>
        <w:rPr>
          <w:rStyle w:val="FootnoteReference"/>
        </w:rPr>
        <w:footnoteReference w:id="2164"/>
      </w:r>
      <w:r>
        <w:t xml:space="preserve">.</w:t>
      </w:r>
    </w:p>
    <w:p>
      <w:pPr>
        <w:pStyle w:val="BodyText"/>
      </w:pPr>
      <w:r>
        <w:rPr>
          <w:bCs/>
          <w:b/>
        </w:rPr>
        <w:t xml:space="preserve">Valoración:</w:t>
      </w:r>
      <w:r>
        <w:t xml:space="preserve"> </w:t>
      </w:r>
      <w:r>
        <w:t xml:space="preserve">estos estudios examinan una única infusión en el laboratorio, con la actividad cerebral como variable principal. No dicen nada sobre si la kisspeptina mejora la vivencia sexual en la vida diaria a lo largo de semanas. La administración en infusión no es adecuada para un tratamiento cotidiano. Un estudio con 95 personas no encontró ningún efecto sobre la ansiedad, el cortisol, la presión arterial ni la frecuencia cardiaca</w:t>
      </w:r>
      <w:r>
        <w:rPr>
          <w:rStyle w:val="FootnoteReference"/>
        </w:rPr>
        <w:footnoteReference w:id="2165"/>
      </w:r>
      <w:r>
        <w:t xml:space="preserve">: una señal tranquilizadora en cuanto a la tolerabilidad, no una prueba de eficacia.</w:t>
      </w:r>
    </w:p>
    <w:bookmarkEnd w:id="2166"/>
    <w:bookmarkStart w:id="2168" w:name="espray-nasal"/>
    <w:p>
      <w:pPr>
        <w:pStyle w:val="Heading4"/>
      </w:pPr>
      <w:r>
        <w:t xml:space="preserve">Espray nasal</w:t>
      </w:r>
    </w:p>
    <w:p>
      <w:pPr>
        <w:pStyle w:val="FirstParagraph"/>
      </w:pPr>
      <w:r>
        <w:t xml:space="preserve">Un espray nasal de kisspeptina-54 aumentó la LH en hombres y mujeres sanos y en mujeres con amenorrea hipotalámica, sin efectos adversos</w:t>
      </w:r>
      <w:r>
        <w:rPr>
          <w:rStyle w:val="FootnoteReference"/>
        </w:rPr>
        <w:footnoteReference w:id="2167"/>
      </w:r>
      <w:r>
        <w:t xml:space="preserve">. Esto apunta a una posible vía hacia un tratamiento sin aguja. En ratones se detectó kisspeptina en la mucosa olfativa, lo que sugiere una vía a través del sistema olfativo.</w:t>
      </w:r>
    </w:p>
    <w:bookmarkEnd w:id="2168"/>
    <w:bookmarkStart w:id="2172" w:name="otros-hallazgos"/>
    <w:p>
      <w:pPr>
        <w:pStyle w:val="Heading4"/>
      </w:pPr>
      <w:r>
        <w:t xml:space="preserve">Otros hallazgos</w:t>
      </w:r>
    </w:p>
    <w:p>
      <w:pPr>
        <w:numPr>
          <w:ilvl w:val="0"/>
          <w:numId w:val="1271"/>
        </w:numPr>
        <w:pStyle w:val="Compact"/>
      </w:pPr>
      <w:r>
        <w:rPr>
          <w:bCs/>
          <w:b/>
        </w:rPr>
        <w:t xml:space="preserve">Hueso:</w:t>
      </w:r>
      <w:r>
        <w:t xml:space="preserve"> </w:t>
      </w:r>
      <w:r>
        <w:t xml:space="preserve">en 26 hombres sanos, tras una administración de kisspeptina, el marcador de formación ósea osteocalcina aumentó hasta un 20,3 %</w:t>
      </w:r>
      <w:r>
        <w:rPr>
          <w:rStyle w:val="FootnoteReference"/>
        </w:rPr>
        <w:footnoteReference w:id="2169"/>
      </w:r>
      <w:r>
        <w:t xml:space="preserve">.</w:t>
      </w:r>
    </w:p>
    <w:p>
      <w:pPr>
        <w:numPr>
          <w:ilvl w:val="0"/>
          <w:numId w:val="1271"/>
        </w:numPr>
        <w:pStyle w:val="Compact"/>
      </w:pPr>
      <w:r>
        <w:rPr>
          <w:bCs/>
          <w:b/>
        </w:rPr>
        <w:t xml:space="preserve">Metabolismo:</w:t>
      </w:r>
      <w:r>
        <w:t xml:space="preserve"> </w:t>
      </w:r>
      <w:r>
        <w:t xml:space="preserve">en 15 hombres sanos, la kisspeptina aumentó la secreción de insulina tras una sobrecarga de glucosa, sin modificar el apetito ni la cantidad ingerida</w:t>
      </w:r>
      <w:r>
        <w:rPr>
          <w:rStyle w:val="FootnoteReference"/>
        </w:rPr>
        <w:footnoteReference w:id="2170"/>
      </w:r>
      <w:r>
        <w:t xml:space="preserve">.</w:t>
      </w:r>
    </w:p>
    <w:p>
      <w:pPr>
        <w:numPr>
          <w:ilvl w:val="0"/>
          <w:numId w:val="1271"/>
        </w:numPr>
        <w:pStyle w:val="Compact"/>
      </w:pPr>
      <w:r>
        <w:rPr>
          <w:bCs/>
          <w:b/>
        </w:rPr>
        <w:t xml:space="preserve">Oxitocina:</w:t>
      </w:r>
      <w:r>
        <w:t xml:space="preserve"> </w:t>
      </w:r>
      <w:r>
        <w:t xml:space="preserve">tras una inyección de kisspeptina aumentó la concentración de oxitocina en sangre, más en hombres que en mujeres</w:t>
      </w:r>
      <w:r>
        <w:rPr>
          <w:rStyle w:val="FootnoteReference"/>
        </w:rPr>
        <w:footnoteReference w:id="2171"/>
      </w:r>
      <w:r>
        <w:t xml:space="preserve">. Se está estudiando como posible prueba para el déficit de oxitocina (capítulo 2E05).</w:t>
      </w:r>
    </w:p>
    <w:bookmarkEnd w:id="2172"/>
    <w:bookmarkStart w:id="2175" w:name="lo-contrario-reducir-las-hormonas"/>
    <w:p>
      <w:pPr>
        <w:pStyle w:val="Heading4"/>
      </w:pPr>
      <w:r>
        <w:t xml:space="preserve">Lo contrario: reducir las hormonas</w:t>
      </w:r>
    </w:p>
    <w:p>
      <w:pPr>
        <w:pStyle w:val="FirstParagraph"/>
      </w:pPr>
      <w:r>
        <w:t xml:space="preserve">El análogo sintético TAK-448 se convirtió, con la administración continua, en un bloqueante hormonal. En hombres sanos mayores de 50 años, la testosterona descendió hasta niveles de castración tras una semana de infusión continua; en hombres con cáncer de próstata, una inyección de liberación prolongada redujo la testosterona y el marcador tumoral PSA</w:t>
      </w:r>
      <w:r>
        <w:rPr>
          <w:rStyle w:val="FootnoteReference"/>
        </w:rPr>
        <w:footnoteReference w:id="2173"/>
      </w:r>
      <w:r>
        <w:t xml:space="preserve">. Otros dos estudios de fase 2 del fabricante se terminaron antes de tiempo</w:t>
      </w:r>
      <w:r>
        <w:rPr>
          <w:rStyle w:val="FootnoteReference"/>
        </w:rPr>
        <w:footnoteReference w:id="2174"/>
      </w:r>
      <w:r>
        <w:t xml:space="preserve">.</w:t>
      </w:r>
    </w:p>
    <w:bookmarkEnd w:id="2175"/>
    <w:bookmarkEnd w:id="2176"/>
    <w:bookmarkStart w:id="2181" w:name="estudios-en-animales-y-de-laboratorio-49"/>
    <w:p>
      <w:pPr>
        <w:pStyle w:val="Heading3"/>
      </w:pPr>
      <w:r>
        <w:t xml:space="preserve">Estudios en animales y de laboratorio</w:t>
      </w:r>
    </w:p>
    <w:p>
      <w:pPr>
        <w:pStyle w:val="FirstParagraph"/>
      </w:pPr>
      <w:r>
        <w:t xml:space="preserve">El papel de la kisspeptina en la pubertad y la reproducción se demostró primero en ratones con el gen del receptor desactivado; los animales permanecen sexualmente inmaduros</w:t>
      </w:r>
      <w:r>
        <w:rPr>
          <w:rStyle w:val="FootnoteReference"/>
        </w:rPr>
        <w:footnoteReference w:id="2177"/>
      </w:r>
      <w:r>
        <w:t xml:space="preserve">. Originalmente, el péptido se describió como freno de la metástasis: en cultivo celular y en ratones inhibió la diseminación de células de melanoma</w:t>
      </w:r>
      <w:r>
        <w:rPr>
          <w:rStyle w:val="FootnoteReference"/>
        </w:rPr>
        <w:footnoteReference w:id="2178"/>
      </w:r>
      <w:r>
        <w:t xml:space="preserve">. Si esto puede aprovecharse terapéuticamente sigue abierto.</w:t>
      </w:r>
    </w:p>
    <w:p>
      <w:pPr>
        <w:pStyle w:val="BodyText"/>
      </w:pPr>
      <w:r>
        <w:t xml:space="preserve">En modelos de SOP en ratas, la kisspeptina restableció la ovulación en una parte de los animales y en otros no</w:t>
      </w:r>
      <w:r>
        <w:rPr>
          <w:rStyle w:val="FootnoteReference"/>
        </w:rPr>
        <w:footnoteReference w:id="2179"/>
      </w:r>
      <w:r>
        <w:t xml:space="preserve">. La investigación básica sobre la kisspeptina y la neuroquinina B se resume en una revisión</w:t>
      </w:r>
      <w:r>
        <w:rPr>
          <w:rStyle w:val="FootnoteReference"/>
        </w:rPr>
        <w:footnoteReference w:id="2180"/>
      </w:r>
      <w:r>
        <w:t xml:space="preserve">.</w:t>
      </w:r>
    </w:p>
    <w:bookmarkEnd w:id="2181"/>
    <w:bookmarkStart w:id="2189" w:name="riesgos-y-efectos-adversos-49"/>
    <w:p>
      <w:pPr>
        <w:pStyle w:val="Heading3"/>
      </w:pPr>
      <w:r>
        <w:t xml:space="preserve">Riesgos y efectos adversos</w:t>
      </w:r>
    </w:p>
    <w:bookmarkStart w:id="2186" w:name="demostrados-2"/>
    <w:p>
      <w:pPr>
        <w:pStyle w:val="Heading4"/>
      </w:pPr>
      <w:r>
        <w:t xml:space="preserve">Demostrados</w:t>
      </w:r>
    </w:p>
    <w:p>
      <w:pPr>
        <w:pStyle w:val="FirstParagraph"/>
      </w:pPr>
      <w:r>
        <w:t xml:space="preserve">En todos los estudios publicados, la kisspeptina fue bien tolerada. Varios estudios comunican expresamente la ausencia de efectos adversos</w:t>
      </w:r>
      <w:r>
        <w:rPr>
          <w:rStyle w:val="FootnoteReference"/>
        </w:rPr>
        <w:footnoteReference w:id="2182"/>
      </w:r>
      <w:r>
        <w:t xml:space="preserve">. La kisspeptina no modificó la hormona del crecimiento, la prolactina ni la TSH, que regula el tiroides</w:t>
      </w:r>
      <w:r>
        <w:rPr>
          <w:rStyle w:val="FootnoteReference"/>
        </w:rPr>
        <w:footnoteReference w:id="2183"/>
      </w:r>
      <w:r>
        <w:t xml:space="preserve">, y no influyó en la ansiedad, la presión arterial ni la frecuencia cardiaca</w:t>
      </w:r>
      <w:r>
        <w:rPr>
          <w:rStyle w:val="FootnoteReference"/>
        </w:rPr>
        <w:footnoteReference w:id="2184"/>
      </w:r>
      <w:r>
        <w:t xml:space="preserve">. Con el análogo TAK-448 aparecieron efectos adversos leves a moderados en el 26 % de las personas tratadas</w:t>
      </w:r>
      <w:r>
        <w:rPr>
          <w:rStyle w:val="FootnoteReference"/>
        </w:rPr>
        <w:footnoteReference w:id="2185"/>
      </w:r>
      <w:r>
        <w:t xml:space="preserve">.</w:t>
      </w:r>
    </w:p>
    <w:bookmarkEnd w:id="2186"/>
    <w:bookmarkStart w:id="2187" w:name="teóricos-y-sin-aclarar"/>
    <w:p>
      <w:pPr>
        <w:pStyle w:val="Heading4"/>
      </w:pPr>
      <w:r>
        <w:t xml:space="preserve">Teóricos y sin aclarar</w:t>
      </w:r>
    </w:p>
    <w:p>
      <w:pPr>
        <w:numPr>
          <w:ilvl w:val="0"/>
          <w:numId w:val="1272"/>
        </w:numPr>
        <w:pStyle w:val="Compact"/>
      </w:pPr>
      <w:r>
        <w:rPr>
          <w:bCs/>
          <w:b/>
        </w:rPr>
        <w:t xml:space="preserve">Habituación y descenso hormonal:</w:t>
      </w:r>
      <w:r>
        <w:t xml:space="preserve"> </w:t>
      </w:r>
      <w:r>
        <w:t xml:space="preserve">con la administración continua puede producirse lo contrario del efecto deseado, como muestran los estudios con TAK-448. Quien usa kisspeptina sin control médico se arriesga, por tanto, a suprimir su propio eje hormonal.</w:t>
      </w:r>
    </w:p>
    <w:p>
      <w:pPr>
        <w:numPr>
          <w:ilvl w:val="0"/>
          <w:numId w:val="1272"/>
        </w:numPr>
        <w:pStyle w:val="Compact"/>
      </w:pPr>
      <w:r>
        <w:t xml:space="preserve">Faltan</w:t>
      </w:r>
      <w:r>
        <w:t xml:space="preserve"> </w:t>
      </w:r>
      <w:r>
        <w:rPr>
          <w:bCs/>
          <w:b/>
        </w:rPr>
        <w:t xml:space="preserve">datos a largo plazo</w:t>
      </w:r>
      <w:r>
        <w:t xml:space="preserve">. Los estudios más largos duraron ocho semanas.</w:t>
      </w:r>
    </w:p>
    <w:p>
      <w:pPr>
        <w:numPr>
          <w:ilvl w:val="0"/>
          <w:numId w:val="1272"/>
        </w:numPr>
        <w:pStyle w:val="Compact"/>
      </w:pPr>
      <w:r>
        <w:rPr>
          <w:bCs/>
          <w:b/>
        </w:rPr>
        <w:t xml:space="preserve">Embarazo:</w:t>
      </w:r>
      <w:r>
        <w:t xml:space="preserve"> </w:t>
      </w:r>
      <w:r>
        <w:t xml:space="preserve">en el uso en FIV nacieron niños; no se han publicado datos sistemáticos sobre la salud de estos niños.</w:t>
      </w:r>
    </w:p>
    <w:bookmarkEnd w:id="2187"/>
    <w:bookmarkStart w:id="2188" w:name="mercado-gris-2"/>
    <w:p>
      <w:pPr>
        <w:pStyle w:val="Heading4"/>
      </w:pPr>
      <w:r>
        <w:t xml:space="preserve">Mercado gris</w:t>
      </w:r>
    </w:p>
    <w:p>
      <w:pPr>
        <w:pStyle w:val="FirstParagraph"/>
      </w:pPr>
      <w:r>
        <w:t xml:space="preserve">La kisspeptina-10 se ofrece en internet como «research peptide» y se promociona en foros para aumentar la testosterona o la libido. No hay estudios sobre estos productos. Debido a la semivida corta y a la habituación con la administración frecuente, no está demostrado un efecto duradero con la autoadministración; la pureza y el contenido no están evaluados (véanse la Parte I y la Parte IV).</w:t>
      </w:r>
    </w:p>
    <w:bookmarkEnd w:id="2188"/>
    <w:bookmarkEnd w:id="2189"/>
    <w:bookmarkStart w:id="2190" w:name="situación-legal-49"/>
    <w:p>
      <w:pPr>
        <w:pStyle w:val="Heading3"/>
      </w:pPr>
      <w:r>
        <w:t xml:space="preserve">Situación legal</w:t>
      </w:r>
    </w:p>
    <w:p>
      <w:pPr>
        <w:pStyle w:val="FirstParagraph"/>
      </w:pPr>
      <w:r>
        <w:rPr>
          <w:iCs/>
          <w:i/>
        </w:rPr>
        <w:t xml:space="preserve">Situación en 2026, compruébese la versión actual.</w:t>
      </w:r>
    </w:p>
    <w:p>
      <w:pPr>
        <w:numPr>
          <w:ilvl w:val="0"/>
          <w:numId w:val="1273"/>
        </w:numPr>
        <w:pStyle w:val="Compact"/>
      </w:pPr>
      <w:r>
        <w:rPr>
          <w:bCs/>
          <w:b/>
        </w:rPr>
        <w:t xml:space="preserve">UE, Alemania, Austria:</w:t>
      </w:r>
      <w:r>
        <w:t xml:space="preserve"> </w:t>
      </w:r>
      <w:r>
        <w:t xml:space="preserve">sin autorización. La kisspeptina solo puede administrarse en humanos en el marco de estudios clínicos autorizados. La venta para uso en humanos no está permitida.</w:t>
      </w:r>
    </w:p>
    <w:p>
      <w:pPr>
        <w:numPr>
          <w:ilvl w:val="0"/>
          <w:numId w:val="1273"/>
        </w:numPr>
        <w:pStyle w:val="Compact"/>
      </w:pPr>
      <w:r>
        <w:rPr>
          <w:bCs/>
          <w:b/>
        </w:rPr>
        <w:t xml:space="preserve">EE. UU.:</w:t>
      </w:r>
      <w:r>
        <w:t xml:space="preserve"> </w:t>
      </w:r>
      <w:r>
        <w:t xml:space="preserve">sin autorización; uso solo en estudios con aprobación de la FDA.</w:t>
      </w:r>
    </w:p>
    <w:p>
      <w:pPr>
        <w:numPr>
          <w:ilvl w:val="0"/>
          <w:numId w:val="1273"/>
        </w:numPr>
        <w:pStyle w:val="Compact"/>
      </w:pPr>
      <w:r>
        <w:rPr>
          <w:bCs/>
          <w:b/>
        </w:rPr>
        <w:t xml:space="preserve">WADA:</w:t>
      </w:r>
      <w:r>
        <w:t xml:space="preserve"> </w:t>
      </w:r>
      <w:r>
        <w:t xml:space="preserve">en los hombres, los factores liberadores de LH están prohibidos según S2, y los principios activos no autorizados en general, según S0. La kisspeptina no se menciona nominalmente, pero, según la valoración del autor, entra en estos grupos.</w:t>
      </w:r>
    </w:p>
    <w:bookmarkEnd w:id="2190"/>
    <w:bookmarkStart w:id="2193" w:name="estudios-en-curso-y-perspectivas-49"/>
    <w:p>
      <w:pPr>
        <w:pStyle w:val="Heading3"/>
      </w:pPr>
      <w:r>
        <w:t xml:space="preserve">Estudios en curso y perspectivas</w:t>
      </w:r>
    </w:p>
    <w:p>
      <w:pPr>
        <w:pStyle w:val="FirstParagraph"/>
      </w:pPr>
      <w:r>
        <w:rPr>
          <w:bCs/>
          <w:b/>
        </w:rPr>
        <w:t xml:space="preserve">Confirmado (estudios registrados):</w:t>
      </w:r>
    </w:p>
    <w:p>
      <w:pPr>
        <w:numPr>
          <w:ilvl w:val="0"/>
          <w:numId w:val="1274"/>
        </w:numPr>
        <w:pStyle w:val="Compact"/>
      </w:pPr>
      <w:r>
        <w:rPr>
          <w:bCs/>
          <w:b/>
        </w:rPr>
        <w:t xml:space="preserve">Massachusetts General Hospital, Boston:</w:t>
      </w:r>
      <w:r>
        <w:t xml:space="preserve"> </w:t>
      </w:r>
      <w:r>
        <w:t xml:space="preserve">varios estudios de fase 1 y fase 2 con administración subcutánea repetida de kisspeptina en el déficit hormonal congénito (hipogonadismo hipogonadotrópico idiopático, NCT05896293, 36 personas, hasta 2028) y en la amenorrea hipotalámica (NCT07224438, 20 personas, hasta 2030). Otro estudio usa la kisspeptina como prueba de la función de las neuronas de GnRH</w:t>
      </w:r>
      <w:r>
        <w:rPr>
          <w:rStyle w:val="FootnoteReference"/>
        </w:rPr>
        <w:footnoteReference w:id="2191"/>
      </w:r>
      <w:r>
        <w:t xml:space="preserve">.</w:t>
      </w:r>
    </w:p>
    <w:p>
      <w:pPr>
        <w:numPr>
          <w:ilvl w:val="0"/>
          <w:numId w:val="1274"/>
        </w:numPr>
        <w:pStyle w:val="Compact"/>
      </w:pPr>
      <w:r>
        <w:rPr>
          <w:bCs/>
          <w:b/>
        </w:rPr>
        <w:t xml:space="preserve">Imperial College de Londres:</w:t>
      </w:r>
      <w:r>
        <w:t xml:space="preserve"> </w:t>
      </w:r>
      <w:r>
        <w:t xml:space="preserve">un estudio en curso desde 2014 sobre la secreción hormonal con la administración prolongada de kisspeptina (NCT02081924, 76 personas).</w:t>
      </w:r>
    </w:p>
    <w:p>
      <w:pPr>
        <w:numPr>
          <w:ilvl w:val="0"/>
          <w:numId w:val="1274"/>
        </w:numPr>
        <w:pStyle w:val="Compact"/>
      </w:pPr>
      <w:r>
        <w:t xml:space="preserve">Ha finalizado un estudio de fase 2 con administración pulsátil de kisspeptina en el hipogonadismo</w:t>
      </w:r>
      <w:r>
        <w:rPr>
          <w:rStyle w:val="FootnoteReference"/>
        </w:rPr>
        <w:footnoteReference w:id="2192"/>
      </w:r>
      <w:r>
        <w:t xml:space="preserve">; al cierre de la redacción no había resultados publicados en PubMed.</w:t>
      </w:r>
    </w:p>
    <w:p>
      <w:pPr>
        <w:pStyle w:val="FirstParagraph"/>
      </w:pPr>
      <w:r>
        <w:rPr>
          <w:bCs/>
          <w:b/>
        </w:rPr>
        <w:t xml:space="preserve">Valoración del autor:</w:t>
      </w:r>
      <w:r>
        <w:t xml:space="preserve"> </w:t>
      </w:r>
      <w:r>
        <w:t xml:space="preserve">en cuanto a sus fundamentos, la kisspeptina es uno de los péptidos científicamente más sólidos de este libro: su papel en la pubertad está demostrado genéticamente. Pero el desarrollo clínico es lento, porque lo sostienen sobre todo universidades. Lo más realista parece una autorización para la maduración ovocitaria en mujeres con riesgo de OHSS o como prueba diagnóstica de los trastornos de la pubertad, aunque para ello harían falta estudios comparativos más grandes. Para el tratamiento de la falta de deseo sexual no hay hasta ahora ninguna prueba de beneficio en la vida diaria.</w:t>
      </w:r>
    </w:p>
    <w:bookmarkEnd w:id="2193"/>
    <w:bookmarkStart w:id="2194" w:name="conclusión-49"/>
    <w:p>
      <w:pPr>
        <w:pStyle w:val="Heading3"/>
      </w:pPr>
      <w:r>
        <w:t xml:space="preserve">Conclusión</w:t>
      </w:r>
    </w:p>
    <w:p>
      <w:pPr>
        <w:pStyle w:val="FirstParagraph"/>
      </w:pPr>
      <w:r>
        <w:t xml:space="preserve">La kisspeptina es el interruptor principal endógeno de las hormonas de la reproducción, como muestran de forma impresionante las personas con un defecto del receptor. En estudios pequeños provocó de forma fiable la secreción de LH y permitió, en mujeres con riesgo alto de hiperestimulación, una maduración ovocitaria sin OHSS grave. Los estudios de laboratorio con neuroimagen apuntan a efectos sobre el procesamiento de los estímulos sexuales, pero no demuestran un beneficio en la vida diaria. El mayor obstáculo práctico es la habituación con la administración frecuente, que puede llegar a suprimir el eje hormonal. La kisspeptina no está autorizada en ninguna parte; fuera de los estudios no existe ningún uso evaluado.</w:t>
      </w:r>
    </w:p>
    <w:bookmarkEnd w:id="2194"/>
    <w:bookmarkEnd w:id="2195"/>
    <w:bookmarkStart w:id="2275" w:name="oxitocina-espray-nasal"/>
    <w:p>
      <w:pPr>
        <w:pStyle w:val="Heading2"/>
      </w:pPr>
      <w:r>
        <w:t xml:space="preserve">Oxitocina (espray nasal)</w:t>
      </w:r>
    </w:p>
    <w:bookmarkStart w:id="2196" w:name="ficha-50"/>
    <w:p>
      <w:pPr>
        <w:pStyle w:val="Heading3"/>
      </w:pPr>
      <w:r>
        <w:t xml:space="preserve">Ficha</w:t>
      </w:r>
    </w:p>
    <w:p>
      <w:pPr>
        <w:numPr>
          <w:ilvl w:val="0"/>
          <w:numId w:val="1275"/>
        </w:numPr>
        <w:pStyle w:val="Compact"/>
      </w:pPr>
      <w:r>
        <w:rPr>
          <w:bCs/>
          <w:b/>
        </w:rPr>
        <w:t xml:space="preserve">Tipo/estructura:</w:t>
      </w:r>
      <w:r>
        <w:t xml:space="preserve"> </w:t>
      </w:r>
      <w:r>
        <w:t xml:space="preserve">hormona peptídica endógena de nueve aminoácidos. Dos puentes de azufre cierran seis de ellos formando un anillo. La oxitocina está estrechamente emparentada con la hormona vasopresina (hormona antidiurética), de la que solo se diferencia en dos componentes.</w:t>
      </w:r>
    </w:p>
    <w:p>
      <w:pPr>
        <w:numPr>
          <w:ilvl w:val="0"/>
          <w:numId w:val="1275"/>
        </w:numPr>
        <w:pStyle w:val="Compact"/>
      </w:pPr>
      <w:r>
        <w:rPr>
          <w:bCs/>
          <w:b/>
        </w:rPr>
        <w:t xml:space="preserve">Origen:</w:t>
      </w:r>
      <w:r>
        <w:t xml:space="preserve"> </w:t>
      </w:r>
      <w:r>
        <w:t xml:space="preserve">se produce en neuronas del hipotálamo y la hipófisis posterior la libera a la sangre; al mismo tiempo es un mensajero dentro del cerebro. En 1953, la oxitocina fue la primera hormona peptídica sintetizada en el laboratorio; Vincent du Vigneaud recibió por ello el Premio Nobel de Química en 1955.</w:t>
      </w:r>
    </w:p>
    <w:p>
      <w:pPr>
        <w:numPr>
          <w:ilvl w:val="0"/>
          <w:numId w:val="1275"/>
        </w:numPr>
        <w:pStyle w:val="Compact"/>
      </w:pPr>
      <w:r>
        <w:rPr>
          <w:bCs/>
          <w:b/>
        </w:rPr>
        <w:t xml:space="preserve">Mecanismo de acción:</w:t>
      </w:r>
      <w:r>
        <w:t xml:space="preserve"> </w:t>
      </w:r>
      <w:r>
        <w:t xml:space="preserve">agonista del receptor de oxitocina. En el cuerpo desencadena las contracciones del parto y el reflejo de eyección de la leche; en el cerebro participa en el vínculo, la conducta social y la regulación del estrés.</w:t>
      </w:r>
    </w:p>
    <w:p>
      <w:pPr>
        <w:numPr>
          <w:ilvl w:val="0"/>
          <w:numId w:val="1275"/>
        </w:numPr>
        <w:pStyle w:val="Compact"/>
      </w:pPr>
      <w:r>
        <w:rPr>
          <w:bCs/>
          <w:b/>
        </w:rPr>
        <w:t xml:space="preserve">Autorización en la UE y EE. UU. (inyección/infusión):</w:t>
      </w:r>
      <w:r>
        <w:t xml:space="preserve"> </w:t>
      </w:r>
      <w:r>
        <w:t xml:space="preserve">sí, desde hace décadas en obstetricia, para inducir y reforzar las contracciones y para prevenir hemorragias intensas después del parto.</w:t>
      </w:r>
    </w:p>
    <w:p>
      <w:pPr>
        <w:numPr>
          <w:ilvl w:val="0"/>
          <w:numId w:val="1275"/>
        </w:numPr>
        <w:pStyle w:val="Compact"/>
      </w:pPr>
      <w:r>
        <w:rPr>
          <w:bCs/>
          <w:b/>
        </w:rPr>
        <w:t xml:space="preserve">Autorización como espray nasal:</w:t>
      </w:r>
      <w:r>
        <w:t xml:space="preserve"> </w:t>
      </w:r>
      <w:r>
        <w:t xml:space="preserve">un espray nasal de oxitocina estuvo autorizado en el pasado en varios países europeos para favorecer el flujo de leche durante la lactancia, pero en muchos lugares ya no se comercializa. Para usos psíquicos, sociales o sexuales, la oxitocina no está autorizada en ninguna parte.</w:t>
      </w:r>
    </w:p>
    <w:p>
      <w:pPr>
        <w:numPr>
          <w:ilvl w:val="0"/>
          <w:numId w:val="1275"/>
        </w:numPr>
        <w:pStyle w:val="Compact"/>
      </w:pPr>
      <w:r>
        <w:rPr>
          <w:bCs/>
          <w:b/>
        </w:rPr>
        <w:t xml:space="preserve">WADA:</w:t>
      </w:r>
      <w:r>
        <w:t xml:space="preserve"> </w:t>
      </w:r>
      <w:r>
        <w:t xml:space="preserve">no figura en la lista.</w:t>
      </w:r>
    </w:p>
    <w:p>
      <w:pPr>
        <w:numPr>
          <w:ilvl w:val="0"/>
          <w:numId w:val="1275"/>
        </w:numPr>
        <w:pStyle w:val="Compact"/>
      </w:pPr>
      <w:r>
        <w:rPr>
          <w:bCs/>
          <w:b/>
        </w:rPr>
        <w:t xml:space="preserve">Nivel de evidencia:</w:t>
      </w:r>
      <w:r>
        <w:t xml:space="preserve"> </w:t>
      </w:r>
      <w:r>
        <w:rPr>
          <w:bCs/>
          <w:b/>
        </w:rPr>
        <w:t xml:space="preserve">B</w:t>
      </w:r>
      <w:r>
        <w:t xml:space="preserve"> </w:t>
      </w:r>
      <w:r>
        <w:t xml:space="preserve">para el uso como espray nasal – cientos de estudios aleatorizados, pero en su mayoría pequeños y con dosis únicas; los pocos grandes estudios de tratamiento fueron negativos. Para la obstetricia (infusión, inyección) rige el nivel A; no es el tema central de este capítulo.</w:t>
      </w:r>
    </w:p>
    <w:bookmarkEnd w:id="2196"/>
    <w:bookmarkStart w:id="2208" w:name="cómo-se-supone-que-actúa-50"/>
    <w:p>
      <w:pPr>
        <w:pStyle w:val="Heading3"/>
      </w:pPr>
      <w:r>
        <w:t xml:space="preserve">Cómo se supone que actúa</w:t>
      </w:r>
    </w:p>
    <w:bookmarkStart w:id="2197" w:name="X2aeb50363d4040a5733705cc75d9db2c1f3598f"/>
    <w:p>
      <w:pPr>
        <w:pStyle w:val="Heading4"/>
      </w:pPr>
      <w:r>
        <w:t xml:space="preserve">De hormona del parto a «hormona del abrazo»</w:t>
      </w:r>
    </w:p>
    <w:p>
      <w:pPr>
        <w:pStyle w:val="FirstParagraph"/>
      </w:pPr>
      <w:r>
        <w:t xml:space="preserve">El nombre de la oxitocina procede de la expresión griega para «parto rápido». Sus funciones clásicas son corporales: hace que el útero se contraiga y expulsa la leche de las glándulas mamarias. Desde la década de 1990 se ha prestado atención a un segundo papel. En los topillos de las praderas, que forman parejas de por vida, el vínculo de pareja depende del sistema de la oxitocina en el cerebro (experimentos con animales). En ovejas y roedores regula la conducta de cuidado de las madres hacia sus crías.</w:t>
      </w:r>
    </w:p>
    <w:p>
      <w:pPr>
        <w:pStyle w:val="BodyText"/>
      </w:pPr>
      <w:r>
        <w:t xml:space="preserve">De estos hallazgos en animales surgió a partir de 2005 una oleada de estudios en humanos que administraban oxitocina como espray nasal y medían la conducta social. Los medios acuñaron etiquetas como «hormona del abrazo», «hormona de la confianza» u «hormona del amor». Como muestra este capítulo, la evidencia actual es mucho más decepcionante que estos lemas.</w:t>
      </w:r>
    </w:p>
    <w:bookmarkEnd w:id="2197"/>
    <w:bookmarkStart w:id="2205" w:name="el-problema-de-la-nariz"/>
    <w:p>
      <w:pPr>
        <w:pStyle w:val="Heading4"/>
      </w:pPr>
      <w:r>
        <w:t xml:space="preserve">El problema de la nariz</w:t>
      </w:r>
    </w:p>
    <w:p>
      <w:pPr>
        <w:pStyle w:val="FirstParagraph"/>
      </w:pPr>
      <w:r>
        <w:t xml:space="preserve">Como péptido, la oxitocina es demasiado grande y demasiado hidrosoluble para atravesar la barrera hematoencefálica en cantidades apreciables. El espray nasal debería encontrar, a través de los nervios olfativo y trigémino de la mucosa nasal, una vía directa al cerebro. Si esto funciona y en qué medida es una de las cuestiones abiertas centrales del campo:</w:t>
      </w:r>
    </w:p>
    <w:p>
      <w:pPr>
        <w:numPr>
          <w:ilvl w:val="0"/>
          <w:numId w:val="1276"/>
        </w:numPr>
        <w:pStyle w:val="Compact"/>
      </w:pPr>
      <w:r>
        <w:rPr>
          <w:bCs/>
          <w:b/>
        </w:rPr>
        <w:t xml:space="preserve">Visión escéptica:</w:t>
      </w:r>
      <w:r>
        <w:t xml:space="preserve"> </w:t>
      </w:r>
      <w:r>
        <w:t xml:space="preserve">solo una fracción minúscula de la cantidad pulverizada llega al líquido cefalorraquídeo, mientras que la concentración en sangre sube muy por encima de los valores naturales. Por tanto, muchos de los efectos observados podrían deberse a acciones en el cuerpo, por ejemplo sobre el corazón o el intestino, que luego influyen indirectamente en el cerebro</w:t>
      </w:r>
      <w:r>
        <w:rPr>
          <w:rStyle w:val="FootnoteReference"/>
        </w:rPr>
        <w:footnoteReference w:id="2198"/>
      </w:r>
      <w:r>
        <w:t xml:space="preserve">.</w:t>
      </w:r>
    </w:p>
    <w:p>
      <w:pPr>
        <w:numPr>
          <w:ilvl w:val="0"/>
          <w:numId w:val="1276"/>
        </w:numPr>
        <w:pStyle w:val="Compact"/>
      </w:pPr>
      <w:r>
        <w:rPr>
          <w:bCs/>
          <w:b/>
        </w:rPr>
        <w:t xml:space="preserve">Hallazgos en monos:</w:t>
      </w:r>
      <w:r>
        <w:t xml:space="preserve"> </w:t>
      </w:r>
      <w:r>
        <w:t xml:space="preserve">en macacos rhesus, la oxitocina marcada llegó al líquido cefalorraquídeo tras la administración nasal y tras la intravenosa; la vía nasal no fue superior</w:t>
      </w:r>
      <w:r>
        <w:rPr>
          <w:rStyle w:val="FootnoteReference"/>
        </w:rPr>
        <w:footnoteReference w:id="2199"/>
      </w:r>
      <w:r>
        <w:t xml:space="preserve">. En un segundo estudio se encontró oxitocina marcada tras la administración nasal –no tras la intravenosa– en regiones cerebrales a lo largo de las vías olfativa y trigeminal</w:t>
      </w:r>
      <w:r>
        <w:rPr>
          <w:rStyle w:val="FootnoteReference"/>
        </w:rPr>
        <w:footnoteReference w:id="2200"/>
      </w:r>
      <w:r>
        <w:t xml:space="preserve">.</w:t>
      </w:r>
    </w:p>
    <w:p>
      <w:pPr>
        <w:numPr>
          <w:ilvl w:val="0"/>
          <w:numId w:val="1276"/>
        </w:numPr>
        <w:pStyle w:val="Compact"/>
      </w:pPr>
      <w:r>
        <w:rPr>
          <w:bCs/>
          <w:b/>
        </w:rPr>
        <w:t xml:space="preserve">Hallazgos en humanos:</w:t>
      </w:r>
      <w:r>
        <w:t xml:space="preserve"> </w:t>
      </w:r>
      <w:r>
        <w:t xml:space="preserve">un estudio comparó espray nasal, nebulizador e infusión. La disminución del flujo sanguíneo en la amígdala podía explicarse por completo por el aumento en sangre; al mismo tiempo hubo indicios de efectos directos por vía nasal en otras regiones</w:t>
      </w:r>
      <w:r>
        <w:rPr>
          <w:rStyle w:val="FootnoteReference"/>
        </w:rPr>
        <w:footnoteReference w:id="2201"/>
      </w:r>
      <w:r>
        <w:t xml:space="preserve">.</w:t>
      </w:r>
    </w:p>
    <w:p>
      <w:pPr>
        <w:numPr>
          <w:ilvl w:val="0"/>
          <w:numId w:val="1276"/>
        </w:numPr>
        <w:pStyle w:val="Compact"/>
      </w:pPr>
      <w:r>
        <w:rPr>
          <w:bCs/>
          <w:b/>
        </w:rPr>
        <w:t xml:space="preserve">Problemas de medición:</w:t>
      </w:r>
      <w:r>
        <w:t xml:space="preserve"> </w:t>
      </w:r>
      <w:r>
        <w:t xml:space="preserve">las concentraciones de oxitocina en sangre no reflejan los valores cerebrales en condiciones de reposo</w:t>
      </w:r>
      <w:r>
        <w:rPr>
          <w:rStyle w:val="FootnoteReference"/>
        </w:rPr>
        <w:footnoteReference w:id="2202"/>
      </w:r>
      <w:r>
        <w:t xml:space="preserve">. Además, muchos estudios antiguos usaron métodos de medición que hoy se consideran poco fiables</w:t>
      </w:r>
      <w:r>
        <w:rPr>
          <w:rStyle w:val="FootnoteReference"/>
        </w:rPr>
        <w:footnoteReference w:id="2203"/>
      </w:r>
      <w:r>
        <w:t xml:space="preserve">.</w:t>
      </w:r>
    </w:p>
    <w:p>
      <w:pPr>
        <w:pStyle w:val="FirstParagraph"/>
      </w:pPr>
      <w:r>
        <w:t xml:space="preserve">Los especialistas que ven el campo en conjunto de forma positiva consideran ya demostrada una vía directa de la nariz al cerebro, pero subrayan que la dosis, la técnica de pulverización y el sexo de los participantes influyen mucho en los resultados</w:t>
      </w:r>
      <w:r>
        <w:rPr>
          <w:rStyle w:val="FootnoteReference"/>
        </w:rPr>
        <w:footnoteReference w:id="2204"/>
      </w:r>
      <w:r>
        <w:t xml:space="preserve">. Para las lectoras y los lectores, esto significa que el que un espray nasal de oxitocina llegue al cerebro depende de muchos detalles, y ni siquiera los especialistas se ponen de acuerdo sobre la magnitud.</w:t>
      </w:r>
    </w:p>
    <w:bookmarkEnd w:id="2205"/>
    <w:bookmarkStart w:id="2207" w:name="Xf73f85eeb8b780968e94b810813939b8e938993"/>
    <w:p>
      <w:pPr>
        <w:pStyle w:val="Heading4"/>
      </w:pPr>
      <w:r>
        <w:t xml:space="preserve">Breve contexto: la oxitocina en obstetricia</w:t>
      </w:r>
    </w:p>
    <w:p>
      <w:pPr>
        <w:pStyle w:val="FirstParagraph"/>
      </w:pPr>
      <w:r>
        <w:t xml:space="preserve">Como infusión o inyección, la oxitocina es uno de los medicamentos más importantes del mundo; la Organización Mundial de la Salud la incluye en su lista de medicamentos esenciales. Se emplea para inducir o reforzar las contracciones y para prevenir hemorragias intensas tras el parto. Una revisión Cochrane con 24 estudios concluyó que la oxitocina administrada de forma preventiva reduce aproximadamente a la mitad el riesgo de una pérdida de sangre de 500 ml o más (riesgo relativo 0,51), con una calidad en parte baja de los estudios individuales</w:t>
      </w:r>
      <w:r>
        <w:rPr>
          <w:rStyle w:val="FootnoteReference"/>
        </w:rPr>
        <w:footnoteReference w:id="2206"/>
      </w:r>
      <w:r>
        <w:t xml:space="preserve">. Este uso corresponde exclusivamente a matronas y médicos; la dosificación y la vigilancia se rigen por la ficha técnica. Para la valoración del espray nasal en cuestiones psíquicas no tiene ninguna relevancia.</w:t>
      </w:r>
    </w:p>
    <w:bookmarkEnd w:id="2207"/>
    <w:bookmarkEnd w:id="2208"/>
    <w:bookmarkStart w:id="2253" w:name="estudios-en-humanos-50"/>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(término «intranasal oxytocin» en título o resumen) encontró</w:t>
      </w:r>
      <w:r>
        <w:t xml:space="preserve"> </w:t>
      </w:r>
      <w:r>
        <w:rPr>
          <w:bCs/>
          <w:b/>
        </w:rPr>
        <w:t xml:space="preserve">349</w:t>
      </w:r>
      <w:r>
        <w:t xml:space="preserve"> </w:t>
      </w:r>
      <w:r>
        <w:t xml:space="preserve">estudios en humanos en PubMed (</w:t>
      </w:r>
      <w:r>
        <w:rPr>
          <w:rStyle w:val="VerbatimChar"/>
        </w:rPr>
        <w:t xml:space="preserve">humanstudien_alle</w:t>
      </w:r>
      <w:r>
        <w:t xml:space="preserve">) y</w:t>
      </w:r>
      <w:r>
        <w:t xml:space="preserve"> </w:t>
      </w:r>
      <w:r>
        <w:rPr>
          <w:bCs/>
          <w:b/>
        </w:rPr>
        <w:t xml:space="preserve">263</w:t>
      </w:r>
      <w:r>
        <w:t xml:space="preserve"> </w:t>
      </w:r>
      <w:r>
        <w:t xml:space="preserve">registros en ClinicalTrials.gov, de ellos unos 20 todavía en fase de reclutamiento. A ello se suman al menos 15 metaanálisis y revisiones sistemáticas. Con ello, la oxitocina es el péptido más estudiado en humanos de esta parte del libro. Sin embargo, la gran mayoría de los estudios administró una sola dosis a, por lo general, entre 20 y 60 hombres jóvenes y sanos, y midió cambios a corto plazo en pruebas de laboratorio o en el escáner cerebral.</w:t>
      </w:r>
    </w:p>
    <w:p>
      <w:pPr>
        <w:pStyle w:val="BodyText"/>
      </w:pPr>
      <w:r>
        <w:t xml:space="preserve">Este capítulo ordena los estudios en cuatro grupos: estudios básicos en personas sanas con la posterior crisis de replicación, el autismo como principal campo de tratamiento, otras enfermedades psiquiátricas y, por último, metabolismo, dolor y sexualidad.</w:t>
      </w:r>
    </w:p>
    <w:bookmarkStart w:id="2212" w:name="Xe2e67c9a037da6849c4a7dcd568d2c852bcf8fe"/>
    <w:p>
      <w:pPr>
        <w:pStyle w:val="Heading4"/>
      </w:pPr>
      <w:r>
        <w:t xml:space="preserve">Conducta social en personas sanas: confianza, estrés, emociones</w:t>
      </w:r>
    </w:p>
    <w:p>
      <w:pPr>
        <w:pStyle w:val="FirstParagraph"/>
      </w:pPr>
      <w:r>
        <w:rPr>
          <w:bCs/>
          <w:b/>
        </w:rPr>
        <w:t xml:space="preserve">Confianza.</w:t>
      </w:r>
      <w:r>
        <w:t xml:space="preserve"> </w:t>
      </w:r>
      <w:r>
        <w:t xml:space="preserve">El estudio que fundó el campo se publicó en 2005 en Nature: los hombres que habían inhalado oxitocina confiaron más dinero a un desconocido en un juego económico</w:t>
      </w:r>
      <w:r>
        <w:rPr>
          <w:rStyle w:val="FootnoteReference"/>
        </w:rPr>
        <w:footnoteReference w:id="2209"/>
      </w:r>
      <w:r>
        <w:t xml:space="preserve">. En este «juego de la confianza», un inversor decide cuánto dinero deja a un fiduciario; la cantidad se multiplica y el fiduciario decide cuánto devuelve. La oxitocina no aumentó la disposición al riesgo en general, sino específicamente la disposición a asumir riesgos sociales.</w:t>
      </w:r>
    </w:p>
    <w:p>
      <w:pPr>
        <w:pStyle w:val="BodyText"/>
      </w:pPr>
      <w:r>
        <w:rPr>
          <w:bCs/>
          <w:b/>
        </w:rPr>
        <w:t xml:space="preserve">Estrés.</w:t>
      </w:r>
      <w:r>
        <w:t xml:space="preserve"> </w:t>
      </w:r>
      <w:r>
        <w:t xml:space="preserve">En un estudio con 37 hombres sanos, la oxitocina atenuó la ansiedad en una prueba de estrés estandarizada (hablar en público y hacer cálculo mental ante un auditorio). Los valores más bajos de la hormona del estrés cortisol los tuvieron los hombres que recibieron oxitocina y, además, el apoyo de su mejor amigo</w:t>
      </w:r>
      <w:r>
        <w:rPr>
          <w:rStyle w:val="FootnoteReference"/>
        </w:rPr>
        <w:footnoteReference w:id="2210"/>
      </w:r>
      <w:r>
        <w:t xml:space="preserve">.</w:t>
      </w:r>
    </w:p>
    <w:p>
      <w:pPr>
        <w:pStyle w:val="BodyText"/>
      </w:pPr>
      <w:r>
        <w:rPr>
          <w:bCs/>
          <w:b/>
        </w:rPr>
        <w:t xml:space="preserve">Reconocer emociones.</w:t>
      </w:r>
      <w:r>
        <w:t xml:space="preserve"> </w:t>
      </w:r>
      <w:r>
        <w:t xml:space="preserve">Un metaanálisis de 33 estudios encontró que una dosis única mejoraba ligeramente en personas sanas el reconocimiento de las emociones básicas, sobre todo el miedo. En cambio, en personas con enfermedades psíquicas no se observó ningún efecto</w:t>
      </w:r>
      <w:r>
        <w:rPr>
          <w:rStyle w:val="FootnoteReference"/>
        </w:rPr>
        <w:footnoteReference w:id="2211"/>
      </w:r>
      <w:r>
        <w:t xml:space="preserve">.</w:t>
      </w:r>
    </w:p>
    <w:p>
      <w:pPr>
        <w:pStyle w:val="BodyText"/>
      </w:pPr>
      <w:r>
        <w:t xml:space="preserve">Cientos de estudios más comunicaron efectos sobre la mirada, la empatía, el recuerdo de rostros, la pertenencia al grupo, la mentira, la generosidad, los celos y mucho más. Muchos de estos hallazgos solo aparecieron en subgrupos, por ejemplo solo en hombres, solo en personas ansiosas o solo con determinadas variantes genéticas del receptor de oxitocina.</w:t>
      </w:r>
    </w:p>
    <w:bookmarkEnd w:id="2212"/>
    <w:bookmarkStart w:id="2218" w:name="la-crisis-de-replicación"/>
    <w:p>
      <w:pPr>
        <w:pStyle w:val="Heading4"/>
      </w:pPr>
      <w:r>
        <w:t xml:space="preserve">La crisis de replicación</w:t>
      </w:r>
    </w:p>
    <w:p>
      <w:pPr>
        <w:pStyle w:val="FirstParagraph"/>
      </w:pPr>
      <w:r>
        <w:t xml:space="preserve">A partir de 2015 aproximadamente aumentaron las dudas. El término crisis de replicación describe el problema de que muchos hallazgos publicados en psicología y medicina no se confirman cuando otros investigadores los repiten. La oxitocina se convirtió en un ejemplo paradigmático.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Tipo</w:t>
            </w:r>
          </w:p>
        </w:tc>
        <w:tc>
          <w:tcPr/>
          <w:p>
            <w:pPr>
              <w:pStyle w:val="Compact"/>
              <w:jc w:val="left"/>
            </w:pPr>
            <w:r>
              <w:t xml:space="preserve">Mensaje central</w:t>
            </w:r>
          </w:p>
        </w:tc>
      </w:tr>
      <w:tr>
        <w:tc>
          <w:tcPr/>
          <w:p>
            <w:pPr>
              <w:pStyle w:val="Compact"/>
              <w:jc w:val="left"/>
            </w:pPr>
            <w:r>
              <w:t xml:space="preserve">Kosfeld 2005, PMID 15931222</w:t>
            </w:r>
          </w:p>
        </w:tc>
        <w:tc>
          <w:tcPr/>
          <w:p>
            <w:pPr>
              <w:pStyle w:val="Compact"/>
              <w:jc w:val="left"/>
            </w:pPr>
            <w:r>
              <w:t xml:space="preserve">estudio original, juego de la confianza</w:t>
            </w:r>
          </w:p>
        </w:tc>
        <w:tc>
          <w:tcPr/>
          <w:p>
            <w:pPr>
              <w:pStyle w:val="Compact"/>
              <w:jc w:val="left"/>
            </w:pPr>
            <w:r>
              <w:t xml:space="preserve">La oxitocina aumenta la confianza</w:t>
            </w:r>
          </w:p>
        </w:tc>
      </w:tr>
      <w:tr>
        <w:tc>
          <w:tcPr/>
          <w:p>
            <w:pPr>
              <w:pStyle w:val="Compact"/>
              <w:jc w:val="left"/>
            </w:pPr>
            <w:r>
              <w:t xml:space="preserve">Nave 2015, PMID 26581735</w:t>
            </w:r>
          </w:p>
        </w:tc>
        <w:tc>
          <w:tcPr/>
          <w:p>
            <w:pPr>
              <w:pStyle w:val="Compact"/>
              <w:jc w:val="left"/>
            </w:pPr>
            <w:r>
              <w:t xml:space="preserve">revisión crítica</w:t>
            </w:r>
          </w:p>
        </w:tc>
        <w:tc>
          <w:tcPr/>
          <w:p>
            <w:pPr>
              <w:pStyle w:val="Compact"/>
              <w:jc w:val="left"/>
            </w:pPr>
            <w:r>
              <w:t xml:space="preserve">El efecto sobre la confianza no pudo repetirse de forma fiable</w:t>
            </w:r>
          </w:p>
        </w:tc>
      </w:tr>
      <w:tr>
        <w:tc>
          <w:tcPr/>
          <w:p>
            <w:pPr>
              <w:pStyle w:val="Compact"/>
              <w:jc w:val="left"/>
            </w:pPr>
            <w:r>
              <w:t xml:space="preserve">Lane 2015, PMID 26368396</w:t>
            </w:r>
          </w:p>
        </w:tc>
        <w:tc>
          <w:tcPr/>
          <w:p>
            <w:pPr>
              <w:pStyle w:val="Compact"/>
              <w:jc w:val="left"/>
            </w:pPr>
            <w:r>
              <w:t xml:space="preserve">dos estudios de replicación (95 y 61 personas)</w:t>
            </w:r>
          </w:p>
        </w:tc>
        <w:tc>
          <w:tcPr/>
          <w:p>
            <w:pPr>
              <w:pStyle w:val="Compact"/>
              <w:jc w:val="left"/>
            </w:pPr>
            <w:r>
              <w:t xml:space="preserve">gran efecto en otra prueba de confianza no confirmado</w:t>
            </w:r>
          </w:p>
        </w:tc>
      </w:tr>
      <w:tr>
        <w:tc>
          <w:tcPr/>
          <w:p>
            <w:pPr>
              <w:pStyle w:val="Compact"/>
              <w:jc w:val="left"/>
            </w:pPr>
            <w:r>
              <w:t xml:space="preserve">Walum 2016, PMID 26210057</w:t>
            </w:r>
          </w:p>
        </w:tc>
        <w:tc>
          <w:tcPr/>
          <w:p>
            <w:pPr>
              <w:pStyle w:val="Compact"/>
              <w:jc w:val="left"/>
            </w:pPr>
            <w:r>
              <w:t xml:space="preserve">análisis estadístico del campo</w:t>
            </w:r>
          </w:p>
        </w:tc>
        <w:tc>
          <w:tcPr/>
          <w:p>
            <w:pPr>
              <w:pStyle w:val="Compact"/>
              <w:jc w:val="left"/>
            </w:pPr>
            <w:r>
              <w:t xml:space="preserve">estudios por lo general demasiado pequeños; la mayoría de los hallazgos publicados probablemente no son efectos reales</w:t>
            </w:r>
          </w:p>
        </w:tc>
      </w:tr>
      <w:tr>
        <w:tc>
          <w:tcPr/>
          <w:p>
            <w:pPr>
              <w:pStyle w:val="Compact"/>
              <w:jc w:val="left"/>
            </w:pPr>
            <w:r>
              <w:t xml:space="preserve">Mierop 2020, PMID 32633663</w:t>
            </w:r>
          </w:p>
        </w:tc>
        <w:tc>
          <w:tcPr/>
          <w:p>
            <w:pPr>
              <w:pStyle w:val="Compact"/>
              <w:jc w:val="left"/>
            </w:pPr>
            <w:r>
              <w:t xml:space="preserve">revisión sistemática</w:t>
            </w:r>
          </w:p>
        </w:tc>
        <w:tc>
          <w:tcPr/>
          <w:p>
            <w:pPr>
              <w:pStyle w:val="Compact"/>
              <w:jc w:val="left"/>
            </w:pPr>
            <w:r>
              <w:t xml:space="preserve">intentos de replicación de interacciones mayoritariamente fallidos; potencia estadística críticamente baja</w:t>
            </w:r>
          </w:p>
        </w:tc>
      </w:tr>
      <w:tr>
        <w:tc>
          <w:tcPr/>
          <w:p>
            <w:pPr>
              <w:pStyle w:val="Compact"/>
              <w:jc w:val="left"/>
            </w:pPr>
            <w:r>
              <w:t xml:space="preserve">Declerck 2020, PMID 32514040</w:t>
            </w:r>
          </w:p>
        </w:tc>
        <w:tc>
          <w:tcPr/>
          <w:p>
            <w:pPr>
              <w:pStyle w:val="Compact"/>
              <w:jc w:val="left"/>
            </w:pPr>
            <w:r>
              <w:t xml:space="preserve">estudio de replicación prerregistrado</w:t>
            </w:r>
          </w:p>
        </w:tc>
        <w:tc>
          <w:tcPr/>
          <w:p>
            <w:pPr>
              <w:pStyle w:val="Compact"/>
              <w:jc w:val="left"/>
            </w:pPr>
            <w:r>
              <w:t xml:space="preserve">sin efecto sobre la confianza en la condición original</w:t>
            </w:r>
          </w:p>
        </w:tc>
      </w:tr>
      <w:tr>
        <w:tc>
          <w:tcPr/>
          <w:p>
            <w:pPr>
              <w:pStyle w:val="Compact"/>
              <w:jc w:val="left"/>
            </w:pPr>
            <w:r>
              <w:t xml:space="preserve">Vogt 2026, PMID 42561025</w:t>
            </w:r>
          </w:p>
        </w:tc>
        <w:tc>
          <w:tcPr/>
          <w:p>
            <w:pPr>
              <w:pStyle w:val="Compact"/>
              <w:jc w:val="left"/>
            </w:pPr>
            <w:r>
              <w:t xml:space="preserve">estudio prerregistrado, 359 hombres con baja confianza de base</w:t>
            </w:r>
          </w:p>
        </w:tc>
        <w:tc>
          <w:tcPr/>
          <w:p>
            <w:pPr>
              <w:pStyle w:val="Compact"/>
              <w:jc w:val="left"/>
            </w:pPr>
            <w:r>
              <w:t xml:space="preserve">confianza aumentada en torno a un 15 %</w:t>
            </w:r>
          </w:p>
        </w:tc>
      </w:tr>
    </w:tbl>
    <w:p>
      <w:pPr>
        <w:pStyle w:val="BodyText"/>
      </w:pPr>
      <w:r>
        <w:t xml:space="preserve">Una revisión de 2015 concluyó que el conjunto de los datos no demuestra que la confianza humana esté relacionada de forma fiable con la oxitocina o sea causada por ella</w:t>
      </w:r>
      <w:r>
        <w:rPr>
          <w:rStyle w:val="FootnoteReference"/>
        </w:rPr>
        <w:footnoteReference w:id="2213"/>
      </w:r>
      <w:r>
        <w:t xml:space="preserve">. Un análisis estadístico de todos los estudios sobre el espray nasal fue más allá: los estudios serían por lo general demasiado pequeños para encontrar efectos realistas, y con alta probabilidad la mayoría de los hallazgos publicados no representarían efectos reales</w:t>
      </w:r>
      <w:r>
        <w:rPr>
          <w:rStyle w:val="FootnoteReference"/>
        </w:rPr>
        <w:footnoteReference w:id="2214"/>
      </w:r>
      <w:r>
        <w:t xml:space="preserve">.</w:t>
      </w:r>
    </w:p>
    <w:p>
      <w:pPr>
        <w:pStyle w:val="BodyText"/>
      </w:pPr>
      <w:r>
        <w:t xml:space="preserve">La prueba de fuego más importante fue una gran replicación prerregistrada del estudio de la confianza, con una potencia estadística superior al 95 %. En la condición que correspondía al estudio original, la oxitocina no mostró ningún efecto. Un análisis posterior apuntó a un efecto solo en personas con baja confianza de base</w:t>
      </w:r>
      <w:r>
        <w:rPr>
          <w:rStyle w:val="FootnoteReference"/>
        </w:rPr>
        <w:footnoteReference w:id="2215"/>
      </w:r>
      <w:r>
        <w:t xml:space="preserve">. Justamente esta hipótesis la examinó en 2026 otro estudio prerregistrado con 359 hombres con baja confianza de base, que halló un aumento de la confianza de aproximadamente un 15 %</w:t>
      </w:r>
      <w:r>
        <w:rPr>
          <w:rStyle w:val="FootnoteReference"/>
        </w:rPr>
        <w:footnoteReference w:id="2216"/>
      </w:r>
      <w:r>
        <w:t xml:space="preserve">.</w:t>
      </w:r>
    </w:p>
    <w:p>
      <w:pPr>
        <w:pStyle w:val="BodyText"/>
      </w:pPr>
      <w:r>
        <w:rPr>
          <w:bCs/>
          <w:b/>
        </w:rPr>
        <w:t xml:space="preserve">Qué significa esto:</w:t>
      </w:r>
      <w:r>
        <w:t xml:space="preserve"> </w:t>
      </w:r>
      <w:r>
        <w:t xml:space="preserve">el efecto original y amplio de que «la oxitocina hace más confiado» no se ha confirmado. Posiblemente exista un efecto menor en un subgrupo concreto y bajo determinadas condiciones. Eso es científicamente interesante, pero está lejos de un beneficio práctico. Estas experiencias han cambiado el campo: hoy los estudios se registran previamente con más frecuencia, son más grandes y comunican también resultados negativos. Una plataforma en línea presentada en 2026 pretende evaluar de forma continua la evidencia disponible</w:t>
      </w:r>
      <w:r>
        <w:rPr>
          <w:rStyle w:val="FootnoteReference"/>
        </w:rPr>
        <w:footnoteReference w:id="2217"/>
      </w:r>
      <w:r>
        <w:t xml:space="preserve">.</w:t>
      </w:r>
    </w:p>
    <w:bookmarkEnd w:id="2218"/>
    <w:bookmarkStart w:id="2231" w:name="autismo"/>
    <w:p>
      <w:pPr>
        <w:pStyle w:val="Heading4"/>
      </w:pPr>
      <w:r>
        <w:t xml:space="preserve">Autismo</w:t>
      </w:r>
    </w:p>
    <w:p>
      <w:pPr>
        <w:pStyle w:val="FirstParagraph"/>
      </w:pPr>
      <w:r>
        <w:t xml:space="preserve">Los trastornos del espectro autista se caracterizan por dificultades en la comunicación social y por conductas restringidas y repetitivas. No existen medicamentos que modifiquen estos rasgos centrales. Por eso, la oxitocina se consideró durante mucho tiempo una gran esperanza, y en algunos países ya se recetaba a niños con autismo fuera de los estudios</w:t>
      </w:r>
      <w:r>
        <w:rPr>
          <w:rStyle w:val="FootnoteReference"/>
        </w:rPr>
        <w:footnoteReference w:id="2219"/>
      </w:r>
      <w:r>
        <w:t xml:space="preserve">.</w:t>
      </w:r>
    </w:p>
    <w:p>
      <w:pPr>
        <w:pStyle w:val="BodyText"/>
      </w:pPr>
      <w:r>
        <w:rPr>
          <w:bCs/>
          <w:b/>
        </w:rPr>
        <w:t xml:space="preserve">Primeros estudios.</w:t>
      </w:r>
      <w:r>
        <w:t xml:space="preserve"> </w:t>
      </w:r>
      <w:r>
        <w:t xml:space="preserve">Una revisión sistemática de 2014 encontró siete estudios aleatorizados con un total de 101 personas con autismo, casi todas varones. Los estudios eran pequeños (mediana de 15 participantes) y tenían un riesgo de sesgo medio a alto. Casi todos comunicaron al menos un resultado positivo, sobre todo en la mirada o el reconocimiento de emociones</w:t>
      </w:r>
      <w:r>
        <w:rPr>
          <w:rStyle w:val="FootnoteReference"/>
        </w:rPr>
        <w:footnoteReference w:id="2220"/>
      </w:r>
      <w:r>
        <w:t xml:space="preserve">.</w:t>
      </w:r>
    </w:p>
    <w:p>
      <w:pPr>
        <w:pStyle w:val="BodyText"/>
      </w:pPr>
      <w:r>
        <w:rPr>
          <w:bCs/>
          <w:b/>
        </w:rPr>
        <w:t xml:space="preserve">Estudios de tratamiento de varias semanas.</w:t>
      </w:r>
      <w:r>
        <w:t xml:space="preserve"> </w:t>
      </w:r>
      <w:r>
        <w:t xml:space="preserve">Después siguieron estudios en los que niños y adultos recibieron oxitocina durante varias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Anagnostou 2012, PMID 23216716</w:t>
            </w:r>
          </w:p>
        </w:tc>
        <w:tc>
          <w:tcPr/>
          <w:p>
            <w:pPr>
              <w:pStyle w:val="Compact"/>
              <w:jc w:val="left"/>
            </w:pPr>
            <w:r>
              <w:t xml:space="preserve">19 adultos, ECA</w:t>
            </w:r>
          </w:p>
        </w:tc>
        <w:tc>
          <w:tcPr/>
          <w:p>
            <w:pPr>
              <w:pStyle w:val="Compact"/>
              <w:jc w:val="left"/>
            </w:pPr>
            <w:r>
              <w:t xml:space="preserve">6 semanas</w:t>
            </w:r>
          </w:p>
        </w:tc>
        <w:tc>
          <w:tcPr/>
          <w:p>
            <w:pPr>
              <w:pStyle w:val="Compact"/>
              <w:jc w:val="left"/>
            </w:pPr>
            <w:r>
              <w:t xml:space="preserve">objetivos principales no alcanzados; mejora en objetivos secundarios</w:t>
            </w:r>
          </w:p>
        </w:tc>
      </w:tr>
      <w:tr>
        <w:tc>
          <w:tcPr/>
          <w:p>
            <w:pPr>
              <w:pStyle w:val="Compact"/>
              <w:jc w:val="left"/>
            </w:pPr>
            <w:r>
              <w:t xml:space="preserve">Guastella 2015, PMID 25087908</w:t>
            </w:r>
          </w:p>
        </w:tc>
        <w:tc>
          <w:tcPr/>
          <w:p>
            <w:pPr>
              <w:pStyle w:val="Compact"/>
              <w:jc w:val="left"/>
            </w:pPr>
            <w:r>
              <w:t xml:space="preserve">50 adolescentes varones (12–18 años), ECA</w:t>
            </w:r>
          </w:p>
        </w:tc>
        <w:tc>
          <w:tcPr/>
          <w:p>
            <w:pPr>
              <w:pStyle w:val="Compact"/>
              <w:jc w:val="left"/>
            </w:pPr>
            <w:r>
              <w:t xml:space="preserve">8 semanas</w:t>
            </w:r>
          </w:p>
        </w:tc>
        <w:tc>
          <w:tcPr/>
          <w:p>
            <w:pPr>
              <w:pStyle w:val="Compact"/>
              <w:jc w:val="left"/>
            </w:pPr>
            <w:r>
              <w:t xml:space="preserve">sin beneficio en objetivos principales ni secundarios</w:t>
            </w:r>
          </w:p>
        </w:tc>
      </w:tr>
      <w:tr>
        <w:tc>
          <w:tcPr/>
          <w:p>
            <w:pPr>
              <w:pStyle w:val="Compact"/>
              <w:jc w:val="left"/>
            </w:pPr>
            <w:r>
              <w:t xml:space="preserve">Yatawara 2016, PMID 26503762</w:t>
            </w:r>
          </w:p>
        </w:tc>
        <w:tc>
          <w:tcPr/>
          <w:p>
            <w:pPr>
              <w:pStyle w:val="Compact"/>
              <w:jc w:val="left"/>
            </w:pPr>
            <w:r>
              <w:t xml:space="preserve">31 niños pequeños, estudio cruzado frente a placebo</w:t>
            </w:r>
          </w:p>
        </w:tc>
        <w:tc>
          <w:tcPr/>
          <w:p>
            <w:pPr>
              <w:pStyle w:val="Compact"/>
              <w:jc w:val="left"/>
            </w:pPr>
            <w:r>
              <w:t xml:space="preserve">5 semanas cada fase</w:t>
            </w:r>
          </w:p>
        </w:tc>
        <w:tc>
          <w:tcPr/>
          <w:p>
            <w:pPr>
              <w:pStyle w:val="Compact"/>
              <w:jc w:val="left"/>
            </w:pPr>
            <w:r>
              <w:t xml:space="preserve">capacidad de respuesta social mejorada según los padres</w:t>
            </w:r>
          </w:p>
        </w:tc>
      </w:tr>
      <w:tr>
        <w:tc>
          <w:tcPr/>
          <w:p>
            <w:pPr>
              <w:pStyle w:val="Compact"/>
              <w:jc w:val="left"/>
            </w:pPr>
            <w:r>
              <w:t xml:space="preserve">Parker 2017, PMID 28696286</w:t>
            </w:r>
          </w:p>
        </w:tc>
        <w:tc>
          <w:tcPr/>
          <w:p>
            <w:pPr>
              <w:pStyle w:val="Compact"/>
              <w:jc w:val="left"/>
            </w:pPr>
            <w:r>
              <w:t xml:space="preserve">32 niños (6–12 años), ECA</w:t>
            </w:r>
          </w:p>
        </w:tc>
        <w:tc>
          <w:tcPr/>
          <w:p>
            <w:pPr>
              <w:pStyle w:val="Compact"/>
              <w:jc w:val="left"/>
            </w:pPr>
            <w:r>
              <w:t xml:space="preserve">4 semanas</w:t>
            </w:r>
          </w:p>
        </w:tc>
        <w:tc>
          <w:tcPr/>
          <w:p>
            <w:pPr>
              <w:pStyle w:val="Compact"/>
              <w:jc w:val="left"/>
            </w:pPr>
            <w:r>
              <w:t xml:space="preserve">habilidades sociales mejoradas al considerar los valores basales en sangre; una concentración basal baja predijo la respuesta</w:t>
            </w:r>
          </w:p>
        </w:tc>
      </w:tr>
      <w:tr>
        <w:tc>
          <w:tcPr/>
          <w:p>
            <w:pPr>
              <w:pStyle w:val="Compact"/>
              <w:jc w:val="left"/>
            </w:pPr>
            <w:r>
              <w:t xml:space="preserve">SOARS-B (Sikich 2021), PMID 34644471</w:t>
            </w:r>
          </w:p>
        </w:tc>
        <w:tc>
          <w:tcPr/>
          <w:p>
            <w:pPr>
              <w:pStyle w:val="Compact"/>
              <w:jc w:val="left"/>
            </w:pPr>
            <w:r>
              <w:t xml:space="preserve">290 niños y adolescentes (3–17 años), ECA</w:t>
            </w:r>
          </w:p>
        </w:tc>
        <w:tc>
          <w:tcPr/>
          <w:p>
            <w:pPr>
              <w:pStyle w:val="Compact"/>
              <w:jc w:val="left"/>
            </w:pPr>
            <w:r>
              <w:t xml:space="preserve">24 semanas</w:t>
            </w:r>
          </w:p>
        </w:tc>
        <w:tc>
          <w:tcPr/>
          <w:p>
            <w:pPr>
              <w:pStyle w:val="Compact"/>
              <w:jc w:val="left"/>
            </w:pPr>
            <w:r>
              <w:t xml:space="preserve">sin diferencia: −3,7 frente a −3,5 puntos en retraimiento social</w:t>
            </w:r>
          </w:p>
        </w:tc>
      </w:tr>
      <w:tr>
        <w:tc>
          <w:tcPr/>
          <w:p>
            <w:pPr>
              <w:pStyle w:val="Compact"/>
              <w:jc w:val="left"/>
            </w:pPr>
            <w:r>
              <w:t xml:space="preserve">Guastella 2023, PMID 36302965</w:t>
            </w:r>
          </w:p>
        </w:tc>
        <w:tc>
          <w:tcPr/>
          <w:p>
            <w:pPr>
              <w:pStyle w:val="Compact"/>
              <w:jc w:val="left"/>
            </w:pPr>
            <w:r>
              <w:t xml:space="preserve">87 niños (3–12 años), ECA tras fase previa con placebo</w:t>
            </w:r>
          </w:p>
        </w:tc>
        <w:tc>
          <w:tcPr/>
          <w:p>
            <w:pPr>
              <w:pStyle w:val="Compact"/>
              <w:jc w:val="left"/>
            </w:pPr>
            <w:r>
              <w:t xml:space="preserve">12 semanas</w:t>
            </w:r>
          </w:p>
        </w:tc>
        <w:tc>
          <w:tcPr/>
          <w:p>
            <w:pPr>
              <w:pStyle w:val="Compact"/>
              <w:jc w:val="left"/>
            </w:pPr>
            <w:r>
              <w:t xml:space="preserve">sin efecto en conjunto; indicio de efecto en niños de 3 a 5 años</w:t>
            </w:r>
          </w:p>
        </w:tc>
      </w:tr>
    </w:tbl>
    <w:p>
      <w:pPr>
        <w:pStyle w:val="BodyText"/>
      </w:pPr>
      <w:r>
        <w:rPr>
          <w:bCs/>
          <w:b/>
        </w:rPr>
        <w:t xml:space="preserve">El estudio SOARS-B.</w:t>
      </w:r>
      <w:r>
        <w:t xml:space="preserve"> </w:t>
      </w:r>
      <w:r>
        <w:t xml:space="preserve">El estudio con diferencia más grande y concluyente es SOARS-B (Study of Oxytocin in Autism to Improve Reciprocal Social Behaviors), financiado por las autoridades sanitarias de EE. UU. y publicado en 2021 en el New England Journal of Medicine</w:t>
      </w:r>
      <w:r>
        <w:rPr>
          <w:rStyle w:val="FootnoteReference"/>
        </w:rPr>
        <w:footnoteReference w:id="2221"/>
      </w:r>
      <w:r>
        <w:t xml:space="preserve">. 290 niños y adolescentes de entre 3 y 17 años recibieron durante 24 semanas oxitocina diaria o un espray nasal de placebo. La variable principal fue una escala de retraimiento social (ABC-mSW, de 0 a 39 puntos).</w:t>
      </w:r>
    </w:p>
    <w:p>
      <w:pPr>
        <w:pStyle w:val="BodyText"/>
      </w:pPr>
      <w:r>
        <w:t xml:space="preserve">El resultado fue claramente negativo: el valor disminuyó 3,7 puntos con oxitocina y 3,5 puntos con placebo. La diferencia de 0,2 puntos no fue relevante ni estadística ni clínicamente. Tampoco hubo diferencias en los objetivos secundarios: otras dos medidas de función social y un test de inteligencia. Los efectos adversos fueron igual de frecuentes en ambos grupos.</w:t>
      </w:r>
    </w:p>
    <w:p>
      <w:pPr>
        <w:pStyle w:val="BodyText"/>
      </w:pPr>
      <w:r>
        <w:rPr>
          <w:bCs/>
          <w:b/>
        </w:rPr>
        <w:t xml:space="preserve">El estudio australiano en niños pequeños.</w:t>
      </w:r>
      <w:r>
        <w:t xml:space="preserve"> </w:t>
      </w:r>
      <w:r>
        <w:t xml:space="preserve">El grupo de Adam Guastella había encontrado antes un resultado positivo en niños pequeños</w:t>
      </w:r>
      <w:r>
        <w:rPr>
          <w:rStyle w:val="FootnoteReference"/>
        </w:rPr>
        <w:footnoteReference w:id="2222"/>
      </w:r>
      <w:r>
        <w:t xml:space="preserve">. Un estudio posterior más grande con 87 niños antepuso una fase previa de tres semanas con placebo para filtrar el fuerte efecto placebo. En conjunto, la oxitocina no mostró ningún efecto sobre la capacidad de respuesta social. Solo en el subgrupo de 3 a 5 años se apuntó una mejora según la valoración de los padres; la valoración médica y todas las demás medidas no mostraron beneficio</w:t>
      </w:r>
      <w:r>
        <w:rPr>
          <w:rStyle w:val="FootnoteReference"/>
        </w:rPr>
        <w:footnoteReference w:id="2223"/>
      </w:r>
      <w:r>
        <w:t xml:space="preserve">. Llama la atención que, en el estudio de adolescentes de 2015, los padres que creían que su hijo recibía oxitocina comunicaron mejoras mayores, con independencia de lo que el hijo recibiera realmente</w:t>
      </w:r>
      <w:r>
        <w:rPr>
          <w:rStyle w:val="FootnoteReference"/>
        </w:rPr>
        <w:footnoteReference w:id="2224"/>
      </w:r>
      <w:r>
        <w:t xml:space="preserve">.</w:t>
      </w:r>
    </w:p>
    <w:p>
      <w:pPr>
        <w:pStyle w:val="BodyText"/>
      </w:pPr>
      <w:r>
        <w:rPr>
          <w:bCs/>
          <w:b/>
        </w:rPr>
        <w:t xml:space="preserve">Efectos biológicos sin beneficio clínico.</w:t>
      </w:r>
      <w:r>
        <w:t xml:space="preserve"> </w:t>
      </w:r>
      <w:r>
        <w:t xml:space="preserve">Un estudio con 79 niños encontró, tras cuatro semanas de oxitocina, concentraciones más altas de oxitocina en saliva y cambios en el marcaje epigenético del gen del receptor</w:t>
      </w:r>
      <w:r>
        <w:rPr>
          <w:rStyle w:val="FootnoteReference"/>
        </w:rPr>
        <w:footnoteReference w:id="2225"/>
      </w:r>
      <w:r>
        <w:t xml:space="preserve">. En cambio, en el escáner cerebral, el mismo grupo no mostró efectos significativos del tratamiento sobre el procesamiento de rostros</w:t>
      </w:r>
      <w:r>
        <w:rPr>
          <w:rStyle w:val="FootnoteReference"/>
        </w:rPr>
        <w:footnoteReference w:id="2226"/>
      </w:r>
      <w:r>
        <w:t xml:space="preserve">. Estas señales biológicas son científicamente interesantes, pero no demuestran una mejora en la vida diaria.</w:t>
      </w:r>
    </w:p>
    <w:p>
      <w:pPr>
        <w:pStyle w:val="BodyText"/>
      </w:pPr>
      <w:r>
        <w:rPr>
          <w:bCs/>
          <w:b/>
        </w:rPr>
        <w:t xml:space="preserve">Metaanálisis.</w:t>
      </w:r>
      <w:r>
        <w:t xml:space="preserve"> </w:t>
      </w:r>
      <w:r>
        <w:t xml:space="preserve">Los resúmenes llegan a resultados distintos según los estudios que incluyen:</w:t>
      </w:r>
    </w:p>
    <w:p>
      <w:pPr>
        <w:numPr>
          <w:ilvl w:val="0"/>
          <w:numId w:val="1277"/>
        </w:numPr>
        <w:pStyle w:val="Compact"/>
      </w:pPr>
      <w:r>
        <w:t xml:space="preserve">Un metaanálisis de 17 estudios aleatorizados con 466 personas con trastornos del desarrollo no encontró efecto sobre el reconocimiento de emociones y sí un pequeño efecto sobre la comprensión de los pensamientos ajenos</w:t>
      </w:r>
      <w:r>
        <w:rPr>
          <w:rStyle w:val="FootnoteReference"/>
        </w:rPr>
        <w:footnoteReference w:id="2227"/>
      </w:r>
      <w:r>
        <w:t xml:space="preserve">.</w:t>
      </w:r>
    </w:p>
    <w:p>
      <w:pPr>
        <w:numPr>
          <w:ilvl w:val="0"/>
          <w:numId w:val="1277"/>
        </w:numPr>
        <w:pStyle w:val="Compact"/>
      </w:pPr>
      <w:r>
        <w:t xml:space="preserve">Un metaanálisis de 28 estudios con 726 personas con autismo, incluidos estudios no controlados, llegó a un juicio más positivo sobre la función social</w:t>
      </w:r>
      <w:r>
        <w:rPr>
          <w:rStyle w:val="FootnoteReference"/>
        </w:rPr>
        <w:footnoteReference w:id="2228"/>
      </w:r>
      <w:r>
        <w:t xml:space="preserve">. La inclusión de estudios no controlados hace que este resultado sea vulnerable a sesgos.</w:t>
      </w:r>
    </w:p>
    <w:p>
      <w:pPr>
        <w:numPr>
          <w:ilvl w:val="0"/>
          <w:numId w:val="1277"/>
        </w:numPr>
        <w:pStyle w:val="Compact"/>
      </w:pPr>
      <w:r>
        <w:t xml:space="preserve">El mayor metaanálisis hasta la fecha sobre todas las enfermedades psíquicas (42 estudios doble ciego, 1922 personas) no encontró en conjunto ningún efecto significativo. Tras excluir dos valores atípicos, el tamaño del efecto se situó cerca de cero</w:t>
      </w:r>
      <w:r>
        <w:rPr>
          <w:rStyle w:val="FootnoteReference"/>
        </w:rPr>
        <w:footnoteReference w:id="2229"/>
      </w:r>
      <w:r>
        <w:t xml:space="preserve">.</w:t>
      </w:r>
    </w:p>
    <w:p>
      <w:pPr>
        <w:pStyle w:val="FirstParagraph"/>
      </w:pPr>
      <w:r>
        <w:rPr>
          <w:bCs/>
          <w:b/>
        </w:rPr>
        <w:t xml:space="preserve">Balance provisional sobre el autismo:</w:t>
      </w:r>
      <w:r>
        <w:t xml:space="preserve"> </w:t>
      </w:r>
      <w:r>
        <w:t xml:space="preserve">tras el gran estudio SOARS-B y el estudio australiano posterior, no hay ninguna prueba sólida de que el espray nasal de oxitocina mejore en la vida diaria la conducta social de niños y adolescentes con autismo. Los investigadores debaten si determinados subgrupos –niños muy pequeños, niños con concentraciones bajas de oxitocina– podrían beneficiarse, y proponen un enfoque personalizado</w:t>
      </w:r>
      <w:r>
        <w:rPr>
          <w:rStyle w:val="FootnoteReference"/>
        </w:rPr>
        <w:footnoteReference w:id="2230"/>
      </w:r>
      <w:r>
        <w:t xml:space="preserve">. Hasta que esto se confirme en estudios propios, sigue siendo una hipótesis.</w:t>
      </w:r>
    </w:p>
    <w:bookmarkEnd w:id="2231"/>
    <w:bookmarkStart w:id="2239" w:name="otras-enfermedades-psíquicas"/>
    <w:p>
      <w:pPr>
        <w:pStyle w:val="Heading4"/>
      </w:pPr>
      <w:r>
        <w:t xml:space="preserve">Otras enfermedades psíquicas</w:t>
      </w:r>
    </w:p>
    <w:p>
      <w:pPr>
        <w:pStyle w:val="FirstParagraph"/>
      </w:pPr>
      <w:r>
        <w:rPr>
          <w:bCs/>
          <w:b/>
        </w:rPr>
        <w:t xml:space="preserve">Esquizofrenia.</w:t>
      </w:r>
      <w:r>
        <w:t xml:space="preserve"> </w:t>
      </w:r>
      <w:r>
        <w:t xml:space="preserve">En un estudio de doce semanas con 68 personas, la oxitocina no mejoró la cognición social</w:t>
      </w:r>
      <w:r>
        <w:rPr>
          <w:rStyle w:val="FootnoteReference"/>
        </w:rPr>
        <w:footnoteReference w:id="2232"/>
      </w:r>
      <w:r>
        <w:t xml:space="preserve">. Un metaanálisis de nueve estudios no encontró un efecto consistente sobre los llamados síntomas negativos, como la falta de impulso y el retraimiento social</w:t>
      </w:r>
      <w:r>
        <w:rPr>
          <w:rStyle w:val="FootnoteReference"/>
        </w:rPr>
        <w:footnoteReference w:id="2233"/>
      </w:r>
      <w:r>
        <w:t xml:space="preserve">. El gran metaanálisis de 2026 vio en este grupo un efecto pequeño, apenas significativo (tamaño del efecto 0,12), y constató que los estudios con más mujeres tendían a mostrar efectos mayores</w:t>
      </w:r>
      <w:r>
        <w:rPr>
          <w:rStyle w:val="FootnoteReference"/>
        </w:rPr>
        <w:footnoteReference w:id="2234"/>
      </w:r>
      <w:r>
        <w:t xml:space="preserve">.</w:t>
      </w:r>
    </w:p>
    <w:p>
      <w:pPr>
        <w:pStyle w:val="BodyText"/>
      </w:pPr>
      <w:r>
        <w:rPr>
          <w:bCs/>
          <w:b/>
        </w:rPr>
        <w:t xml:space="preserve">Alcohol.</w:t>
      </w:r>
      <w:r>
        <w:t xml:space="preserve"> </w:t>
      </w:r>
      <w:r>
        <w:t xml:space="preserve">En un estudio noruego con 40 personas en abstinencia alcohólica, la oxitocina no redujo de forma significativa la necesidad de sedantes</w:t>
      </w:r>
      <w:r>
        <w:rPr>
          <w:rStyle w:val="FootnoteReference"/>
        </w:rPr>
        <w:footnoteReference w:id="2235"/>
      </w:r>
      <w:r>
        <w:t xml:space="preserve">. Un metaanálisis de seis estudios aleatorizados sobre la dependencia del alcohol no encontró efecto; un análisis bayesiano incluso apoyaba moderadamente la ausencia de efecto</w:t>
      </w:r>
      <w:r>
        <w:rPr>
          <w:rStyle w:val="FootnoteReference"/>
        </w:rPr>
        <w:footnoteReference w:id="2236"/>
      </w:r>
      <w:r>
        <w:t xml:space="preserve">.</w:t>
      </w:r>
    </w:p>
    <w:p>
      <w:pPr>
        <w:pStyle w:val="BodyText"/>
      </w:pPr>
      <w:r>
        <w:rPr>
          <w:bCs/>
          <w:b/>
        </w:rPr>
        <w:t xml:space="preserve">Combinación con psicoterapia.</w:t>
      </w:r>
      <w:r>
        <w:t xml:space="preserve"> </w:t>
      </w:r>
      <w:r>
        <w:t xml:space="preserve">Una idea más reciente es administrar la oxitocina no sola, sino como potenciadora de una psicoterapia. Una revisión de 13 estudios con 518 participantes encontró indicios de menos síntomas depresivos y una mejor relación terapéutica, pero ningún efecto sobre los síntomas psiquiátricos en conjunto ni sobre la función social; solo pudieron combinarse cuatro estudios</w:t>
      </w:r>
      <w:r>
        <w:rPr>
          <w:rStyle w:val="FootnoteReference"/>
        </w:rPr>
        <w:footnoteReference w:id="2237"/>
      </w:r>
      <w:r>
        <w:t xml:space="preserve">.</w:t>
      </w:r>
    </w:p>
    <w:p>
      <w:pPr>
        <w:pStyle w:val="BodyText"/>
      </w:pPr>
      <w:r>
        <w:rPr>
          <w:bCs/>
          <w:b/>
        </w:rPr>
        <w:t xml:space="preserve">Después del parto.</w:t>
      </w:r>
      <w:r>
        <w:t xml:space="preserve"> </w:t>
      </w:r>
      <w:r>
        <w:t xml:space="preserve">En 45 madres con depresión posparto (en parte subumbral), una dosis única aumentó el estado de ánimo positivo y la atención positiva hacia el bebé, pero no la sensibilidad en el trato</w:t>
      </w:r>
      <w:r>
        <w:rPr>
          <w:rStyle w:val="FootnoteReference"/>
        </w:rPr>
        <w:footnoteReference w:id="2238"/>
      </w:r>
      <w:r>
        <w:t xml:space="preserve">.</w:t>
      </w:r>
    </w:p>
    <w:bookmarkEnd w:id="2239"/>
    <w:bookmarkStart w:id="2246" w:name="metabolismo-peso-y-dolor"/>
    <w:p>
      <w:pPr>
        <w:pStyle w:val="Heading4"/>
      </w:pPr>
      <w:r>
        <w:t xml:space="preserve">Metabolismo, peso y dolor</w:t>
      </w:r>
    </w:p>
    <w:p>
      <w:pPr>
        <w:pStyle w:val="FirstParagraph"/>
      </w:pPr>
      <w:r>
        <w:rPr>
          <w:bCs/>
          <w:b/>
        </w:rPr>
        <w:t xml:space="preserve">Obesidad.</w:t>
      </w:r>
      <w:r>
        <w:t xml:space="preserve"> </w:t>
      </w:r>
      <w:r>
        <w:t xml:space="preserve">Como la oxitocina reduce en animales la ingesta de alimentos y aumenta el gasto energético, se evaluó como medicamento para adelgazar. Un metaanálisis encontró que una dosis única reducía la cantidad ingerida en una comida de prueba en personas sin enfermedad psíquica</w:t>
      </w:r>
      <w:r>
        <w:rPr>
          <w:rStyle w:val="FootnoteReference"/>
        </w:rPr>
        <w:footnoteReference w:id="2240"/>
      </w:r>
      <w:r>
        <w:t xml:space="preserve">. La prueba decisiva fue un estudio con 61 adultos con obesidad que se aplicaron durante ocho semanas, cuatro veces al día, oxitocina o placebo. El peso no cambió: +0,20 kg con oxitocina, +0,26 kg con placebo. Tampoco cambiaron la grasa corporal, la grasa hepática ni el gasto energético; solo en una comida de prueba los participantes comieron menos</w:t>
      </w:r>
      <w:r>
        <w:rPr>
          <w:rStyle w:val="FootnoteReference"/>
        </w:rPr>
        <w:footnoteReference w:id="2241"/>
      </w:r>
      <w:r>
        <w:t xml:space="preserve">. Un pequeño estudio piloto en 21 personas mayores con sobrepeso y pérdida de masa muscular encontró un aumento de la masa muscular de 2,25 kg</w:t>
      </w:r>
      <w:r>
        <w:rPr>
          <w:rStyle w:val="FootnoteReference"/>
        </w:rPr>
        <w:footnoteReference w:id="2242"/>
      </w:r>
      <w:r>
        <w:t xml:space="preserve">; esto debe confirmarse en estudios más grandes.</w:t>
      </w:r>
    </w:p>
    <w:p>
      <w:pPr>
        <w:pStyle w:val="BodyText"/>
      </w:pPr>
      <w:r>
        <w:rPr>
          <w:bCs/>
          <w:b/>
        </w:rPr>
        <w:t xml:space="preserve">Síndrome de Prader-Willi.</w:t>
      </w:r>
      <w:r>
        <w:t xml:space="preserve"> </w:t>
      </w:r>
      <w:r>
        <w:t xml:space="preserve">En esta enfermedad genética rara, con hambre insaciable y oxitocina reducida en el hipotálamo, las expectativas eran especialmente altas. Un metaanálisis no encontró ningún efecto sobre la hiperfagia ni el peso</w:t>
      </w:r>
      <w:r>
        <w:rPr>
          <w:rStyle w:val="FootnoteReference"/>
        </w:rPr>
        <w:footnoteReference w:id="2243"/>
      </w:r>
      <w:r>
        <w:t xml:space="preserve">. En un estudio con 23 niños, la hiperfagia y las conductas repetitivas mejoraron incluso más con placebo</w:t>
      </w:r>
      <w:r>
        <w:rPr>
          <w:rStyle w:val="FootnoteReference"/>
        </w:rPr>
        <w:footnoteReference w:id="2244"/>
      </w:r>
      <w:r>
        <w:t xml:space="preserve">.</w:t>
      </w:r>
    </w:p>
    <w:p>
      <w:pPr>
        <w:pStyle w:val="BodyText"/>
      </w:pPr>
      <w:r>
        <w:rPr>
          <w:bCs/>
          <w:b/>
        </w:rPr>
        <w:t xml:space="preserve">Dolor.</w:t>
      </w:r>
      <w:r>
        <w:t xml:space="preserve"> </w:t>
      </w:r>
      <w:r>
        <w:t xml:space="preserve">Un metaanálisis de 15 estudios no encontró ningún efecto significativo sobre la intensidad del dolor ni sobre lo desagradable del dolor</w:t>
      </w:r>
      <w:r>
        <w:rPr>
          <w:rStyle w:val="FootnoteReference"/>
        </w:rPr>
        <w:footnoteReference w:id="2245"/>
      </w:r>
      <w:r>
        <w:t xml:space="preserve">.</w:t>
      </w:r>
    </w:p>
    <w:bookmarkEnd w:id="2246"/>
    <w:bookmarkStart w:id="2249" w:name="sexualidad"/>
    <w:p>
      <w:pPr>
        <w:pStyle w:val="Heading4"/>
      </w:pPr>
      <w:r>
        <w:t xml:space="preserve">Sexualidad</w:t>
      </w:r>
    </w:p>
    <w:p>
      <w:pPr>
        <w:pStyle w:val="FirstParagraph"/>
      </w:pPr>
      <w:r>
        <w:t xml:space="preserve">La oxitocina se libera durante el orgasmo y en internet se promociona como medio para una vida amorosa más intensa. En un estudio de laboratorio con diez hombres, un espray nasal aumentó claramente la concentración de oxitocina en sangre, pero no modificó, según los cuestionarios, el deseo, la excitación, el orgasmo ni la fase de recuperación</w:t>
      </w:r>
      <w:r>
        <w:rPr>
          <w:rStyle w:val="FootnoteReference"/>
        </w:rPr>
        <w:footnoteReference w:id="2247"/>
      </w:r>
      <w:r>
        <w:t xml:space="preserve">. Un metaanálisis sobre medicamentos contra la disfunción sexual femenina, que incluía también estudios con oxitocina, encontró que alrededor de dos tercios de la mejoría se producían también con placebo</w:t>
      </w:r>
      <w:r>
        <w:rPr>
          <w:rStyle w:val="FootnoteReference"/>
        </w:rPr>
        <w:footnoteReference w:id="2248"/>
      </w:r>
      <w:r>
        <w:t xml:space="preserve">. No hay pruebas sólidas de un efecto sobre la sexualidad.</w:t>
      </w:r>
    </w:p>
    <w:bookmarkEnd w:id="2249"/>
    <w:bookmarkStart w:id="2252" w:name="el-déficit-de-oxitocina-como-enfermedad"/>
    <w:p>
      <w:pPr>
        <w:pStyle w:val="Heading4"/>
      </w:pPr>
      <w:r>
        <w:t xml:space="preserve">El déficit de oxitocina como enfermedad</w:t>
      </w:r>
    </w:p>
    <w:p>
      <w:pPr>
        <w:pStyle w:val="FirstParagraph"/>
      </w:pPr>
      <w:r>
        <w:t xml:space="preserve">Un campo nuevo y médicamente plausible es el déficit real de oxitocina. Las personas cuyo hipotálamo o hipófisis está dañado, por ejemplo por un tumor o una operación, presentan a menudo un déficit de vasopresina (antes llamado diabetes insípida central). Un estudio suizo utilizó la droga MDMA, que en personas sanas libera mucha oxitocina, como prueba de provocación. En 15 personas sanas, la oxitocina aumentó mucho; en 15 afectados, apenas; el área bajo la curva fue un 82 % mayor en las personas sanas, y los afectados apenas notaron los típicos efectos sociales y ansiolíticos</w:t>
      </w:r>
      <w:r>
        <w:rPr>
          <w:rStyle w:val="FootnoteReference"/>
        </w:rPr>
        <w:footnoteReference w:id="2250"/>
      </w:r>
      <w:r>
        <w:t xml:space="preserve">. Esto indica que muchas de estas personas presentan también un déficit de oxitocina. Un estudio en curso examina si una sustitución mediante espray nasal alivia sus molestias psíquicas</w:t>
      </w:r>
      <w:r>
        <w:rPr>
          <w:rStyle w:val="FootnoteReference"/>
        </w:rPr>
        <w:footnoteReference w:id="2251"/>
      </w:r>
      <w:r>
        <w:t xml:space="preserve">. También la kisspeptina se está estudiando como posible prueba para el déficit de oxitocina (Galbiati 2025, PMID 39965102; capítulo 2E04).</w:t>
      </w:r>
    </w:p>
    <w:bookmarkEnd w:id="2252"/>
    <w:bookmarkEnd w:id="2253"/>
    <w:bookmarkStart w:id="2256" w:name="estudios-en-animales-y-de-laboratorio-50"/>
    <w:p>
      <w:pPr>
        <w:pStyle w:val="Heading3"/>
      </w:pPr>
      <w:r>
        <w:t xml:space="preserve">Estudios en animales y de laboratorio</w:t>
      </w:r>
    </w:p>
    <w:p>
      <w:pPr>
        <w:pStyle w:val="FirstParagraph"/>
      </w:pPr>
      <w:r>
        <w:t xml:space="preserve">El entusiasmo por la oxitocina se basa en hallazgos convincentes en animales: en los topillos de las praderas, el sistema de la oxitocina es necesario para el vínculo de pareja, y en roedores y ovejas, para la conducta materna. En ratones de un modelo de autismo, una sustancia que estimula el sistema de la oxitocina mejoró medidas de conducta social</w:t>
      </w:r>
      <w:r>
        <w:rPr>
          <w:rStyle w:val="FootnoteReference"/>
        </w:rPr>
        <w:footnoteReference w:id="2254"/>
      </w:r>
      <w:r>
        <w:t xml:space="preserve">. En macacos rhesus, la oxitocina marcada llegó por vía nasal a determinadas regiones cerebrales</w:t>
      </w:r>
      <w:r>
        <w:rPr>
          <w:rStyle w:val="FootnoteReference"/>
        </w:rPr>
        <w:footnoteReference w:id="2255"/>
      </w:r>
      <w:r>
        <w:t xml:space="preserve">.</w:t>
      </w:r>
    </w:p>
    <w:p>
      <w:pPr>
        <w:pStyle w:val="BodyText"/>
      </w:pPr>
      <w:r>
        <w:t xml:space="preserve">Sin embargo, estos hallazgos solo pueden trasladarse de forma limitada: la distribución de los receptores de oxitocina en el cerebro difiere mucho entre especies, incluso entre especies de topillos estrechamente emparentadas. Muchos experimentos con animales administraron la oxitocina directamente en el cerebro, algo que no es posible en humanos.</w:t>
      </w:r>
    </w:p>
    <w:bookmarkEnd w:id="2256"/>
    <w:bookmarkStart w:id="2266" w:name="riesgos-y-efectos-adversos-50"/>
    <w:p>
      <w:pPr>
        <w:pStyle w:val="Heading3"/>
      </w:pPr>
      <w:r>
        <w:t xml:space="preserve">Riesgos y efectos adversos</w:t>
      </w:r>
    </w:p>
    <w:bookmarkStart w:id="2261" w:name="demostrados-espray-nasal-en-estudios"/>
    <w:p>
      <w:pPr>
        <w:pStyle w:val="Heading4"/>
      </w:pPr>
      <w:r>
        <w:t xml:space="preserve">Demostrados: espray nasal en estudios</w:t>
      </w:r>
    </w:p>
    <w:p>
      <w:pPr>
        <w:pStyle w:val="FirstParagraph"/>
      </w:pPr>
      <w:r>
        <w:t xml:space="preserve">En los estudios controlados, el espray nasal de oxitocina se considera bien tolerado. Una revisión sistemática de 38 estudios aleatorizados con 1529 participantes no encontró, con el uso a corto plazo, efectos adversos más frecuentes que con placebo. Los participantes tampoco pudieron reconocer si habían recibido oxitocina o placebo</w:t>
      </w:r>
      <w:r>
        <w:rPr>
          <w:rStyle w:val="FootnoteReference"/>
        </w:rPr>
        <w:footnoteReference w:id="2257"/>
      </w:r>
      <w:r>
        <w:t xml:space="preserve">. En SOARS-B, los efectos adversos fueron igual de frecuentes en ambos grupos a lo largo de 24 semanas</w:t>
      </w:r>
      <w:r>
        <w:rPr>
          <w:rStyle w:val="FootnoteReference"/>
        </w:rPr>
        <w:footnoteReference w:id="2258"/>
      </w:r>
      <w:r>
        <w:t xml:space="preserve">. En 95 hombres mayores no se produjeron cambios en la presión arterial ni en los valores de orina o sangre a lo largo de cuatro semanas</w:t>
      </w:r>
      <w:r>
        <w:rPr>
          <w:rStyle w:val="FootnoteReference"/>
        </w:rPr>
        <w:footnoteReference w:id="2259"/>
      </w:r>
      <w:r>
        <w:t xml:space="preserve">. En estudios con niños se comunicaron sed, aumento de la micción y estreñimiento</w:t>
      </w:r>
      <w:r>
        <w:rPr>
          <w:rStyle w:val="FootnoteReference"/>
        </w:rPr>
        <w:footnoteReference w:id="2260"/>
      </w:r>
      <w:r>
        <w:t xml:space="preserve">.</w:t>
      </w:r>
    </w:p>
    <w:bookmarkEnd w:id="2261"/>
    <w:bookmarkStart w:id="2264" w:name="posibles-y-a-tener-en-cuenta"/>
    <w:p>
      <w:pPr>
        <w:pStyle w:val="Heading4"/>
      </w:pPr>
      <w:r>
        <w:t xml:space="preserve">Posibles y a tener en cuenta</w:t>
      </w:r>
    </w:p>
    <w:p>
      <w:pPr>
        <w:numPr>
          <w:ilvl w:val="0"/>
          <w:numId w:val="1278"/>
        </w:numPr>
        <w:pStyle w:val="Compact"/>
      </w:pPr>
      <w:r>
        <w:rPr>
          <w:bCs/>
          <w:b/>
        </w:rPr>
        <w:t xml:space="preserve">Equilibrio hídrico:</w:t>
      </w:r>
      <w:r>
        <w:t xml:space="preserve"> </w:t>
      </w:r>
      <w:r>
        <w:t xml:space="preserve">la oxitocina se parece a la vasopresina y, en dosis altas, puede retener agua en el organismo. En obstetricia, la intoxicación hídrica con déficit de sodio es una complicación conocida y rara de las infusiones en dosis altas. Con el espray nasal se ha descrito un caso de aumento de la presión intracraneal con una ingesta de líquidos simultáneamente muy alta</w:t>
      </w:r>
      <w:r>
        <w:rPr>
          <w:rStyle w:val="FootnoteReference"/>
        </w:rPr>
        <w:footnoteReference w:id="2262"/>
      </w:r>
      <w:r>
        <w:t xml:space="preserve">.</w:t>
      </w:r>
    </w:p>
    <w:p>
      <w:pPr>
        <w:numPr>
          <w:ilvl w:val="0"/>
          <w:numId w:val="1278"/>
        </w:numPr>
        <w:pStyle w:val="Compact"/>
      </w:pPr>
      <w:r>
        <w:rPr>
          <w:bCs/>
          <w:b/>
        </w:rPr>
        <w:t xml:space="preserve">Circulación:</w:t>
      </w:r>
      <w:r>
        <w:t xml:space="preserve"> </w:t>
      </w:r>
      <w:r>
        <w:t xml:space="preserve">en doce hombres sanos, un espray nasal aumentó la actividad de los nervios que contraen los vasos sanguíneos y elevó ligeramente la presión diastólica</w:t>
      </w:r>
      <w:r>
        <w:rPr>
          <w:rStyle w:val="FootnoteReference"/>
        </w:rPr>
        <w:footnoteReference w:id="2263"/>
      </w:r>
      <w:r>
        <w:t xml:space="preserve">.</w:t>
      </w:r>
    </w:p>
    <w:p>
      <w:pPr>
        <w:numPr>
          <w:ilvl w:val="0"/>
          <w:numId w:val="1278"/>
        </w:numPr>
        <w:pStyle w:val="Compact"/>
      </w:pPr>
      <w:r>
        <w:rPr>
          <w:bCs/>
          <w:b/>
        </w:rPr>
        <w:t xml:space="preserve">Embarazo:</w:t>
      </w:r>
      <w:r>
        <w:t xml:space="preserve"> </w:t>
      </w:r>
      <w:r>
        <w:t xml:space="preserve">como la oxitocina desencadena contracciones, su uso durante el embarazo fuera de control médico es peligroso.</w:t>
      </w:r>
    </w:p>
    <w:p>
      <w:pPr>
        <w:numPr>
          <w:ilvl w:val="0"/>
          <w:numId w:val="1278"/>
        </w:numPr>
        <w:pStyle w:val="Compact"/>
      </w:pPr>
      <w:r>
        <w:rPr>
          <w:bCs/>
          <w:b/>
        </w:rPr>
        <w:t xml:space="preserve">Uso prolongado:</w:t>
      </w:r>
      <w:r>
        <w:t xml:space="preserve"> </w:t>
      </w:r>
      <w:r>
        <w:t xml:space="preserve">faltan datos de más de seis meses, sobre todo en niños.</w:t>
      </w:r>
    </w:p>
    <w:p>
      <w:pPr>
        <w:numPr>
          <w:ilvl w:val="0"/>
          <w:numId w:val="1278"/>
        </w:numPr>
        <w:pStyle w:val="Compact"/>
      </w:pPr>
      <w:r>
        <w:rPr>
          <w:bCs/>
          <w:b/>
        </w:rPr>
        <w:t xml:space="preserve">Efectos sociales:</w:t>
      </w:r>
      <w:r>
        <w:t xml:space="preserve"> </w:t>
      </w:r>
      <w:r>
        <w:t xml:space="preserve">algunos estudios de laboratorio comunicaron que la oxitocina, en determinadas condiciones, también puede reforzar la envidia, la desconfianza hacia los extraños o la preferencia por el propio grupo. Estos hallazgos son tan inseguros como los positivos.</w:t>
      </w:r>
    </w:p>
    <w:bookmarkEnd w:id="2264"/>
    <w:bookmarkStart w:id="2265" w:name="mercado-gris-3"/>
    <w:p>
      <w:pPr>
        <w:pStyle w:val="Heading4"/>
      </w:pPr>
      <w:r>
        <w:t xml:space="preserve">Mercado gris</w:t>
      </w:r>
    </w:p>
    <w:p>
      <w:pPr>
        <w:pStyle w:val="FirstParagraph"/>
      </w:pPr>
      <w:r>
        <w:t xml:space="preserve">Los espráis nasales de oxitocina se venden en internet como «espray del amor» o «espray de la confianza». El contenido y la concentración de estos productos no están evaluados de forma independiente. Para ninguno de ellos hay pruebas de eficacia.</w:t>
      </w:r>
    </w:p>
    <w:bookmarkEnd w:id="2265"/>
    <w:bookmarkEnd w:id="2266"/>
    <w:bookmarkStart w:id="2267" w:name="situación-legal-50"/>
    <w:p>
      <w:pPr>
        <w:pStyle w:val="Heading3"/>
      </w:pPr>
      <w:r>
        <w:t xml:space="preserve">Situación legal</w:t>
      </w:r>
    </w:p>
    <w:p>
      <w:pPr>
        <w:pStyle w:val="FirstParagraph"/>
      </w:pPr>
      <w:r>
        <w:rPr>
          <w:iCs/>
          <w:i/>
        </w:rPr>
        <w:t xml:space="preserve">Situación en 2026, compruébese la versión actual.</w:t>
      </w:r>
    </w:p>
    <w:p>
      <w:pPr>
        <w:numPr>
          <w:ilvl w:val="0"/>
          <w:numId w:val="1279"/>
        </w:numPr>
        <w:pStyle w:val="Compact"/>
      </w:pPr>
      <w:r>
        <w:rPr>
          <w:bCs/>
          <w:b/>
        </w:rPr>
        <w:t xml:space="preserve">UE, Alemania, Austria:</w:t>
      </w:r>
      <w:r>
        <w:t xml:space="preserve"> </w:t>
      </w:r>
      <w:r>
        <w:t xml:space="preserve">la oxitocina para infusión e inyección está autorizada como medicamento sujeto a prescripción para la obstetricia. No existe ningún espray nasal autorizado para usos psíquicos o sociales; los espráis autorizados antiguamente para favorecer el flujo de leche ya no se pueden conseguir en muchos lugares. Una prescripción para tratar el autismo u otras enfermedades sería un tratamiento individual fuera de la indicación autorizada (off-label), con las correspondientes obligaciones de información y responsabilidad.</w:t>
      </w:r>
    </w:p>
    <w:p>
      <w:pPr>
        <w:numPr>
          <w:ilvl w:val="0"/>
          <w:numId w:val="1279"/>
        </w:numPr>
        <w:pStyle w:val="Compact"/>
      </w:pPr>
      <w:r>
        <w:rPr>
          <w:bCs/>
          <w:b/>
        </w:rPr>
        <w:t xml:space="preserve">EE. UU.:</w:t>
      </w:r>
      <w:r>
        <w:t xml:space="preserve"> </w:t>
      </w:r>
      <w:r>
        <w:t xml:space="preserve">oxitocina inyectable (Pitocin y genéricos) autorizada para la obstetricia; ningún espray nasal autorizado. Las farmacias de formulación magistral elaboran espráis nasales con prescripción médica; su calidad no se controla como la de los medicamentos fabricados industrialmente.</w:t>
      </w:r>
    </w:p>
    <w:p>
      <w:pPr>
        <w:numPr>
          <w:ilvl w:val="0"/>
          <w:numId w:val="1279"/>
        </w:numPr>
        <w:pStyle w:val="Compact"/>
      </w:pPr>
      <w:r>
        <w:rPr>
          <w:bCs/>
          <w:b/>
        </w:rPr>
        <w:t xml:space="preserve">WADA:</w:t>
      </w:r>
      <w:r>
        <w:t xml:space="preserve"> </w:t>
      </w:r>
      <w:r>
        <w:t xml:space="preserve">no figura en la lista.</w:t>
      </w:r>
    </w:p>
    <w:bookmarkEnd w:id="2267"/>
    <w:bookmarkStart w:id="2273" w:name="estudios-en-curso-y-perspectivas-50"/>
    <w:p>
      <w:pPr>
        <w:pStyle w:val="Heading3"/>
      </w:pPr>
      <w:r>
        <w:t xml:space="preserve">Estudios en curso y perspectivas</w:t>
      </w:r>
    </w:p>
    <w:p>
      <w:pPr>
        <w:pStyle w:val="FirstParagraph"/>
      </w:pPr>
      <w:r>
        <w:rPr>
          <w:bCs/>
          <w:b/>
        </w:rPr>
        <w:t xml:space="preserve">Confirmado (estudios registrados):</w:t>
      </w:r>
      <w:r>
        <w:t xml:space="preserve"> </w:t>
      </w:r>
      <w:r>
        <w:t xml:space="preserve">entre los estudios en curso hay algunos de mayor tamaño que podrían responder a cuestiones abiertas concretas:</w:t>
      </w:r>
    </w:p>
    <w:p>
      <w:pPr>
        <w:numPr>
          <w:ilvl w:val="0"/>
          <w:numId w:val="1280"/>
        </w:numPr>
        <w:pStyle w:val="Compact"/>
      </w:pPr>
      <w:r>
        <w:rPr>
          <w:bCs/>
          <w:b/>
        </w:rPr>
        <w:t xml:space="preserve">Dolor crónico:</w:t>
      </w:r>
      <w:r>
        <w:t xml:space="preserve"> </w:t>
      </w:r>
      <w:r>
        <w:t xml:space="preserve">ha finalizado un estudio canadiense de fase 2/3 con 336 participantes</w:t>
      </w:r>
      <w:r>
        <w:rPr>
          <w:rStyle w:val="FootnoteReference"/>
        </w:rPr>
        <w:footnoteReference w:id="2268"/>
      </w:r>
      <w:r>
        <w:t xml:space="preserve">; los resultados están pendientes.</w:t>
      </w:r>
    </w:p>
    <w:p>
      <w:pPr>
        <w:numPr>
          <w:ilvl w:val="0"/>
          <w:numId w:val="1280"/>
        </w:numPr>
        <w:pStyle w:val="Compact"/>
      </w:pPr>
      <w:r>
        <w:rPr>
          <w:bCs/>
          <w:b/>
        </w:rPr>
        <w:t xml:space="preserve">Psicoterapia más oxitocina:</w:t>
      </w:r>
      <w:r>
        <w:t xml:space="preserve"> </w:t>
      </w:r>
      <w:r>
        <w:t xml:space="preserve">un estudio del Departamento de Asuntos de los Veteranos de EE. UU. con 240 personas examina la oxitocina como complemento de una terapia de pareja en el trastorno de estrés postraumático (NCT06194851, hasta 2028). En Alemania, varios estudios examinan la oxitocina como complemento del tratamiento psicosocial en la esquizofrenia (NCT06881810, con 98 personas; NCT07265180, en la Charité, con 120 personas y comparación de dosis).</w:t>
      </w:r>
    </w:p>
    <w:p>
      <w:pPr>
        <w:numPr>
          <w:ilvl w:val="0"/>
          <w:numId w:val="1280"/>
        </w:numPr>
        <w:pStyle w:val="Compact"/>
      </w:pPr>
      <w:r>
        <w:rPr>
          <w:bCs/>
          <w:b/>
        </w:rPr>
        <w:t xml:space="preserve">Déficit de oxitocina:</w:t>
      </w:r>
      <w:r>
        <w:t xml:space="preserve"> </w:t>
      </w:r>
      <w:r>
        <w:t xml:space="preserve">un estudio suizo con 112 personas examina una sustitución de oxitocina en el déficit de vasopresina</w:t>
      </w:r>
      <w:r>
        <w:rPr>
          <w:rStyle w:val="FootnoteReference"/>
        </w:rPr>
        <w:footnoteReference w:id="2269"/>
      </w:r>
      <w:r>
        <w:t xml:space="preserve">.</w:t>
      </w:r>
    </w:p>
    <w:p>
      <w:pPr>
        <w:numPr>
          <w:ilvl w:val="0"/>
          <w:numId w:val="1280"/>
        </w:numPr>
        <w:pStyle w:val="Compact"/>
      </w:pPr>
      <w:r>
        <w:rPr>
          <w:bCs/>
          <w:b/>
        </w:rPr>
        <w:t xml:space="preserve">Autismo y hueso:</w:t>
      </w:r>
      <w:r>
        <w:t xml:space="preserve"> </w:t>
      </w:r>
      <w:r>
        <w:t xml:space="preserve">un estudio con 96 niños investiga los efectos sobre la salud ósea</w:t>
      </w:r>
      <w:r>
        <w:rPr>
          <w:rStyle w:val="FootnoteReference"/>
        </w:rPr>
        <w:footnoteReference w:id="2270"/>
      </w:r>
      <w:r>
        <w:t xml:space="preserve">.</w:t>
      </w:r>
    </w:p>
    <w:p>
      <w:pPr>
        <w:numPr>
          <w:ilvl w:val="0"/>
          <w:numId w:val="1280"/>
        </w:numPr>
        <w:pStyle w:val="Compact"/>
      </w:pPr>
      <w:r>
        <w:rPr>
          <w:bCs/>
          <w:b/>
        </w:rPr>
        <w:t xml:space="preserve">Trastornos de la conducta alimentaria:</w:t>
      </w:r>
      <w:r>
        <w:t xml:space="preserve"> </w:t>
      </w:r>
      <w:r>
        <w:t xml:space="preserve">un estudio de fase 2 sobre el trastorno por atracón</w:t>
      </w:r>
      <w:r>
        <w:rPr>
          <w:rStyle w:val="FootnoteReference"/>
        </w:rPr>
        <w:footnoteReference w:id="2271"/>
      </w:r>
      <w:r>
        <w:t xml:space="preserve">.</w:t>
      </w:r>
    </w:p>
    <w:p>
      <w:pPr>
        <w:numPr>
          <w:ilvl w:val="0"/>
          <w:numId w:val="1280"/>
        </w:numPr>
        <w:pStyle w:val="Compact"/>
      </w:pPr>
      <w:r>
        <w:rPr>
          <w:bCs/>
          <w:b/>
        </w:rPr>
        <w:t xml:space="preserve">Desarrollo empresarial:</w:t>
      </w:r>
      <w:r>
        <w:t xml:space="preserve"> </w:t>
      </w:r>
      <w:r>
        <w:t xml:space="preserve">una empresa ha probado un espray nasal de oxitocina en dosis altas (TNX-1900) en la migraña crónica (NCT05679908, 88 personas, finalizado) y planea un estudio sobre el tratamiento del dolor tras operaciones de hipófisis</w:t>
      </w:r>
      <w:r>
        <w:rPr>
          <w:rStyle w:val="FootnoteReference"/>
        </w:rPr>
        <w:footnoteReference w:id="2272"/>
      </w:r>
      <w:r>
        <w:t xml:space="preserve">.</w:t>
      </w:r>
    </w:p>
    <w:p>
      <w:pPr>
        <w:pStyle w:val="FirstParagraph"/>
      </w:pPr>
      <w:r>
        <w:rPr>
          <w:bCs/>
          <w:b/>
        </w:rPr>
        <w:t xml:space="preserve">Valoración del autor:</w:t>
      </w:r>
      <w:r>
        <w:t xml:space="preserve"> </w:t>
      </w:r>
      <w:r>
        <w:t xml:space="preserve">la historia del espray nasal de oxitocina es una lección sobre los límites de los estudios pequeños. Tras dos décadas de investigación no existe ni una sola aplicación en la que se haya confirmado un beneficio en estudios grandes y bien hechos. Las líneas más prometedoras están hoy más acotadas: la oxitocina como complemento de una psicoterapia en lugar de como medicamento aislado, como sustitución en un déficit demostrado y de forma dirigida en subgrupos definidos de antemano. Una autorización para el autismo o la ansiedad social parece improbable en los próximos años.</w:t>
      </w:r>
    </w:p>
    <w:bookmarkEnd w:id="2273"/>
    <w:bookmarkStart w:id="2274" w:name="conclusión-50"/>
    <w:p>
      <w:pPr>
        <w:pStyle w:val="Heading3"/>
      </w:pPr>
      <w:r>
        <w:t xml:space="preserve">Conclusión</w:t>
      </w:r>
    </w:p>
    <w:p>
      <w:pPr>
        <w:pStyle w:val="FirstParagraph"/>
      </w:pPr>
      <w:r>
        <w:t xml:space="preserve">Como infusión, la oxitocina es un medicamento indispensable en obstetricia; como espray nasal, en cambio, es una herramienta de investigación sin beneficio terapéutico demostrado. El famoso hallazgo de que la oxitocina aumenta la confianza no resistió los estudios de replicación; como mucho, se apunta un pequeño efecto en personas con baja confianza de base. El mayor estudio sobre autismo, SOARS-B, con 290 niños y adolescentes, no encontró al cabo de 24 semanas ninguna diferencia frente al placebo, y también en la obesidad, la dependencia del alcohol, el síndrome de Prader-Willi y el dolor los resultados fueron negativos. En los estudios, el espray fue bien tolerado. Quien hoy compra un «espray del amor» o «de la confianza» adquiere una promesa que la investigación no cumple.</w:t>
      </w:r>
    </w:p>
    <w:bookmarkEnd w:id="2274"/>
    <w:bookmarkEnd w:id="2275"/>
    <w:bookmarkStart w:id="2313" w:name="gonadorelina"/>
    <w:p>
      <w:pPr>
        <w:pStyle w:val="Heading2"/>
      </w:pPr>
      <w:r>
        <w:t xml:space="preserve">Gonadorelina</w:t>
      </w:r>
    </w:p>
    <w:bookmarkStart w:id="2276" w:name="ficha-51"/>
    <w:p>
      <w:pPr>
        <w:pStyle w:val="Heading3"/>
      </w:pPr>
      <w:r>
        <w:t xml:space="preserve">Ficha</w:t>
      </w:r>
    </w:p>
    <w:p>
      <w:pPr>
        <w:numPr>
          <w:ilvl w:val="0"/>
          <w:numId w:val="1281"/>
        </w:numPr>
        <w:pStyle w:val="Compact"/>
      </w:pPr>
      <w:r>
        <w:rPr>
          <w:bCs/>
          <w:b/>
        </w:rPr>
        <w:t xml:space="preserve">Tipo/estructura:</w:t>
      </w:r>
      <w:r>
        <w:t xml:space="preserve"> </w:t>
      </w:r>
      <w:r>
        <w:t xml:space="preserve">péptido de diez aminoácidos, de fabricación sintética y con una secuencia idéntica a la de la hormona humana GnRH (hormona liberadora de gonadotropinas, también llamada LHRH o gonadoliberina).</w:t>
      </w:r>
    </w:p>
    <w:p>
      <w:pPr>
        <w:numPr>
          <w:ilvl w:val="0"/>
          <w:numId w:val="1281"/>
        </w:numPr>
        <w:pStyle w:val="Compact"/>
      </w:pPr>
      <w:r>
        <w:rPr>
          <w:bCs/>
          <w:b/>
        </w:rPr>
        <w:t xml:space="preserve">Origen:</w:t>
      </w:r>
      <w:r>
        <w:t xml:space="preserve"> </w:t>
      </w:r>
      <w:r>
        <w:t xml:space="preserve">la GnRH se aisló y se descifró a principios de la década de 1970 a partir de cerebros de cerdo y de oveja; los investigadores implicados, Andrew Schally y Roger Guillemin, recibieron por ello el Premio Nobel en 1977. Gonadorelina es la denominación común internacional de la hormona sintética.</w:t>
      </w:r>
    </w:p>
    <w:p>
      <w:pPr>
        <w:numPr>
          <w:ilvl w:val="0"/>
          <w:numId w:val="1281"/>
        </w:numPr>
        <w:pStyle w:val="Compact"/>
      </w:pPr>
      <w:r>
        <w:rPr>
          <w:bCs/>
          <w:b/>
        </w:rPr>
        <w:t xml:space="preserve">Mecanismo de acción:</w:t>
      </w:r>
      <w:r>
        <w:t xml:space="preserve"> </w:t>
      </w:r>
      <w:r>
        <w:t xml:space="preserve">agonista del receptor de GnRH de la hipófisis. Administrada en pulsos, estimula la secreción de LH y FSH; en administración continua, la frena.</w:t>
      </w:r>
    </w:p>
    <w:p>
      <w:pPr>
        <w:numPr>
          <w:ilvl w:val="0"/>
          <w:numId w:val="1281"/>
        </w:numPr>
        <w:pStyle w:val="Compact"/>
      </w:pPr>
      <w:r>
        <w:rPr>
          <w:bCs/>
          <w:b/>
        </w:rPr>
        <w:t xml:space="preserve">Formas farmacéuticas:</w:t>
      </w:r>
      <w:r>
        <w:t xml:space="preserve"> </w:t>
      </w:r>
      <w:r>
        <w:t xml:space="preserve">inyección intravenosa para pruebas funcionales; bomba portátil que cada 60 a 120 minutos libera una pequeña cantidad por vía subcutánea o intravenosa (terapia pulsátil); en algunos países, un espray nasal para lactantes con criptorquidia.</w:t>
      </w:r>
    </w:p>
    <w:p>
      <w:pPr>
        <w:numPr>
          <w:ilvl w:val="0"/>
          <w:numId w:val="1281"/>
        </w:numPr>
        <w:pStyle w:val="Compact"/>
      </w:pPr>
      <w:r>
        <w:rPr>
          <w:bCs/>
          <w:b/>
        </w:rPr>
        <w:t xml:space="preserve">Autorización en la UE:</w:t>
      </w:r>
      <w:r>
        <w:t xml:space="preserve"> </w:t>
      </w:r>
      <w:r>
        <w:t xml:space="preserve">autorizada a nivel nacional en algunos Estados miembros, por ejemplo como agente diagnóstico y para la terapia con bomba; los preparados y la disponibilidad varían de un país a otro.</w:t>
      </w:r>
    </w:p>
    <w:p>
      <w:pPr>
        <w:numPr>
          <w:ilvl w:val="0"/>
          <w:numId w:val="1281"/>
        </w:numPr>
        <w:pStyle w:val="Compact"/>
      </w:pPr>
      <w:r>
        <w:rPr>
          <w:bCs/>
          <w:b/>
        </w:rPr>
        <w:t xml:space="preserve">Autorización en EE. UU.:</w:t>
      </w:r>
      <w:r>
        <w:t xml:space="preserve"> </w:t>
      </w:r>
      <w:r>
        <w:t xml:space="preserve">los preparados anteriores (Factrel para diagnóstico, Lutrepulse para la bomba) ya no se comercializan. Según el conocimiento del autor, no existe actualmente ningún medicamento de uso humano autorizado y comercializado (compruébese la versión actual).</w:t>
      </w:r>
    </w:p>
    <w:p>
      <w:pPr>
        <w:numPr>
          <w:ilvl w:val="0"/>
          <w:numId w:val="1281"/>
        </w:numPr>
        <w:pStyle w:val="Compact"/>
      </w:pPr>
      <w:r>
        <w:rPr>
          <w:bCs/>
          <w:b/>
        </w:rPr>
        <w:t xml:space="preserve">WADA:</w:t>
      </w:r>
      <w:r>
        <w:t xml:space="preserve"> </w:t>
      </w:r>
      <w:r>
        <w:t xml:space="preserve">prohibida para los hombres (grupo S2, donde la gonadorelina se menciona nominalmente), en competición y fuera de ella.</w:t>
      </w:r>
    </w:p>
    <w:p>
      <w:pPr>
        <w:numPr>
          <w:ilvl w:val="0"/>
          <w:numId w:val="1281"/>
        </w:numPr>
        <w:pStyle w:val="Compact"/>
      </w:pPr>
      <w:r>
        <w:rPr>
          <w:bCs/>
          <w:b/>
        </w:rPr>
        <w:t xml:space="preserve">Nivel de evidencia:</w:t>
      </w:r>
      <w:r>
        <w:t xml:space="preserve"> </w:t>
      </w:r>
      <w:r>
        <w:rPr>
          <w:bCs/>
          <w:b/>
        </w:rPr>
        <w:t xml:space="preserve">B</w:t>
      </w:r>
      <w:r>
        <w:t xml:space="preserve"> </w:t>
      </w:r>
      <w:r>
        <w:t xml:space="preserve">– medicamento autorizado con décadas de uso; sin embargo, los datos de eficacia proceden sobre todo de grandes series de casos, cohortes y unos pocos estudios aleatorizados pequeños.</w:t>
      </w:r>
    </w:p>
    <w:bookmarkEnd w:id="2276"/>
    <w:bookmarkStart w:id="2277" w:name="cómo-se-supone-que-actúa-51"/>
    <w:p>
      <w:pPr>
        <w:pStyle w:val="Heading3"/>
      </w:pPr>
      <w:r>
        <w:t xml:space="preserve">Cómo se supone que actúa</w:t>
      </w:r>
    </w:p>
    <w:p>
      <w:pPr>
        <w:pStyle w:val="FirstParagraph"/>
      </w:pPr>
      <w:r>
        <w:t xml:space="preserve">El eje hormonal de la reproducción comienza en el hipotálamo. Allí, neuronas especializadas secretan GnRH, no de forma uniforme, sino en pulsos aproximadamente cada una o dos horas. Cada pulso hace que la hipófisis libere las hormonas LH y FSH. Estas actúan sobre los ovarios y los testículos: regulan la maduración de los óvulos y la ovulación, la producción de espermatozoides y la producción de estrógenos y testosterona. El mensajero kisspeptina (capítulo 2E04) se sitúa todavía un escalón por encima y activa las neuronas de GnRH.</w:t>
      </w:r>
    </w:p>
    <w:p>
      <w:pPr>
        <w:pStyle w:val="BodyText"/>
      </w:pPr>
      <w:r>
        <w:t xml:space="preserve">El ritmo de los pulsos es decisivo. Esto se aprecia en una aparente contradicción:</w:t>
      </w:r>
    </w:p>
    <w:p>
      <w:pPr>
        <w:numPr>
          <w:ilvl w:val="0"/>
          <w:numId w:val="1282"/>
        </w:numPr>
        <w:pStyle w:val="Compact"/>
      </w:pPr>
      <w:r>
        <w:t xml:space="preserve">La</w:t>
      </w:r>
      <w:r>
        <w:t xml:space="preserve"> </w:t>
      </w:r>
      <w:r>
        <w:rPr>
          <w:bCs/>
          <w:b/>
        </w:rPr>
        <w:t xml:space="preserve">administración pulsátil</w:t>
      </w:r>
      <w:r>
        <w:t xml:space="preserve"> </w:t>
      </w:r>
      <w:r>
        <w:t xml:space="preserve">–una pequeña cantidad cada 60 a 120 minutos– imita el ritmo natural y</w:t>
      </w:r>
      <w:r>
        <w:t xml:space="preserve"> </w:t>
      </w:r>
      <w:r>
        <w:rPr>
          <w:bCs/>
          <w:b/>
        </w:rPr>
        <w:t xml:space="preserve">activa</w:t>
      </w:r>
      <w:r>
        <w:t xml:space="preserve"> </w:t>
      </w:r>
      <w:r>
        <w:t xml:space="preserve">el eje. En ello se basa la terapia con bomba en personas cuyo hipotálamo produce demasiada poca GnRH.</w:t>
      </w:r>
    </w:p>
    <w:p>
      <w:pPr>
        <w:numPr>
          <w:ilvl w:val="0"/>
          <w:numId w:val="1282"/>
        </w:numPr>
        <w:pStyle w:val="Compact"/>
      </w:pPr>
      <w:r>
        <w:t xml:space="preserve">La</w:t>
      </w:r>
      <w:r>
        <w:t xml:space="preserve"> </w:t>
      </w:r>
      <w:r>
        <w:rPr>
          <w:bCs/>
          <w:b/>
        </w:rPr>
        <w:t xml:space="preserve">estimulación continua</w:t>
      </w:r>
      <w:r>
        <w:t xml:space="preserve">, tras un breve aumento, hace que los receptores de la hipófisis se desactiven. El eje hormonal se</w:t>
      </w:r>
      <w:r>
        <w:t xml:space="preserve"> </w:t>
      </w:r>
      <w:r>
        <w:rPr>
          <w:bCs/>
          <w:b/>
        </w:rPr>
        <w:t xml:space="preserve">frena</w:t>
      </w:r>
      <w:r>
        <w:t xml:space="preserve">, hasta alcanzar valores de testosterona como tras una castración.</w:t>
      </w:r>
    </w:p>
    <w:p>
      <w:pPr>
        <w:pStyle w:val="FirstParagraph"/>
      </w:pPr>
      <w:r>
        <w:t xml:space="preserve">En el segundo principio se basan los análogos de la GnRH, como la leuprorelina, la triptorelina o la goserelina. Están modificados químicamente, actúan mucho más tiempo que la gonadorelina y se emplean como inyección de liberación prolongada contra el cáncer de próstata, la endometriosis, los miomas o la pubertad precoz. No son objeto de este capítulo, pero distorsionan considerablemente los datos disponibles (véase más abajo).</w:t>
      </w:r>
    </w:p>
    <w:p>
      <w:pPr>
        <w:pStyle w:val="BodyText"/>
      </w:pPr>
      <w:r>
        <w:t xml:space="preserve">La propia gonadorelina no es adecuada para un bloqueo continuo: se degrada en la sangre en pocos minutos.</w:t>
      </w:r>
    </w:p>
    <w:bookmarkEnd w:id="2277"/>
    <w:bookmarkStart w:id="2297" w:name="estudios-en-humanos-51"/>
    <w:p>
      <w:pPr>
        <w:pStyle w:val="Heading3"/>
      </w:pPr>
      <w:r>
        <w:t xml:space="preserve">Estudios en humanos</w:t>
      </w:r>
    </w:p>
    <w:p>
      <w:pPr>
        <w:pStyle w:val="FirstParagraph"/>
      </w:pPr>
      <w:r>
        <w:rPr>
          <w:bCs/>
          <w:b/>
        </w:rPr>
        <w:t xml:space="preserve">Magnitud de la evidencia disponible (consulta de octubre de 2026) y por qué las cifras engañan:</w:t>
      </w:r>
      <w:r>
        <w:t xml:space="preserve"> </w:t>
      </w:r>
      <w:r>
        <w:t xml:space="preserve">la búsqueda automatizada de este libro encontró</w:t>
      </w:r>
      <w:r>
        <w:t xml:space="preserve"> </w:t>
      </w:r>
      <w:r>
        <w:rPr>
          <w:bCs/>
          <w:b/>
        </w:rPr>
        <w:t xml:space="preserve">9</w:t>
      </w:r>
      <w:r>
        <w:t xml:space="preserve"> </w:t>
      </w:r>
      <w:r>
        <w:t xml:space="preserve">estudios en humanos en PubMed (</w:t>
      </w:r>
      <w:r>
        <w:rPr>
          <w:rStyle w:val="VerbatimChar"/>
        </w:rPr>
        <w:t xml:space="preserve">humanstudien_alle</w:t>
      </w:r>
      <w:r>
        <w:t xml:space="preserve">) y, en ClinicalTrials.gov, el máximo de</w:t>
      </w:r>
      <w:r>
        <w:t xml:space="preserve"> </w:t>
      </w:r>
      <w:r>
        <w:rPr>
          <w:bCs/>
          <w:b/>
        </w:rPr>
        <w:t xml:space="preserve">1000</w:t>
      </w:r>
      <w:r>
        <w:t xml:space="preserve"> </w:t>
      </w:r>
      <w:r>
        <w:t xml:space="preserve">registros en el que se interrumpe la consulta. Ambas cifras son inservibles para valorar la gonadorelina, y en sentidos opuestos:</w:t>
      </w:r>
    </w:p>
    <w:p>
      <w:pPr>
        <w:numPr>
          <w:ilvl w:val="0"/>
          <w:numId w:val="1283"/>
        </w:numPr>
        <w:pStyle w:val="Compact"/>
      </w:pPr>
      <w:r>
        <w:rPr>
          <w:bCs/>
          <w:b/>
        </w:rPr>
        <w:t xml:space="preserve">La cifra de registros está muy sobrestimada.</w:t>
      </w:r>
      <w:r>
        <w:t xml:space="preserve"> </w:t>
      </w:r>
      <w:r>
        <w:t xml:space="preserve">ClinicalTrials.gov asigna el término de búsqueda «gonadorelin» al término genérico «Gonadotropin-Releasing Hormone». Por ello aparecen todos los estudios con análogos y antagonistas de la GnRH. En los títulos de los 1000 resultados, la palabra «prostate» aparece 340 veces, «androgen deprivation» 57 veces, y la leuprorelina, la goserelina y la triptorelina juntas, bastante más de cien veces. Una revisión de los títulos solo arrojó unos diez registros que estudian realmente la GnRH nativa o la gonadorelina, por ejemplo como bomba, parche o prueba funcional.</w:t>
      </w:r>
    </w:p>
    <w:p>
      <w:pPr>
        <w:numPr>
          <w:ilvl w:val="0"/>
          <w:numId w:val="1283"/>
        </w:numPr>
        <w:pStyle w:val="Compact"/>
      </w:pPr>
      <w:r>
        <w:rPr>
          <w:bCs/>
          <w:b/>
        </w:rPr>
        <w:t xml:space="preserve">La cifra de PubMed está subestimada.</w:t>
      </w:r>
      <w:r>
        <w:t xml:space="preserve"> </w:t>
      </w:r>
      <w:r>
        <w:t xml:space="preserve">La mayoría de los estudios sobre la hormona idéntica a la endógena utilizan los términos «GnRH» o «LHRH» y no el nombre del principio activo. A la inversa, varios de los nueve resultados no se refieren en absoluto a la gonadorelina como tratamiento: un trabajo estudió un análogo de la GnRH en el cáncer de próstata</w:t>
      </w:r>
      <w:r>
        <w:rPr>
          <w:rStyle w:val="FootnoteReference"/>
        </w:rPr>
        <w:footnoteReference w:id="2278"/>
      </w:r>
      <w:r>
        <w:t xml:space="preserve">, y otros usaron la gonadorelina solo como sustancia de prueba, por ejemplo para examinar el efecto de un hipolipemiante o de la luz UV sobre el eje hormonal</w:t>
      </w:r>
      <w:r>
        <w:rPr>
          <w:rStyle w:val="FootnoteReference"/>
        </w:rPr>
        <w:footnoteReference w:id="2279"/>
      </w:r>
      <w:r>
        <w:t xml:space="preserve">.</w:t>
      </w:r>
    </w:p>
    <w:p>
      <w:pPr>
        <w:pStyle w:val="FirstParagraph"/>
      </w:pPr>
      <w:r>
        <w:t xml:space="preserve">Por eso, este capítulo se basa en una búsqueda complementaria y dirigida de estudios sobre la terapia pulsátil con GnRH y sobre la prueba de GnRH.</w:t>
      </w:r>
    </w:p>
    <w:bookmarkStart w:id="2283" w:name="diagnóstico-la-prueba-de-gnrh"/>
    <w:p>
      <w:pPr>
        <w:pStyle w:val="Heading4"/>
      </w:pPr>
      <w:r>
        <w:t xml:space="preserve">Diagnóstico: la prueba de GnRH</w:t>
      </w:r>
    </w:p>
    <w:p>
      <w:pPr>
        <w:pStyle w:val="FirstParagraph"/>
      </w:pPr>
      <w:r>
        <w:t xml:space="preserve">En la prueba de GnRH (también prueba de LHRH) se inyecta gonadorelina por vía intravenosa; a continuación se mide durante una o dos horas cuánto aumentan la LH y la FSH. La prueba es útil sobre todo en niños con pubertad demasiado temprana: un aumento claro de la LH indica que el eje hormonal del cerebro ya está activo (pubertad precoz central).</w:t>
      </w:r>
    </w:p>
    <w:p>
      <w:pPr>
        <w:pStyle w:val="BodyText"/>
      </w:pPr>
      <w:r>
        <w:t xml:space="preserve">En un análisis de 584 pruebas (314 de ellas diagnósticas), bastaba una única muestra de sangre 40 minutos después de la inyección para el diagnóstico: con un umbral de LH de 5 UI/l, la sensibilidad fue del 98 % y la especificidad del 100 %</w:t>
      </w:r>
      <w:r>
        <w:rPr>
          <w:rStyle w:val="FootnoteReference"/>
        </w:rPr>
        <w:footnoteReference w:id="2280"/>
      </w:r>
      <w:r>
        <w:t xml:space="preserve">. Una revisión señala limitaciones, por ejemplo en estadios puberales muy tempranos y en niños con sobrepeso, así como umbrales heterogéneos entre estudios</w:t>
      </w:r>
      <w:r>
        <w:rPr>
          <w:rStyle w:val="FootnoteReference"/>
        </w:rPr>
        <w:footnoteReference w:id="2281"/>
      </w:r>
      <w:r>
        <w:t xml:space="preserve">.</w:t>
      </w:r>
    </w:p>
    <w:p>
      <w:pPr>
        <w:pStyle w:val="BodyText"/>
      </w:pPr>
      <w:r>
        <w:t xml:space="preserve">Como la GnRH nativa es cara y en muchos lugares no está disponible, se utiliza cada vez más como sustituto un análogo de acción corta. En un estudio con 341 niñas, una prueba con triptorelina fue tan precisa como la prueba de gonadorelina</w:t>
      </w:r>
      <w:r>
        <w:rPr>
          <w:rStyle w:val="FootnoteReference"/>
        </w:rPr>
        <w:footnoteReference w:id="2282"/>
      </w:r>
      <w:r>
        <w:t xml:space="preserve">.</w:t>
      </w:r>
    </w:p>
    <w:bookmarkEnd w:id="2283"/>
    <w:bookmarkStart w:id="2289" w:name="X784f0c5dfd320c5758ff664081cf5fbf2dbc3b9"/>
    <w:p>
      <w:pPr>
        <w:pStyle w:val="Heading4"/>
      </w:pPr>
      <w:r>
        <w:t xml:space="preserve">Deseo de tener hijos: la bomba de GnRH en mujeres</w:t>
      </w:r>
    </w:p>
    <w:p>
      <w:pPr>
        <w:pStyle w:val="FirstParagraph"/>
      </w:pPr>
      <w:r>
        <w:t xml:space="preserve">En la amenorrea hipotalámica falta la regla porque el cerebro produce demasiada poca GnRH, a menudo tras una gran pérdida de peso, deporte intenso o estrés, y con menos frecuencia por causas congénitas. Una pequeña bomba portátil puede sustituir el ritmo que falta.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Santoro 1990, PMID 2122733</w:t>
            </w:r>
          </w:p>
        </w:tc>
        <w:tc>
          <w:tcPr/>
          <w:p>
            <w:pPr>
              <w:pStyle w:val="Compact"/>
              <w:jc w:val="left"/>
            </w:pPr>
            <w:r>
              <w:t xml:space="preserve">109 mujeres con amenorrea hipotalámica, estudio multicéntrico con bomba intravenosa</w:t>
            </w:r>
          </w:p>
        </w:tc>
        <w:tc>
          <w:tcPr/>
          <w:p>
            <w:pPr>
              <w:pStyle w:val="Compact"/>
              <w:jc w:val="left"/>
            </w:pPr>
            <w:r>
              <w:t xml:space="preserve">varios ciclos</w:t>
            </w:r>
          </w:p>
        </w:tc>
        <w:tc>
          <w:tcPr/>
          <w:p>
            <w:pPr>
              <w:pStyle w:val="Compact"/>
              <w:jc w:val="left"/>
            </w:pPr>
            <w:r>
              <w:t xml:space="preserve">ovulación en el 91 % y el 96 %, respectivamente; embarazos múltiples 12 %</w:t>
            </w:r>
          </w:p>
        </w:tc>
      </w:tr>
      <w:tr>
        <w:tc>
          <w:tcPr/>
          <w:p>
            <w:pPr>
              <w:pStyle w:val="Compact"/>
              <w:jc w:val="left"/>
            </w:pPr>
            <w:r>
              <w:t xml:space="preserve">Filicori 1994, PMID 7962297</w:t>
            </w:r>
          </w:p>
        </w:tc>
        <w:tc>
          <w:tcPr/>
          <w:p>
            <w:pPr>
              <w:pStyle w:val="Compact"/>
              <w:jc w:val="left"/>
            </w:pPr>
            <w:r>
              <w:t xml:space="preserve">292 mujeres, 600 ciclos, distintas causas</w:t>
            </w:r>
          </w:p>
        </w:tc>
        <w:tc>
          <w:tcPr/>
          <w:p>
            <w:pPr>
              <w:pStyle w:val="Compact"/>
              <w:jc w:val="left"/>
            </w:pPr>
            <w:r>
              <w:t xml:space="preserve">1984–1993</w:t>
            </w:r>
          </w:p>
        </w:tc>
        <w:tc>
          <w:tcPr/>
          <w:p>
            <w:pPr>
              <w:pStyle w:val="Compact"/>
              <w:jc w:val="left"/>
            </w:pPr>
            <w:r>
              <w:t xml:space="preserve">ovulación en el 75 % de los ciclos; embarazo 18 % por ciclo; embarazos múltiples 3,8 %; abortos 30 %</w:t>
            </w:r>
          </w:p>
        </w:tc>
      </w:tr>
      <w:tr>
        <w:tc>
          <w:tcPr/>
          <w:p>
            <w:pPr>
              <w:pStyle w:val="Compact"/>
              <w:jc w:val="left"/>
            </w:pPr>
            <w:r>
              <w:t xml:space="preserve">Christin-Maitre 2007, PMID 17293247</w:t>
            </w:r>
          </w:p>
        </w:tc>
        <w:tc>
          <w:tcPr/>
          <w:p>
            <w:pPr>
              <w:pStyle w:val="Compact"/>
              <w:jc w:val="left"/>
            </w:pPr>
            <w:r>
              <w:t xml:space="preserve">248 mujeres, 829 ciclos, 24 centros franceses, retrospectivo</w:t>
            </w:r>
          </w:p>
        </w:tc>
        <w:tc>
          <w:tcPr/>
          <w:p>
            <w:pPr>
              <w:pStyle w:val="Compact"/>
              <w:jc w:val="left"/>
            </w:pPr>
            <w:r>
              <w:t xml:space="preserve">3 años</w:t>
            </w:r>
          </w:p>
        </w:tc>
        <w:tc>
          <w:tcPr/>
          <w:p>
            <w:pPr>
              <w:pStyle w:val="Compact"/>
              <w:jc w:val="left"/>
            </w:pPr>
            <w:r>
              <w:t xml:space="preserve">embarazo 25 % por ciclo; embarazos múltiples 8,8 %; ninguna hiperestimulación grave</w:t>
            </w:r>
          </w:p>
        </w:tc>
      </w:tr>
      <w:tr>
        <w:tc>
          <w:tcPr/>
          <w:p>
            <w:pPr>
              <w:pStyle w:val="Compact"/>
              <w:jc w:val="left"/>
            </w:pPr>
            <w:r>
              <w:t xml:space="preserve">Dubourdieu 2013, PMID 23298894</w:t>
            </w:r>
          </w:p>
        </w:tc>
        <w:tc>
          <w:tcPr/>
          <w:p>
            <w:pPr>
              <w:pStyle w:val="Compact"/>
              <w:jc w:val="left"/>
            </w:pPr>
            <w:r>
              <w:t xml:space="preserve">30 mujeres con amenorrea y SOP, ECA: bomba frente a gonadotropinas</w:t>
            </w:r>
          </w:p>
        </w:tc>
        <w:tc>
          <w:tcPr/>
          <w:p>
            <w:pPr>
              <w:pStyle w:val="Compact"/>
              <w:jc w:val="left"/>
            </w:pPr>
            <w:r>
              <w:t xml:space="preserve">un ciclo</w:t>
            </w:r>
          </w:p>
        </w:tc>
        <w:tc>
          <w:tcPr/>
          <w:p>
            <w:pPr>
              <w:pStyle w:val="Compact"/>
              <w:jc w:val="left"/>
            </w:pPr>
            <w:r>
              <w:t xml:space="preserve">embarazo clínico 46 % frente a 0 %</w:t>
            </w:r>
          </w:p>
        </w:tc>
      </w:tr>
      <w:tr>
        <w:tc>
          <w:tcPr/>
          <w:p>
            <w:pPr>
              <w:pStyle w:val="Compact"/>
              <w:jc w:val="left"/>
            </w:pPr>
            <w:r>
              <w:t xml:space="preserve">Quaas 2022, PMID 36378460</w:t>
            </w:r>
          </w:p>
        </w:tc>
        <w:tc>
          <w:tcPr/>
          <w:p>
            <w:pPr>
              <w:pStyle w:val="Compact"/>
              <w:jc w:val="left"/>
            </w:pPr>
            <w:r>
              <w:t xml:space="preserve">66 mujeres, 212 ciclos, centro suizo, retrospectivo</w:t>
            </w:r>
          </w:p>
        </w:tc>
        <w:tc>
          <w:tcPr/>
          <w:p>
            <w:pPr>
              <w:pStyle w:val="Compact"/>
              <w:jc w:val="left"/>
            </w:pPr>
            <w:r>
              <w:t xml:space="preserve">1996–2020</w:t>
            </w:r>
          </w:p>
        </w:tc>
        <w:tc>
          <w:tcPr/>
          <w:p>
            <w:pPr>
              <w:pStyle w:val="Compact"/>
              <w:jc w:val="left"/>
            </w:pPr>
            <w:r>
              <w:t xml:space="preserve">nacido vivo por tratamiento 65,9 %; un folículo en el 75 % de los ciclos; un embarazo gemelar</w:t>
            </w:r>
          </w:p>
        </w:tc>
      </w:tr>
    </w:tbl>
    <w:p>
      <w:pPr>
        <w:pStyle w:val="BodyText"/>
      </w:pPr>
      <w:r>
        <w:t xml:space="preserve">Las cifras muestran un panorama coherente: en mujeres cuyo problema reside realmente en el hipotálamo, la bomba lleva a una ovulación en la gran mayoría de los ciclos, a menudo con un solo óvulo en maduración. Como la hipófisis conserva su propia retroalimentación, la hiperestimulación y los embarazos múltiples son menos frecuentes que con las gonadotropinas inyectadas directamente</w:t>
      </w:r>
      <w:r>
        <w:rPr>
          <w:rStyle w:val="FootnoteReference"/>
        </w:rPr>
        <w:footnoteReference w:id="2284"/>
      </w:r>
      <w:r>
        <w:t xml:space="preserve">. En mujeres con síndrome de ovario poliquístico o con sobrepeso, la bomba funciona peor, y los abortos fueron frecuentes en la mayor serie individual</w:t>
      </w:r>
      <w:r>
        <w:rPr>
          <w:rStyle w:val="FootnoteReference"/>
        </w:rPr>
        <w:footnoteReference w:id="2285"/>
      </w:r>
      <w:r>
        <w:t xml:space="preserve">.</w:t>
      </w:r>
    </w:p>
    <w:p>
      <w:pPr>
        <w:pStyle w:val="BodyText"/>
      </w:pPr>
      <w:r>
        <w:t xml:space="preserve">Los inconvenientes son de tipo práctico: la bomba debe llevarse durante semanas. Con la administración intravenosa se produjeron complicaciones en el acceso, de media en el 7 %</w:t>
      </w:r>
      <w:r>
        <w:rPr>
          <w:rStyle w:val="FootnoteReference"/>
        </w:rPr>
        <w:footnoteReference w:id="2286"/>
      </w:r>
      <w:r>
        <w:t xml:space="preserve">. Hoy se bombea casi siempre por vía subcutánea; en el estudio francés aparecieron reacciones alérgicas locales en el 1,7 % de los ciclos</w:t>
      </w:r>
      <w:r>
        <w:rPr>
          <w:rStyle w:val="FootnoteReference"/>
        </w:rPr>
        <w:footnoteReference w:id="2287"/>
      </w:r>
      <w:r>
        <w:t xml:space="preserve">.</w:t>
      </w:r>
    </w:p>
    <w:p>
      <w:pPr>
        <w:pStyle w:val="BodyText"/>
      </w:pPr>
      <w:r>
        <w:t xml:space="preserve">Los datos son antiguos y en su mayoría no aleatorizados. Faltan grandes estudios comparativos con protocolos modernos de gonadotropinas. Aun así, los especialistas consideran la bomba un método especialmente fisiológico y seguro en la amenorrea hipotalámica con deseo de tener hijos</w:t>
      </w:r>
      <w:r>
        <w:rPr>
          <w:rStyle w:val="FootnoteReference"/>
        </w:rPr>
        <w:footnoteReference w:id="2288"/>
      </w:r>
      <w:r>
        <w:t xml:space="preserve">, siempre que esté disponible.</w:t>
      </w:r>
    </w:p>
    <w:bookmarkEnd w:id="2289"/>
    <w:bookmarkStart w:id="2293" w:name="hombres-con-déficit-hormonal"/>
    <w:p>
      <w:pPr>
        <w:pStyle w:val="Heading4"/>
      </w:pPr>
      <w:r>
        <w:t xml:space="preserve">Hombres con déficit hormonal</w:t>
      </w:r>
    </w:p>
    <w:p>
      <w:pPr>
        <w:pStyle w:val="FirstParagraph"/>
      </w:pPr>
      <w:r>
        <w:t xml:space="preserve">También los hombres con déficit congénito de GnRH –por ejemplo en el síndrome de Kallmann, en el que además falta el sentido del olfato– pueden tratarse con la bomba para estimular el crecimiento testicular y la producción de espermatozoides.</w:t>
      </w:r>
    </w:p>
    <w:p>
      <w:pPr>
        <w:pStyle w:val="BodyText"/>
      </w:pPr>
      <w:r>
        <w:t xml:space="preserve">En un análisis de 26 hombres en un centro universitario alemán aparecieron espermatozoides en el eyaculado en 30 de 33 ciclos de tratamiento; en 15 de 18 casos con deseo de tener hijos, la pareja quedó embarazada. La bomba y las gonadotropinas inyectadas fueron igual de eficaces</w:t>
      </w:r>
      <w:r>
        <w:rPr>
          <w:rStyle w:val="FootnoteReference"/>
        </w:rPr>
        <w:footnoteReference w:id="2290"/>
      </w:r>
      <w:r>
        <w:t xml:space="preserve">. En chicos chinos en edad puberal, los testículos crecieron más con la bomba que con inyecciones de hCG</w:t>
      </w:r>
      <w:r>
        <w:rPr>
          <w:rStyle w:val="FootnoteReference"/>
        </w:rPr>
        <w:footnoteReference w:id="2291"/>
      </w:r>
      <w:r>
        <w:t xml:space="preserve">. Un pequeño estudio aleatorizado encontró indicios de que un tratamiento previo con FSH antes de la bomba podría mejorar la producción de espermatozoides: los siete hombres pretratados tuvieron después espermatozoides, frente a cuatro de seis sin pretratamiento</w:t>
      </w:r>
      <w:r>
        <w:rPr>
          <w:rStyle w:val="FootnoteReference"/>
        </w:rPr>
        <w:footnoteReference w:id="2292"/>
      </w:r>
      <w:r>
        <w:t xml:space="preserve">.</w:t>
      </w:r>
    </w:p>
    <w:bookmarkEnd w:id="2293"/>
    <w:bookmarkStart w:id="2296" w:name="lactantes-con-criptorquidia"/>
    <w:p>
      <w:pPr>
        <w:pStyle w:val="Heading4"/>
      </w:pPr>
      <w:r>
        <w:t xml:space="preserve">Lactantes con criptorquidia</w:t>
      </w:r>
    </w:p>
    <w:p>
      <w:pPr>
        <w:pStyle w:val="FirstParagraph"/>
      </w:pPr>
      <w:r>
        <w:t xml:space="preserve">En algunos países europeos se administra un espray nasal de gonadorelina antes o después de la operación de la criptorquidia (testículo no descendido) para favorecer la maduración de las células germinales. Un estudio aleatorizado con 62 lactantes comunicó hallazgos ecográficos más favorables tras el tratamiento combinado</w:t>
      </w:r>
      <w:r>
        <w:rPr>
          <w:rStyle w:val="FootnoteReference"/>
        </w:rPr>
        <w:footnoteReference w:id="2294"/>
      </w:r>
      <w:r>
        <w:t xml:space="preserve">. En cambio, otro estudio aleatorizado con 36 niños no encontró diferencias en el tamaño del pene, el volumen testicular ni los valores hormonales en el momento de la operación; no obstante, el tratamiento resultó seguro</w:t>
      </w:r>
      <w:r>
        <w:rPr>
          <w:rStyle w:val="FootnoteReference"/>
        </w:rPr>
        <w:footnoteReference w:id="2295"/>
      </w:r>
      <w:r>
        <w:t xml:space="preserve">. El beneficio es discutido; lo prioritario es la operación temprana.</w:t>
      </w:r>
    </w:p>
    <w:bookmarkEnd w:id="2296"/>
    <w:bookmarkEnd w:id="2297"/>
    <w:bookmarkStart w:id="2298" w:name="estudios-en-animales-y-de-laboratorio-51"/>
    <w:p>
      <w:pPr>
        <w:pStyle w:val="Heading3"/>
      </w:pPr>
      <w:r>
        <w:t xml:space="preserve">Estudios en animales y de laboratorio</w:t>
      </w:r>
    </w:p>
    <w:p>
      <w:pPr>
        <w:pStyle w:val="FirstParagraph"/>
      </w:pPr>
      <w:r>
        <w:t xml:space="preserve">La gonadorelina es una de las hormonas mejor comprendidas; sus fundamentos proceden de experimentos con animales de la década de 1970. Hoy, la investigación animal apenas desempeña ya un papel en la valoración en humanos. En veterinaria, la gonadorelina se utiliza ampliamente, sobre todo en el ganado bovino para controlar la ovulación. Estos preparados están autorizados para animales y no para personas.</w:t>
      </w:r>
    </w:p>
    <w:bookmarkEnd w:id="2298"/>
    <w:bookmarkStart w:id="2302" w:name="riesgos-y-efectos-adversos-51"/>
    <w:p>
      <w:pPr>
        <w:pStyle w:val="Heading3"/>
      </w:pPr>
      <w:r>
        <w:t xml:space="preserve">Riesgos y efectos adversos</w:t>
      </w:r>
    </w:p>
    <w:bookmarkStart w:id="2300" w:name="demostrados-3"/>
    <w:p>
      <w:pPr>
        <w:pStyle w:val="Heading4"/>
      </w:pPr>
      <w:r>
        <w:t xml:space="preserve">Demostrados</w:t>
      </w:r>
    </w:p>
    <w:p>
      <w:pPr>
        <w:pStyle w:val="FirstParagraph"/>
      </w:pPr>
      <w:r>
        <w:t xml:space="preserve">La gonadorelina se considera bien tolerada. En los estudios sobre la terapia con bomba predominaron los problemas del acceso (inflamación, irritación venosa con la administración intravenosa) y las reacciones cutáneas locales</w:t>
      </w:r>
      <w:r>
        <w:rPr>
          <w:rStyle w:val="FootnoteReference"/>
        </w:rPr>
        <w:footnoteReference w:id="2299"/>
      </w:r>
      <w:r>
        <w:t xml:space="preserve">. Se producen embarazos múltiples, aunque con menos frecuencia que con las gonadotropinas; las hiperestimulaciones graves son la excepción. En la prueba pueden aparecer transitoriamente cefalea, náuseas o sofocos. Las reacciones alérgicas se han descrito raramente. Los detalles figuran en la ficha técnica; su uso corresponde al ámbito médico.</w:t>
      </w:r>
    </w:p>
    <w:bookmarkEnd w:id="2300"/>
    <w:bookmarkStart w:id="2301" w:name="con-un-uso-incorrecto"/>
    <w:p>
      <w:pPr>
        <w:pStyle w:val="Heading4"/>
      </w:pPr>
      <w:r>
        <w:t xml:space="preserve">Con un uso incorrecto</w:t>
      </w:r>
    </w:p>
    <w:p>
      <w:pPr>
        <w:pStyle w:val="FirstParagraph"/>
      </w:pPr>
      <w:r>
        <w:t xml:space="preserve">Si la gonadorelina no se administra con el ritmo correcto, sino con demasiada frecuencia o de forma continua, puede suprimir el propio eje hormonal en lugar de estimularlo. No es un riesgo teórico, sino el mecanismo de acción de los análogos de la GnRH.</w:t>
      </w:r>
    </w:p>
    <w:bookmarkEnd w:id="2301"/>
    <w:bookmarkEnd w:id="2302"/>
    <w:bookmarkStart w:id="2306" w:name="X21d688908b870827820a7267a0273281a666205"/>
    <w:p>
      <w:pPr>
        <w:pStyle w:val="Heading3"/>
      </w:pPr>
      <w:r>
        <w:t xml:space="preserve">Contexto: la gonadorelina en el culturismo</w:t>
      </w:r>
    </w:p>
    <w:p>
      <w:pPr>
        <w:pStyle w:val="FirstParagraph"/>
      </w:pPr>
      <w:r>
        <w:t xml:space="preserve">En foros de internet y en algunos proveedores de «optimización hormonal», la gonadorelina se promociona como parte de la llamada terapia poscíclica (post-cycle therapy, PCT). Se trata de la fase posterior a un ciclo de esteroides anabolizantes: las hormonas aportadas artificialmente han suprimido la producción propia de testosterona, y la gonadorelina debería «volver a poner en marcha» el eje hormonal. En EE. UU., según diversas informaciones, también se ofrece como sustituto de la hCG.</w:t>
      </w:r>
    </w:p>
    <w:p>
      <w:pPr>
        <w:pStyle w:val="BodyText"/>
      </w:pPr>
      <w:r>
        <w:t xml:space="preserve">Lo que se sabe al respecto:</w:t>
      </w:r>
    </w:p>
    <w:p>
      <w:pPr>
        <w:numPr>
          <w:ilvl w:val="0"/>
          <w:numId w:val="1284"/>
        </w:numPr>
        <w:pStyle w:val="Compact"/>
      </w:pPr>
      <w:r>
        <w:rPr>
          <w:bCs/>
          <w:b/>
        </w:rPr>
        <w:t xml:space="preserve">No hay estudios</w:t>
      </w:r>
      <w:r>
        <w:t xml:space="preserve"> </w:t>
      </w:r>
      <w:r>
        <w:t xml:space="preserve">sobre la gonadorelina en esta situación. Los datos sobre la PCT en general son escasos; casi solo se han estudiado antiestrógenos, hCG e inhibidores de la aromatasa, y también para ellos hay sobre todo datos observacionales. Desde el punto de vista científico, mayoritariamente no se recomienda una PCT</w:t>
      </w:r>
      <w:r>
        <w:rPr>
          <w:rStyle w:val="FootnoteReference"/>
        </w:rPr>
        <w:footnoteReference w:id="2303"/>
      </w:r>
      <w:r>
        <w:t xml:space="preserve">.</w:t>
      </w:r>
    </w:p>
    <w:p>
      <w:pPr>
        <w:numPr>
          <w:ilvl w:val="0"/>
          <w:numId w:val="1284"/>
        </w:numPr>
        <w:pStyle w:val="Compact"/>
      </w:pPr>
      <w:r>
        <w:rPr>
          <w:bCs/>
          <w:b/>
        </w:rPr>
        <w:t xml:space="preserve">La recuperación suele producirse por sí sola.</w:t>
      </w:r>
      <w:r>
        <w:t xml:space="preserve"> </w:t>
      </w:r>
      <w:r>
        <w:t xml:space="preserve">En el estudio neerlandés HAARLEM, con 100 deportistas de fuerza, la testosterona se había normalizado en la mayoría tres meses después del final del ciclo de esteroides; al cabo de un año seguía por debajo del rango normal en el 11 %, y en el 34 % el recuento de espermatozoides seguía siendo bajo</w:t>
      </w:r>
      <w:r>
        <w:rPr>
          <w:rStyle w:val="FootnoteReference"/>
        </w:rPr>
        <w:footnoteReference w:id="2304"/>
      </w:r>
      <w:r>
        <w:t xml:space="preserve">.</w:t>
      </w:r>
    </w:p>
    <w:p>
      <w:pPr>
        <w:numPr>
          <w:ilvl w:val="0"/>
          <w:numId w:val="1284"/>
        </w:numPr>
        <w:pStyle w:val="Compact"/>
      </w:pPr>
      <w:r>
        <w:rPr>
          <w:bCs/>
          <w:b/>
        </w:rPr>
        <w:t xml:space="preserve">El mecanismo de acción desaconseja un uso ingenuo.</w:t>
      </w:r>
      <w:r>
        <w:t xml:space="preserve"> </w:t>
      </w:r>
      <w:r>
        <w:t xml:space="preserve">Las inyecciones aisladas solo generan picos breves de LH; las administraciones frecuentes pueden más bien insensibilizar la hipófisis. Sin bomba y sin control analítico no cabe esperar un beneficio, y no puede descartarse un retraso de la recuperación.</w:t>
      </w:r>
    </w:p>
    <w:p>
      <w:pPr>
        <w:numPr>
          <w:ilvl w:val="0"/>
          <w:numId w:val="1284"/>
        </w:numPr>
        <w:pStyle w:val="Compact"/>
      </w:pPr>
      <w:r>
        <w:rPr>
          <w:bCs/>
          <w:b/>
        </w:rPr>
        <w:t xml:space="preserve">Quien tenga molestias tras el uso de esteroides</w:t>
      </w:r>
      <w:r>
        <w:t xml:space="preserve">, como falta de energía, pérdida de libido o un deseo de tener hijos no cumplido, debería consultarlo con un médico, idealmente en una consulta de andrología o endocrinología.</w:t>
      </w:r>
    </w:p>
    <w:p>
      <w:pPr>
        <w:pStyle w:val="FirstParagraph"/>
      </w:pPr>
      <w:r>
        <w:t xml:space="preserve">En el deporte, la gonadorelina está prohibida para los hombres. Los laboratorios antidopaje han desarrollado métodos de detección propios; una revisión describe la gonadorelina como ejemplo de un péptido del que se ha abusado en los últimos años en el deporte de competición</w:t>
      </w:r>
      <w:r>
        <w:rPr>
          <w:rStyle w:val="FootnoteReference"/>
        </w:rPr>
        <w:footnoteReference w:id="2305"/>
      </w:r>
      <w:r>
        <w:t xml:space="preserve">.</w:t>
      </w:r>
    </w:p>
    <w:bookmarkEnd w:id="2306"/>
    <w:bookmarkStart w:id="2307" w:name="situación-legal-51"/>
    <w:p>
      <w:pPr>
        <w:pStyle w:val="Heading3"/>
      </w:pPr>
      <w:r>
        <w:t xml:space="preserve">Situación legal</w:t>
      </w:r>
    </w:p>
    <w:p>
      <w:pPr>
        <w:pStyle w:val="FirstParagraph"/>
      </w:pPr>
      <w:r>
        <w:rPr>
          <w:iCs/>
          <w:i/>
        </w:rPr>
        <w:t xml:space="preserve">Situación en 2026, compruébese la versión actual.</w:t>
      </w:r>
    </w:p>
    <w:p>
      <w:pPr>
        <w:numPr>
          <w:ilvl w:val="0"/>
          <w:numId w:val="1285"/>
        </w:numPr>
        <w:pStyle w:val="Compact"/>
      </w:pPr>
      <w:r>
        <w:rPr>
          <w:bCs/>
          <w:b/>
        </w:rPr>
        <w:t xml:space="preserve">UE:</w:t>
      </w:r>
      <w:r>
        <w:t xml:space="preserve"> </w:t>
      </w:r>
      <w:r>
        <w:t xml:space="preserve">sin autorización centralizada de la UE; autorizaciones nacionales en varios Estados miembros, entre otras como agente diagnóstico, para la terapia pulsátil con bomba y como espray nasal en la criptorquidia. Los preparados están sujetos a prescripción médica.</w:t>
      </w:r>
    </w:p>
    <w:p>
      <w:pPr>
        <w:numPr>
          <w:ilvl w:val="0"/>
          <w:numId w:val="1285"/>
        </w:numPr>
        <w:pStyle w:val="Compact"/>
      </w:pPr>
      <w:r>
        <w:rPr>
          <w:bCs/>
          <w:b/>
        </w:rPr>
        <w:t xml:space="preserve">Alemania:</w:t>
      </w:r>
      <w:r>
        <w:t xml:space="preserve"> </w:t>
      </w:r>
      <w:r>
        <w:t xml:space="preserve">los preparados para la prueba de GnRH y para la terapia con bomba estaban o están en el mercado; la disponibilidad actual fluctúa. El tratamiento se realiza en centros especializados.</w:t>
      </w:r>
    </w:p>
    <w:p>
      <w:pPr>
        <w:numPr>
          <w:ilvl w:val="0"/>
          <w:numId w:val="1285"/>
        </w:numPr>
        <w:pStyle w:val="Compact"/>
      </w:pPr>
      <w:r>
        <w:rPr>
          <w:bCs/>
          <w:b/>
        </w:rPr>
        <w:t xml:space="preserve">Austria:</w:t>
      </w:r>
      <w:r>
        <w:t xml:space="preserve"> </w:t>
      </w:r>
      <w:r>
        <w:t xml:space="preserve">sujeta a prescripción médica; comprueba la disponibilidad actual de cada preparado en la lista de especialidades farmacéuticas.</w:t>
      </w:r>
    </w:p>
    <w:p>
      <w:pPr>
        <w:numPr>
          <w:ilvl w:val="0"/>
          <w:numId w:val="1285"/>
        </w:numPr>
        <w:pStyle w:val="Compact"/>
      </w:pPr>
      <w:r>
        <w:rPr>
          <w:bCs/>
          <w:b/>
        </w:rPr>
        <w:t xml:space="preserve">EE. UU.:</w:t>
      </w:r>
      <w:r>
        <w:t xml:space="preserve"> </w:t>
      </w:r>
      <w:r>
        <w:t xml:space="preserve">los preparados de uso humano autorizados anteriormente han salido del mercado. Según diversas informaciones, farmacias de formulación magistral ofrecen gonadorelina; la evaluación regulatoria de estas preparaciones está en evolución. Los medicamentos veterinarios con gonadorelina no están destinados a personas.</w:t>
      </w:r>
    </w:p>
    <w:p>
      <w:pPr>
        <w:numPr>
          <w:ilvl w:val="0"/>
          <w:numId w:val="1285"/>
        </w:numPr>
        <w:pStyle w:val="Compact"/>
      </w:pPr>
      <w:r>
        <w:rPr>
          <w:bCs/>
          <w:b/>
        </w:rPr>
        <w:t xml:space="preserve">WADA:</w:t>
      </w:r>
      <w:r>
        <w:t xml:space="preserve"> </w:t>
      </w:r>
      <w:r>
        <w:t xml:space="preserve">S2 – prohibida para los hombres en competición y fuera de ella.</w:t>
      </w:r>
    </w:p>
    <w:bookmarkEnd w:id="2307"/>
    <w:bookmarkStart w:id="2311" w:name="estudios-en-curso-y-perspectivas-51"/>
    <w:p>
      <w:pPr>
        <w:pStyle w:val="Heading3"/>
      </w:pPr>
      <w:r>
        <w:t xml:space="preserve">Estudios en curso y perspectivas</w:t>
      </w:r>
    </w:p>
    <w:p>
      <w:pPr>
        <w:pStyle w:val="FirstParagraph"/>
      </w:pPr>
      <w:r>
        <w:rPr>
          <w:bCs/>
          <w:b/>
        </w:rPr>
        <w:t xml:space="preserve">Confirmado (estudios registrados):</w:t>
      </w:r>
      <w:r>
        <w:t xml:space="preserve"> </w:t>
      </w:r>
      <w:r>
        <w:t xml:space="preserve">entre los pocos registros que se refieren realmente a la GnRH nativa se encuentran:</w:t>
      </w:r>
    </w:p>
    <w:p>
      <w:pPr>
        <w:numPr>
          <w:ilvl w:val="0"/>
          <w:numId w:val="1286"/>
        </w:numPr>
        <w:pStyle w:val="Compact"/>
      </w:pPr>
      <w:r>
        <w:t xml:space="preserve">estudios finalizados del fabricante Ferring sobre un parche cutáneo que libera la GnRH de forma pulsátil a través de la piel mediante una corriente débil (NCT00296465, con 132 participantes, y NCT00796289, con 350). Según el conocimiento del autor, los resultados de estos estudios no se han publicado en PubMed, y el parche no llegó al mercado;</w:t>
      </w:r>
    </w:p>
    <w:p>
      <w:pPr>
        <w:numPr>
          <w:ilvl w:val="0"/>
          <w:numId w:val="1286"/>
        </w:numPr>
        <w:pStyle w:val="Compact"/>
      </w:pPr>
      <w:r>
        <w:t xml:space="preserve">un estudio retirado en 2025 sobre la administración de GnRH con una bomba de insulina moderna sin tubo</w:t>
      </w:r>
      <w:r>
        <w:rPr>
          <w:rStyle w:val="FootnoteReference"/>
        </w:rPr>
        <w:footnoteReference w:id="2308"/>
      </w:r>
      <w:r>
        <w:t xml:space="preserve">;</w:t>
      </w:r>
    </w:p>
    <w:p>
      <w:pPr>
        <w:numPr>
          <w:ilvl w:val="0"/>
          <w:numId w:val="1286"/>
        </w:numPr>
        <w:pStyle w:val="Compact"/>
      </w:pPr>
      <w:r>
        <w:t xml:space="preserve">estudios chinos sobre la bomba en el déficit hormonal congénito</w:t>
      </w:r>
      <w:r>
        <w:rPr>
          <w:rStyle w:val="FootnoteReference"/>
        </w:rPr>
        <w:footnoteReference w:id="2309"/>
      </w:r>
      <w:r>
        <w:t xml:space="preserve"> </w:t>
      </w:r>
      <w:r>
        <w:t xml:space="preserve">y en el SOP</w:t>
      </w:r>
      <w:r>
        <w:rPr>
          <w:rStyle w:val="FootnoteReference"/>
        </w:rPr>
        <w:footnoteReference w:id="2310"/>
      </w:r>
      <w:r>
        <w:t xml:space="preserve">, ambos con estado desconocido.</w:t>
      </w:r>
    </w:p>
    <w:p>
      <w:pPr>
        <w:pStyle w:val="FirstParagraph"/>
      </w:pPr>
      <w:r>
        <w:rPr>
          <w:bCs/>
          <w:b/>
        </w:rPr>
        <w:t xml:space="preserve">Valoración del autor:</w:t>
      </w:r>
      <w:r>
        <w:t xml:space="preserve"> </w:t>
      </w:r>
      <w:r>
        <w:t xml:space="preserve">la gonadorelina es un principio activo antiguo y bien comprendido, cuya importancia en el diagnóstico disminuye porque los análogos de acción corta son más baratos y están más disponibles. Para la terapia con bomba en la amenorrea hipotalámica y en el déficit hormonal congénito sigue siendo una opción fisiológica, cuyo futuro depende menos de nueva investigación que de si los fabricantes siguen abasteciendo estos mercados pequeños. Las bombas modernas sin tubo podrían hacer el tratamiento más cómodo. No hay pruebas de un beneficio en el contexto del culturismo.</w:t>
      </w:r>
    </w:p>
    <w:bookmarkEnd w:id="2311"/>
    <w:bookmarkStart w:id="2312" w:name="conclusión-51"/>
    <w:p>
      <w:pPr>
        <w:pStyle w:val="Heading3"/>
      </w:pPr>
      <w:r>
        <w:t xml:space="preserve">Conclusión</w:t>
      </w:r>
    </w:p>
    <w:p>
      <w:pPr>
        <w:pStyle w:val="FirstParagraph"/>
      </w:pPr>
      <w:r>
        <w:t xml:space="preserve">La gonadorelina es la réplica sintética de la GnRH endógena y se utiliza desde hace décadas en pruebas funcionales y en la terapia con bomba. Administrada con el ritmo pulsátil correcto, en grandes series de casos llevó a la ovulación en la mayoría de los ciclos en mujeres con amenorrea hipotalámica, con menos embarazos múltiples que con gonadotropinas, y a la producción de espermatozoides en hombres con déficit hormonal congénito. Los datos son antiguos y en su mayoría no aleatorizados; las cifras de los registros están enormemente distorsionadas por los análogos de la GnRH. Su uso en el ambiente del culturismo tras los ciclos de esteroides no está estudiado, contradice su mecanismo de acción y está prohibido en el deporte.</w:t>
      </w:r>
    </w:p>
    <w:bookmarkEnd w:id="2312"/>
    <w:bookmarkEnd w:id="2313"/>
    <w:bookmarkEnd w:id="2314"/>
    <w:bookmarkStart w:id="2523" w:name="X487845c5171cd42bf2ef759c9c70f19e05d2ac9"/>
    <w:p>
      <w:pPr>
        <w:pStyle w:val="Heading1"/>
      </w:pPr>
      <w:r>
        <w:t xml:space="preserve">Parte II · F – Colágeno, nutrición y cosmética</w:t>
      </w:r>
    </w:p>
    <w:p>
      <w:pPr>
        <w:pStyle w:val="FirstParagraph"/>
      </w:pPr>
      <w:r>
        <w:t xml:space="preserve">La mayoría de las personas no se encuentran con los péptidos de este grupo en la consulta médica, sino en el supermercado, en la droguería y en la publicidad: como bebida de colágeno, como yogur para la presión arterial, como cápsula deportiva o como «péptido antiedad» en una crema facial. Son de venta libre, se consideran inofensivos y se promocionan con estudios. Precisamente por eso merece la pena examinar con atención lo que muestran esos estudios.</w:t>
      </w:r>
    </w:p>
    <w:bookmarkStart w:id="2316" w:name="qué-une-al-grupo"/>
    <w:p>
      <w:pPr>
        <w:pStyle w:val="Heading3"/>
      </w:pPr>
      <w:r>
        <w:t xml:space="preserve">Qué une al grupo</w:t>
      </w:r>
    </w:p>
    <w:p>
      <w:pPr>
        <w:pStyle w:val="FirstParagraph"/>
      </w:pPr>
      <w:r>
        <w:t xml:space="preserve">Las seis sustancias son o bien fragmentos de proteínas endógenas o presentes en los alimentos (péptidos de colágeno, lactotripéptidos de la leche, carnosina, GHK-Cu), o bien imitaciones dirigidas de ellas (Matrixyl, Argireline). Ninguna está autorizada como medicamento. Por eso no se evalúan según los criterios estrictos que rigen para los medicamentos, sino según las normas de los alimentos o los cosméticos.</w:t>
      </w:r>
    </w:p>
    <w:p>
      <w:pPr>
        <w:pStyle w:val="BodyText"/>
      </w:pPr>
      <w:r>
        <w:t xml:space="preserve">De ahí surgen patrones comunes que se repiten en todos los capítulos:</w:t>
      </w:r>
    </w:p>
    <w:p>
      <w:pPr>
        <w:numPr>
          <w:ilvl w:val="0"/>
          <w:numId w:val="1287"/>
        </w:numPr>
        <w:pStyle w:val="Compact"/>
      </w:pPr>
      <w:r>
        <w:rPr>
          <w:bCs/>
          <w:b/>
        </w:rPr>
        <w:t xml:space="preserve">Muchos estudios pequeños, pocos grandes.</w:t>
      </w:r>
      <w:r>
        <w:t xml:space="preserve"> </w:t>
      </w:r>
      <w:r>
        <w:t xml:space="preserve">Lo típico son entre 20 y 150 participantes durante 4 a 24 semanas. Nunca se han estudiado variables de resultado duras como las fracturas óseas, los infartos de miocardio o las prótesis articulares.</w:t>
      </w:r>
    </w:p>
    <w:p>
      <w:pPr>
        <w:numPr>
          <w:ilvl w:val="0"/>
          <w:numId w:val="1287"/>
        </w:numPr>
        <w:pStyle w:val="Compact"/>
      </w:pPr>
      <w:r>
        <w:rPr>
          <w:bCs/>
          <w:b/>
        </w:rPr>
        <w:t xml:space="preserve">Financiación por los fabricantes.</w:t>
      </w:r>
      <w:r>
        <w:t xml:space="preserve"> </w:t>
      </w:r>
      <w:r>
        <w:t xml:space="preserve">Una gran parte de los estudios fue pagada por fabricantes de materias primas o de productos. En el caso del colágeno, un metaanálisis muestra que el beneficio para la piel desaparece cuando solo se consideran los estudios con financiación independiente</w:t>
      </w:r>
      <w:r>
        <w:rPr>
          <w:rStyle w:val="FootnoteReference"/>
        </w:rPr>
        <w:footnoteReference w:id="2315"/>
      </w:r>
      <w:r>
        <w:t xml:space="preserve">.</w:t>
      </w:r>
    </w:p>
    <w:p>
      <w:pPr>
        <w:numPr>
          <w:ilvl w:val="0"/>
          <w:numId w:val="1287"/>
        </w:numPr>
        <w:pStyle w:val="Compact"/>
      </w:pPr>
      <w:r>
        <w:rPr>
          <w:bCs/>
          <w:b/>
        </w:rPr>
        <w:t xml:space="preserve">El problema del lugar de acción.</w:t>
      </w:r>
      <w:r>
        <w:t xml:space="preserve"> </w:t>
      </w:r>
      <w:r>
        <w:t xml:space="preserve">Un péptido tiene que llegar allí donde debe actuar. Los péptidos ingeridos se digieren en su mayor parte; los péptidos de las cremas solo atraviesan la barrera cutánea en pequeña medida. Por eso, en cada capítulo es central la cuestión de si el mecanismo demostrado en el laboratorio llega a operar realmente en el cuerpo.</w:t>
      </w:r>
    </w:p>
    <w:p>
      <w:pPr>
        <w:numPr>
          <w:ilvl w:val="0"/>
          <w:numId w:val="1287"/>
        </w:numPr>
        <w:pStyle w:val="Compact"/>
      </w:pPr>
      <w:r>
        <w:rPr>
          <w:bCs/>
          <w:b/>
        </w:rPr>
        <w:t xml:space="preserve">Productos combinados.</w:t>
      </w:r>
      <w:r>
        <w:t xml:space="preserve"> </w:t>
      </w:r>
      <w:r>
        <w:t xml:space="preserve">Muchos productos contienen varios principios activos. Un resultado positivo de un estudio no puede atribuirse entonces a un único péptido.</w:t>
      </w:r>
    </w:p>
    <w:bookmarkEnd w:id="2316"/>
    <w:bookmarkStart w:id="2317" w:name="Xef4f3e71975570d85279238f3d90ba376c95e7b"/>
    <w:p>
      <w:pPr>
        <w:pStyle w:val="Heading3"/>
      </w:pPr>
      <w:r>
        <w:t xml:space="preserve">Alimentos, cosméticos, medicamentos: tres mundos jurídicos</w:t>
      </w:r>
    </w:p>
    <w:p>
      <w:pPr>
        <w:pStyle w:val="FirstParagraph"/>
      </w:pPr>
      <w:r>
        <w:t xml:space="preserve">Que una sustancia se considere alimento, cosmético o medicamento no lo decide su química, sino su finalidad y su presentación. La Parte I explica con detalle el marco jurídico; para este grupo son importantes tres puntos:</w:t>
      </w:r>
    </w:p>
    <w:p>
      <w:pPr>
        <w:numPr>
          <w:ilvl w:val="0"/>
          <w:numId w:val="1288"/>
        </w:numPr>
        <w:pStyle w:val="Compact"/>
      </w:pPr>
      <w:r>
        <w:t xml:space="preserve">Los</w:t>
      </w:r>
      <w:r>
        <w:t xml:space="preserve"> </w:t>
      </w:r>
      <w:r>
        <w:rPr>
          <w:bCs/>
          <w:b/>
        </w:rPr>
        <w:t xml:space="preserve">alimentos y complementos alimenticios</w:t>
      </w:r>
      <w:r>
        <w:t xml:space="preserve"> </w:t>
      </w:r>
      <w:r>
        <w:t xml:space="preserve">(péptidos de colágeno, lactotripéptidos, carnosina) no necesitan en la UE ninguna autorización ni prueba de eficacia. A cambio, está estrictamente regulado con qué pueden hacer publicidad. Según el Reglamento sobre declaraciones de propiedades saludables (Reglamento (CE) n.º 1924/2006), las declaraciones relacionadas con la salud solo están permitidas si la Autoridad Europea de Seguridad Alimentaria (EFSA) las ha evaluado y la Comisión Europea las ha autorizado.</w:t>
      </w:r>
      <w:r>
        <w:t xml:space="preserve"> </w:t>
      </w:r>
      <w:r>
        <w:rPr>
          <w:bCs/>
          <w:b/>
        </w:rPr>
        <w:t xml:space="preserve">Para el colágeno, los péptidos de colágeno, los lactotripéptidos y la carnosina no existe ni una sola declaración de propiedades saludables autorizada.</w:t>
      </w:r>
      <w:r>
        <w:t xml:space="preserve"> </w:t>
      </w:r>
      <w:r>
        <w:t xml:space="preserve">La EFSA ha evaluado negativamente las declaraciones solicitadas, por ejemplo sobre las articulaciones en el caso del colágeno o sobre la presión arterial en el de los lactotripéptidos. Si aun así un envase de colágeno hace publicidad sobre la piel o los huesos, la declaración legalmente admisible se refiere por lo general a la vitamina C añadida, para la que está autorizada la declaración «contribuye a la formación normal de colágeno».</w:t>
      </w:r>
    </w:p>
    <w:p>
      <w:pPr>
        <w:numPr>
          <w:ilvl w:val="0"/>
          <w:numId w:val="1288"/>
        </w:numPr>
        <w:pStyle w:val="Compact"/>
      </w:pPr>
      <w:r>
        <w:t xml:space="preserve">Los</w:t>
      </w:r>
      <w:r>
        <w:t xml:space="preserve"> </w:t>
      </w:r>
      <w:r>
        <w:rPr>
          <w:bCs/>
          <w:b/>
        </w:rPr>
        <w:t xml:space="preserve">cosméticos</w:t>
      </w:r>
      <w:r>
        <w:t xml:space="preserve"> </w:t>
      </w:r>
      <w:r>
        <w:t xml:space="preserve">(GHK-Cu, Matrixyl, Argireline) están sujetos al Reglamento europeo sobre los productos cosméticos (Reglamento (CE) n.º 1223/2009). Solo pueden aplicarse externamente, deben ser seguros y no pueden atribuirse ningún efecto farmacológico. Las afirmaciones publicitarias deben poder justificarse, pero no existe una evaluación oficial de la eficacia antes de la venta.</w:t>
      </w:r>
    </w:p>
    <w:p>
      <w:pPr>
        <w:numPr>
          <w:ilvl w:val="0"/>
          <w:numId w:val="1288"/>
        </w:numPr>
        <w:pStyle w:val="Compact"/>
      </w:pPr>
      <w:r>
        <w:t xml:space="preserve">Los</w:t>
      </w:r>
      <w:r>
        <w:t xml:space="preserve"> </w:t>
      </w:r>
      <w:r>
        <w:rPr>
          <w:bCs/>
          <w:b/>
        </w:rPr>
        <w:t xml:space="preserve">medicamentos</w:t>
      </w:r>
      <w:r>
        <w:t xml:space="preserve"> </w:t>
      </w:r>
      <w:r>
        <w:t xml:space="preserve">deben demostrar su eficacia y seguridad en estudios y ser autorizados. Si un péptido cosmético se inyecta –como ocurre con el GHK-Cu y la Argireline en el mercado gris–, abandona el mundo de la cosmética: se convierte en un medicamento no autorizado, sin que existan para ello estudios ni controles de calidad.</w:t>
      </w:r>
    </w:p>
    <w:p>
      <w:pPr>
        <w:pStyle w:val="FirstParagraph"/>
      </w:pPr>
      <w:r>
        <w:t xml:space="preserve">En EE. UU. rigen principios similares; no obstante, allí los complementos alimenticios pueden anunciarse con «declaraciones de estructura y función» generales, siempre que lleven una advertencia de que la FDA no las ha evaluado.</w:t>
      </w:r>
    </w:p>
    <w:bookmarkEnd w:id="2317"/>
    <w:bookmarkStart w:id="2318" w:name="visión-general-3"/>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Péptidos de colágeno</w:t>
            </w:r>
          </w:p>
        </w:tc>
        <w:tc>
          <w:tcPr/>
          <w:p>
            <w:pPr>
              <w:pStyle w:val="Compact"/>
              <w:jc w:val="left"/>
            </w:pPr>
            <w:r>
              <w:t xml:space="preserve">B</w:t>
            </w:r>
          </w:p>
        </w:tc>
        <w:tc>
          <w:tcPr/>
          <w:p>
            <w:pPr>
              <w:pStyle w:val="Compact"/>
              <w:jc w:val="left"/>
            </w:pPr>
            <w:r>
              <w:t xml:space="preserve">Alimento, sin declaración saludable</w:t>
            </w:r>
          </w:p>
        </w:tc>
        <w:tc>
          <w:tcPr/>
          <w:p>
            <w:pPr>
              <w:pStyle w:val="Compact"/>
              <w:jc w:val="left"/>
            </w:pPr>
            <w:r>
              <w:t xml:space="preserve">Pequeños efectos sobre el dolor articular; beneficio para la piel no demostrado en estudios independientes</w:t>
            </w:r>
          </w:p>
        </w:tc>
      </w:tr>
      <w:tr>
        <w:tc>
          <w:tcPr/>
          <w:p>
            <w:pPr>
              <w:pStyle w:val="Compact"/>
              <w:jc w:val="left"/>
            </w:pPr>
            <w:r>
              <w:t xml:space="preserve">Lactotripéptidos (VPP/IPP)</w:t>
            </w:r>
          </w:p>
        </w:tc>
        <w:tc>
          <w:tcPr/>
          <w:p>
            <w:pPr>
              <w:pStyle w:val="Compact"/>
              <w:jc w:val="left"/>
            </w:pPr>
            <w:r>
              <w:t xml:space="preserve">B</w:t>
            </w:r>
          </w:p>
        </w:tc>
        <w:tc>
          <w:tcPr/>
          <w:p>
            <w:pPr>
              <w:pStyle w:val="Compact"/>
              <w:jc w:val="left"/>
            </w:pPr>
            <w:r>
              <w:t xml:space="preserve">Alimento, declaración sobre la presión arterial rechazada</w:t>
            </w:r>
          </w:p>
        </w:tc>
        <w:tc>
          <w:tcPr/>
          <w:p>
            <w:pPr>
              <w:pStyle w:val="Compact"/>
              <w:jc w:val="left"/>
            </w:pPr>
            <w:r>
              <w:t xml:space="preserve">Reducción de la presión arterial de unos 1–4 mmHg, apenas demostrable en Europa</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Complemento alimenticio, sin declaración saludable</w:t>
            </w:r>
          </w:p>
        </w:tc>
        <w:tc>
          <w:tcPr/>
          <w:p>
            <w:pPr>
              <w:pStyle w:val="Compact"/>
              <w:jc w:val="left"/>
            </w:pPr>
            <w:r>
              <w:t xml:space="preserve">Indicios sobre la glucemia; en el deporte, su precursor, la beta-alanina, está mejor documentado</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inyección no autorizada</w:t>
            </w:r>
          </w:p>
        </w:tc>
        <w:tc>
          <w:tcPr/>
          <w:p>
            <w:pPr>
              <w:pStyle w:val="Compact"/>
              <w:jc w:val="left"/>
            </w:pPr>
            <w:r>
              <w:t xml:space="preserve">Un antiguo estudio sobre heridas; apenas datos cutáneos; inyección no evaluada</w:t>
            </w:r>
          </w:p>
        </w:tc>
      </w:tr>
      <w:tr>
        <w:tc>
          <w:tcPr/>
          <w:p>
            <w:pPr>
              <w:pStyle w:val="Compact"/>
              <w:jc w:val="left"/>
            </w:pPr>
            <w:r>
              <w:t xml:space="preserve">Palmitoil pentapéptido-4 (Matrixyl)</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Un estudio de hemicara de 2005; penetración cutánea incierta</w:t>
            </w:r>
          </w:p>
        </w:tc>
      </w:tr>
      <w:tr>
        <w:tc>
          <w:tcPr/>
          <w:p>
            <w:pPr>
              <w:pStyle w:val="Compact"/>
              <w:jc w:val="left"/>
            </w:pPr>
            <w:r>
              <w:t xml:space="preserve">Acetil hexapéptido-8 (Argireline)</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«Bótox en tubo» no demostrado; apenas penetra en la piel</w:t>
            </w:r>
          </w:p>
        </w:tc>
      </w:tr>
    </w:tbl>
    <w:p>
      <w:pPr>
        <w:pStyle w:val="BodyText"/>
      </w:pPr>
      <w:r>
        <w:t xml:space="preserve">En este grupo, la clasificación B no significa expresamente que haya un efecto demostrado, sino solo que existen estudios aleatorizados.</w:t>
      </w:r>
    </w:p>
    <w:bookmarkEnd w:id="2318"/>
    <w:bookmarkStart w:id="2319" w:name="indicaciones-de-lectura-2"/>
    <w:p>
      <w:pPr>
        <w:pStyle w:val="Heading3"/>
      </w:pPr>
      <w:r>
        <w:t xml:space="preserve">Indicaciones de lectura</w:t>
      </w:r>
    </w:p>
    <w:p>
      <w:pPr>
        <w:pStyle w:val="FirstParagraph"/>
      </w:pPr>
      <w:r>
        <w:t xml:space="preserve">El capítulo sobre los</w:t>
      </w:r>
      <w:r>
        <w:t xml:space="preserve"> </w:t>
      </w:r>
      <w:r>
        <w:rPr>
          <w:bCs/>
          <w:b/>
        </w:rPr>
        <w:t xml:space="preserve">péptidos de colágeno</w:t>
      </w:r>
      <w:r>
        <w:t xml:space="preserve"> </w:t>
      </w:r>
      <w:r>
        <w:t xml:space="preserve">es el más extenso, porque es sobre ellos donde hay más estudios y porque con ellos se aprecia bien cómo interactúan los metaanálisis, la financiación por los fabricantes y el efecto placebo. Si solo lee un capítulo de este grupo, elija este. El capítulo sobre los</w:t>
      </w:r>
      <w:r>
        <w:t xml:space="preserve"> </w:t>
      </w:r>
      <w:r>
        <w:rPr>
          <w:bCs/>
          <w:b/>
        </w:rPr>
        <w:t xml:space="preserve">lactotripéptidos</w:t>
      </w:r>
      <w:r>
        <w:t xml:space="preserve"> </w:t>
      </w:r>
      <w:r>
        <w:t xml:space="preserve">es una lección sobre cómo un mecanismo de laboratorio convincente puede reducirse en estudios más grandes. Los tres</w:t>
      </w:r>
      <w:r>
        <w:t xml:space="preserve"> </w:t>
      </w:r>
      <w:r>
        <w:rPr>
          <w:bCs/>
          <w:b/>
        </w:rPr>
        <w:t xml:space="preserve">péptidos cosméticos</w:t>
      </w:r>
      <w:r>
        <w:t xml:space="preserve"> </w:t>
      </w:r>
      <w:r>
        <w:t xml:space="preserve">son más breves; comparten la misma pregunta central: si un principio activo de una crema llega realmente allí donde debe actuar. Los riesgos de las inyecciones del mercado gris se tratan con detalle en la Parte IV.</w:t>
      </w:r>
    </w:p>
    <w:bookmarkEnd w:id="2319"/>
    <w:bookmarkStart w:id="2371" w:name="Xb9469450ce1ba224ba959f20e68590d0ea028cd"/>
    <w:p>
      <w:pPr>
        <w:pStyle w:val="Heading2"/>
      </w:pPr>
      <w:r>
        <w:t xml:space="preserve">Péptidos de colágeno (colágeno hidrolizado)</w:t>
      </w:r>
    </w:p>
    <w:bookmarkStart w:id="2320" w:name="ficha-52"/>
    <w:p>
      <w:pPr>
        <w:pStyle w:val="Heading3"/>
      </w:pPr>
      <w:r>
        <w:t xml:space="preserve">Ficha</w:t>
      </w:r>
    </w:p>
    <w:p>
      <w:pPr>
        <w:numPr>
          <w:ilvl w:val="0"/>
          <w:numId w:val="1289"/>
        </w:numPr>
        <w:pStyle w:val="Compact"/>
      </w:pPr>
      <w:r>
        <w:rPr>
          <w:bCs/>
          <w:b/>
        </w:rPr>
        <w:t xml:space="preserve">Tipo/estructura:</w:t>
      </w:r>
      <w:r>
        <w:t xml:space="preserve"> </w:t>
      </w:r>
      <w:r>
        <w:t xml:space="preserve">mezcla de péptidos de distinta longitud obtenida por escisión enzimática (hidrólisis) del colágeno o de la gelatina. Los productos típicos contienen fragmentos con una masa molecular media de unos 2000 a 5000 daltons. Son característicos los aminoácidos glicina, prolina e hidroxiprolina; falta el aminoácido esencial triptófano.</w:t>
      </w:r>
    </w:p>
    <w:p>
      <w:pPr>
        <w:numPr>
          <w:ilvl w:val="0"/>
          <w:numId w:val="1289"/>
        </w:numPr>
        <w:pStyle w:val="Compact"/>
      </w:pPr>
      <w:r>
        <w:rPr>
          <w:bCs/>
          <w:b/>
        </w:rPr>
        <w:t xml:space="preserve">Origen:</w:t>
      </w:r>
      <w:r>
        <w:t xml:space="preserve"> </w:t>
      </w:r>
      <w:r>
        <w:t xml:space="preserve">piel, huesos o escamas de vacuno, porcino, pollo y pescado, subproductos de la industria cárnica y pesquera. Muchos estudios utilizan materias primas de marca registrada (p. ej., Verisol, Fortigel, Bodybalance, Tendoforte) procedentes de unos pocos fabricantes.</w:t>
      </w:r>
    </w:p>
    <w:p>
      <w:pPr>
        <w:numPr>
          <w:ilvl w:val="0"/>
          <w:numId w:val="1289"/>
        </w:numPr>
        <w:pStyle w:val="Compact"/>
      </w:pPr>
      <w:r>
        <w:rPr>
          <w:bCs/>
          <w:b/>
        </w:rPr>
        <w:t xml:space="preserve">Mecanismo de acción:</w:t>
      </w:r>
      <w:r>
        <w:t xml:space="preserve"> </w:t>
      </w:r>
      <w:r>
        <w:t xml:space="preserve">aporte de componentes para el tejido conjuntivo propio; además, se debate si ciertos péptidos pequeños (sobre todo la prolil-hidroxiprolina) actúan como señales sobre las células del tejido conjuntivo.</w:t>
      </w:r>
    </w:p>
    <w:p>
      <w:pPr>
        <w:numPr>
          <w:ilvl w:val="0"/>
          <w:numId w:val="1289"/>
        </w:numPr>
        <w:pStyle w:val="Compact"/>
      </w:pPr>
      <w:r>
        <w:rPr>
          <w:bCs/>
          <w:b/>
        </w:rPr>
        <w:t xml:space="preserve">Diferenciación:</w:t>
      </w:r>
      <w:r>
        <w:t xml:space="preserve"> </w:t>
      </w:r>
      <w:r>
        <w:t xml:space="preserve">el colágeno de tipo II</w:t>
      </w:r>
      <w:r>
        <w:t xml:space="preserve"> </w:t>
      </w:r>
      <w:r>
        <w:rPr>
          <w:iCs/>
          <w:i/>
        </w:rPr>
        <w:t xml:space="preserve">no desnaturalizado</w:t>
      </w:r>
      <w:r>
        <w:t xml:space="preserve"> </w:t>
      </w:r>
      <w:r>
        <w:t xml:space="preserve">(p. ej., UC-II) es un producto distinto con otro mecanismo de acción y se comenta por separado más abajo.</w:t>
      </w:r>
    </w:p>
    <w:p>
      <w:pPr>
        <w:numPr>
          <w:ilvl w:val="0"/>
          <w:numId w:val="1289"/>
        </w:numPr>
        <w:pStyle w:val="Compact"/>
      </w:pPr>
      <w:r>
        <w:rPr>
          <w:bCs/>
          <w:b/>
        </w:rPr>
        <w:t xml:space="preserve">Autorización en la UE:</w:t>
      </w:r>
      <w:r>
        <w:t xml:space="preserve"> </w:t>
      </w:r>
      <w:r>
        <w:t xml:space="preserve">sin autorización como medicamento; comercializable como alimento o complemento alimenticio. Para el propio colágeno</w:t>
      </w:r>
      <w:r>
        <w:t xml:space="preserve"> </w:t>
      </w:r>
      <w:r>
        <w:rPr>
          <w:bCs/>
          <w:b/>
        </w:rPr>
        <w:t xml:space="preserve">no</w:t>
      </w:r>
      <w:r>
        <w:t xml:space="preserve"> </w:t>
      </w:r>
      <w:r>
        <w:t xml:space="preserve">existe ninguna declaración de propiedades saludables (health claim) autorizada.</w:t>
      </w:r>
    </w:p>
    <w:p>
      <w:pPr>
        <w:numPr>
          <w:ilvl w:val="0"/>
          <w:numId w:val="1289"/>
        </w:numPr>
        <w:pStyle w:val="Compact"/>
      </w:pPr>
      <w:r>
        <w:rPr>
          <w:bCs/>
          <w:b/>
        </w:rPr>
        <w:t xml:space="preserve">Autorización en EE. UU.:</w:t>
      </w:r>
      <w:r>
        <w:t xml:space="preserve"> </w:t>
      </w:r>
      <w:r>
        <w:t xml:space="preserve">sin autorización como medicamento; se comercializa como complemento alimenticio (dietary supplement).</w:t>
      </w:r>
    </w:p>
    <w:p>
      <w:pPr>
        <w:numPr>
          <w:ilvl w:val="0"/>
          <w:numId w:val="1289"/>
        </w:numPr>
        <w:pStyle w:val="Compact"/>
      </w:pPr>
      <w:r>
        <w:rPr>
          <w:bCs/>
          <w:b/>
        </w:rPr>
        <w:t xml:space="preserve">WADA:</w:t>
      </w:r>
      <w:r>
        <w:t xml:space="preserve"> </w:t>
      </w:r>
      <w:r>
        <w:t xml:space="preserve">no figura en la lista.</w:t>
      </w:r>
    </w:p>
    <w:p>
      <w:pPr>
        <w:numPr>
          <w:ilvl w:val="0"/>
          <w:numId w:val="1289"/>
        </w:numPr>
        <w:pStyle w:val="Compact"/>
      </w:pPr>
      <w:r>
        <w:rPr>
          <w:bCs/>
          <w:b/>
        </w:rPr>
        <w:t xml:space="preserve">Nivel de evidencia:</w:t>
      </w:r>
      <w:r>
        <w:t xml:space="preserve"> </w:t>
      </w:r>
      <w:r>
        <w:rPr>
          <w:bCs/>
          <w:b/>
        </w:rPr>
        <w:t xml:space="preserve">B</w:t>
      </w:r>
      <w:r>
        <w:t xml:space="preserve"> </w:t>
      </w:r>
      <w:r>
        <w:t xml:space="preserve">– numerosos estudios aleatorizados y controlados con placebo, aunque en su mayoría pequeños, cortos y financiados por los fabricantes.</w:t>
      </w:r>
    </w:p>
    <w:bookmarkEnd w:id="2320"/>
    <w:bookmarkStart w:id="2325" w:name="cómo-se-supone-que-actúa-52"/>
    <w:p>
      <w:pPr>
        <w:pStyle w:val="Heading3"/>
      </w:pPr>
      <w:r>
        <w:t xml:space="preserve">Cómo se supone que actúa</w:t>
      </w:r>
    </w:p>
    <w:p>
      <w:pPr>
        <w:pStyle w:val="FirstParagraph"/>
      </w:pPr>
      <w:r>
        <w:t xml:space="preserve">El colágeno es la proteína más abundante del cuerpo humano. Forma el armazón de la piel, los tendones, los ligamentos, el cartílago y los huesos. Su unidad básica es una triple hélice de tres cadenas proteicas en las que se repite constantemente un patrón: glicina, luego un aminoácido cualquiera y luego, con frecuencia, prolina o hidroxiprolina. Con la edad disminuye la producción de colágeno en la piel y la red de colágeno se vuelve más frágil, lo que se aprecia en forma de arrugas y pérdida de firmeza.</w:t>
      </w:r>
    </w:p>
    <w:p>
      <w:pPr>
        <w:pStyle w:val="BodyText"/>
      </w:pPr>
      <w:r>
        <w:t xml:space="preserve">La publicidad sugiere a menudo una lógica sencilla: quien come colágeno forma colágeno. La digestión no funciona así. Las proteínas se descomponen en el estómago y el intestino delgado en gran medida en aminoácidos individuales y péptidos muy pequeños; a partir de ellos, el cuerpo vuelve a ensamblar sus proteínas según sus propias necesidades. Por tanto, el colágeno de la dieta no se «incorpora» como colágeno a la piel.</w:t>
      </w:r>
    </w:p>
    <w:p>
      <w:pPr>
        <w:pStyle w:val="BodyText"/>
      </w:pPr>
      <w:r>
        <w:t xml:space="preserve">Sin embargo, hay dos hipótesis serias de por qué los péptidos de colágeno podrían tener algún efecto:</w:t>
      </w:r>
    </w:p>
    <w:p>
      <w:pPr>
        <w:numPr>
          <w:ilvl w:val="0"/>
          <w:numId w:val="1290"/>
        </w:numPr>
        <w:pStyle w:val="Compact"/>
      </w:pPr>
      <w:r>
        <w:rPr>
          <w:bCs/>
          <w:b/>
        </w:rPr>
        <w:t xml:space="preserve">Péptidos señal.</w:t>
      </w:r>
      <w:r>
        <w:t xml:space="preserve"> </w:t>
      </w:r>
      <w:r>
        <w:t xml:space="preserve">Los dipéptidos y tripéptidos que contienen hidroxiprolina son inusualmente estables frente a las enzimas digestivas. Tras beber hidrolizado de gelatina, en voluntarios aumentó claramente la concentración en sangre de hidroxiprolina unida a péptidos, que alcanzó un máximo al cabo de una a dos horas; el componente principal fue el dipéptido prolil-hidroxiprolina</w:t>
      </w:r>
      <w:r>
        <w:rPr>
          <w:rStyle w:val="FootnoteReference"/>
        </w:rPr>
        <w:footnoteReference w:id="2321"/>
      </w:r>
      <w:r>
        <w:t xml:space="preserve">. Algo similar se observó con un preparado con una alta proporción de tripéptidos</w:t>
      </w:r>
      <w:r>
        <w:rPr>
          <w:rStyle w:val="FootnoteReference"/>
        </w:rPr>
        <w:footnoteReference w:id="2322"/>
      </w:r>
      <w:r>
        <w:t xml:space="preserve">. En cultivos celulares y en experimentos con animales, estos péptidos estimulan el crecimiento de las células del tejido conjuntivo (fibroblastos) y la formación de componentes de la matriz. No está demostrado con seguridad si las cantidades alcanzadas en la sangre humana bastan para provocar un efecto medible en la piel o el cartílago.</w:t>
      </w:r>
    </w:p>
    <w:p>
      <w:pPr>
        <w:numPr>
          <w:ilvl w:val="0"/>
          <w:numId w:val="1290"/>
        </w:numPr>
        <w:pStyle w:val="Compact"/>
      </w:pPr>
      <w:r>
        <w:rPr>
          <w:bCs/>
          <w:b/>
        </w:rPr>
        <w:t xml:space="preserve">Aporte de material de construcción.</w:t>
      </w:r>
      <w:r>
        <w:t xml:space="preserve"> </w:t>
      </w:r>
      <w:r>
        <w:t xml:space="preserve">Los péptidos de colágeno aportan grandes cantidades de glicina, prolina e hidroxiprolina. En un pequeño estudio con ocho hombres, el marcador sanguíneo de nueva formación de colágeno se duplicó cuando tomaron 15 g de gelatina enriquecida con vitamina C una hora antes de un breve esfuerzo de saltos</w:t>
      </w:r>
      <w:r>
        <w:rPr>
          <w:rStyle w:val="FootnoteReference"/>
        </w:rPr>
        <w:footnoteReference w:id="2323"/>
      </w:r>
      <w:r>
        <w:t xml:space="preserve">. Esto respalda la idea de combinar en el tiempo los péptidos de colágeno con el esfuerzo, pero es un valor medido en sangre, no una prueba de tendones más fuertes.</w:t>
      </w:r>
    </w:p>
    <w:p>
      <w:pPr>
        <w:pStyle w:val="FirstParagraph"/>
      </w:pPr>
      <w:r>
        <w:t xml:space="preserve">Importante para situarlo: como fuente de proteínas, el colágeno es incompleto. Como le falta triptófano, en investigación se utiliza incluso deliberadamente una mezcla de péptidos a base de gelatina para reducir a corto plazo la concentración de triptófano en sangre</w:t>
      </w:r>
      <w:r>
        <w:rPr>
          <w:rStyle w:val="FootnoteReference"/>
        </w:rPr>
        <w:footnoteReference w:id="2324"/>
      </w:r>
      <w:r>
        <w:t xml:space="preserve">. Para el desarrollo muscular, el colágeno es por tanto inferior a otras proteínas; más información al respecto, más abajo.</w:t>
      </w:r>
    </w:p>
    <w:bookmarkEnd w:id="2325"/>
    <w:bookmarkStart w:id="2353" w:name="estudios-en-humanos-52"/>
    <w:p>
      <w:pPr>
        <w:pStyle w:val="Heading3"/>
      </w:pPr>
      <w:r>
        <w:t xml:space="preserve">Estudios en humanos</w:t>
      </w:r>
    </w:p>
    <w:p>
      <w:pPr>
        <w:pStyle w:val="FirstParagraph"/>
      </w:pPr>
      <w:r>
        <w:t xml:space="preserve">La evidencia es amplia, pero heterogénea. La consulta en PubMed evaluada para este libro (colágeno hidrolizado o péptidos de colágeno en combinación con ingesta o suplementación, fecha de consulta octubre de 2026) arrojó 101 estudios en humanos. En ClinicalTrials.gov, la búsqueda «collagen peptides» encontró 237 registros; no obstante, una parte considerable de ellos trata otros temas (por ejemplo, implantes de colágeno en odontología o el medicamento antitumoral endostatina, un fragmento de colágeno). A ello se suman al menos una docena de metaanálisis.</w:t>
      </w:r>
    </w:p>
    <w:p>
      <w:pPr>
        <w:pStyle w:val="BodyText"/>
      </w:pPr>
      <w:r>
        <w:t xml:space="preserve">Tres características marcan casi todos los estudios y conviene tenerlas presentes al leerlos:</w:t>
      </w:r>
    </w:p>
    <w:p>
      <w:pPr>
        <w:numPr>
          <w:ilvl w:val="0"/>
          <w:numId w:val="1291"/>
        </w:numPr>
        <w:pStyle w:val="Compact"/>
      </w:pPr>
      <w:r>
        <w:rPr>
          <w:bCs/>
          <w:b/>
        </w:rPr>
        <w:t xml:space="preserve">Tamaños muestrales pequeños y corta duración:</w:t>
      </w:r>
      <w:r>
        <w:t xml:space="preserve"> </w:t>
      </w:r>
      <w:r>
        <w:t xml:space="preserve">en general, entre 40 y 150 participantes durante 8 a 24 semanas.</w:t>
      </w:r>
    </w:p>
    <w:p>
      <w:pPr>
        <w:numPr>
          <w:ilvl w:val="0"/>
          <w:numId w:val="1291"/>
        </w:numPr>
        <w:pStyle w:val="Compact"/>
      </w:pPr>
      <w:r>
        <w:rPr>
          <w:bCs/>
          <w:b/>
        </w:rPr>
        <w:t xml:space="preserve">Financiación por los fabricantes:</w:t>
      </w:r>
      <w:r>
        <w:t xml:space="preserve"> </w:t>
      </w:r>
      <w:r>
        <w:t xml:space="preserve">una gran parte de los estudios fue pagada por los fabricantes de materias primas o de productos, o coescrita por sus empleados. Con frecuencia se prueban mezclas de péptidos de marca registrada.</w:t>
      </w:r>
    </w:p>
    <w:p>
      <w:pPr>
        <w:numPr>
          <w:ilvl w:val="0"/>
          <w:numId w:val="1291"/>
        </w:numPr>
        <w:pStyle w:val="Compact"/>
      </w:pPr>
      <w:r>
        <w:rPr>
          <w:bCs/>
          <w:b/>
        </w:rPr>
        <w:t xml:space="preserve">Productos combinados:</w:t>
      </w:r>
      <w:r>
        <w:t xml:space="preserve"> </w:t>
      </w:r>
      <w:r>
        <w:t xml:space="preserve">muchas «bebidas de colágeno» contienen además vitamina C, zinc, biotina, ácido hialurónico o extractos vegetales. Un resultado positivo no puede atribuirse entonces solo al colágeno.</w:t>
      </w:r>
    </w:p>
    <w:bookmarkStart w:id="2328" w:name="piel-hidratación-elasticidad-arrugas"/>
    <w:p>
      <w:pPr>
        <w:pStyle w:val="Heading4"/>
      </w:pPr>
      <w:r>
        <w:t xml:space="preserve">Piel: hidratación, elasticidad, arrugas</w:t>
      </w:r>
    </w:p>
    <w:p>
      <w:pPr>
        <w:pStyle w:val="FirstParagraph"/>
      </w:pPr>
      <w:r>
        <w:t xml:space="preserve">Los estudios sobre la piel son los más numerosos. Por lo general se mide con aparatos: corneómetro (hidratación del estrato córneo), cutómetro (elasticidad), réplicas cutáneas o cámaras 3D (profundidad de las arrugas), ecografía (densidad de la dermis).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Proksch 2014a, PMID 23949208</w:t>
            </w:r>
          </w:p>
        </w:tc>
        <w:tc>
          <w:tcPr/>
          <w:p>
            <w:pPr>
              <w:pStyle w:val="Compact"/>
              <w:jc w:val="left"/>
            </w:pPr>
            <w:r>
              <w:t xml:space="preserve">69 mujeres (35–55 años), 2,5 g o 5 g frente a placebo</w:t>
            </w:r>
          </w:p>
        </w:tc>
        <w:tc>
          <w:tcPr/>
          <w:p>
            <w:pPr>
              <w:pStyle w:val="Compact"/>
              <w:jc w:val="left"/>
            </w:pPr>
            <w:r>
              <w:t xml:space="preserve">8 semanas</w:t>
            </w:r>
          </w:p>
        </w:tc>
        <w:tc>
          <w:tcPr/>
          <w:p>
            <w:pPr>
              <w:pStyle w:val="Compact"/>
              <w:jc w:val="left"/>
            </w:pPr>
            <w:r>
              <w:t xml:space="preserve">Elasticidad significativamente mejor que con placebo en ambos grupos de dosis; hidratación no significativa</w:t>
            </w:r>
          </w:p>
        </w:tc>
      </w:tr>
      <w:tr>
        <w:tc>
          <w:tcPr/>
          <w:p>
            <w:pPr>
              <w:pStyle w:val="Compact"/>
              <w:jc w:val="left"/>
            </w:pPr>
            <w:r>
              <w:t xml:space="preserve">Proksch 2014b, PMID 24401291</w:t>
            </w:r>
          </w:p>
        </w:tc>
        <w:tc>
          <w:tcPr/>
          <w:p>
            <w:pPr>
              <w:pStyle w:val="Compact"/>
              <w:jc w:val="left"/>
            </w:pPr>
            <w:r>
              <w:t xml:space="preserve">114 mujeres (45–65 años), 2,5 g de Verisol frente a placebo</w:t>
            </w:r>
          </w:p>
        </w:tc>
        <w:tc>
          <w:tcPr/>
          <w:p>
            <w:pPr>
              <w:pStyle w:val="Compact"/>
              <w:jc w:val="left"/>
            </w:pPr>
            <w:r>
              <w:t xml:space="preserve">8 semanas</w:t>
            </w:r>
          </w:p>
        </w:tc>
        <w:tc>
          <w:tcPr/>
          <w:p>
            <w:pPr>
              <w:pStyle w:val="Compact"/>
              <w:jc w:val="left"/>
            </w:pPr>
            <w:r>
              <w:t xml:space="preserve">Volumen de arrugas perioculares −20 % frente a placebo; procolágeno I en muestras cutáneas +65 %</w:t>
            </w:r>
          </w:p>
        </w:tc>
      </w:tr>
      <w:tr>
        <w:tc>
          <w:tcPr/>
          <w:p>
            <w:pPr>
              <w:pStyle w:val="Compact"/>
              <w:jc w:val="left"/>
            </w:pPr>
            <w:r>
              <w:t xml:space="preserve">Kim 2018, PMID 29949889</w:t>
            </w:r>
          </w:p>
        </w:tc>
        <w:tc>
          <w:tcPr/>
          <w:p>
            <w:pPr>
              <w:pStyle w:val="Compact"/>
              <w:jc w:val="left"/>
            </w:pPr>
            <w:r>
              <w:t xml:space="preserve">64 personas, 1 g de péptido de bajo peso molecular frente a placebo</w:t>
            </w:r>
          </w:p>
        </w:tc>
        <w:tc>
          <w:tcPr/>
          <w:p>
            <w:pPr>
              <w:pStyle w:val="Compact"/>
              <w:jc w:val="left"/>
            </w:pPr>
            <w:r>
              <w:t xml:space="preserve">12 semanas</w:t>
            </w:r>
          </w:p>
        </w:tc>
        <w:tc>
          <w:tcPr/>
          <w:p>
            <w:pPr>
              <w:pStyle w:val="Compact"/>
              <w:jc w:val="left"/>
            </w:pPr>
            <w:r>
              <w:t xml:space="preserve">Hidratación y tres parámetros de arrugas mejores que con placebo; elasticidad en parte</w:t>
            </w:r>
          </w:p>
        </w:tc>
      </w:tr>
      <w:tr>
        <w:tc>
          <w:tcPr/>
          <w:p>
            <w:pPr>
              <w:pStyle w:val="Compact"/>
              <w:jc w:val="left"/>
            </w:pPr>
            <w:r>
              <w:t xml:space="preserve">Bolke 2019, PMID 31627309</w:t>
            </w:r>
          </w:p>
        </w:tc>
        <w:tc>
          <w:tcPr/>
          <w:p>
            <w:pPr>
              <w:pStyle w:val="Compact"/>
              <w:jc w:val="left"/>
            </w:pPr>
            <w:r>
              <w:t xml:space="preserve">72 mujeres a partir de 35 años, ampolla bebible con 2,5 g de péptidos más vitaminas, zinc y acerola frente a placebo</w:t>
            </w:r>
          </w:p>
        </w:tc>
        <w:tc>
          <w:tcPr/>
          <w:p>
            <w:pPr>
              <w:pStyle w:val="Compact"/>
              <w:jc w:val="left"/>
            </w:pPr>
            <w:r>
              <w:t xml:space="preserve">12 semanas</w:t>
            </w:r>
          </w:p>
        </w:tc>
        <w:tc>
          <w:tcPr/>
          <w:p>
            <w:pPr>
              <w:pStyle w:val="Compact"/>
              <w:jc w:val="left"/>
            </w:pPr>
            <w:r>
              <w:t xml:space="preserve">Hidratación, elasticidad, rugosidad y densidad mejores que con placebo (producto combinado)</w:t>
            </w:r>
          </w:p>
        </w:tc>
      </w:tr>
      <w:tr>
        <w:tc>
          <w:tcPr/>
          <w:p>
            <w:pPr>
              <w:pStyle w:val="Compact"/>
              <w:jc w:val="left"/>
            </w:pPr>
            <w:r>
              <w:t xml:space="preserve">Kim 2022, PMID 36516059</w:t>
            </w:r>
          </w:p>
        </w:tc>
        <w:tc>
          <w:tcPr/>
          <w:p>
            <w:pPr>
              <w:pStyle w:val="Compact"/>
              <w:jc w:val="left"/>
            </w:pPr>
            <w:r>
              <w:t xml:space="preserve">100 personas, péptidos de bajo peso molecular frente a placebo</w:t>
            </w:r>
          </w:p>
        </w:tc>
        <w:tc>
          <w:tcPr/>
          <w:p>
            <w:pPr>
              <w:pStyle w:val="Compact"/>
              <w:jc w:val="left"/>
            </w:pPr>
            <w:r>
              <w:t xml:space="preserve">12 semanas</w:t>
            </w:r>
          </w:p>
        </w:tc>
        <w:tc>
          <w:tcPr/>
          <w:p>
            <w:pPr>
              <w:pStyle w:val="Compact"/>
              <w:jc w:val="left"/>
            </w:pPr>
            <w:r>
              <w:t xml:space="preserve">Patas de gallo, rugosidad, elasticidad e hidratación mejores que con placebo (análisis de 84 personas)</w:t>
            </w:r>
          </w:p>
        </w:tc>
      </w:tr>
      <w:tr>
        <w:tc>
          <w:tcPr/>
          <w:p>
            <w:pPr>
              <w:pStyle w:val="Compact"/>
              <w:jc w:val="left"/>
            </w:pPr>
            <w:r>
              <w:t xml:space="preserve">Vleminckx 2024, PMID 39143887</w:t>
            </w:r>
          </w:p>
        </w:tc>
        <w:tc>
          <w:tcPr/>
          <w:p>
            <w:pPr>
              <w:pStyle w:val="Compact"/>
              <w:jc w:val="left"/>
            </w:pPr>
            <w:r>
              <w:t xml:space="preserve">85 mujeres de Asia oriental (43–65 años), 5 g frente a maltodextrina</w:t>
            </w:r>
          </w:p>
        </w:tc>
        <w:tc>
          <w:tcPr/>
          <w:p>
            <w:pPr>
              <w:pStyle w:val="Compact"/>
              <w:jc w:val="left"/>
            </w:pPr>
            <w:r>
              <w:t xml:space="preserve">12 semanas</w:t>
            </w:r>
          </w:p>
        </w:tc>
        <w:tc>
          <w:tcPr/>
          <w:p>
            <w:pPr>
              <w:pStyle w:val="Compact"/>
              <w:jc w:val="left"/>
            </w:pPr>
            <w:r>
              <w:t xml:space="preserve">Densidad cutánea e hidratación mejores que con placebo a los 84 días</w:t>
            </w:r>
          </w:p>
        </w:tc>
      </w:tr>
    </w:tbl>
    <w:p>
      <w:pPr>
        <w:pStyle w:val="BodyText"/>
      </w:pPr>
      <w:r>
        <w:t xml:space="preserve">Algunos estudios investigaron también la celulitis (105 mujeres, seis meses; mejora sobre todo en mujeres con peso normal, Schunck 2015, PMID 26561784) y las uñas quebradizas. Sin embargo, el estudio de las uñas fue abierto y sin grupo de control: 25 participantes, crecimiento de las uñas +12 %, uñas rotas −42 %</w:t>
      </w:r>
      <w:r>
        <w:rPr>
          <w:rStyle w:val="FootnoteReference"/>
        </w:rPr>
        <w:footnoteReference w:id="2326"/>
      </w:r>
      <w:r>
        <w:t xml:space="preserve">. Sin grupo de comparación no puede descartarse aquí un efecto placebo.</w:t>
      </w:r>
    </w:p>
    <w:p>
      <w:pPr>
        <w:pStyle w:val="BodyText"/>
      </w:pPr>
      <w:r>
        <w:t xml:space="preserve">En pacientes con úlceras por presión (decúbito) se probó, además del tratamiento estándar, un colágeno hidrolizado con una alta proporción de prolil-hidroxiprolina. En 120 participantes, la cicatrización de las heridas a las 16 semanas fue mejor en este grupo que con placebo</w:t>
      </w:r>
      <w:r>
        <w:rPr>
          <w:rStyle w:val="FootnoteReference"/>
        </w:rPr>
        <w:footnoteReference w:id="2327"/>
      </w:r>
      <w:r>
        <w:t xml:space="preserve">. Un pequeño estudio de 2026 en dermatitis atópica moderada comunicó un menor consumo de crema de corticoides con 5 g de péptidos de colágeno (0,94 g frente a 5,60 g; Proksch 2026, PMID 41758763); los propios autores reclaman estudios de confirmación más grandes.</w:t>
      </w:r>
    </w:p>
    <w:bookmarkEnd w:id="2328"/>
    <w:bookmarkStart w:id="2333" w:name="X2637fb55063f7e5c3e2a8e62ffc713afd43fbe1"/>
    <w:p>
      <w:pPr>
        <w:pStyle w:val="Heading4"/>
      </w:pPr>
      <w:r>
        <w:t xml:space="preserve">Los metaanálisis sobre la piel y la cuestión de la financiación</w:t>
      </w:r>
    </w:p>
    <w:p>
      <w:pPr>
        <w:pStyle w:val="FirstParagraph"/>
      </w:pPr>
      <w:r>
        <w:t xml:space="preserve">Si se agrupan los estudios sobre la piel, a primera vista resulta un panorama claro:</w:t>
      </w:r>
    </w:p>
    <w:p>
      <w:pPr>
        <w:numPr>
          <w:ilvl w:val="0"/>
          <w:numId w:val="1292"/>
        </w:numPr>
        <w:pStyle w:val="Compact"/>
      </w:pPr>
      <w:r>
        <w:t xml:space="preserve">19 estudios con 1125 participantes: efecto favorable sobre la hidratación, la elasticidad y las arrugas</w:t>
      </w:r>
      <w:r>
        <w:rPr>
          <w:rStyle w:val="FootnoteReference"/>
        </w:rPr>
        <w:footnoteReference w:id="2329"/>
      </w:r>
      <w:r>
        <w:t xml:space="preserve">.</w:t>
      </w:r>
    </w:p>
    <w:p>
      <w:pPr>
        <w:numPr>
          <w:ilvl w:val="0"/>
          <w:numId w:val="1292"/>
        </w:numPr>
        <w:pStyle w:val="Compact"/>
      </w:pPr>
      <w:r>
        <w:t xml:space="preserve">26 estudios con 1721 participantes: mejora significativa de la hidratación y la elasticidad; pero los autores señalan varias fuentes de sesgo y reclaman estudios grandes</w:t>
      </w:r>
      <w:r>
        <w:rPr>
          <w:rStyle w:val="FootnoteReference"/>
        </w:rPr>
        <w:footnoteReference w:id="2330"/>
      </w:r>
      <w:r>
        <w:t xml:space="preserve">.</w:t>
      </w:r>
    </w:p>
    <w:p>
      <w:pPr>
        <w:numPr>
          <w:ilvl w:val="0"/>
          <w:numId w:val="1292"/>
        </w:numPr>
        <w:pStyle w:val="Compact"/>
      </w:pPr>
      <w:r>
        <w:t xml:space="preserve">10 estudios con 646 participantes: hidratación y elasticidad mejoradas, con heterogeneidad media y un riesgo de sesgo mayoritariamente incierto</w:t>
      </w:r>
      <w:r>
        <w:rPr>
          <w:rStyle w:val="FootnoteReference"/>
        </w:rPr>
        <w:footnoteReference w:id="2331"/>
      </w:r>
      <w:r>
        <w:t xml:space="preserve">.</w:t>
      </w:r>
    </w:p>
    <w:p>
      <w:pPr>
        <w:pStyle w:val="FirstParagraph"/>
      </w:pPr>
      <w:r>
        <w:t xml:space="preserve">Un metaanálisis de 2025 fue un paso más allá y separó los estudios según su financiador y su calidad. Considerando los 23 estudios con 1474 participantes, volvió a observarse una ventaja. Pero si solo se consideraban los estudios</w:t>
      </w:r>
      <w:r>
        <w:t xml:space="preserve"> </w:t>
      </w:r>
      <w:r>
        <w:rPr>
          <w:iCs/>
          <w:i/>
        </w:rPr>
        <w:t xml:space="preserve">sin</w:t>
      </w:r>
      <w:r>
        <w:t xml:space="preserve"> </w:t>
      </w:r>
      <w:r>
        <w:t xml:space="preserve">financiación de la industria, el efecto sobre la hidratación, la elasticidad y las arrugas desaparecía. Tampoco los estudios de alta calidad metodológica mostraron un efecto significativo en ninguna categoría; solo en los estudios de baja calidad se halló una mejora de la elasticidad. Las autoras y los autores concluyen que actualmente no hay pruebas clínicas que respalden el uso de preparados de colágeno para prevenir o tratar el envejecimiento cutáneo</w:t>
      </w:r>
      <w:r>
        <w:rPr>
          <w:rStyle w:val="FootnoteReference"/>
        </w:rPr>
        <w:footnoteReference w:id="2332"/>
      </w:r>
      <w:r>
        <w:t xml:space="preserve">.</w:t>
      </w:r>
    </w:p>
    <w:p>
      <w:pPr>
        <w:pStyle w:val="BodyText"/>
      </w:pPr>
      <w:r>
        <w:t xml:space="preserve">Este resultado no es un veredicto definitivo: el número de estudios independientes es pequeño, y la falta de significación estadística no significa automáticamente que no haya efecto. Pero muestra cuánto depende el balance global positivo de estudios que han financiado los propios proveedores. Para las lectoras y los lectores, esto significa que la afirmación «clínicamente demostrado» de un envase de colágeno se basa por lo general en estudios del propio proveedor de la materia prima.</w:t>
      </w:r>
    </w:p>
    <w:bookmarkEnd w:id="2333"/>
    <w:bookmarkStart w:id="2339" w:name="articulaciones-y-artrosis"/>
    <w:p>
      <w:pPr>
        <w:pStyle w:val="Heading4"/>
      </w:pPr>
      <w:r>
        <w:t xml:space="preserve">Articulaciones y artrosis</w:t>
      </w:r>
    </w:p>
    <w:p>
      <w:pPr>
        <w:pStyle w:val="FirstParagraph"/>
      </w:pPr>
      <w:r>
        <w:t xml:space="preserve">El segundo gran grupo de estudios se refiere al dolor articular, tanto en la artrosis como en personas deportivamente activas sin diagnóstico.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Clark 2008, PMID 18416885</w:t>
            </w:r>
          </w:p>
        </w:tc>
        <w:tc>
          <w:tcPr/>
          <w:p>
            <w:pPr>
              <w:pStyle w:val="Compact"/>
              <w:jc w:val="left"/>
            </w:pPr>
            <w:r>
              <w:t xml:space="preserve">147 deportistas con dolor articular relacionado con el esfuerzo, 10 g frente a placebo</w:t>
            </w:r>
          </w:p>
        </w:tc>
        <w:tc>
          <w:tcPr/>
          <w:p>
            <w:pPr>
              <w:pStyle w:val="Compact"/>
              <w:jc w:val="left"/>
            </w:pPr>
            <w:r>
              <w:t xml:space="preserve">24 semanas</w:t>
            </w:r>
          </w:p>
        </w:tc>
        <w:tc>
          <w:tcPr/>
          <w:p>
            <w:pPr>
              <w:pStyle w:val="Compact"/>
              <w:jc w:val="left"/>
            </w:pPr>
            <w:r>
              <w:t xml:space="preserve">Varios valores de dolor mejores que con placebo; solo 97 de 147 analizables</w:t>
            </w:r>
          </w:p>
        </w:tc>
      </w:tr>
      <w:tr>
        <w:tc>
          <w:tcPr/>
          <w:p>
            <w:pPr>
              <w:pStyle w:val="Compact"/>
              <w:jc w:val="left"/>
            </w:pPr>
            <w:r>
              <w:t xml:space="preserve">Bruyère 2012, PMID 22500661</w:t>
            </w:r>
          </w:p>
        </w:tc>
        <w:tc>
          <w:tcPr/>
          <w:p>
            <w:pPr>
              <w:pStyle w:val="Compact"/>
              <w:jc w:val="left"/>
            </w:pPr>
            <w:r>
              <w:t xml:space="preserve">200 personas a partir de 50 años con dolor articular, 1,2 g frente a placebo</w:t>
            </w:r>
          </w:p>
        </w:tc>
        <w:tc>
          <w:tcPr/>
          <w:p>
            <w:pPr>
              <w:pStyle w:val="Compact"/>
              <w:jc w:val="left"/>
            </w:pPr>
            <w:r>
              <w:t xml:space="preserve">6 meses</w:t>
            </w:r>
          </w:p>
        </w:tc>
        <w:tc>
          <w:tcPr/>
          <w:p>
            <w:pPr>
              <w:pStyle w:val="Compact"/>
              <w:jc w:val="left"/>
            </w:pPr>
            <w:r>
              <w:t xml:space="preserve">Tasa de respuesta 51,6 % frente a 36,5 % a los 6 meses; sin diferencia a los 3 meses</w:t>
            </w:r>
          </w:p>
        </w:tc>
      </w:tr>
      <w:tr>
        <w:tc>
          <w:tcPr/>
          <w:p>
            <w:pPr>
              <w:pStyle w:val="Compact"/>
              <w:jc w:val="left"/>
            </w:pPr>
            <w:r>
              <w:t xml:space="preserve">Kumar 2015, PMID 24852756</w:t>
            </w:r>
          </w:p>
        </w:tc>
        <w:tc>
          <w:tcPr/>
          <w:p>
            <w:pPr>
              <w:pStyle w:val="Compact"/>
              <w:jc w:val="left"/>
            </w:pPr>
            <w:r>
              <w:t xml:space="preserve">Artrosis de rodilla, péptidos de piel porcina o hueso bovino frente a placebo</w:t>
            </w:r>
          </w:p>
        </w:tc>
        <w:tc>
          <w:tcPr/>
          <w:p>
            <w:pPr>
              <w:pStyle w:val="Compact"/>
              <w:jc w:val="left"/>
            </w:pPr>
            <w:r>
              <w:t xml:space="preserve">13 semanas</w:t>
            </w:r>
          </w:p>
        </w:tc>
        <w:tc>
          <w:tcPr/>
          <w:p>
            <w:pPr>
              <w:pStyle w:val="Compact"/>
              <w:jc w:val="left"/>
            </w:pPr>
            <w:r>
              <w:t xml:space="preserve">Valores de WOMAC, dolor y calidad de vida mejores que con placebo</w:t>
            </w:r>
          </w:p>
        </w:tc>
      </w:tr>
      <w:tr>
        <w:tc>
          <w:tcPr/>
          <w:p>
            <w:pPr>
              <w:pStyle w:val="Compact"/>
              <w:jc w:val="left"/>
            </w:pPr>
            <w:r>
              <w:t xml:space="preserve">Zdzieblik 2017, PMID 28177710</w:t>
            </w:r>
          </w:p>
        </w:tc>
        <w:tc>
          <w:tcPr/>
          <w:p>
            <w:pPr>
              <w:pStyle w:val="Compact"/>
              <w:jc w:val="left"/>
            </w:pPr>
            <w:r>
              <w:t xml:space="preserve">139 deportistas con molestias de rodilla, 5 g frente a placebo</w:t>
            </w:r>
          </w:p>
        </w:tc>
        <w:tc>
          <w:tcPr/>
          <w:p>
            <w:pPr>
              <w:pStyle w:val="Compact"/>
              <w:jc w:val="left"/>
            </w:pPr>
            <w:r>
              <w:t xml:space="preserve">12 semanas</w:t>
            </w:r>
          </w:p>
        </w:tc>
        <w:tc>
          <w:tcPr/>
          <w:p>
            <w:pPr>
              <w:pStyle w:val="Compact"/>
              <w:jc w:val="left"/>
            </w:pPr>
            <w:r>
              <w:t xml:space="preserve">Dolor con el esfuerzo mejor que con placebo (p = 0,046); dolor en reposo, no</w:t>
            </w:r>
          </w:p>
        </w:tc>
      </w:tr>
      <w:tr>
        <w:tc>
          <w:tcPr/>
          <w:p>
            <w:pPr>
              <w:pStyle w:val="Compact"/>
              <w:jc w:val="left"/>
            </w:pPr>
            <w:r>
              <w:t xml:space="preserve">Bongers 2020, PMID 31990581</w:t>
            </w:r>
          </w:p>
        </w:tc>
        <w:tc>
          <w:tcPr/>
          <w:p>
            <w:pPr>
              <w:pStyle w:val="Compact"/>
              <w:jc w:val="left"/>
            </w:pPr>
            <w:r>
              <w:t xml:space="preserve">167 personas activas (mediana 63 años) con dolor de rodilla, 10 g frente a placebo</w:t>
            </w:r>
          </w:p>
        </w:tc>
        <w:tc>
          <w:tcPr/>
          <w:p>
            <w:pPr>
              <w:pStyle w:val="Compact"/>
              <w:jc w:val="left"/>
            </w:pPr>
            <w:r>
              <w:t xml:space="preserve">12 semanas</w:t>
            </w:r>
          </w:p>
        </w:tc>
        <w:tc>
          <w:tcPr/>
          <w:p>
            <w:pPr>
              <w:pStyle w:val="Compact"/>
              <w:jc w:val="left"/>
            </w:pPr>
            <w:r>
              <w:t xml:space="preserve">Sin diferencia: el dolor disminuyó igual en ambos grupos</w:t>
            </w:r>
          </w:p>
        </w:tc>
      </w:tr>
    </w:tbl>
    <w:p>
      <w:pPr>
        <w:pStyle w:val="BodyText"/>
      </w:pPr>
      <w:r>
        <w:t xml:space="preserve">El estudio de Bongers es notable porque es de los más grandes y comunica un resultado claramente negativo: el dolor y la función de la rodilla mejoraron, pero igual con placebo que con colágeno. Esto ilustra lo grande que es el efecto placebo en el dolor articular.</w:t>
      </w:r>
    </w:p>
    <w:p>
      <w:pPr>
        <w:pStyle w:val="BodyText"/>
      </w:pPr>
      <w:r>
        <w:t xml:space="preserve">Aun así, los metaanálisis llegan mayoritariamente a un resultado favorable:</w:t>
      </w:r>
    </w:p>
    <w:p>
      <w:pPr>
        <w:numPr>
          <w:ilvl w:val="0"/>
          <w:numId w:val="1293"/>
        </w:numPr>
        <w:pStyle w:val="Compact"/>
      </w:pPr>
      <w:r>
        <w:t xml:space="preserve">Un metaanálisis de estudios aleatorizados y controlados con placebo encontró una reducción significativa de la puntuación total del WOMAC (un cuestionario de artrosis) y de la puntuación del dolor en la escala visual analógica; sin embargo, las subescalas de dolor y de limitación funcional del WOMAC no difirieron significativamente</w:t>
      </w:r>
      <w:r>
        <w:rPr>
          <w:rStyle w:val="FootnoteReference"/>
        </w:rPr>
        <w:footnoteReference w:id="2334"/>
      </w:r>
      <w:r>
        <w:t xml:space="preserve">.</w:t>
      </w:r>
    </w:p>
    <w:p>
      <w:pPr>
        <w:numPr>
          <w:ilvl w:val="0"/>
          <w:numId w:val="1293"/>
        </w:numPr>
        <w:pStyle w:val="Compact"/>
      </w:pPr>
      <w:r>
        <w:t xml:space="preserve">El análisis más amplio hasta la fecha incluyó 35 estudios con 3165 pacientes con artrosis. Los derivados del colágeno –aquí se agrupan el colágeno hidrolizado y el no desnaturalizado– tuvieron efectos pequeños a moderados sobre el dolor (diferencia de medias estandarizada −0,35) y la función (−0,31). Los efectos adversos y los abandonos no fueron más frecuentes que con el control</w:t>
      </w:r>
      <w:r>
        <w:rPr>
          <w:rStyle w:val="FootnoteReference"/>
        </w:rPr>
        <w:footnoteReference w:id="2335"/>
      </w:r>
      <w:r>
        <w:t xml:space="preserve">.</w:t>
      </w:r>
    </w:p>
    <w:p>
      <w:pPr>
        <w:numPr>
          <w:ilvl w:val="0"/>
          <w:numId w:val="1293"/>
        </w:numPr>
        <w:pStyle w:val="Compact"/>
      </w:pPr>
      <w:r>
        <w:t xml:space="preserve">Un análisis de solo cuatro estudios con 507 pacientes con artrosis de rodilla encontró también un alivio del dolor, pero calificó los cuatro estudios como de alto riesgo de sesgo</w:t>
      </w:r>
      <w:r>
        <w:rPr>
          <w:rStyle w:val="FootnoteReference"/>
        </w:rPr>
        <w:footnoteReference w:id="2336"/>
      </w:r>
      <w:r>
        <w:t xml:space="preserve">.</w:t>
      </w:r>
    </w:p>
    <w:p>
      <w:pPr>
        <w:numPr>
          <w:ilvl w:val="0"/>
          <w:numId w:val="1293"/>
        </w:numPr>
        <w:pStyle w:val="Compact"/>
      </w:pPr>
      <w:r>
        <w:t xml:space="preserve">Un metaanálisis actualizado con 11 estudios y 870 participantes comunicó mejoras de la función y el dolor, aunque con una heterogeneidad muy alta (I² 75 y 88 %, respectivamente)</w:t>
      </w:r>
      <w:r>
        <w:rPr>
          <w:rStyle w:val="FootnoteReference"/>
        </w:rPr>
        <w:footnoteReference w:id="2337"/>
      </w:r>
      <w:r>
        <w:t xml:space="preserve">.</w:t>
      </w:r>
    </w:p>
    <w:p>
      <w:pPr>
        <w:pStyle w:val="FirstParagraph"/>
      </w:pPr>
      <w:r>
        <w:t xml:space="preserve">Para situarlo: una diferencia de medias estandarizada de aproximadamente 0,3 se considera un efecto pequeño. Está en un orden de magnitud similar al de algunos otros complementos alimenticios para la artrosis y es claramente menor que el efecto que se espera de un analgésico. Una gran revisión sobre complementos alimenticios en la artrosis encontró para el colágeno hidrolizado grandes efectos a corto plazo sobre el dolor, pero concluyó en conjunto que la calidad de la evidencia es muy baja y que ningún preparado mostró efectos clínicamente relevantes a largo plazo</w:t>
      </w:r>
      <w:r>
        <w:rPr>
          <w:rStyle w:val="FootnoteReference"/>
        </w:rPr>
        <w:footnoteReference w:id="2338"/>
      </w:r>
      <w:r>
        <w:t xml:space="preserve">.</w:t>
      </w:r>
    </w:p>
    <w:bookmarkEnd w:id="2339"/>
    <w:bookmarkStart w:id="2342" w:name="X0b7231ac822d442268ff4026b986c4cb9d48063"/>
    <w:p>
      <w:pPr>
        <w:pStyle w:val="Heading4"/>
      </w:pPr>
      <w:r>
        <w:t xml:space="preserve">Diferenciación: colágeno de tipo II no desnaturalizado (UC-II)</w:t>
      </w:r>
    </w:p>
    <w:p>
      <w:pPr>
        <w:pStyle w:val="FirstParagraph"/>
      </w:pPr>
      <w:r>
        <w:t xml:space="preserve">El colágeno de tipo II no desnaturalizado se obtiene de forma suave a partir de cartílago de pechuga de pollo, de modo que la estructura original del colágeno se conserva en parte. Se toma en cantidades muy pequeñas –en los estudios, 40 miligramos al día, es decir, entre una centésima y una doscientas cincuentava parte de las cantidades en gramos del colágeno hidrolizado–. No debe actuar como material de construcción, sino a través de la llamada tolerancia oral: el sistema inmunitario del intestino debería aprender a no tratar el colágeno del cartílago como objetivo de ataque. Esta idea procede de modelos animales de inflamación articular.</w:t>
      </w:r>
    </w:p>
    <w:p>
      <w:pPr>
        <w:pStyle w:val="BodyText"/>
      </w:pPr>
      <w:r>
        <w:t xml:space="preserve">Históricamente, el principio se probó primero en la artritis reumatoide. Un pequeño estudio con 60 pacientes comunicó en 1993 una disminución de las articulaciones inflamadas y dolorosas a la presión</w:t>
      </w:r>
      <w:r>
        <w:rPr>
          <w:rStyle w:val="FootnoteReference"/>
        </w:rPr>
        <w:footnoteReference w:id="2340"/>
      </w:r>
      <w:r>
        <w:t xml:space="preserve">. Un estudio posterior más grande, con 274 participantes y cuatro dosis, solo encontró una ventaja significativa con la dosis más baja y según uno de tres criterios de valoración</w:t>
      </w:r>
      <w:r>
        <w:rPr>
          <w:rStyle w:val="FootnoteReference"/>
        </w:rPr>
        <w:footnoteReference w:id="2341"/>
      </w:r>
      <w:r>
        <w:t xml:space="preserve">. Como terapia reumatológica, el enfoque no se ha impuesto.</w:t>
      </w:r>
    </w:p>
    <w:p>
      <w:pPr>
        <w:pStyle w:val="BodyText"/>
      </w:pPr>
      <w:r>
        <w:t xml:space="preserve">Para la artrosis y las molestias articulares existen sobre todo estudios cercanos a los fabricantes: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Lugo 2016, PMID 26822714</w:t>
            </w:r>
          </w:p>
        </w:tc>
        <w:tc>
          <w:tcPr/>
          <w:p>
            <w:pPr>
              <w:pStyle w:val="Compact"/>
              <w:jc w:val="left"/>
            </w:pPr>
            <w:r>
              <w:t xml:space="preserve">191 personas con artrosis de rodilla, UC-II frente a glucosamina/condroitina frente a placebo</w:t>
            </w:r>
          </w:p>
        </w:tc>
        <w:tc>
          <w:tcPr/>
          <w:p>
            <w:pPr>
              <w:pStyle w:val="Compact"/>
              <w:jc w:val="left"/>
            </w:pPr>
            <w:r>
              <w:t xml:space="preserve">180 días</w:t>
            </w:r>
          </w:p>
        </w:tc>
        <w:tc>
          <w:tcPr/>
          <w:p>
            <w:pPr>
              <w:pStyle w:val="Compact"/>
              <w:jc w:val="left"/>
            </w:pPr>
            <w:r>
              <w:t xml:space="preserve">Puntuación total WOMAC mejor que con placebo (p = 0,002) y que con glucosamina/condroitina (p = 0,04)</w:t>
            </w:r>
          </w:p>
        </w:tc>
      </w:tr>
      <w:tr>
        <w:tc>
          <w:tcPr/>
          <w:p>
            <w:pPr>
              <w:pStyle w:val="Compact"/>
              <w:jc w:val="left"/>
            </w:pPr>
            <w:r>
              <w:t xml:space="preserve">Lugo 2013, PMID 24153020</w:t>
            </w:r>
          </w:p>
        </w:tc>
        <w:tc>
          <w:tcPr/>
          <w:p>
            <w:pPr>
              <w:pStyle w:val="Compact"/>
              <w:jc w:val="left"/>
            </w:pPr>
            <w:r>
              <w:t xml:space="preserve">55 personas sanas con dolor de rodilla relacionado con el esfuerzo, UC-II frente a placebo</w:t>
            </w:r>
          </w:p>
        </w:tc>
        <w:tc>
          <w:tcPr/>
          <w:p>
            <w:pPr>
              <w:pStyle w:val="Compact"/>
              <w:jc w:val="left"/>
            </w:pPr>
            <w:r>
              <w:t xml:space="preserve">120 días</w:t>
            </w:r>
          </w:p>
        </w:tc>
        <w:tc>
          <w:tcPr/>
          <w:p>
            <w:pPr>
              <w:pStyle w:val="Compact"/>
              <w:jc w:val="left"/>
            </w:pPr>
            <w:r>
              <w:t xml:space="preserve">Extensión de rodilla 81,0° frente a 74,0°; esfuerzo sin dolor más prolongado</w:t>
            </w:r>
          </w:p>
        </w:tc>
      </w:tr>
      <w:tr>
        <w:tc>
          <w:tcPr/>
          <w:p>
            <w:pPr>
              <w:pStyle w:val="Compact"/>
              <w:jc w:val="left"/>
            </w:pPr>
            <w:r>
              <w:t xml:space="preserve">Yuenyongviwat 2025, PMID 40897777</w:t>
            </w:r>
          </w:p>
        </w:tc>
        <w:tc>
          <w:tcPr/>
          <w:p>
            <w:pPr>
              <w:pStyle w:val="Compact"/>
              <w:jc w:val="left"/>
            </w:pPr>
            <w:r>
              <w:t xml:space="preserve">68 personas con artrosis de rodilla, UC-II más colágeno hidrolizado frente a placebo</w:t>
            </w:r>
          </w:p>
        </w:tc>
        <w:tc>
          <w:tcPr/>
          <w:p>
            <w:pPr>
              <w:pStyle w:val="Compact"/>
              <w:jc w:val="left"/>
            </w:pPr>
            <w:r>
              <w:t xml:space="preserve">12 semanas</w:t>
            </w:r>
          </w:p>
        </w:tc>
        <w:tc>
          <w:tcPr/>
          <w:p>
            <w:pPr>
              <w:pStyle w:val="Compact"/>
              <w:jc w:val="left"/>
            </w:pPr>
            <w:r>
              <w:t xml:space="preserve">Sin diferencia en dolor, función ni medicación de rescate</w:t>
            </w:r>
          </w:p>
        </w:tc>
      </w:tr>
    </w:tbl>
    <w:p>
      <w:pPr>
        <w:pStyle w:val="BodyText"/>
      </w:pPr>
      <w:r>
        <w:t xml:space="preserve">El estudio más reciente procede de un grupo de trabajo independiente que señala expresamente que la mayoría de los estudios sobre colágeno anteriores fueron financiados por la industria. Encontró –como Bongers 2020– mejoras en ambos grupos, pero ninguna ventaja frente al placebo (Yuenyongviwat 2025, PMID 40897777, registrado como NCT06229951).</w:t>
      </w:r>
    </w:p>
    <w:p>
      <w:pPr>
        <w:pStyle w:val="BodyText"/>
      </w:pPr>
      <w:r>
        <w:t xml:space="preserve">Importante para las y los consumidores: el UC-II y el colágeno hidrolizado no son intercambiables. Quien lee estudios sobre uno de los productos no puede deducir de ellos nada sobre el otro.</w:t>
      </w:r>
    </w:p>
    <w:bookmarkEnd w:id="2342"/>
    <w:bookmarkStart w:id="2343" w:name="huesos"/>
    <w:p>
      <w:pPr>
        <w:pStyle w:val="Heading4"/>
      </w:pPr>
      <w:r>
        <w:t xml:space="preserve">Huesos</w:t>
      </w:r>
    </w:p>
    <w:p>
      <w:pPr>
        <w:pStyle w:val="FirstParagraph"/>
      </w:pPr>
      <w:r>
        <w:t xml:space="preserve">En cuanto a los huesos, los datos son escasos, pero interesantes: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König 2018, PMID 29337906</w:t>
            </w:r>
          </w:p>
        </w:tc>
        <w:tc>
          <w:tcPr/>
          <w:p>
            <w:pPr>
              <w:pStyle w:val="Compact"/>
              <w:jc w:val="left"/>
            </w:pPr>
            <w:r>
              <w:t xml:space="preserve">131 mujeres posmenopáusicas con densidad ósea reducida, 5 g frente a placebo</w:t>
            </w:r>
          </w:p>
        </w:tc>
        <w:tc>
          <w:tcPr/>
          <w:p>
            <w:pPr>
              <w:pStyle w:val="Compact"/>
              <w:jc w:val="left"/>
            </w:pPr>
            <w:r>
              <w:t xml:space="preserve">12 meses</w:t>
            </w:r>
          </w:p>
        </w:tc>
        <w:tc>
          <w:tcPr/>
          <w:p>
            <w:pPr>
              <w:pStyle w:val="Compact"/>
              <w:jc w:val="left"/>
            </w:pPr>
            <w:r>
              <w:t xml:space="preserve">T-score de columna +0,1 frente a −0,03; cuello femoral +0,09 frente a −0,01</w:t>
            </w:r>
          </w:p>
        </w:tc>
      </w:tr>
      <w:tr>
        <w:tc>
          <w:tcPr/>
          <w:p>
            <w:pPr>
              <w:pStyle w:val="Compact"/>
              <w:jc w:val="left"/>
            </w:pPr>
            <w:r>
              <w:t xml:space="preserve">Elam 2015, PMID 25314004</w:t>
            </w:r>
          </w:p>
        </w:tc>
        <w:tc>
          <w:tcPr/>
          <w:p>
            <w:pPr>
              <w:pStyle w:val="Compact"/>
              <w:jc w:val="left"/>
            </w:pPr>
            <w:r>
              <w:t xml:space="preserve">39 mujeres con osteopenia, quelato de calcio-colágeno más vitamina D frente a calcio más vitamina D</w:t>
            </w:r>
          </w:p>
        </w:tc>
        <w:tc>
          <w:tcPr/>
          <w:p>
            <w:pPr>
              <w:pStyle w:val="Compact"/>
              <w:jc w:val="left"/>
            </w:pPr>
            <w:r>
              <w:t xml:space="preserve">12 meses</w:t>
            </w:r>
          </w:p>
        </w:tc>
        <w:tc>
          <w:tcPr/>
          <w:p>
            <w:pPr>
              <w:pStyle w:val="Compact"/>
              <w:jc w:val="left"/>
            </w:pPr>
            <w:r>
              <w:t xml:space="preserve">Pérdida de densidad ósea corporal total −1,33 % frente a −3,75 % (quienes completaron el estudio)</w:t>
            </w:r>
          </w:p>
        </w:tc>
      </w:tr>
      <w:tr>
        <w:tc>
          <w:tcPr/>
          <w:p>
            <w:pPr>
              <w:pStyle w:val="Compact"/>
              <w:jc w:val="left"/>
            </w:pPr>
            <w:r>
              <w:t xml:space="preserve">Lampropoulou-Adamidou 2022, PMID 34980546</w:t>
            </w:r>
          </w:p>
        </w:tc>
        <w:tc>
          <w:tcPr/>
          <w:p>
            <w:pPr>
              <w:pStyle w:val="Compact"/>
              <w:jc w:val="left"/>
            </w:pPr>
            <w:r>
              <w:t xml:space="preserve">51 mujeres con osteopenia, 5 g de péptidos más calcio/vitamina D frente a calcio/vitamina D</w:t>
            </w:r>
          </w:p>
        </w:tc>
        <w:tc>
          <w:tcPr/>
          <w:p>
            <w:pPr>
              <w:pStyle w:val="Compact"/>
              <w:jc w:val="left"/>
            </w:pPr>
            <w:r>
              <w:t xml:space="preserve">12 meses</w:t>
            </w:r>
          </w:p>
        </w:tc>
        <w:tc>
          <w:tcPr/>
          <w:p>
            <w:pPr>
              <w:pStyle w:val="Compact"/>
              <w:jc w:val="left"/>
            </w:pPr>
            <w:r>
              <w:t xml:space="preserve">Mayor densidad ósea en tibia y columna lumbar con colágeno</w:t>
            </w:r>
          </w:p>
        </w:tc>
      </w:tr>
    </w:tbl>
    <w:p>
      <w:pPr>
        <w:pStyle w:val="BodyText"/>
      </w:pPr>
      <w:r>
        <w:t xml:space="preserve">Las diferencias son pequeñas, los estudios cortos, y ningún estudio ha investigado las fracturas óseas, la variable de resultado realmente decisiva. Los péptidos de colágeno no sustituyen a un tratamiento de la osteoporosis con reducción demostrada de las fracturas.</w:t>
      </w:r>
    </w:p>
    <w:bookmarkEnd w:id="2343"/>
    <w:bookmarkStart w:id="2350" w:name="músculos-y-tendones"/>
    <w:p>
      <w:pPr>
        <w:pStyle w:val="Heading4"/>
      </w:pPr>
      <w:r>
        <w:t xml:space="preserve">Músculos y tendones</w:t>
      </w:r>
    </w:p>
    <w:p>
      <w:pPr>
        <w:pStyle w:val="FirstParagraph"/>
      </w:pPr>
      <w:r>
        <w:t xml:space="preserve">En el deporte, los péptidos de colágeno se promocionan para dos objetivos distintos: el desarrollo muscular y el fortalecimiento de tendones y ligamentos.</w:t>
      </w:r>
    </w:p>
    <w:p>
      <w:pPr>
        <w:pStyle w:val="BodyText"/>
      </w:pPr>
      <w:r>
        <w:rPr>
          <w:bCs/>
          <w:b/>
        </w:rPr>
        <w:t xml:space="preserve">Desarrollo muscular.</w:t>
      </w:r>
      <w:r>
        <w:t xml:space="preserve"> </w:t>
      </w:r>
      <w:r>
        <w:t xml:space="preserve">El estudio más citado investigó a 53 hombres mayores con sarcopenia (pérdida de masa muscular relacionada con la edad) que hicieron doce semanas de entrenamiento de fuerza y recibieron además 15 g de péptidos de colágeno o placebo (dióxido de silicio). La masa libre de grasa aumentó 4,2 kg con colágeno y 2,9 kg con placebo</w:t>
      </w:r>
      <w:r>
        <w:rPr>
          <w:rStyle w:val="FootnoteReference"/>
        </w:rPr>
        <w:footnoteReference w:id="2344"/>
      </w:r>
      <w:r>
        <w:t xml:space="preserve">. El problema: el grupo placebo no recibió ninguna proteína. Así pues, la ventaja podría deberse simplemente al aporte adicional de proteínas.</w:t>
      </w:r>
    </w:p>
    <w:p>
      <w:pPr>
        <w:pStyle w:val="BodyText"/>
      </w:pPr>
      <w:r>
        <w:t xml:space="preserve">Justamente esta cuestión la responden las comparaciones con proteínas de alta calidad. En 22 mujeres mayores, la proteína de suero aumentó la síntesis de proteínas musculares tanto a corto plazo como a lo largo de seis días; los péptidos de colágeno, no</w:t>
      </w:r>
      <w:r>
        <w:rPr>
          <w:rStyle w:val="FootnoteReference"/>
        </w:rPr>
        <w:footnoteReference w:id="2345"/>
      </w:r>
      <w:r>
        <w:t xml:space="preserve">. En adultos jóvenes, el grosor muscular aumentó más tras diez semanas de entrenamiento de fuerza con proteína de suero que con colágeno, incluso cuando el colágeno se había enriquecido con leucina hasta el mismo contenido</w:t>
      </w:r>
      <w:r>
        <w:rPr>
          <w:rStyle w:val="FootnoteReference"/>
        </w:rPr>
        <w:footnoteReference w:id="2346"/>
      </w:r>
      <w:r>
        <w:t xml:space="preserve">. Un estudio con 25 hombres jóvenes no encontró con 2 × 15 g de colágeno al día una síntesis de proteínas musculares o del tejido conjuntivo mayor que con placebo</w:t>
      </w:r>
      <w:r>
        <w:rPr>
          <w:rStyle w:val="FootnoteReference"/>
        </w:rPr>
        <w:footnoteReference w:id="2347"/>
      </w:r>
      <w:r>
        <w:t xml:space="preserve">.</w:t>
      </w:r>
    </w:p>
    <w:p>
      <w:pPr>
        <w:pStyle w:val="BodyText"/>
      </w:pPr>
      <w:r>
        <w:rPr>
          <w:bCs/>
          <w:b/>
        </w:rPr>
        <w:t xml:space="preserve">Tendones.</w:t>
      </w:r>
      <w:r>
        <w:t xml:space="preserve"> </w:t>
      </w:r>
      <w:r>
        <w:t xml:space="preserve">Aquí los resultados son contradictorios: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Jerger 2023, PMID 37424319</w:t>
            </w:r>
          </w:p>
        </w:tc>
        <w:tc>
          <w:tcPr/>
          <w:p>
            <w:pPr>
              <w:pStyle w:val="Compact"/>
              <w:jc w:val="left"/>
            </w:pPr>
            <w:r>
              <w:t xml:space="preserve">50 hombres, entrenamiento de fuerza más 5 g frente a placebo</w:t>
            </w:r>
          </w:p>
        </w:tc>
        <w:tc>
          <w:tcPr/>
          <w:p>
            <w:pPr>
              <w:pStyle w:val="Compact"/>
              <w:jc w:val="left"/>
            </w:pPr>
            <w:r>
              <w:t xml:space="preserve">14 semanas</w:t>
            </w:r>
          </w:p>
        </w:tc>
        <w:tc>
          <w:tcPr/>
          <w:p>
            <w:pPr>
              <w:pStyle w:val="Compact"/>
              <w:jc w:val="left"/>
            </w:pPr>
            <w:r>
              <w:t xml:space="preserve">Sección transversal del tendón rotuliano más aumentada; rigidez y fuerza sin diferencia entre grupos</w:t>
            </w:r>
          </w:p>
        </w:tc>
      </w:tr>
      <w:tr>
        <w:tc>
          <w:tcPr/>
          <w:p>
            <w:pPr>
              <w:pStyle w:val="Compact"/>
              <w:jc w:val="left"/>
            </w:pPr>
            <w:r>
              <w:t xml:space="preserve">Balshaw 2023, PMID 37436929</w:t>
            </w:r>
          </w:p>
        </w:tc>
        <w:tc>
          <w:tcPr/>
          <w:p>
            <w:pPr>
              <w:pStyle w:val="Compact"/>
              <w:jc w:val="left"/>
            </w:pPr>
            <w:r>
              <w:t xml:space="preserve">39 hombres jóvenes, entrenamiento de fuerza más 15 g frente a placebo</w:t>
            </w:r>
          </w:p>
        </w:tc>
        <w:tc>
          <w:tcPr/>
          <w:p>
            <w:pPr>
              <w:pStyle w:val="Compact"/>
              <w:jc w:val="left"/>
            </w:pPr>
            <w:r>
              <w:t xml:space="preserve">15 semanas</w:t>
            </w:r>
          </w:p>
        </w:tc>
        <w:tc>
          <w:tcPr/>
          <w:p>
            <w:pPr>
              <w:pStyle w:val="Compact"/>
              <w:jc w:val="left"/>
            </w:pPr>
            <w:r>
              <w:t xml:space="preserve">Sin diferencias en el tamaño ni en la mecánica del tendón</w:t>
            </w:r>
          </w:p>
        </w:tc>
      </w:tr>
      <w:tr>
        <w:tc>
          <w:tcPr/>
          <w:p>
            <w:pPr>
              <w:pStyle w:val="Compact"/>
              <w:jc w:val="left"/>
            </w:pPr>
            <w:r>
              <w:t xml:space="preserve">Miyamoto 2025, PMID 40623147</w:t>
            </w:r>
          </w:p>
        </w:tc>
        <w:tc>
          <w:tcPr/>
          <w:p>
            <w:pPr>
              <w:pStyle w:val="Compact"/>
              <w:jc w:val="left"/>
            </w:pPr>
            <w:r>
              <w:t xml:space="preserve">50 hombres no entrenados, 10 g frente a placebo</w:t>
            </w:r>
          </w:p>
        </w:tc>
        <w:tc>
          <w:tcPr/>
          <w:p>
            <w:pPr>
              <w:pStyle w:val="Compact"/>
              <w:jc w:val="left"/>
            </w:pPr>
            <w:r>
              <w:t xml:space="preserve">16 semanas</w:t>
            </w:r>
          </w:p>
        </w:tc>
        <w:tc>
          <w:tcPr/>
          <w:p>
            <w:pPr>
              <w:pStyle w:val="Compact"/>
              <w:jc w:val="left"/>
            </w:pPr>
            <w:r>
              <w:t xml:space="preserve">Rigidez del gemelo y del tendón de Aquiles aumentada; sección transversal sin cambios</w:t>
            </w:r>
          </w:p>
        </w:tc>
      </w:tr>
      <w:tr>
        <w:tc>
          <w:tcPr/>
          <w:p>
            <w:pPr>
              <w:pStyle w:val="Compact"/>
              <w:jc w:val="left"/>
            </w:pPr>
            <w:r>
              <w:t xml:space="preserve">Praet 2019, PMID 30609761</w:t>
            </w:r>
          </w:p>
        </w:tc>
        <w:tc>
          <w:tcPr/>
          <w:p>
            <w:pPr>
              <w:pStyle w:val="Compact"/>
              <w:jc w:val="left"/>
            </w:pPr>
            <w:r>
              <w:t xml:space="preserve">20 personas con molestias del tendón de Aquiles, estudio cruzado con entrenamiento</w:t>
            </w:r>
          </w:p>
        </w:tc>
        <w:tc>
          <w:tcPr/>
          <w:p>
            <w:pPr>
              <w:pStyle w:val="Compact"/>
              <w:jc w:val="left"/>
            </w:pPr>
            <w:r>
              <w:t xml:space="preserve">6 meses</w:t>
            </w:r>
          </w:p>
        </w:tc>
        <w:tc>
          <w:tcPr/>
          <w:p>
            <w:pPr>
              <w:pStyle w:val="Compact"/>
              <w:jc w:val="left"/>
            </w:pPr>
            <w:r>
              <w:t xml:space="preserve">Mejora más rápida en el cuestionario de molestias en la fase con colágeno (estudio piloto)</w:t>
            </w:r>
          </w:p>
        </w:tc>
      </w:tr>
      <w:tr>
        <w:tc>
          <w:tcPr/>
          <w:p>
            <w:pPr>
              <w:pStyle w:val="Compact"/>
              <w:jc w:val="left"/>
            </w:pPr>
            <w:r>
              <w:t xml:space="preserve">Dressler 2018, PMID 29769831</w:t>
            </w:r>
          </w:p>
        </w:tc>
        <w:tc>
          <w:tcPr/>
          <w:p>
            <w:pPr>
              <w:pStyle w:val="Compact"/>
              <w:jc w:val="left"/>
            </w:pPr>
            <w:r>
              <w:t xml:space="preserve">50 deportistas con inestabilidad crónica de tobillo, 5 g frente a placebo</w:t>
            </w:r>
          </w:p>
        </w:tc>
        <w:tc>
          <w:tcPr/>
          <w:p>
            <w:pPr>
              <w:pStyle w:val="Compact"/>
              <w:jc w:val="left"/>
            </w:pPr>
            <w:r>
              <w:t xml:space="preserve">6 meses</w:t>
            </w:r>
          </w:p>
        </w:tc>
        <w:tc>
          <w:tcPr/>
          <w:p>
            <w:pPr>
              <w:pStyle w:val="Compact"/>
              <w:jc w:val="left"/>
            </w:pPr>
            <w:r>
              <w:t xml:space="preserve">Estabilidad subjetiva mejor; estabilidad mecánica sin cambios</w:t>
            </w:r>
          </w:p>
        </w:tc>
      </w:tr>
    </w:tbl>
    <w:p>
      <w:pPr>
        <w:pStyle w:val="BodyText"/>
      </w:pPr>
      <w:r>
        <w:t xml:space="preserve">Un metaanálisis de 19 estudios con 768 adultos sanos encontró, con la ingesta prolongada de colágeno combinada con entrenamiento, pequeñas ventajas en la masa libre de grasa, la morfología tendinosa, la arquitectura muscular y la fuerza máxima. La fiabilidad de la evidencia se calificó de moderada para la composición corporal, muy baja para la morfología tendinosa y baja para los demás resultados</w:t>
      </w:r>
      <w:r>
        <w:rPr>
          <w:rStyle w:val="FootnoteReference"/>
        </w:rPr>
        <w:footnoteReference w:id="2348"/>
      </w:r>
      <w:r>
        <w:t xml:space="preserve">. Una revisión sistemática anterior concluyó que el colágeno no está a la altura de las fuentes de proteína de mayor calidad en cuanto a la síntesis de proteínas musculares</w:t>
      </w:r>
      <w:r>
        <w:rPr>
          <w:rStyle w:val="FootnoteReference"/>
        </w:rPr>
        <w:footnoteReference w:id="2349"/>
      </w:r>
      <w:r>
        <w:t xml:space="preserve">.</w:t>
      </w:r>
    </w:p>
    <w:p>
      <w:pPr>
        <w:pStyle w:val="BodyText"/>
      </w:pPr>
      <w:r>
        <w:rPr>
          <w:bCs/>
          <w:b/>
        </w:rPr>
        <w:t xml:space="preserve">Balance provisional sobre el deporte:</w:t>
      </w:r>
      <w:r>
        <w:t xml:space="preserve"> </w:t>
      </w:r>
      <w:r>
        <w:t xml:space="preserve">para el desarrollo muscular hay fuentes de proteínas mejores y más baratas. Para los tendones y ligamentos, un beneficio es biológicamente plausible y algunos estudios lo sugieren, pero no está demostrado de forma sólida.</w:t>
      </w:r>
    </w:p>
    <w:bookmarkEnd w:id="2350"/>
    <w:bookmarkStart w:id="2352" w:name="otros-ámbitos-de-aplicación"/>
    <w:p>
      <w:pPr>
        <w:pStyle w:val="Heading4"/>
      </w:pPr>
      <w:r>
        <w:t xml:space="preserve">Otros ámbitos de aplicación</w:t>
      </w:r>
    </w:p>
    <w:p>
      <w:pPr>
        <w:pStyle w:val="FirstParagraph"/>
      </w:pPr>
      <w:r>
        <w:t xml:space="preserve">En estudios más pequeños se investigaron los péptidos de colágeno, entre otras cosas, en relación con la presión arterial y la función vascular, el sueño, el apetito, la gingivitis y las molestias intestinales. Un metaanálisis de 12 estudios controlados con placebo comunicó una reducción de la presión sistólica de 5,04 mmHg y del colesterol LDL de 4,09 mg/dl, aunque con una heterogeneidad extremadamente alta de los estudios individuales (I² 98,9 y 93,4 %, respectivamente)</w:t>
      </w:r>
      <w:r>
        <w:rPr>
          <w:rStyle w:val="FootnoteReference"/>
        </w:rPr>
        <w:footnoteReference w:id="2351"/>
      </w:r>
      <w:r>
        <w:t xml:space="preserve">. Estos campos están demasiado poco estudiados para hacer afirmaciones sólidas.</w:t>
      </w:r>
    </w:p>
    <w:bookmarkEnd w:id="2352"/>
    <w:bookmarkEnd w:id="2353"/>
    <w:bookmarkStart w:id="2357" w:name="estudios-en-animales-y-de-laboratorio-52"/>
    <w:p>
      <w:pPr>
        <w:pStyle w:val="Heading3"/>
      </w:pPr>
      <w:r>
        <w:t xml:space="preserve">Estudios en animales y de laboratorio</w:t>
      </w:r>
    </w:p>
    <w:p>
      <w:pPr>
        <w:pStyle w:val="FirstParagraph"/>
      </w:pPr>
      <w:r>
        <w:t xml:space="preserve">En cultivos celulares, los péptidos de colágeno, y en particular la prolil-hidroxiprolina, estimulan el crecimiento de los fibroblastos de la piel; en ratones y ratas mejoraron en experimentos la barrera cutánea, la densidad ósea y el metabolismo del cartílago. En muestras de piel humana en el laboratorio (ex vivo), los péptidos de colágeno favorecieron la formación de colágeno y glucosaminoglucanos</w:t>
      </w:r>
      <w:r>
        <w:rPr>
          <w:rStyle w:val="FootnoteReference"/>
        </w:rPr>
        <w:footnoteReference w:id="2354"/>
      </w:r>
      <w:r>
        <w:t xml:space="preserve">. Una revisión sistemática de once estudios, en su mayoría experimentales, concluyó que los hidrolizados de colágeno estimulan los fibroblastos a concentraciones de 50 a 500 microgramos por mililitro sin resultar tóxicos</w:t>
      </w:r>
      <w:r>
        <w:rPr>
          <w:rStyle w:val="FootnoteReference"/>
        </w:rPr>
        <w:footnoteReference w:id="2355"/>
      </w:r>
      <w:r>
        <w:t xml:space="preserve">. En experimentos con roedores con dietas hipercalóricas, un metaanálisis describió efectos sobre el peso y la masa grasa</w:t>
      </w:r>
      <w:r>
        <w:rPr>
          <w:rStyle w:val="FootnoteReference"/>
        </w:rPr>
        <w:footnoteReference w:id="2356"/>
      </w:r>
      <w:r>
        <w:t xml:space="preserve">, un hallazgo que no está demostrado en humanos.</w:t>
      </w:r>
    </w:p>
    <w:p>
      <w:pPr>
        <w:pStyle w:val="BodyText"/>
      </w:pPr>
      <w:r>
        <w:t xml:space="preserve">Estos resultados hacen plausibles las hipótesis. Pero no demuestran que las concentraciones de péptidos alcanzadas en humanos tras la ingesta sean suficientes en el tejido diana.</w:t>
      </w:r>
    </w:p>
    <w:bookmarkEnd w:id="2357"/>
    <w:bookmarkStart w:id="2360" w:name="riesgos-y-efectos-adversos-52"/>
    <w:p>
      <w:pPr>
        <w:pStyle w:val="Heading3"/>
      </w:pPr>
      <w:r>
        <w:t xml:space="preserve">Riesgos y efectos adversos</w:t>
      </w:r>
    </w:p>
    <w:p>
      <w:pPr>
        <w:pStyle w:val="FirstParagraph"/>
      </w:pPr>
      <w:r>
        <w:rPr>
          <w:bCs/>
          <w:b/>
        </w:rPr>
        <w:t xml:space="preserve">Demostrados:</w:t>
      </w:r>
      <w:r>
        <w:t xml:space="preserve"> </w:t>
      </w:r>
      <w:r>
        <w:t xml:space="preserve">en los estudios aleatorizados, los efectos adversos no fueron más frecuentes que con placebo. El gran metaanálisis sobre artrosis no encontró un riesgo aumentado de acontecimientos adversos ni de abandonos</w:t>
      </w:r>
      <w:r>
        <w:rPr>
          <w:rStyle w:val="FootnoteReference"/>
        </w:rPr>
        <w:footnoteReference w:id="2358"/>
      </w:r>
      <w:r>
        <w:t xml:space="preserve">. Ocasionalmente se comunican sensación de plenitud, flatulencia o un sabor desagradable.</w:t>
      </w:r>
    </w:p>
    <w:p>
      <w:pPr>
        <w:pStyle w:val="BodyText"/>
      </w:pPr>
      <w:r>
        <w:rPr>
          <w:bCs/>
          <w:b/>
        </w:rPr>
        <w:t xml:space="preserve">A tener en cuenta:</w:t>
      </w:r>
    </w:p>
    <w:p>
      <w:pPr>
        <w:numPr>
          <w:ilvl w:val="0"/>
          <w:numId w:val="1294"/>
        </w:numPr>
        <w:pStyle w:val="Compact"/>
      </w:pPr>
      <w:r>
        <w:rPr>
          <w:bCs/>
          <w:b/>
        </w:rPr>
        <w:t xml:space="preserve">Alergias e intolerancias:</w:t>
      </w:r>
      <w:r>
        <w:t xml:space="preserve"> </w:t>
      </w:r>
      <w:r>
        <w:t xml:space="preserve">el colágeno de pescado puede ser problemático en caso de alergia al pescado; los productos de vacuno o porcino son relevantes para las personas que evitan estos animales por motivos religiosos o éticos. El origen figura en la lista de ingredientes.</w:t>
      </w:r>
    </w:p>
    <w:p>
      <w:pPr>
        <w:numPr>
          <w:ilvl w:val="0"/>
          <w:numId w:val="1294"/>
        </w:numPr>
        <w:pStyle w:val="Compact"/>
      </w:pPr>
      <w:r>
        <w:rPr>
          <w:bCs/>
          <w:b/>
        </w:rPr>
        <w:t xml:space="preserve">Oxalato y cálculos renales:</w:t>
      </w:r>
      <w:r>
        <w:t xml:space="preserve"> </w:t>
      </w:r>
      <w:r>
        <w:t xml:space="preserve">la hidroxiprolina se degrada en parte a oxalato en el organismo. En un estudio, la excreción urinaria de oxalato aumentó un 43 % con 30 g de gelatina al día en comparación con la proteína de suero; ya 5 a 10 g de gelatina produjeron cambios medibles</w:t>
      </w:r>
      <w:r>
        <w:rPr>
          <w:rStyle w:val="FootnoteReference"/>
        </w:rPr>
        <w:footnoteReference w:id="2359"/>
      </w:r>
      <w:r>
        <w:t xml:space="preserve">. Para las personas sanas, la relevancia no está clara. Las personas con cálculos renales de oxalato cálcico o con una hiperoxaluria congénita deberían consultar la ingesta con su médico (riesgo teórico, pero con fundamento biológico).</w:t>
      </w:r>
    </w:p>
    <w:p>
      <w:pPr>
        <w:numPr>
          <w:ilvl w:val="0"/>
          <w:numId w:val="1294"/>
        </w:numPr>
        <w:pStyle w:val="Compact"/>
      </w:pPr>
      <w:r>
        <w:rPr>
          <w:bCs/>
          <w:b/>
        </w:rPr>
        <w:t xml:space="preserve">Cantidad de proteínas:</w:t>
      </w:r>
      <w:r>
        <w:t xml:space="preserve"> </w:t>
      </w:r>
      <w:r>
        <w:t xml:space="preserve">en las enfermedades renales con restricción proteica, el colágeno también cuenta en el aporte diario de proteínas.</w:t>
      </w:r>
    </w:p>
    <w:p>
      <w:pPr>
        <w:numPr>
          <w:ilvl w:val="0"/>
          <w:numId w:val="1294"/>
        </w:numPr>
        <w:pStyle w:val="Compact"/>
      </w:pPr>
      <w:r>
        <w:rPr>
          <w:bCs/>
          <w:b/>
        </w:rPr>
        <w:t xml:space="preserve">Calidad del producto:</w:t>
      </w:r>
      <w:r>
        <w:t xml:space="preserve"> </w:t>
      </w:r>
      <w:r>
        <w:t xml:space="preserve">los complementos alimenticios no se evalúan en cuanto a su eficacia antes de la venta. El fabricante es responsable de su pureza y de la ausencia de contaminantes; el control alimentario solo realiza inspecciones por muestreo.</w:t>
      </w:r>
    </w:p>
    <w:p>
      <w:pPr>
        <w:numPr>
          <w:ilvl w:val="0"/>
          <w:numId w:val="1294"/>
        </w:numPr>
        <w:pStyle w:val="Compact"/>
      </w:pPr>
      <w:r>
        <w:rPr>
          <w:bCs/>
          <w:b/>
        </w:rPr>
        <w:t xml:space="preserve">Falsa seguridad:</w:t>
      </w:r>
      <w:r>
        <w:t xml:space="preserve"> </w:t>
      </w:r>
      <w:r>
        <w:t xml:space="preserve">el mayor riesgo práctico es que el colágeno se use en lugar de medidas eficaces, por ejemplo en lugar de la protección UV frente al envejecimiento cutáneo o en lugar de un tratamiento de la osteoporosis.</w:t>
      </w:r>
    </w:p>
    <w:bookmarkEnd w:id="2360"/>
    <w:bookmarkStart w:id="2361" w:name="situación-legal-52"/>
    <w:p>
      <w:pPr>
        <w:pStyle w:val="Heading3"/>
      </w:pPr>
      <w:r>
        <w:t xml:space="preserve">Situación legal</w:t>
      </w:r>
    </w:p>
    <w:p>
      <w:pPr>
        <w:numPr>
          <w:ilvl w:val="0"/>
          <w:numId w:val="1295"/>
        </w:numPr>
        <w:pStyle w:val="Compact"/>
      </w:pPr>
      <w:r>
        <w:rPr>
          <w:bCs/>
          <w:b/>
        </w:rPr>
        <w:t xml:space="preserve">UE / Austria / Alemania:</w:t>
      </w:r>
      <w:r>
        <w:t xml:space="preserve"> </w:t>
      </w:r>
      <w:r>
        <w:t xml:space="preserve">los péptidos de colágeno son alimentos. En Alemania, los complementos alimenticios deben notificarse a la Oficina Federal de Protección del Consumidor y Seguridad Alimentaria (BVL) antes de su primera venta; en Austria rigen normas propias. En ninguno de los dos países se evalúa la eficacia. Según el Reglamento europeo sobre declaraciones de propiedades saludables (Reglamento (CE) n.º 1924/2006), las declaraciones relacionadas con la salud solo están permitidas si están autorizadas en la lista de la UE.</w:t>
      </w:r>
      <w:r>
        <w:t xml:space="preserve"> </w:t>
      </w:r>
      <w:r>
        <w:rPr>
          <w:bCs/>
          <w:b/>
        </w:rPr>
        <w:t xml:space="preserve">Para el colágeno o los péptidos de colágeno no existe ninguna declaración de propiedades saludables autorizada.</w:t>
      </w:r>
      <w:r>
        <w:t xml:space="preserve"> </w:t>
      </w:r>
      <w:r>
        <w:t xml:space="preserve">La Autoridad Europea de Seguridad Alimentaria (EFSA) evaluó negativamente las declaraciones solicitadas, por ejemplo sobre la salud articular, porque no se había demostrado una relación causa-efecto. Por eso, muchos productos contienen vitamina C: para la vitamina C está autorizada la declaración de que contribuye a la formación normal de colágeno para el funcionamiento normal de la piel, el cartílago, los huesos, las encías, los dientes y los vasos sanguíneos. La frase publicitaria se refiere entonces jurídicamente a la vitamina, no al colágeno. Las afirmaciones sobre belleza («para una piel más firme») se mueven en una zona gris y los tribunales las valoran de forma diversa.</w:t>
      </w:r>
    </w:p>
    <w:p>
      <w:pPr>
        <w:numPr>
          <w:ilvl w:val="0"/>
          <w:numId w:val="1295"/>
        </w:numPr>
        <w:pStyle w:val="Compact"/>
      </w:pPr>
      <w:r>
        <w:rPr>
          <w:bCs/>
          <w:b/>
        </w:rPr>
        <w:t xml:space="preserve">EE. UU.:</w:t>
      </w:r>
      <w:r>
        <w:t xml:space="preserve"> </w:t>
      </w:r>
      <w:r>
        <w:t xml:space="preserve">los péptidos de colágeno se venden como dietary supplement. Los fabricantes pueden hacer las llamadas declaraciones de estructura y función («apoya una piel sana»), pero deben añadir la advertencia de que la FDA no ha evaluado la declaración. No se permiten promesas relacionadas con enfermedades.</w:t>
      </w:r>
    </w:p>
    <w:p>
      <w:pPr>
        <w:numPr>
          <w:ilvl w:val="0"/>
          <w:numId w:val="1295"/>
        </w:numPr>
        <w:pStyle w:val="Compact"/>
      </w:pPr>
      <w:r>
        <w:rPr>
          <w:bCs/>
          <w:b/>
        </w:rPr>
        <w:t xml:space="preserve">Deporte:</w:t>
      </w:r>
      <w:r>
        <w:t xml:space="preserve"> </w:t>
      </w:r>
      <w:r>
        <w:t xml:space="preserve">los péptidos de colágeno no figuran en la lista de prohibiciones de la WADA. Como con todos los complementos alimenticios, existe un riesgo residual de contaminación; las y los deportistas de alto rendimiento deberían fijarse en listas verificadas (p. ej., la Kölner Liste) (situación en 2026, compruébese la versión actual).</w:t>
      </w:r>
    </w:p>
    <w:bookmarkEnd w:id="2361"/>
    <w:bookmarkStart w:id="2369" w:name="estudios-en-curso-y-perspectivas-52"/>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96"/>
        </w:numPr>
        <w:pStyle w:val="Compact"/>
      </w:pPr>
      <w:r>
        <w:rPr>
          <w:bCs/>
          <w:b/>
        </w:rPr>
        <w:t xml:space="preserve">Artrosis de rodilla:</w:t>
      </w:r>
      <w:r>
        <w:t xml:space="preserve"> </w:t>
      </w:r>
      <w:r>
        <w:t xml:space="preserve">un estudio del Istituto Ortopedico Rizzoli compara una formulación de colágeno hidrolizado con placebo en 204 participantes</w:t>
      </w:r>
      <w:r>
        <w:rPr>
          <w:rStyle w:val="FootnoteReference"/>
        </w:rPr>
        <w:footnoteReference w:id="2362"/>
      </w:r>
      <w:r>
        <w:t xml:space="preserve">. Un estudio más pequeño compara distintas formas de colágeno</w:t>
      </w:r>
      <w:r>
        <w:rPr>
          <w:rStyle w:val="FootnoteReference"/>
        </w:rPr>
        <w:footnoteReference w:id="2363"/>
      </w:r>
      <w:r>
        <w:t xml:space="preserve">.</w:t>
      </w:r>
    </w:p>
    <w:p>
      <w:pPr>
        <w:numPr>
          <w:ilvl w:val="0"/>
          <w:numId w:val="1296"/>
        </w:numPr>
        <w:pStyle w:val="Compact"/>
      </w:pPr>
      <w:r>
        <w:rPr>
          <w:bCs/>
          <w:b/>
        </w:rPr>
        <w:t xml:space="preserve">Prótesis de rodilla:</w:t>
      </w:r>
      <w:r>
        <w:t xml:space="preserve"> </w:t>
      </w:r>
      <w:r>
        <w:t xml:space="preserve">péptidos de colágeno tras una artroplastia total de rodilla, con remodelación del tejido conjuntivo y cicatrización de heridas como variables</w:t>
      </w:r>
      <w:r>
        <w:rPr>
          <w:rStyle w:val="FootnoteReference"/>
        </w:rPr>
        <w:footnoteReference w:id="2364"/>
      </w:r>
      <w:r>
        <w:t xml:space="preserve">.</w:t>
      </w:r>
    </w:p>
    <w:p>
      <w:pPr>
        <w:numPr>
          <w:ilvl w:val="0"/>
          <w:numId w:val="1296"/>
        </w:numPr>
        <w:pStyle w:val="Compact"/>
      </w:pPr>
      <w:r>
        <w:rPr>
          <w:bCs/>
          <w:b/>
        </w:rPr>
        <w:t xml:space="preserve">Piel:</w:t>
      </w:r>
      <w:r>
        <w:t xml:space="preserve"> </w:t>
      </w:r>
      <w:r>
        <w:t xml:space="preserve">una comparación del uso oral y tópico de colágeno, por separado y combinado, con 165 mujeres previstas</w:t>
      </w:r>
      <w:r>
        <w:rPr>
          <w:rStyle w:val="FootnoteReference"/>
        </w:rPr>
        <w:footnoteReference w:id="2365"/>
      </w:r>
      <w:r>
        <w:t xml:space="preserve">.</w:t>
      </w:r>
    </w:p>
    <w:p>
      <w:pPr>
        <w:numPr>
          <w:ilvl w:val="0"/>
          <w:numId w:val="1296"/>
        </w:numPr>
        <w:pStyle w:val="Compact"/>
      </w:pPr>
      <w:r>
        <w:rPr>
          <w:bCs/>
          <w:b/>
        </w:rPr>
        <w:t xml:space="preserve">Envejecimiento:</w:t>
      </w:r>
      <w:r>
        <w:t xml:space="preserve"> </w:t>
      </w:r>
      <w:r>
        <w:t xml:space="preserve">un estudio de la Universidad de Viena investiga los péptidos de colágeno y marcadores del envejecimiento celular en 125 participantes previstos</w:t>
      </w:r>
      <w:r>
        <w:rPr>
          <w:rStyle w:val="FootnoteReference"/>
        </w:rPr>
        <w:footnoteReference w:id="2366"/>
      </w:r>
      <w:r>
        <w:t xml:space="preserve">.</w:t>
      </w:r>
    </w:p>
    <w:p>
      <w:pPr>
        <w:numPr>
          <w:ilvl w:val="0"/>
          <w:numId w:val="1296"/>
        </w:numPr>
        <w:pStyle w:val="Compact"/>
      </w:pPr>
      <w:r>
        <w:rPr>
          <w:bCs/>
          <w:b/>
        </w:rPr>
        <w:t xml:space="preserve">Metabolismo:</w:t>
      </w:r>
      <w:r>
        <w:t xml:space="preserve"> </w:t>
      </w:r>
      <w:r>
        <w:t xml:space="preserve">un estudio del King’s College de Londres investiga la calidad de vida, el apetito y el control glucémico</w:t>
      </w:r>
      <w:r>
        <w:rPr>
          <w:rStyle w:val="FootnoteReference"/>
        </w:rPr>
        <w:footnoteReference w:id="2367"/>
      </w:r>
      <w:r>
        <w:t xml:space="preserve">.</w:t>
      </w:r>
    </w:p>
    <w:p>
      <w:pPr>
        <w:pStyle w:val="FirstParagraph"/>
      </w:pPr>
      <w:r>
        <w:rPr>
          <w:bCs/>
          <w:b/>
        </w:rPr>
        <w:t xml:space="preserve">Valoración:</w:t>
      </w:r>
      <w:r>
        <w:t xml:space="preserve"> </w:t>
      </w:r>
      <w:r>
        <w:t xml:space="preserve">la cuestión decisiva para los próximos años no es si habrá más estudios pequeños positivos –cabe esperarlo–, sino si estudios grandes, con financiación independiente y variables registradas de antemano confirman los efectos. El metaanálisis según la fuente de financiación</w:t>
      </w:r>
      <w:r>
        <w:rPr>
          <w:rStyle w:val="FootnoteReference"/>
        </w:rPr>
        <w:footnoteReference w:id="2368"/>
      </w:r>
      <w:r>
        <w:t xml:space="preserve"> </w:t>
      </w:r>
      <w:r>
        <w:t xml:space="preserve">ha hecho visible el listón para ello. Para el dolor articular, un efecto pequeño es lo que está mejor documentado; para la piel y los tendones, la situación sigue abierta. No cabe esperar una autorización como medicamento, ya que los productos ya son de venta libre como alimentos y ningún fabricante tendría que asumir el esfuerzo de un programa de autorización.</w:t>
      </w:r>
    </w:p>
    <w:bookmarkEnd w:id="2369"/>
    <w:bookmarkStart w:id="2370" w:name="conclusión-52"/>
    <w:p>
      <w:pPr>
        <w:pStyle w:val="Heading3"/>
      </w:pPr>
      <w:r>
        <w:t xml:space="preserve">Conclusión</w:t>
      </w:r>
    </w:p>
    <w:p>
      <w:pPr>
        <w:pStyle w:val="FirstParagraph"/>
      </w:pPr>
      <w:r>
        <w:t xml:space="preserve">Los péptidos de colágeno son un producto alimentario bien tolerado con una base de estudios amplia, pero metodológicamente débil. Para el dolor articular en la artrosis, los metaanálisis muestran efectos pequeños, aunque algunos estudios más grandes no encontraron diferencias frente al placebo. En la piel, el beneficio medido en los estudios de los fabricantes desaparece si solo se consideran los estudios con financiación independiente o de alta calidad metodológica. Para el desarrollo muscular, el colágeno es inferior a otras fuentes de proteínas; el colágeno de tipo II no desnaturalizado es un producto distinto con datos propios, también limitados. En la UE, el colágeno no puede promocionarse con declaraciones relacionadas con la salud: los mensajes publicitarios se refieren por lo general a la vitamina C añadida.</w:t>
      </w:r>
    </w:p>
    <w:bookmarkEnd w:id="2370"/>
    <w:bookmarkEnd w:id="2371"/>
    <w:bookmarkStart w:id="2400" w:name="lactotripéptidos-vpp-e-ipp"/>
    <w:p>
      <w:pPr>
        <w:pStyle w:val="Heading2"/>
      </w:pPr>
      <w:r>
        <w:t xml:space="preserve">Lactotripéptidos (VPP e IPP)</w:t>
      </w:r>
    </w:p>
    <w:bookmarkStart w:id="2372" w:name="ficha-53"/>
    <w:p>
      <w:pPr>
        <w:pStyle w:val="Heading3"/>
      </w:pPr>
      <w:r>
        <w:t xml:space="preserve">Ficha</w:t>
      </w:r>
    </w:p>
    <w:p>
      <w:pPr>
        <w:numPr>
          <w:ilvl w:val="0"/>
          <w:numId w:val="1297"/>
        </w:numPr>
        <w:pStyle w:val="Compact"/>
      </w:pPr>
      <w:r>
        <w:rPr>
          <w:bCs/>
          <w:b/>
        </w:rPr>
        <w:t xml:space="preserve">Tipo/estructura:</w:t>
      </w:r>
      <w:r>
        <w:t xml:space="preserve"> </w:t>
      </w:r>
      <w:r>
        <w:t xml:space="preserve">dos tripéptidos de tres aminoácidos cada uno: valina-prolina-prolina (VPP) e isoleucina-prolina-prolina (IPP). La doble prolina del extremo los hace relativamente resistentes a las enzimas digestivas.</w:t>
      </w:r>
    </w:p>
    <w:p>
      <w:pPr>
        <w:numPr>
          <w:ilvl w:val="0"/>
          <w:numId w:val="1297"/>
        </w:numPr>
        <w:pStyle w:val="Compact"/>
      </w:pPr>
      <w:r>
        <w:rPr>
          <w:bCs/>
          <w:b/>
        </w:rPr>
        <w:t xml:space="preserve">Origen:</w:t>
      </w:r>
      <w:r>
        <w:t xml:space="preserve"> </w:t>
      </w:r>
      <w:r>
        <w:t xml:space="preserve">fragmentos de la proteína láctea caseína. Se forman cuando la leche se fermenta con determinadas bacterias (sobre todo</w:t>
      </w:r>
      <w:r>
        <w:t xml:space="preserve"> </w:t>
      </w:r>
      <w:r>
        <w:rPr>
          <w:iCs/>
          <w:i/>
        </w:rPr>
        <w:t xml:space="preserve">Lactobacillus helveticus</w:t>
      </w:r>
      <w:r>
        <w:t xml:space="preserve">) o mediante escisión enzimática de la caseína con enzimas del hongo</w:t>
      </w:r>
      <w:r>
        <w:t xml:space="preserve"> </w:t>
      </w:r>
      <w:r>
        <w:rPr>
          <w:iCs/>
          <w:i/>
        </w:rPr>
        <w:t xml:space="preserve">Aspergillus oryzae</w:t>
      </w:r>
      <w:r>
        <w:t xml:space="preserve">. Productos conocidos fueron una bebida japonesa de leche fermentada (Calpis) y un producto lácteo finlandés (Evolus, de Valio).</w:t>
      </w:r>
    </w:p>
    <w:p>
      <w:pPr>
        <w:numPr>
          <w:ilvl w:val="0"/>
          <w:numId w:val="1297"/>
        </w:numPr>
        <w:pStyle w:val="Compact"/>
      </w:pPr>
      <w:r>
        <w:rPr>
          <w:bCs/>
          <w:b/>
        </w:rPr>
        <w:t xml:space="preserve">Mecanismo de acción:</w:t>
      </w:r>
      <w:r>
        <w:t xml:space="preserve"> </w:t>
      </w:r>
      <w:r>
        <w:t xml:space="preserve">se supone que inhiben la enzima convertidora de angiotensina (ECA), la misma enzima que bloquean los inhibidores de la ECA antihipertensivos como el ramipril o el enalapril, solo que muchas veces más débilmente.</w:t>
      </w:r>
    </w:p>
    <w:p>
      <w:pPr>
        <w:numPr>
          <w:ilvl w:val="0"/>
          <w:numId w:val="1297"/>
        </w:numPr>
        <w:pStyle w:val="Compact"/>
      </w:pPr>
      <w:r>
        <w:rPr>
          <w:bCs/>
          <w:b/>
        </w:rPr>
        <w:t xml:space="preserve">Autorización en la UE:</w:t>
      </w:r>
      <w:r>
        <w:t xml:space="preserve"> </w:t>
      </w:r>
      <w:r>
        <w:t xml:space="preserve">sin autorización como medicamento; como ingrediente alimentario o en complementos alimenticios. Ninguna declaración de propiedades saludables autorizada sobre la presión arterial.</w:t>
      </w:r>
    </w:p>
    <w:p>
      <w:pPr>
        <w:numPr>
          <w:ilvl w:val="0"/>
          <w:numId w:val="1297"/>
        </w:numPr>
        <w:pStyle w:val="Compact"/>
      </w:pPr>
      <w:r>
        <w:rPr>
          <w:bCs/>
          <w:b/>
        </w:rPr>
        <w:t xml:space="preserve">Autorización en EE. UU.:</w:t>
      </w:r>
      <w:r>
        <w:t xml:space="preserve"> </w:t>
      </w:r>
      <w:r>
        <w:t xml:space="preserve">sin autorización como medicamento; disponibles como complemento alimenticio.</w:t>
      </w:r>
    </w:p>
    <w:p>
      <w:pPr>
        <w:numPr>
          <w:ilvl w:val="0"/>
          <w:numId w:val="1297"/>
        </w:numPr>
        <w:pStyle w:val="Compact"/>
      </w:pPr>
      <w:r>
        <w:rPr>
          <w:bCs/>
          <w:b/>
        </w:rPr>
        <w:t xml:space="preserve">WADA:</w:t>
      </w:r>
      <w:r>
        <w:t xml:space="preserve"> </w:t>
      </w:r>
      <w:r>
        <w:t xml:space="preserve">no figuran en la lista.</w:t>
      </w:r>
    </w:p>
    <w:p>
      <w:pPr>
        <w:numPr>
          <w:ilvl w:val="0"/>
          <w:numId w:val="1297"/>
        </w:numPr>
        <w:pStyle w:val="Compact"/>
      </w:pPr>
      <w:r>
        <w:rPr>
          <w:bCs/>
          <w:b/>
        </w:rPr>
        <w:t xml:space="preserve">Nivel de evidencia:</w:t>
      </w:r>
      <w:r>
        <w:t xml:space="preserve"> </w:t>
      </w:r>
      <w:r>
        <w:rPr>
          <w:bCs/>
          <w:b/>
        </w:rPr>
        <w:t xml:space="preserve">B</w:t>
      </w:r>
      <w:r>
        <w:t xml:space="preserve"> </w:t>
      </w:r>
      <w:r>
        <w:t xml:space="preserve">– unos 30 estudios aleatorizados con varios miles de participantes en total, pero todos pequeños, con resultados contradictorios y sin variables de resultado duras.</w:t>
      </w:r>
    </w:p>
    <w:bookmarkEnd w:id="2372"/>
    <w:bookmarkStart w:id="2376" w:name="cómo-se-supone-que-actúa-53"/>
    <w:p>
      <w:pPr>
        <w:pStyle w:val="Heading3"/>
      </w:pPr>
      <w:r>
        <w:t xml:space="preserve">Cómo se supone que actúa</w:t>
      </w:r>
    </w:p>
    <w:p>
      <w:pPr>
        <w:pStyle w:val="FirstParagraph"/>
      </w:pPr>
      <w:r>
        <w:t xml:space="preserve">La presión arterial está regulada, entre otros, por el sistema renina-angiotensina. Un paso central es la conversión de la angiotensina I, inactiva, en la angiotensina II, vasoconstrictora, mediante la enzima ECA. La misma enzima degrada además la bradicinina, una sustancia que dilata los vasos. Si se inhibe la ECA, se forma menos angiotensina II y más bradicinina, y la presión arterial baja. En este principio se basan los inhibidores de la ECA, uno de los grupos más importantes de antihipertensivos. Un dato histórico interesante: el primer inhibidor de la ECA, el captopril, se desarrolló a partir de un péptido del veneno de una serpiente.</w:t>
      </w:r>
    </w:p>
    <w:p>
      <w:pPr>
        <w:pStyle w:val="BodyText"/>
      </w:pPr>
      <w:r>
        <w:t xml:space="preserve">En la década de 1990, investigadores japoneses aislaron de la leche fermentada dos tripéptidos que inhiben la ECA en el tubo de ensayo. En ratas con hipertensión congénita, una única administración de la leche fermentada o de los péptidos aislados VPP e IPP redujo la presión sistólica durante algunas horas; en ratas con presión arterial normal no cambió nada</w:t>
      </w:r>
      <w:r>
        <w:rPr>
          <w:rStyle w:val="FootnoteReference"/>
        </w:rPr>
        <w:footnoteReference w:id="2373"/>
      </w:r>
      <w:r>
        <w:t xml:space="preserve">. De ahí surgió la idea de un «alimento antihipertensivo».</w:t>
      </w:r>
    </w:p>
    <w:p>
      <w:pPr>
        <w:pStyle w:val="BodyText"/>
      </w:pPr>
      <w:r>
        <w:t xml:space="preserve">Para que esto funcione, los péptidos deben llegar intactos al torrente sanguíneo. Un pequeño estudio mostró que, tras beber una bebida de yogur enriquecida, el IPP es realmente detectable intacto en la sangre, aunque en concentraciones del orden de picomoles por litro</w:t>
      </w:r>
      <w:r>
        <w:rPr>
          <w:rStyle w:val="FootnoteReference"/>
        </w:rPr>
        <w:footnoteReference w:id="2374"/>
      </w:r>
      <w:r>
        <w:t xml:space="preserve">. Un estudio suizo con doce hombres sanos examinó entonces directamente si los péptidos inhiben la ECA en el organismo: tras siete días de leche fermentada, los marcadores de actividad de la ECA y la renina no cambiaron, mientras que un único comprimido de captopril redujo la actividad plasmática de la ECA en un 82 %. El IPP solo aumentó en sangre de forma breve y escasa, y el VPP quedó por debajo del límite de detección</w:t>
      </w:r>
      <w:r>
        <w:rPr>
          <w:rStyle w:val="FootnoteReference"/>
        </w:rPr>
        <w:footnoteReference w:id="2375"/>
      </w:r>
      <w:r>
        <w:t xml:space="preserve">.</w:t>
      </w:r>
    </w:p>
    <w:p>
      <w:pPr>
        <w:pStyle w:val="BodyText"/>
      </w:pPr>
      <w:r>
        <w:t xml:space="preserve">Esto significa que el mecanismo, plausible en el laboratorio, no pudo demostrarse en humanos con las cantidades probadas. Por eso se debaten también otras vías, como una mejor función de la pared interna de los vasos a través del óxido nítrico. Hasta ahora proceden sobre todo de cultivos celulares y experimentos con animales.</w:t>
      </w:r>
    </w:p>
    <w:bookmarkEnd w:id="2376"/>
    <w:bookmarkStart w:id="2387" w:name="estudios-en-humanos-53"/>
    <w:p>
      <w:pPr>
        <w:pStyle w:val="Heading3"/>
      </w:pPr>
      <w:r>
        <w:t xml:space="preserve">Estudios en humanos</w:t>
      </w:r>
    </w:p>
    <w:p>
      <w:pPr>
        <w:pStyle w:val="FirstParagraph"/>
      </w:pPr>
      <w:r>
        <w:t xml:space="preserve">La consulta en PubMed evaluada para este libro (lactotripéptidos o valil-prolil-prolina, fecha de consulta octubre de 2026) arrojó 21 estudios en humanos; en ClinicalTrials.gov, la búsqueda «lactotripeptides» no encontró ningún registro. La mayoría de los estudios se realizaron antes de que se introdujera la obligación de registrar los estudios de nutrición. Los metaanálisis se basan en hasta 30 estudios aleatorizados, entre ellos muchos estudios japoneses que la consulta de PubMed no recoge por completo.</w:t>
      </w:r>
    </w:p>
    <w:bookmarkStart w:id="2377" w:name="los-primeros-estudios-positivos"/>
    <w:p>
      <w:pPr>
        <w:pStyle w:val="Heading4"/>
      </w:pPr>
      <w:r>
        <w:t xml:space="preserve">Los primeros estudios positivos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Hata 1996, PMID 8901799</w:t>
            </w:r>
          </w:p>
        </w:tc>
        <w:tc>
          <w:tcPr/>
          <w:p>
            <w:pPr>
              <w:pStyle w:val="Compact"/>
              <w:jc w:val="left"/>
            </w:pPr>
            <w:r>
              <w:t xml:space="preserve">30 personas mayores con hipertensión (la mayoría con medicación), leche fermentada frente a leche acidificada</w:t>
            </w:r>
          </w:p>
        </w:tc>
        <w:tc>
          <w:tcPr/>
          <w:p>
            <w:pPr>
              <w:pStyle w:val="Compact"/>
              <w:jc w:val="left"/>
            </w:pPr>
            <w:r>
              <w:t xml:space="preserve">8 semanas</w:t>
            </w:r>
          </w:p>
        </w:tc>
        <w:tc>
          <w:tcPr/>
          <w:p>
            <w:pPr>
              <w:pStyle w:val="Compact"/>
              <w:jc w:val="left"/>
            </w:pPr>
            <w:r>
              <w:t xml:space="preserve">Sistólica −14,1 mmHg respecto al valor basal en el grupo de leche fermentada; placebo sin cambios</w:t>
            </w:r>
          </w:p>
        </w:tc>
      </w:tr>
      <w:tr>
        <w:tc>
          <w:tcPr/>
          <w:p>
            <w:pPr>
              <w:pStyle w:val="Compact"/>
              <w:jc w:val="left"/>
            </w:pPr>
            <w:r>
              <w:t xml:space="preserve">Seppo 2003, PMID 12540390</w:t>
            </w:r>
          </w:p>
        </w:tc>
        <w:tc>
          <w:tcPr/>
          <w:p>
            <w:pPr>
              <w:pStyle w:val="Compact"/>
              <w:jc w:val="left"/>
            </w:pPr>
            <w:r>
              <w:t xml:space="preserve">39 personas con hipertensión, leche fermentada frente a control</w:t>
            </w:r>
          </w:p>
        </w:tc>
        <w:tc>
          <w:tcPr/>
          <w:p>
            <w:pPr>
              <w:pStyle w:val="Compact"/>
              <w:jc w:val="left"/>
            </w:pPr>
            <w:r>
              <w:t xml:space="preserve">21 semanas</w:t>
            </w:r>
          </w:p>
        </w:tc>
        <w:tc>
          <w:tcPr/>
          <w:p>
            <w:pPr>
              <w:pStyle w:val="Compact"/>
              <w:jc w:val="left"/>
            </w:pPr>
            <w:r>
              <w:t xml:space="preserve">Diferencia sistólica 6,7 mmHg (p = 0,03), diastólica 3,6 mmHg (no significativa)</w:t>
            </w:r>
          </w:p>
        </w:tc>
      </w:tr>
      <w:tr>
        <w:tc>
          <w:tcPr/>
          <w:p>
            <w:pPr>
              <w:pStyle w:val="Compact"/>
              <w:jc w:val="left"/>
            </w:pPr>
            <w:r>
              <w:t xml:space="preserve">Tuomilehto 2004, PMID 15175633</w:t>
            </w:r>
          </w:p>
        </w:tc>
        <w:tc>
          <w:tcPr/>
          <w:p>
            <w:pPr>
              <w:pStyle w:val="Compact"/>
              <w:jc w:val="left"/>
            </w:pPr>
            <w:r>
              <w:t xml:space="preserve">60 personas con hipertensión leve, estudio cruzado</w:t>
            </w:r>
          </w:p>
        </w:tc>
        <w:tc>
          <w:tcPr/>
          <w:p>
            <w:pPr>
              <w:pStyle w:val="Compact"/>
              <w:jc w:val="left"/>
            </w:pPr>
            <w:r>
              <w:t xml:space="preserve">2 fases</w:t>
            </w:r>
          </w:p>
        </w:tc>
        <w:tc>
          <w:tcPr/>
          <w:p>
            <w:pPr>
              <w:pStyle w:val="Compact"/>
              <w:jc w:val="left"/>
            </w:pPr>
            <w:r>
              <w:t xml:space="preserve">Análisis global: diferencia sistólica de 2,6 mmHg, no significativa</w:t>
            </w:r>
          </w:p>
        </w:tc>
      </w:tr>
      <w:tr>
        <w:tc>
          <w:tcPr/>
          <w:p>
            <w:pPr>
              <w:pStyle w:val="Compact"/>
              <w:jc w:val="left"/>
            </w:pPr>
            <w:r>
              <w:t xml:space="preserve">Jauhiainen 2005, PMID 16364832</w:t>
            </w:r>
          </w:p>
        </w:tc>
        <w:tc>
          <w:tcPr/>
          <w:p>
            <w:pPr>
              <w:pStyle w:val="Compact"/>
              <w:jc w:val="left"/>
            </w:pPr>
            <w:r>
              <w:t xml:space="preserve">94 personas con hipertensión no tratada, leche fermentada frente a control, medición de 24 horas</w:t>
            </w:r>
          </w:p>
        </w:tc>
        <w:tc>
          <w:tcPr/>
          <w:p>
            <w:pPr>
              <w:pStyle w:val="Compact"/>
              <w:jc w:val="left"/>
            </w:pPr>
            <w:r>
              <w:t xml:space="preserve">10 semanas</w:t>
            </w:r>
          </w:p>
        </w:tc>
        <w:tc>
          <w:tcPr/>
          <w:p>
            <w:pPr>
              <w:pStyle w:val="Compact"/>
              <w:jc w:val="left"/>
            </w:pPr>
            <w:r>
              <w:t xml:space="preserve">Sistólica −4,1 mmHg, diastólica −1,8 mmHg frente al control</w:t>
            </w:r>
          </w:p>
        </w:tc>
      </w:tr>
    </w:tbl>
    <w:p>
      <w:pPr>
        <w:pStyle w:val="BodyText"/>
      </w:pPr>
      <w:r>
        <w:t xml:space="preserve">El primer estudio de Hata era pequeño, la mayoría de los participantes ya tomaba antihipertensivos y se comparó sobre todo con el valor basal. El estudio de Jauhiainen es metodológicamente más sólido porque utilizó la medición ambulatoria de la presión arterial de 24 horas, menos sensible al «efecto de bata blanca» en la consulta.</w:t>
      </w:r>
    </w:p>
    <w:bookmarkEnd w:id="2377"/>
    <w:bookmarkStart w:id="2379" w:name="X364b7df5105ddc6e8b26ddebf6e20282b8e0635"/>
    <w:p>
      <w:pPr>
        <w:pStyle w:val="Heading4"/>
      </w:pPr>
      <w:r>
        <w:t xml:space="preserve">Los estudios negativos de los Países Bajos</w:t>
      </w:r>
    </w:p>
    <w:p>
      <w:pPr>
        <w:pStyle w:val="FirstParagraph"/>
      </w:pPr>
      <w:r>
        <w:t xml:space="preserve">A partir de 2008 se publicaron varios estudios más grandes y cuidadosamente realizados en países europeos que no encontraron ningún efecto: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Engberink 2008, PMID 18086944</w:t>
            </w:r>
          </w:p>
        </w:tc>
        <w:tc>
          <w:tcPr/>
          <w:p>
            <w:pPr>
              <w:pStyle w:val="Compact"/>
              <w:jc w:val="left"/>
            </w:pPr>
            <w:r>
              <w:t xml:space="preserve">135 neerlandeses con presión sistólica elevada, tres formas de fabricación de LTP frente a placebo</w:t>
            </w:r>
          </w:p>
        </w:tc>
        <w:tc>
          <w:tcPr/>
          <w:p>
            <w:pPr>
              <w:pStyle w:val="Compact"/>
              <w:jc w:val="left"/>
            </w:pPr>
            <w:r>
              <w:t xml:space="preserve">8 semanas</w:t>
            </w:r>
          </w:p>
        </w:tc>
        <w:tc>
          <w:tcPr/>
          <w:p>
            <w:pPr>
              <w:pStyle w:val="Compact"/>
              <w:jc w:val="left"/>
            </w:pPr>
            <w:r>
              <w:t xml:space="preserve">Sin diferencia frente a placebo en la presión en consulta, domiciliaria y de 24 horas, la actividad de la ECA ni la angiotensina II</w:t>
            </w:r>
          </w:p>
        </w:tc>
      </w:tr>
      <w:tr>
        <w:tc>
          <w:tcPr/>
          <w:p>
            <w:pPr>
              <w:pStyle w:val="Compact"/>
              <w:jc w:val="left"/>
            </w:pPr>
            <w:r>
              <w:t xml:space="preserve">van der Zander 2008, PMID 19064533</w:t>
            </w:r>
          </w:p>
        </w:tc>
        <w:tc>
          <w:tcPr/>
          <w:p>
            <w:pPr>
              <w:pStyle w:val="Compact"/>
              <w:jc w:val="left"/>
            </w:pPr>
            <w:r>
              <w:t xml:space="preserve">275 neerlandeses con hipertensión, LTP de producción enzimática en bebida de yogur frente a placebo</w:t>
            </w:r>
          </w:p>
        </w:tc>
        <w:tc>
          <w:tcPr/>
          <w:p>
            <w:pPr>
              <w:pStyle w:val="Compact"/>
              <w:jc w:val="left"/>
            </w:pPr>
            <w:r>
              <w:t xml:space="preserve">8 semanas</w:t>
            </w:r>
          </w:p>
        </w:tc>
        <w:tc>
          <w:tcPr/>
          <w:p>
            <w:pPr>
              <w:pStyle w:val="Compact"/>
              <w:jc w:val="left"/>
            </w:pPr>
            <w:r>
              <w:t xml:space="preserve">Sin diferencia sistólica (p = 0,66) ni diastólica (p = 0,72)</w:t>
            </w:r>
          </w:p>
        </w:tc>
      </w:tr>
      <w:tr>
        <w:tc>
          <w:tcPr/>
          <w:p>
            <w:pPr>
              <w:pStyle w:val="Compact"/>
              <w:jc w:val="left"/>
            </w:pPr>
            <w:r>
              <w:t xml:space="preserve">van Mierlo 2009, PMID 19106238</w:t>
            </w:r>
          </w:p>
        </w:tc>
        <w:tc>
          <w:tcPr/>
          <w:p>
            <w:pPr>
              <w:pStyle w:val="Compact"/>
              <w:jc w:val="left"/>
            </w:pPr>
            <w:r>
              <w:t xml:space="preserve">2 estudios cruzados con 69 y 93 adultos no tratados, medición de 24 horas</w:t>
            </w:r>
          </w:p>
        </w:tc>
        <w:tc>
          <w:tcPr/>
          <w:p>
            <w:pPr>
              <w:pStyle w:val="Compact"/>
              <w:jc w:val="left"/>
            </w:pPr>
            <w:r>
              <w:t xml:space="preserve">4 semanas cada uno</w:t>
            </w:r>
          </w:p>
        </w:tc>
        <w:tc>
          <w:tcPr/>
          <w:p>
            <w:pPr>
              <w:pStyle w:val="Compact"/>
              <w:jc w:val="left"/>
            </w:pPr>
            <w:r>
              <w:t xml:space="preserve">Sin diferencia en la presión arterial de 24 horas</w:t>
            </w:r>
          </w:p>
        </w:tc>
      </w:tr>
      <w:tr>
        <w:tc>
          <w:tcPr/>
          <w:p>
            <w:pPr>
              <w:pStyle w:val="Compact"/>
              <w:jc w:val="left"/>
            </w:pPr>
            <w:r>
              <w:t xml:space="preserve">Usinger 2010, PMID 20147968</w:t>
            </w:r>
          </w:p>
        </w:tc>
        <w:tc>
          <w:tcPr/>
          <w:p>
            <w:pPr>
              <w:pStyle w:val="Compact"/>
              <w:jc w:val="left"/>
            </w:pPr>
            <w:r>
              <w:t xml:space="preserve">94 personas con presión arterial normal-alta o limítrofe, 150 o 300 ml de leche fermentada frente a placebo</w:t>
            </w:r>
          </w:p>
        </w:tc>
        <w:tc>
          <w:tcPr/>
          <w:p>
            <w:pPr>
              <w:pStyle w:val="Compact"/>
              <w:jc w:val="left"/>
            </w:pPr>
            <w:r>
              <w:t xml:space="preserve">8 semanas</w:t>
            </w:r>
          </w:p>
        </w:tc>
        <w:tc>
          <w:tcPr/>
          <w:p>
            <w:pPr>
              <w:pStyle w:val="Compact"/>
              <w:jc w:val="left"/>
            </w:pPr>
            <w:r>
              <w:t xml:space="preserve">Sin diferencia significativa en la presión arterial de 24 horas</w:t>
            </w:r>
          </w:p>
        </w:tc>
      </w:tr>
    </w:tbl>
    <w:p>
      <w:pPr>
        <w:pStyle w:val="BodyText"/>
      </w:pPr>
      <w:r>
        <w:t xml:space="preserve">Lo notable del estudio de Engberink: probó lactotripéptidos de tres fuentes, de leche fermentada concentrada, de producción enzimática y de síntesis química. Ninguna de las tres variantes redujo la presión arterial ni inhibió la ECA de forma medible. Una revisión resumió seis de estos estudios con 780 participantes del Reino Unido y los Países Bajos y concluyó que los datos más recientes no respaldan un papel de los lactotripéptidos en la regulación de la presión arterial</w:t>
      </w:r>
      <w:r>
        <w:rPr>
          <w:rStyle w:val="FootnoteReference"/>
        </w:rPr>
        <w:footnoteReference w:id="2378"/>
      </w:r>
      <w:r>
        <w:t xml:space="preserve">.</w:t>
      </w:r>
    </w:p>
    <w:bookmarkEnd w:id="2379"/>
    <w:bookmarkStart w:id="2384" w:name="estudios-posteriores"/>
    <w:p>
      <w:pPr>
        <w:pStyle w:val="Heading4"/>
      </w:pPr>
      <w:r>
        <w:t xml:space="preserve">Estudios posteriores</w:t>
      </w:r>
    </w:p>
    <w:p>
      <w:pPr>
        <w:pStyle w:val="FirstParagraph"/>
      </w:pPr>
      <w:r>
        <w:t xml:space="preserve">También después de 2010 los resultados siguieron siendo dispares. En Finlandia, una dosis de 50 mg de lactotripéptidos al día redujo la presión arterial de 24 horas respecto al valor basal, pero no de forma significativa frente al placebo (−2,6 mmHg sistólica); 5 mg al día no tuvieron efecto</w:t>
      </w:r>
      <w:r>
        <w:rPr>
          <w:rStyle w:val="FootnoteReference"/>
        </w:rPr>
        <w:footnoteReference w:id="2380"/>
      </w:r>
      <w:r>
        <w:t xml:space="preserve">. Una grasa para untar con IPP, VPP y esteroles vegetales redujo la presión sistólica medida en casa más que el placebo (−4,1 frente a −0,5 mmHg), pero no el valor en consulta ni el de 24 horas</w:t>
      </w:r>
      <w:r>
        <w:rPr>
          <w:rStyle w:val="FootnoteReference"/>
        </w:rPr>
        <w:footnoteReference w:id="2381"/>
      </w:r>
      <w:r>
        <w:t xml:space="preserve">. Estudios italianos comunicaron efectos favorables sobre la presión en consulta y la rigidez arterial</w:t>
      </w:r>
      <w:r>
        <w:rPr>
          <w:rStyle w:val="FootnoteReference"/>
        </w:rPr>
        <w:footnoteReference w:id="2382"/>
      </w:r>
      <w:r>
        <w:t xml:space="preserve">, en uno de ellos sin efecto sobre la presión de 24 horas. En EE. UU., en un estudio con 91 personas con hipertensión en estadios 1 y 2, la presión sistólica diurna disminuyó 3,6 mmHg, y con placebo no</w:t>
      </w:r>
      <w:r>
        <w:rPr>
          <w:rStyle w:val="FootnoteReference"/>
        </w:rPr>
        <w:footnoteReference w:id="2383"/>
      </w:r>
      <w:r>
        <w:t xml:space="preserve">.</w:t>
      </w:r>
    </w:p>
    <w:p>
      <w:pPr>
        <w:pStyle w:val="BodyText"/>
      </w:pPr>
      <w:r>
        <w:t xml:space="preserve">Además hay pequeños estudios sobre la función vascular, la circulación cerebral, la fatiga muscular y el rendimiento cognitivo, por lo general con 15 a 50 participantes (p. ej., Akazawa 2018, PMID 29703414). Deben leerse como indicios, no como pruebas.</w:t>
      </w:r>
    </w:p>
    <w:bookmarkEnd w:id="2384"/>
    <w:bookmarkStart w:id="2386" w:name="X1a5329f23d70d37d70cd952345f036df9c2c587"/>
    <w:p>
      <w:pPr>
        <w:pStyle w:val="Heading4"/>
      </w:pPr>
      <w:r>
        <w:t xml:space="preserve">Metaanálisis: efecto pequeño, fuerte influencia del origen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Metaanálisis</w:t>
            </w:r>
          </w:p>
        </w:tc>
        <w:tc>
          <w:tcPr/>
          <w:p>
            <w:pPr>
              <w:pStyle w:val="Compact"/>
              <w:jc w:val="left"/>
            </w:pPr>
            <w:r>
              <w:t xml:space="preserve">Alcance</w:t>
            </w:r>
          </w:p>
        </w:tc>
        <w:tc>
          <w:tcPr/>
          <w:p>
            <w:pPr>
              <w:pStyle w:val="Compact"/>
              <w:jc w:val="left"/>
            </w:pPr>
            <w:r>
              <w:t xml:space="preserve">Efecto sobre la presión sistólica</w:t>
            </w:r>
          </w:p>
        </w:tc>
      </w:tr>
      <w:tr>
        <w:tc>
          <w:tcPr/>
          <w:p>
            <w:pPr>
              <w:pStyle w:val="Compact"/>
              <w:jc w:val="left"/>
            </w:pPr>
            <w:r>
              <w:t xml:space="preserve">Cicero 2011, PMID 20811398</w:t>
            </w:r>
          </w:p>
        </w:tc>
        <w:tc>
          <w:tcPr/>
          <w:p>
            <w:pPr>
              <w:pStyle w:val="Compact"/>
              <w:jc w:val="left"/>
            </w:pPr>
            <w:r>
              <w:t xml:space="preserve">18 estudios</w:t>
            </w:r>
          </w:p>
        </w:tc>
        <w:tc>
          <w:tcPr/>
          <w:p>
            <w:pPr>
              <w:pStyle w:val="Compact"/>
              <w:jc w:val="left"/>
            </w:pPr>
            <w:r>
              <w:t xml:space="preserve">−3,73 mmHg en total; Asia −6,93 mmHg; Europa −1,17 mmHg (no significativo)</w:t>
            </w:r>
          </w:p>
        </w:tc>
      </w:tr>
      <w:tr>
        <w:tc>
          <w:tcPr/>
          <w:p>
            <w:pPr>
              <w:pStyle w:val="Compact"/>
              <w:jc w:val="left"/>
            </w:pPr>
            <w:r>
              <w:t xml:space="preserve">Turpeinen 2013, PMID 23305234</w:t>
            </w:r>
          </w:p>
        </w:tc>
        <w:tc>
          <w:tcPr/>
          <w:p>
            <w:pPr>
              <w:pStyle w:val="Compact"/>
              <w:jc w:val="left"/>
            </w:pPr>
            <w:r>
              <w:t xml:space="preserve">19 estudios, unas 1500 personas</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brazos de estudio, 1919 personas</w:t>
            </w:r>
          </w:p>
        </w:tc>
        <w:tc>
          <w:tcPr/>
          <w:p>
            <w:pPr>
              <w:pStyle w:val="Compact"/>
              <w:jc w:val="left"/>
            </w:pPr>
            <w:r>
              <w:t xml:space="preserve">−1,66 mmHg; en la presión de 24 horas −1,30 mmHg</w:t>
            </w:r>
          </w:p>
        </w:tc>
      </w:tr>
      <w:tr>
        <w:tc>
          <w:tcPr/>
          <w:p>
            <w:pPr>
              <w:pStyle w:val="Compact"/>
              <w:jc w:val="left"/>
            </w:pPr>
            <w:r>
              <w:t xml:space="preserve">Cicero 2013, PMID 23382495</w:t>
            </w:r>
          </w:p>
        </w:tc>
        <w:tc>
          <w:tcPr/>
          <w:p>
            <w:pPr>
              <w:pStyle w:val="Compact"/>
              <w:jc w:val="left"/>
            </w:pPr>
            <w:r>
              <w:t xml:space="preserve">14 estudios europeos, 1306 personas</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estudios</w:t>
            </w:r>
          </w:p>
        </w:tc>
        <w:tc>
          <w:tcPr/>
          <w:p>
            <w:pPr>
              <w:pStyle w:val="Compact"/>
              <w:jc w:val="left"/>
            </w:pPr>
            <w:r>
              <w:t xml:space="preserve">−2,95 mmHg; presión de 24 horas no significativa</w:t>
            </w:r>
          </w:p>
        </w:tc>
      </w:tr>
      <w:tr>
        <w:tc>
          <w:tcPr/>
          <w:p>
            <w:pPr>
              <w:pStyle w:val="Compact"/>
              <w:jc w:val="left"/>
            </w:pPr>
            <w:r>
              <w:t xml:space="preserve">Chanson-Rolle 2015, PMID 26536628</w:t>
            </w:r>
          </w:p>
        </w:tc>
        <w:tc>
          <w:tcPr/>
          <w:p>
            <w:pPr>
              <w:pStyle w:val="Compact"/>
              <w:jc w:val="left"/>
            </w:pPr>
            <w:r>
              <w:t xml:space="preserve">18 estudios japoneses, 1194 personas</w:t>
            </w:r>
          </w:p>
        </w:tc>
        <w:tc>
          <w:tcPr/>
          <w:p>
            <w:pPr>
              <w:pStyle w:val="Compact"/>
              <w:jc w:val="left"/>
            </w:pPr>
            <w:r>
              <w:t xml:space="preserve">−5,63 mmHg</w:t>
            </w:r>
          </w:p>
        </w:tc>
      </w:tr>
    </w:tbl>
    <w:p>
      <w:pPr>
        <w:pStyle w:val="BodyText"/>
      </w:pPr>
      <w:r>
        <w:t xml:space="preserve">Tres patrones recorren todos los análisis:</w:t>
      </w:r>
    </w:p>
    <w:p>
      <w:pPr>
        <w:numPr>
          <w:ilvl w:val="0"/>
          <w:numId w:val="1298"/>
        </w:numPr>
        <w:pStyle w:val="Compact"/>
      </w:pPr>
      <w:r>
        <w:rPr>
          <w:bCs/>
          <w:b/>
        </w:rPr>
        <w:t xml:space="preserve">El efecto es pequeño.</w:t>
      </w:r>
      <w:r>
        <w:t xml:space="preserve"> </w:t>
      </w:r>
      <w:r>
        <w:t xml:space="preserve">Agrupado, se sitúa por lo general entre 1 y 4 mmHg de presión sistólica, claramente menos de lo que consiguen los antihipertensivos autorizados.</w:t>
      </w:r>
    </w:p>
    <w:p>
      <w:pPr>
        <w:numPr>
          <w:ilvl w:val="0"/>
          <w:numId w:val="1298"/>
        </w:numPr>
        <w:pStyle w:val="Compact"/>
      </w:pPr>
      <w:r>
        <w:rPr>
          <w:bCs/>
          <w:b/>
        </w:rPr>
        <w:t xml:space="preserve">Los estudios asiáticos, sobre todo japoneses, muestran efectos claramente mayores que los europeos.</w:t>
      </w:r>
      <w:r>
        <w:t xml:space="preserve"> </w:t>
      </w:r>
      <w:r>
        <w:t xml:space="preserve">No está claro si se debe a diferencias genéticas, a la alimentación (por ejemplo, un mayor consumo de sal) o a diferencias metodológicas.</w:t>
      </w:r>
    </w:p>
    <w:p>
      <w:pPr>
        <w:numPr>
          <w:ilvl w:val="0"/>
          <w:numId w:val="1298"/>
        </w:numPr>
        <w:pStyle w:val="Compact"/>
      </w:pPr>
      <w:r>
        <w:rPr>
          <w:bCs/>
          <w:b/>
        </w:rPr>
        <w:t xml:space="preserve">Indicios de sesgo de publicación.</w:t>
      </w:r>
      <w:r>
        <w:t xml:space="preserve"> </w:t>
      </w:r>
      <w:r>
        <w:t xml:space="preserve">El metaanálisis de Fekete encontró tanto un sesgo de publicación como un «efecto de estudios pequeños»: los estudios pequeños mostraban efectos mayores. Tras la corrección, la reducción sistólica se redujo y la diastólica dejó de ser significativa. En la presión de 24 horas –el método de medición más fiable–, el efecto no fue significativo</w:t>
      </w:r>
      <w:r>
        <w:rPr>
          <w:rStyle w:val="FootnoteReference"/>
        </w:rPr>
        <w:footnoteReference w:id="2385"/>
      </w:r>
      <w:r>
        <w:t xml:space="preserve">.</w:t>
      </w:r>
    </w:p>
    <w:p>
      <w:pPr>
        <w:pStyle w:val="FirstParagraph"/>
      </w:pPr>
      <w:r>
        <w:t xml:space="preserve">Falta un estudio que demuestre que los lactotripéptidos previenen infartos de miocardio, ictus o muertes. Dado lo pequeño del efecto, tampoco cabe esperar un estudio así.</w:t>
      </w:r>
    </w:p>
    <w:bookmarkEnd w:id="2386"/>
    <w:bookmarkEnd w:id="2387"/>
    <w:bookmarkStart w:id="2394" w:name="estudios-en-animales-y-de-laboratorio-53"/>
    <w:p>
      <w:pPr>
        <w:pStyle w:val="Heading3"/>
      </w:pPr>
      <w:r>
        <w:t xml:space="preserve">Estudios en animales y de laboratorio</w:t>
      </w:r>
    </w:p>
    <w:p>
      <w:pPr>
        <w:pStyle w:val="FirstParagraph"/>
      </w:pPr>
      <w:r>
        <w:t xml:space="preserve">En ratas con hipertensión congénita (ratas SHR), el VPP y el IPP redujeron la presión arterial de forma dependiente de la dosis; en ratas con presión normal, no</w:t>
      </w:r>
      <w:r>
        <w:rPr>
          <w:rStyle w:val="FootnoteReference"/>
        </w:rPr>
        <w:footnoteReference w:id="2388"/>
      </w:r>
      <w:r>
        <w:t xml:space="preserve">. En cultivos celulares, el VPP y el IPP estimularon, a partir de concentraciones superiores a 100 nanomoles por litro, la formación de óxido nítrico en células vasculares, y en aortas de rata aisladas provocaron una vasodilatación</w:t>
      </w:r>
      <w:r>
        <w:rPr>
          <w:rStyle w:val="FootnoteReference"/>
        </w:rPr>
        <w:footnoteReference w:id="2389"/>
      </w:r>
      <w:r>
        <w:t xml:space="preserve">. A modo de comparación: en la sangre humana se midieron, tras beber una bebida enriquecida, menos de 1 nanomol por litro de IPP</w:t>
      </w:r>
      <w:r>
        <w:rPr>
          <w:rStyle w:val="FootnoteReference"/>
        </w:rPr>
        <w:footnoteReference w:id="2390"/>
      </w:r>
      <w:r>
        <w:t xml:space="preserve">. Los análisis por cristalografía de rayos X muestran que ambos péptidos se unen preferentemente a uno de los dos sitios activos de la molécula de ECA</w:t>
      </w:r>
      <w:r>
        <w:rPr>
          <w:rStyle w:val="FootnoteReference"/>
        </w:rPr>
        <w:footnoteReference w:id="2391"/>
      </w:r>
      <w:r>
        <w:t xml:space="preserve">. En ratas y conejos, los estudios de toxicidad –incluidas investigaciones sobre el desarrollo renal de la descendencia, porque los inhibidores de la ECA pueden dañar al feto durante el embarazo– no encontraron efectos adversos con las dosis más altas probadas</w:t>
      </w:r>
      <w:r>
        <w:rPr>
          <w:rStyle w:val="FootnoteReference"/>
        </w:rPr>
        <w:footnoteReference w:id="2392"/>
      </w:r>
      <w:r>
        <w:t xml:space="preserve">. Un hidrolizado de proteína láctea con IPP no fue mutágeno en pruebas genotóxicas; la dosis más alta probada en el ensayo de 90 días en ratas era unas 141 veces superior a la ingesta máxima esperada</w:t>
      </w:r>
      <w:r>
        <w:rPr>
          <w:rStyle w:val="FootnoteReference"/>
        </w:rPr>
        <w:footnoteReference w:id="2393"/>
      </w:r>
      <w:r>
        <w:t xml:space="preserve">.</w:t>
      </w:r>
    </w:p>
    <w:bookmarkEnd w:id="2394"/>
    <w:bookmarkStart w:id="2395" w:name="riesgos-y-efectos-adversos-53"/>
    <w:p>
      <w:pPr>
        <w:pStyle w:val="Heading3"/>
      </w:pPr>
      <w:r>
        <w:t xml:space="preserve">Riesgos y efectos adversos</w:t>
      </w:r>
    </w:p>
    <w:p>
      <w:pPr>
        <w:pStyle w:val="FirstParagraph"/>
      </w:pPr>
      <w:r>
        <w:rPr>
          <w:bCs/>
          <w:b/>
        </w:rPr>
        <w:t xml:space="preserve">Demostrados:</w:t>
      </w:r>
      <w:r>
        <w:t xml:space="preserve"> </w:t>
      </w:r>
      <w:r>
        <w:t xml:space="preserve">en los estudios en humanos no aparecieron más efectos adversos con lactotripéptidos que con placebo (p. ej., Jauhiainen 2005, PMID 16364832). Los péptidos proceden de la proteína láctea, que se consume desde siempre; las cantidades en los productos están en el rango de los miligramos.</w:t>
      </w:r>
    </w:p>
    <w:p>
      <w:pPr>
        <w:pStyle w:val="BodyText"/>
      </w:pPr>
      <w:r>
        <w:rPr>
          <w:bCs/>
          <w:b/>
        </w:rPr>
        <w:t xml:space="preserve">Teóricos o a tener en cuenta:</w:t>
      </w:r>
    </w:p>
    <w:p>
      <w:pPr>
        <w:numPr>
          <w:ilvl w:val="0"/>
          <w:numId w:val="1299"/>
        </w:numPr>
        <w:pStyle w:val="Compact"/>
      </w:pPr>
      <w:r>
        <w:rPr>
          <w:bCs/>
          <w:b/>
        </w:rPr>
        <w:t xml:space="preserve">Alergia a la leche:</w:t>
      </w:r>
      <w:r>
        <w:t xml:space="preserve"> </w:t>
      </w:r>
      <w:r>
        <w:t xml:space="preserve">los productos a base de leche o caseína no son adecuados en caso de alergia a las proteínas de la leche de vaca.</w:t>
      </w:r>
    </w:p>
    <w:p>
      <w:pPr>
        <w:numPr>
          <w:ilvl w:val="0"/>
          <w:numId w:val="1299"/>
        </w:numPr>
        <w:pStyle w:val="Compact"/>
      </w:pPr>
      <w:r>
        <w:rPr>
          <w:bCs/>
          <w:b/>
        </w:rPr>
        <w:t xml:space="preserve">Combinación con antihipertensivos:</w:t>
      </w:r>
      <w:r>
        <w:t xml:space="preserve"> </w:t>
      </w:r>
      <w:r>
        <w:t xml:space="preserve">dado su débil efecto, una potenciación relevante es improbable, pero no se ha estudiado sistemáticamente.</w:t>
      </w:r>
    </w:p>
    <w:p>
      <w:pPr>
        <w:numPr>
          <w:ilvl w:val="0"/>
          <w:numId w:val="1299"/>
        </w:numPr>
        <w:pStyle w:val="Compact"/>
      </w:pPr>
      <w:r>
        <w:rPr>
          <w:bCs/>
          <w:b/>
        </w:rPr>
        <w:t xml:space="preserve">Embarazo:</w:t>
      </w:r>
      <w:r>
        <w:t xml:space="preserve"> </w:t>
      </w:r>
      <w:r>
        <w:t xml:space="preserve">los inhibidores de la ECA están contraindicados durante el embarazo. Para los lactotripéptidos no se encontró un daño equivalente en experimentos con animales; faltan datos en humanos.</w:t>
      </w:r>
    </w:p>
    <w:p>
      <w:pPr>
        <w:numPr>
          <w:ilvl w:val="0"/>
          <w:numId w:val="1299"/>
        </w:numPr>
        <w:pStyle w:val="Compact"/>
      </w:pPr>
      <w:r>
        <w:rPr>
          <w:bCs/>
          <w:b/>
        </w:rPr>
        <w:t xml:space="preserve">El riesgo más importante:</w:t>
      </w:r>
      <w:r>
        <w:t xml:space="preserve"> </w:t>
      </w:r>
      <w:r>
        <w:t xml:space="preserve">quien trata una hipertensión que requiere tratamiento con una bebida láctea en lugar de con medidas eficaces renuncia a protegerse frente al infarto de miocardio y el ictus. La reducción de peso, menos sal, el ejercicio y –si es necesario– los medicamentos reducen la presión arterial de forma demostrada y en mayor medida.</w:t>
      </w:r>
    </w:p>
    <w:bookmarkEnd w:id="2395"/>
    <w:bookmarkStart w:id="2396" w:name="situación-legal-53"/>
    <w:p>
      <w:pPr>
        <w:pStyle w:val="Heading3"/>
      </w:pPr>
      <w:r>
        <w:t xml:space="preserve">Situación legal</w:t>
      </w:r>
    </w:p>
    <w:p>
      <w:pPr>
        <w:numPr>
          <w:ilvl w:val="0"/>
          <w:numId w:val="1300"/>
        </w:numPr>
        <w:pStyle w:val="Compact"/>
      </w:pPr>
      <w:r>
        <w:rPr>
          <w:bCs/>
          <w:b/>
        </w:rPr>
        <w:t xml:space="preserve">UE / Austria / Alemania:</w:t>
      </w:r>
      <w:r>
        <w:t xml:space="preserve"> </w:t>
      </w:r>
      <w:r>
        <w:t xml:space="preserve">los lactotripéptidos son ingredientes alimentarios. Las declaraciones relacionadas con la salud sobre la presión arterial</w:t>
      </w:r>
      <w:r>
        <w:t xml:space="preserve"> </w:t>
      </w:r>
      <w:r>
        <w:rPr>
          <w:bCs/>
          <w:b/>
        </w:rPr>
        <w:t xml:space="preserve">no están autorizadas</w:t>
      </w:r>
      <w:r>
        <w:t xml:space="preserve"> </w:t>
      </w:r>
      <w:r>
        <w:t xml:space="preserve">según el Reglamento sobre declaraciones de propiedades saludables (Reglamento (CE) n.º 1924/2006). La Autoridad Europea de Seguridad Alimentaria (EFSA) examinó solicitudes sobre los lactotripéptidos y el mantenimiento de una presión arterial normal y concluyó que no estaba suficientemente demostrada una relación causa-efecto. Fueron determinantes, entre otras cosas, los estudios europeos contradictorios. Por tanto, en la UE los productos no pueden anunciarse con «reduce la presión arterial» ni «contribuye a una presión arterial normal».</w:t>
      </w:r>
    </w:p>
    <w:p>
      <w:pPr>
        <w:numPr>
          <w:ilvl w:val="0"/>
          <w:numId w:val="1300"/>
        </w:numPr>
        <w:pStyle w:val="Compact"/>
      </w:pPr>
      <w:r>
        <w:rPr>
          <w:bCs/>
          <w:b/>
        </w:rPr>
        <w:t xml:space="preserve">Japón:</w:t>
      </w:r>
      <w:r>
        <w:t xml:space="preserve"> </w:t>
      </w:r>
      <w:r>
        <w:t xml:space="preserve">allí se comercializaron bebidas de este tipo como «alimentos para usos sanitarios específicos» (FOSHU) con una declaración sobre la presión arterial autorizada por las autoridades. Esto explica en parte por qué una gran parte de los estudios procede de Japón.</w:t>
      </w:r>
    </w:p>
    <w:p>
      <w:pPr>
        <w:numPr>
          <w:ilvl w:val="0"/>
          <w:numId w:val="1300"/>
        </w:numPr>
        <w:pStyle w:val="Compact"/>
      </w:pPr>
      <w:r>
        <w:rPr>
          <w:bCs/>
          <w:b/>
        </w:rPr>
        <w:t xml:space="preserve">EE. UU.:</w:t>
      </w:r>
      <w:r>
        <w:t xml:space="preserve"> </w:t>
      </w:r>
      <w:r>
        <w:t xml:space="preserve">de venta como complemento alimenticio; no se permiten declaraciones relacionadas con enfermedades.</w:t>
      </w:r>
    </w:p>
    <w:p>
      <w:pPr>
        <w:numPr>
          <w:ilvl w:val="0"/>
          <w:numId w:val="1300"/>
        </w:numPr>
        <w:pStyle w:val="Compact"/>
      </w:pPr>
      <w:r>
        <w:rPr>
          <w:bCs/>
          <w:b/>
        </w:rPr>
        <w:t xml:space="preserve">Deporte:</w:t>
      </w:r>
      <w:r>
        <w:t xml:space="preserve"> </w:t>
      </w:r>
      <w:r>
        <w:t xml:space="preserve">no figuran en la lista de prohibiciones de la WADA (situación en 2026, compruébese la versión actual).</w:t>
      </w:r>
    </w:p>
    <w:bookmarkEnd w:id="2396"/>
    <w:bookmarkStart w:id="2398" w:name="estudios-en-curso-y-perspectivas-53"/>
    <w:p>
      <w:pPr>
        <w:pStyle w:val="Heading3"/>
      </w:pPr>
      <w:r>
        <w:t xml:space="preserve">Estudios en curso y perspectivas</w:t>
      </w:r>
    </w:p>
    <w:p>
      <w:pPr>
        <w:pStyle w:val="FirstParagraph"/>
      </w:pPr>
      <w:r>
        <w:rPr>
          <w:bCs/>
          <w:b/>
        </w:rPr>
        <w:t xml:space="preserve">Confirmado:</w:t>
      </w:r>
      <w:r>
        <w:t xml:space="preserve"> </w:t>
      </w:r>
      <w:r>
        <w:t xml:space="preserve">en ClinicalTrials.gov no hay ningún estudio en curso registrado con el término «lactotripeptides». Con términos relacionados se encuentra un estudio finalizado sobre el IPP y la función vascular en la cardiopatía coronaria con 54 participantes</w:t>
      </w:r>
      <w:r>
        <w:rPr>
          <w:rStyle w:val="FootnoteReference"/>
        </w:rPr>
        <w:footnoteReference w:id="2397"/>
      </w:r>
      <w:r>
        <w:t xml:space="preserve">. La investigación sobre los lactotripéptidos ha decaído claramente desde aproximadamente 2015; los trabajos nuevos investigan sobre todo, de forma general, por qué las personas responden de manera diferente a los péptidos alimentarios.</w:t>
      </w:r>
    </w:p>
    <w:p>
      <w:pPr>
        <w:pStyle w:val="BodyText"/>
      </w:pPr>
      <w:r>
        <w:rPr>
          <w:bCs/>
          <w:b/>
        </w:rPr>
        <w:t xml:space="preserve">Valoración:</w:t>
      </w:r>
      <w:r>
        <w:t xml:space="preserve"> </w:t>
      </w:r>
      <w:r>
        <w:t xml:space="preserve">los lactotripéptidos son un ejemplo de manual de cómo un mecanismo convincente en el laboratorio y unos primeros estudios positivos pueden reducirse en investigaciones más grandes e independientes. Un pequeño efecto sobre la presión arterial es posible –sobre todo en poblaciones de estudio asiáticas–, pero para Europa no está demostrado de forma convincente. No se vislumbra un renacimiento.</w:t>
      </w:r>
    </w:p>
    <w:bookmarkEnd w:id="2398"/>
    <w:bookmarkStart w:id="2399" w:name="conclusión-53"/>
    <w:p>
      <w:pPr>
        <w:pStyle w:val="Heading3"/>
      </w:pPr>
      <w:r>
        <w:t xml:space="preserve">Conclusión</w:t>
      </w:r>
    </w:p>
    <w:p>
      <w:pPr>
        <w:pStyle w:val="FirstParagraph"/>
      </w:pPr>
      <w:r>
        <w:t xml:space="preserve">Los lactotripéptidos son dos pequeños péptidos lácteos que, en el tubo de ensayo, inhiben la enzima ECA, reguladora de la presión arterial. En los primeros estudios japoneses y finlandeses redujeron la presión arterial; en cambio, en varios estudios neerlandeses más grandes no, y en humanos no pudo demostrarse una inhibición medible de la ECA. Los metaanálisis arrojan una reducción de la presión sistólica de aproximadamente 1 a 4 mmHg, con indicios de sesgo de publicación y un efecto claramente menor en Europa. La EFSA rechazó una declaración sobre la presión arterial. Son inocuos, pero no sustituyen a un tratamiento de la hipertensión.</w:t>
      </w:r>
    </w:p>
    <w:bookmarkEnd w:id="2399"/>
    <w:bookmarkEnd w:id="2400"/>
    <w:bookmarkStart w:id="2451" w:name="carnosina"/>
    <w:p>
      <w:pPr>
        <w:pStyle w:val="Heading2"/>
      </w:pPr>
      <w:r>
        <w:t xml:space="preserve">Carnosina</w:t>
      </w:r>
    </w:p>
    <w:bookmarkStart w:id="2401" w:name="ficha-54"/>
    <w:p>
      <w:pPr>
        <w:pStyle w:val="Heading3"/>
      </w:pPr>
      <w:r>
        <w:t xml:space="preserve">Ficha</w:t>
      </w:r>
    </w:p>
    <w:p>
      <w:pPr>
        <w:numPr>
          <w:ilvl w:val="0"/>
          <w:numId w:val="1301"/>
        </w:numPr>
        <w:pStyle w:val="Compact"/>
      </w:pPr>
      <w:r>
        <w:rPr>
          <w:bCs/>
          <w:b/>
        </w:rPr>
        <w:t xml:space="preserve">Tipo/estructura:</w:t>
      </w:r>
      <w:r>
        <w:t xml:space="preserve"> </w:t>
      </w:r>
      <w:r>
        <w:t xml:space="preserve">dipéptido formado por los aminoácidos beta-alanina e histidina (β-alanil-L-histidina). Sustancias emparentadas son la anserina (en aves de corral y pescado) y la homocarnosina (en el cerebro); juntas se denominan dipéptidos que contienen histidina.</w:t>
      </w:r>
    </w:p>
    <w:p>
      <w:pPr>
        <w:numPr>
          <w:ilvl w:val="0"/>
          <w:numId w:val="1301"/>
        </w:numPr>
        <w:pStyle w:val="Compact"/>
      </w:pPr>
      <w:r>
        <w:rPr>
          <w:bCs/>
          <w:b/>
        </w:rPr>
        <w:t xml:space="preserve">Origen:</w:t>
      </w:r>
      <w:r>
        <w:t xml:space="preserve"> </w:t>
      </w:r>
      <w:r>
        <w:t xml:space="preserve">endógena, en altas concentraciones en la musculatura esquelética, y además en el corazón y el cerebro. Con la alimentación, la carnosina se ingiere sobre todo a través de la carne y el pescado; los alimentos vegetales prácticamente no la contienen. Para los complementos alimenticios se fabrica de forma sintética.</w:t>
      </w:r>
    </w:p>
    <w:p>
      <w:pPr>
        <w:numPr>
          <w:ilvl w:val="0"/>
          <w:numId w:val="1301"/>
        </w:numPr>
        <w:pStyle w:val="Compact"/>
      </w:pPr>
      <w:r>
        <w:rPr>
          <w:bCs/>
          <w:b/>
        </w:rPr>
        <w:t xml:space="preserve">Mecanismo de acción:</w:t>
      </w:r>
      <w:r>
        <w:t xml:space="preserve"> </w:t>
      </w:r>
      <w:r>
        <w:t xml:space="preserve">tampón frente a la acidificación del músculo; en el laboratorio, además, captación de productos reactivos de la degradación de azúcares y grasas (antiglicación) y efecto antioxidante.</w:t>
      </w:r>
    </w:p>
    <w:p>
      <w:pPr>
        <w:numPr>
          <w:ilvl w:val="0"/>
          <w:numId w:val="1301"/>
        </w:numPr>
        <w:pStyle w:val="Compact"/>
      </w:pPr>
      <w:r>
        <w:rPr>
          <w:bCs/>
          <w:b/>
        </w:rPr>
        <w:t xml:space="preserve">Principios activos relacionados:</w:t>
      </w:r>
      <w:r>
        <w:t xml:space="preserve"> </w:t>
      </w:r>
      <w:r>
        <w:t xml:space="preserve">beta-alanina (el precursor, un suplemento deportivo muy extendido); zinc-carnosina (polaprezinc, en Japón un medicamento contra las úlceras gástricas); N-acetilcarnosina (en colirios).</w:t>
      </w:r>
    </w:p>
    <w:p>
      <w:pPr>
        <w:numPr>
          <w:ilvl w:val="0"/>
          <w:numId w:val="1301"/>
        </w:numPr>
        <w:pStyle w:val="Compact"/>
      </w:pPr>
      <w:r>
        <w:rPr>
          <w:bCs/>
          <w:b/>
        </w:rPr>
        <w:t xml:space="preserve">Autorización en la UE:</w:t>
      </w:r>
      <w:r>
        <w:t xml:space="preserve"> </w:t>
      </w:r>
      <w:r>
        <w:t xml:space="preserve">sin autorización como medicamento para la carnosina; se comercializa como complemento alimenticio. Ninguna declaración de propiedades saludables autorizada.</w:t>
      </w:r>
    </w:p>
    <w:p>
      <w:pPr>
        <w:numPr>
          <w:ilvl w:val="0"/>
          <w:numId w:val="1301"/>
        </w:numPr>
        <w:pStyle w:val="Compact"/>
      </w:pPr>
      <w:r>
        <w:rPr>
          <w:bCs/>
          <w:b/>
        </w:rPr>
        <w:t xml:space="preserve">Autorización en EE. UU.:</w:t>
      </w:r>
      <w:r>
        <w:t xml:space="preserve"> </w:t>
      </w:r>
      <w:r>
        <w:t xml:space="preserve">sin autorización como medicamento; disponible como complemento alimenticio.</w:t>
      </w:r>
    </w:p>
    <w:p>
      <w:pPr>
        <w:numPr>
          <w:ilvl w:val="0"/>
          <w:numId w:val="1301"/>
        </w:numPr>
        <w:pStyle w:val="Compact"/>
      </w:pPr>
      <w:r>
        <w:rPr>
          <w:bCs/>
          <w:b/>
        </w:rPr>
        <w:t xml:space="preserve">WADA:</w:t>
      </w:r>
      <w:r>
        <w:t xml:space="preserve"> </w:t>
      </w:r>
      <w:r>
        <w:t xml:space="preserve">la carnosina y la beta-alanina no figuran en la lista.</w:t>
      </w:r>
    </w:p>
    <w:p>
      <w:pPr>
        <w:numPr>
          <w:ilvl w:val="0"/>
          <w:numId w:val="1301"/>
        </w:numPr>
        <w:pStyle w:val="Compact"/>
      </w:pPr>
      <w:r>
        <w:rPr>
          <w:bCs/>
          <w:b/>
        </w:rPr>
        <w:t xml:space="preserve">Nivel de evidencia:</w:t>
      </w:r>
      <w:r>
        <w:t xml:space="preserve"> </w:t>
      </w:r>
      <w:r>
        <w:rPr>
          <w:bCs/>
          <w:b/>
        </w:rPr>
        <w:t xml:space="preserve">B</w:t>
      </w:r>
      <w:r>
        <w:t xml:space="preserve"> </w:t>
      </w:r>
      <w:r>
        <w:t xml:space="preserve">– varios estudios aleatorizados pequeños y un estudio más grande con casi 300 participantes; muchos resultados heterogéneos.</w:t>
      </w:r>
    </w:p>
    <w:bookmarkEnd w:id="2401"/>
    <w:bookmarkStart w:id="2410" w:name="cómo-se-supone-que-actúa-54"/>
    <w:p>
      <w:pPr>
        <w:pStyle w:val="Heading3"/>
      </w:pPr>
      <w:r>
        <w:t xml:space="preserve">Cómo se supone que actúa</w:t>
      </w:r>
    </w:p>
    <w:p>
      <w:pPr>
        <w:pStyle w:val="FirstParagraph"/>
      </w:pPr>
      <w:r>
        <w:t xml:space="preserve">En esfuerzos breves y muy intensos –una carrera de 400 metros o una regata de remo–, el músculo produce más ácido del que puede eliminar. La acidez aumenta y el trabajo muscular disminuye. La carnosina es, en el músculo, uno de los tampones que captan este ácido. En 18 remeros belgas de élite, el contenido de carnosina de la musculatura de la pantorrilla estaba estrechamente relacionado con la velocidad en distancias de 100 a 6000 metros</w:t>
      </w:r>
      <w:r>
        <w:rPr>
          <w:rStyle w:val="FootnoteReference"/>
        </w:rPr>
        <w:footnoteReference w:id="2402"/>
      </w:r>
      <w:r>
        <w:t xml:space="preserve">.</w:t>
      </w:r>
    </w:p>
    <w:p>
      <w:pPr>
        <w:pStyle w:val="BodyText"/>
      </w:pPr>
      <w:r>
        <w:t xml:space="preserve">Además, en el laboratorio la carnosina tiene otras propiedades: capta moléculas reactivas que se forman con la glucemia elevada o durante la degradación de las grasas y que pueden dañar las proteínas (la llamada glicación y la peroxidación lipídica). De ahí se derivan las hipótesis de que la carnosina podría ser útil en la diabetes, el daño vascular y renal, el envejecimiento cerebral o el envejecimiento cutáneo.</w:t>
      </w:r>
    </w:p>
    <w:bookmarkStart w:id="2405" w:name="X8a648d9748e7deb8bdb0fb89aedfae32a1c145a"/>
    <w:p>
      <w:pPr>
        <w:pStyle w:val="Heading4"/>
      </w:pPr>
      <w:r>
        <w:t xml:space="preserve">El problema de la absorción: la carnosinasa</w:t>
      </w:r>
    </w:p>
    <w:p>
      <w:pPr>
        <w:pStyle w:val="FirstParagraph"/>
      </w:pPr>
      <w:r>
        <w:t xml:space="preserve">En la sangre humana hay una enzima muy activa, la carnosinasa sérica (CN1), que descompone rápidamente la carnosina en beta-alanina e histidina. Los roedores prácticamente no tienen esta enzima en la sangre, un motivo importante por el que los resultados de los experimentos con animales solo son trasladables de forma limitada. Ya en 1991, un estudio mostró que una parte de la carnosina ingerida se absorbe sin cambios en el intestino (hasta el 14 % aparecía en la orina), pero en la sangre solo era detectable si se bloqueaba la carnosinasa en el tubo de la muestra. La cantidad en orina variaba mucho y era tanto menor cuanto más activa era la carnosinasa de la persona</w:t>
      </w:r>
      <w:r>
        <w:rPr>
          <w:rStyle w:val="FootnoteReference"/>
        </w:rPr>
        <w:footnoteReference w:id="2403"/>
      </w:r>
      <w:r>
        <w:t xml:space="preserve">.</w:t>
      </w:r>
    </w:p>
    <w:p>
      <w:pPr>
        <w:pStyle w:val="BodyText"/>
      </w:pPr>
      <w:r>
        <w:t xml:space="preserve">En el estudio más grande hasta la fecha, con 2 g de carnosina al día, los valores de carnosina en los glóbulos rojos aproximadamente se duplicaron a las 6 y 12 semanas, y en la orina aumentaron unas siete veces</w:t>
      </w:r>
      <w:r>
        <w:rPr>
          <w:rStyle w:val="FootnoteReference"/>
        </w:rPr>
        <w:footnoteReference w:id="2404"/>
      </w:r>
      <w:r>
        <w:t xml:space="preserve">. Así pues, la carnosina llega al organismo, pero cuánta alcanza el músculo, el cerebro o el riñón sigue siendo en gran medida una incógnita.</w:t>
      </w:r>
    </w:p>
    <w:bookmarkEnd w:id="2405"/>
    <w:bookmarkStart w:id="2409" w:name="Xff00a271370339e0f0f8dec9bef4ede5b4495da"/>
    <w:p>
      <w:pPr>
        <w:pStyle w:val="Heading4"/>
      </w:pPr>
      <w:r>
        <w:t xml:space="preserve">Beta-alanina: el rodeo a través del precursor</w:t>
      </w:r>
    </w:p>
    <w:p>
      <w:pPr>
        <w:pStyle w:val="FirstParagraph"/>
      </w:pPr>
      <w:r>
        <w:t xml:space="preserve">Para el músculo se ha impuesto otra vía. El cuerpo produce la carnosina en la propia célula muscular a partir de beta-alanina e histidina; la beta-alanina es el componente limitante. Si se toma beta-alanina, el contenido de carnosina del músculo aumenta claramente. En un estudio temprano, cuatro semanas de beta-alanina aumentaron el contenido muscular de carnosina en un 42 a 64 % según las estimaciones; cantidades equimolares de carnosina tuvieron un efecto similar</w:t>
      </w:r>
      <w:r>
        <w:rPr>
          <w:rStyle w:val="FootnoteReference"/>
        </w:rPr>
        <w:footnoteReference w:id="2406"/>
      </w:r>
      <w:r>
        <w:t xml:space="preserve">. Tras la suspensión, el valor tardó entre 12 y 16 semanas en volver al nivel basal</w:t>
      </w:r>
      <w:r>
        <w:rPr>
          <w:rStyle w:val="FootnoteReference"/>
        </w:rPr>
        <w:footnoteReference w:id="2407"/>
      </w:r>
      <w:r>
        <w:t xml:space="preserve">. Prácticamente todas las personas responden a la beta-alanina</w:t>
      </w:r>
      <w:r>
        <w:rPr>
          <w:rStyle w:val="FootnoteReference"/>
        </w:rPr>
        <w:footnoteReference w:id="2408"/>
      </w:r>
      <w:r>
        <w:t xml:space="preserve">.</w:t>
      </w:r>
    </w:p>
    <w:p>
      <w:pPr>
        <w:pStyle w:val="BodyText"/>
      </w:pPr>
      <w:r>
        <w:t xml:space="preserve">La beta-alanina no es un péptido, sino un aminoácido aislado. Aquí solo se trata brevemente porque aumenta el contenido muscular de carnosina de forma más fiable que la propia carnosina y por eso desempeña en el deporte un papel mucho mayor.</w:t>
      </w:r>
    </w:p>
    <w:bookmarkEnd w:id="2409"/>
    <w:bookmarkEnd w:id="2410"/>
    <w:bookmarkStart w:id="2438" w:name="estudios-en-humanos-54"/>
    <w:p>
      <w:pPr>
        <w:pStyle w:val="Heading3"/>
      </w:pPr>
      <w:r>
        <w:t xml:space="preserve">Estudios en humanos</w:t>
      </w:r>
    </w:p>
    <w:p>
      <w:pPr>
        <w:pStyle w:val="FirstParagraph"/>
      </w:pPr>
      <w:r>
        <w:t xml:space="preserve">La consulta en PubMed evaluada para este libro (carnosina en el título, combinada con suplementación o administración oral, fecha de consulta octubre de 2026) arrojó 57 estudios en humanos; en ClinicalTrials.gov figuran 53 registros. Una parte de ellos se refiere en realidad a la beta-alanina o a la zinc-carnosina. Los estudios se reparten entre muchos campos de aplicación pequeños.</w:t>
      </w:r>
    </w:p>
    <w:bookmarkStart w:id="2415" w:name="deporte-y-rendimiento-físico"/>
    <w:p>
      <w:pPr>
        <w:pStyle w:val="Heading4"/>
      </w:pPr>
      <w:r>
        <w:t xml:space="preserve">Deporte y rendimiento físico</w:t>
      </w:r>
    </w:p>
    <w:p>
      <w:pPr>
        <w:pStyle w:val="FirstParagraph"/>
      </w:pPr>
      <w:r>
        <w:t xml:space="preserve">En deportistas, los datos son mucho mejores para la</w:t>
      </w:r>
      <w:r>
        <w:t xml:space="preserve"> </w:t>
      </w:r>
      <w:r>
        <w:rPr>
          <w:bCs/>
          <w:b/>
        </w:rPr>
        <w:t xml:space="preserve">beta-alanina</w:t>
      </w:r>
      <w:r>
        <w:t xml:space="preserve"> </w:t>
      </w:r>
      <w:r>
        <w:t xml:space="preserve">que para la carnosina. Un metaanálisis de 40 estudios doble ciego y controlados con placebo con 1461 participantes encontró un efecto global pequeño (tamaño del efecto 0,18). Fue más claro en esfuerzos de 0,5 a 10 minutos de duración y en pruebas de capacidad hasta el agotamiento, y menor en el rendimiento en competición</w:t>
      </w:r>
      <w:r>
        <w:rPr>
          <w:rStyle w:val="FootnoteReference"/>
        </w:rPr>
        <w:footnoteReference w:id="2411"/>
      </w:r>
      <w:r>
        <w:t xml:space="preserve">. Un ejemplo: en 15 velocistas, la beta-alanina aumentó el contenido de carnosina de los músculos de la pantorrilla entre un 37 y un 47 % y atenuó la fatiga en series de fuerza repetidas, pero no mejoró el tiempo en 400 metros</w:t>
      </w:r>
      <w:r>
        <w:rPr>
          <w:rStyle w:val="FootnoteReference"/>
        </w:rPr>
        <w:footnoteReference w:id="2412"/>
      </w:r>
      <w:r>
        <w:t xml:space="preserve">. Tampoco una duplicación de la carnosina muscular mejoró en ciclistas el tiempo en una prueba de una hora</w:t>
      </w:r>
      <w:r>
        <w:rPr>
          <w:rStyle w:val="FootnoteReference"/>
        </w:rPr>
        <w:footnoteReference w:id="2413"/>
      </w:r>
      <w:r>
        <w:t xml:space="preserve">, algo coherente, ya que en los esfuerzos de resistencia la amortiguación del ácido desempeña un papel menor.</w:t>
      </w:r>
    </w:p>
    <w:p>
      <w:pPr>
        <w:pStyle w:val="BodyText"/>
      </w:pPr>
      <w:r>
        <w:t xml:space="preserve">Sobre la</w:t>
      </w:r>
      <w:r>
        <w:t xml:space="preserve"> </w:t>
      </w:r>
      <w:r>
        <w:rPr>
          <w:bCs/>
          <w:b/>
        </w:rPr>
        <w:t xml:space="preserve">propia carnosina</w:t>
      </w:r>
      <w:r>
        <w:t xml:space="preserve"> </w:t>
      </w:r>
      <w:r>
        <w:t xml:space="preserve">solo hay pocos estudios de rendimiento. En el estudio NEAT (Nucleophilic Defense Against PM Toxicity, NCT03314987), 299 adultos recibieron 2 g de carnosina o placebo durante doce semanas. En la fuerza de prensión, la velocidad de la marcha y la mayoría de las pruebas no hubo diferencias; solo se observaron mejoras significativas en subgrupos concretos (determinados grupos de edad y sexo) en la elevación de talones y la prueba del escalón</w:t>
      </w:r>
      <w:r>
        <w:rPr>
          <w:rStyle w:val="FootnoteReference"/>
        </w:rPr>
        <w:footnoteReference w:id="2414"/>
      </w:r>
      <w:r>
        <w:t xml:space="preserve">. Estos hallazgos en subgrupos son propensos a aciertos casuales y deben confirmarse.</w:t>
      </w:r>
    </w:p>
    <w:bookmarkEnd w:id="2415"/>
    <w:bookmarkStart w:id="2419" w:name="diabetes-y-metabolismo"/>
    <w:p>
      <w:pPr>
        <w:pStyle w:val="Heading4"/>
      </w:pPr>
      <w:r>
        <w:t xml:space="preserve">Diabetes y metabolismo</w:t>
      </w:r>
    </w:p>
    <w:p>
      <w:pPr>
        <w:pStyle w:val="FirstParagraph"/>
      </w:pPr>
      <w:r>
        <w:t xml:space="preserve">Este es el campo médico más estudiado: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de Courten 2016, PMID 27040154</w:t>
            </w:r>
          </w:p>
        </w:tc>
        <w:tc>
          <w:tcPr/>
          <w:p>
            <w:pPr>
              <w:pStyle w:val="Compact"/>
              <w:jc w:val="left"/>
            </w:pPr>
            <w:r>
              <w:t xml:space="preserve">30 adultos con sobrepeso sin diabetes, 2 g frente a placebo</w:t>
            </w:r>
          </w:p>
        </w:tc>
        <w:tc>
          <w:tcPr/>
          <w:p>
            <w:pPr>
              <w:pStyle w:val="Compact"/>
              <w:jc w:val="left"/>
            </w:pPr>
            <w:r>
              <w:t xml:space="preserve">12 semanas</w:t>
            </w:r>
          </w:p>
        </w:tc>
        <w:tc>
          <w:tcPr/>
          <w:p>
            <w:pPr>
              <w:pStyle w:val="Compact"/>
              <w:jc w:val="left"/>
            </w:pPr>
            <w:r>
              <w:t xml:space="preserve">Aumento de la insulina en ayunas y de la resistencia a la insulina frenado con carnosina (estudio piloto)</w:t>
            </w:r>
          </w:p>
        </w:tc>
      </w:tr>
      <w:tr>
        <w:tc>
          <w:tcPr/>
          <w:p>
            <w:pPr>
              <w:pStyle w:val="Compact"/>
              <w:jc w:val="left"/>
            </w:pPr>
            <w:r>
              <w:t xml:space="preserve">Houjeghani 2018, PMID 29420997</w:t>
            </w:r>
          </w:p>
        </w:tc>
        <w:tc>
          <w:tcPr/>
          <w:p>
            <w:pPr>
              <w:pStyle w:val="Compact"/>
              <w:jc w:val="left"/>
            </w:pPr>
            <w:r>
              <w:t xml:space="preserve">54 personas con diabetes tipo 2, 1 g frente a placebo</w:t>
            </w:r>
          </w:p>
        </w:tc>
        <w:tc>
          <w:tcPr/>
          <w:p>
            <w:pPr>
              <w:pStyle w:val="Compact"/>
              <w:jc w:val="left"/>
            </w:pPr>
            <w:r>
              <w:t xml:space="preserve">12 semanas</w:t>
            </w:r>
          </w:p>
        </w:tc>
        <w:tc>
          <w:tcPr/>
          <w:p>
            <w:pPr>
              <w:pStyle w:val="Compact"/>
              <w:jc w:val="left"/>
            </w:pPr>
            <w:r>
              <w:t xml:space="preserve">Glucemia en ayunas −13,1 mg/dl, HbA1c −0,6 puntos porcentuales frente a placebo</w:t>
            </w:r>
          </w:p>
        </w:tc>
      </w:tr>
      <w:tr>
        <w:tc>
          <w:tcPr/>
          <w:p>
            <w:pPr>
              <w:pStyle w:val="Compact"/>
              <w:jc w:val="left"/>
            </w:pPr>
            <w:r>
              <w:t xml:space="preserve">Hariharan 2024, PMID 38172006</w:t>
            </w:r>
          </w:p>
        </w:tc>
        <w:tc>
          <w:tcPr/>
          <w:p>
            <w:pPr>
              <w:pStyle w:val="Compact"/>
              <w:jc w:val="left"/>
            </w:pPr>
            <w:r>
              <w:t xml:space="preserve">43 adultos con prediabetes o diabetes tipo 2, 2 g frente a placebo</w:t>
            </w:r>
          </w:p>
        </w:tc>
        <w:tc>
          <w:tcPr/>
          <w:p>
            <w:pPr>
              <w:pStyle w:val="Compact"/>
              <w:jc w:val="left"/>
            </w:pPr>
            <w:r>
              <w:t xml:space="preserve">14 semanas</w:t>
            </w:r>
          </w:p>
        </w:tc>
        <w:tc>
          <w:tcPr/>
          <w:p>
            <w:pPr>
              <w:pStyle w:val="Compact"/>
              <w:jc w:val="left"/>
            </w:pPr>
            <w:r>
              <w:t xml:space="preserve">Glucemia más baja 90 y 120 minutos después de una sobrecarga de glucosa; insulina sin cambios</w:t>
            </w:r>
          </w:p>
        </w:tc>
      </w:tr>
      <w:tr>
        <w:tc>
          <w:tcPr/>
          <w:p>
            <w:pPr>
              <w:pStyle w:val="Compact"/>
              <w:jc w:val="left"/>
            </w:pPr>
            <w:r>
              <w:t xml:space="preserve">Saadati 2023, PMID 38004228</w:t>
            </w:r>
          </w:p>
        </w:tc>
        <w:tc>
          <w:tcPr/>
          <w:p>
            <w:pPr>
              <w:pStyle w:val="Compact"/>
              <w:jc w:val="left"/>
            </w:pPr>
            <w:r>
              <w:t xml:space="preserve">49 adultos con prediabetes o diabetes tipo 2 bien controlada, 2 g frente a placebo</w:t>
            </w:r>
          </w:p>
        </w:tc>
        <w:tc>
          <w:tcPr/>
          <w:p>
            <w:pPr>
              <w:pStyle w:val="Compact"/>
              <w:jc w:val="left"/>
            </w:pPr>
            <w:r>
              <w:t xml:space="preserve">14 semanas</w:t>
            </w:r>
          </w:p>
        </w:tc>
        <w:tc>
          <w:tcPr/>
          <w:p>
            <w:pPr>
              <w:pStyle w:val="Compact"/>
              <w:jc w:val="left"/>
            </w:pPr>
            <w:r>
              <w:t xml:space="preserve">Sin efecto sobre la función vascular, la rigidez arterial, los lípidos, la presión arterial ni los valores hepáticos y renales</w:t>
            </w:r>
          </w:p>
        </w:tc>
      </w:tr>
      <w:tr>
        <w:tc>
          <w:tcPr/>
          <w:p>
            <w:pPr>
              <w:pStyle w:val="Compact"/>
              <w:jc w:val="left"/>
            </w:pPr>
            <w:r>
              <w:t xml:space="preserve">Elbarbary 2018, PMID 28744992</w:t>
            </w:r>
          </w:p>
        </w:tc>
        <w:tc>
          <w:tcPr/>
          <w:p>
            <w:pPr>
              <w:pStyle w:val="Compact"/>
              <w:jc w:val="left"/>
            </w:pPr>
            <w:r>
              <w:t xml:space="preserve">90 niños y adolescentes con diabetes tipo 1 y daño renal, 1 g frente a placebo</w:t>
            </w:r>
          </w:p>
        </w:tc>
        <w:tc>
          <w:tcPr/>
          <w:p>
            <w:pPr>
              <w:pStyle w:val="Compact"/>
              <w:jc w:val="left"/>
            </w:pPr>
            <w:r>
              <w:t xml:space="preserve">12 semanas</w:t>
            </w:r>
          </w:p>
        </w:tc>
        <w:tc>
          <w:tcPr/>
          <w:p>
            <w:pPr>
              <w:pStyle w:val="Compact"/>
              <w:jc w:val="left"/>
            </w:pPr>
            <w:r>
              <w:t xml:space="preserve">Albúmina en orina, HbA1c y marcadores de oxidación mejorados</w:t>
            </w:r>
          </w:p>
        </w:tc>
      </w:tr>
    </w:tbl>
    <w:p>
      <w:pPr>
        <w:pStyle w:val="BodyText"/>
      </w:pPr>
      <w:r>
        <w:t xml:space="preserve">Varios metaanálisis resumen estos estudios. Un análisis de cuatro estudios con 184 participantes encontró una reducción de la HbA1c de 0,92 puntos porcentuales, pero ningún efecto sobre la glucemia en ayunas, la resistencia a la insulina ni los lípidos</w:t>
      </w:r>
      <w:r>
        <w:rPr>
          <w:rStyle w:val="FootnoteReference"/>
        </w:rPr>
        <w:footnoteReference w:id="2416"/>
      </w:r>
      <w:r>
        <w:t xml:space="preserve">. Un metaanálisis bayesiano que consideró conjuntamente la carnosina y la beta-alanina estimó para los humanos una reducción de la HbA1c de 0,91 puntos porcentuales, basándose en solo cuatro estudios en humanos</w:t>
      </w:r>
      <w:r>
        <w:rPr>
          <w:rStyle w:val="FootnoteReference"/>
        </w:rPr>
        <w:footnoteReference w:id="2417"/>
      </w:r>
      <w:r>
        <w:t xml:space="preserve">. Un metaanálisis más reciente con ocho estudios y 377 participantes con prediabetes o diabetes tipo 2 encontró mejoras en la glucemia en ayunas y la HbA1c, pero no en la insulina ni en el peso corporal</w:t>
      </w:r>
      <w:r>
        <w:rPr>
          <w:rStyle w:val="FootnoteReference"/>
        </w:rPr>
        <w:footnoteReference w:id="2418"/>
      </w:r>
      <w:r>
        <w:t xml:space="preserve">.</w:t>
      </w:r>
    </w:p>
    <w:p>
      <w:pPr>
        <w:pStyle w:val="BodyText"/>
      </w:pPr>
      <w:r>
        <w:t xml:space="preserve">Sobre el papel, los efectos parecen notables, pero se apoyan en una base muy estrecha: pocos estudios, pequeños y cortos, a menudo de centros individuales, con resultados en parte contradictorios (compárense los estudios de 14 semanas de diseño similar de Hariharan 2024 y Saadati 2023, de los cuales uno encontró efectos favorables sobre la glucemia y el otro ningún efecto sobre los vasos y los parámetros metabólicos). Nunca se ha investigado si la carnosina previene a largo plazo las complicaciones de la diabetes.</w:t>
      </w:r>
    </w:p>
    <w:bookmarkEnd w:id="2419"/>
    <w:bookmarkStart w:id="2421" w:name="inflamación-y-estrés-oxidativo"/>
    <w:p>
      <w:pPr>
        <w:pStyle w:val="Heading4"/>
      </w:pPr>
      <w:r>
        <w:t xml:space="preserve">Inflamación y estrés oxidativo</w:t>
      </w:r>
    </w:p>
    <w:p>
      <w:pPr>
        <w:pStyle w:val="FirstParagraph"/>
      </w:pPr>
      <w:r>
        <w:t xml:space="preserve">Un metaanálisis de nueve estudios con 350 participantes encontró, con carnosina o dipéptidos que contienen histidina, valores más bajos del marcador inflamatorio PCR y del marcador de oxidación malondialdehído, pero ningún cambio en otros varios marcadores</w:t>
      </w:r>
      <w:r>
        <w:rPr>
          <w:rStyle w:val="FootnoteReference"/>
        </w:rPr>
        <w:footnoteReference w:id="2420"/>
      </w:r>
      <w:r>
        <w:t xml:space="preserve">. No obstante, los valores de laboratorio son parámetros subrogados: no se sabe si van acompañados de un beneficio para la salud.</w:t>
      </w:r>
    </w:p>
    <w:bookmarkEnd w:id="2421"/>
    <w:bookmarkStart w:id="2429" w:name="cerebro-memoria-y-salud-mental"/>
    <w:p>
      <w:pPr>
        <w:pStyle w:val="Heading4"/>
      </w:pPr>
      <w:r>
        <w:t xml:space="preserve">Cerebro, memoria y salud mental</w:t>
      </w:r>
    </w:p>
    <w:p>
      <w:pPr>
        <w:numPr>
          <w:ilvl w:val="0"/>
          <w:numId w:val="1302"/>
        </w:numPr>
        <w:pStyle w:val="Compact"/>
      </w:pPr>
      <w:r>
        <w:rPr>
          <w:bCs/>
          <w:b/>
        </w:rPr>
        <w:t xml:space="preserve">Personas mayores:</w:t>
      </w:r>
      <w:r>
        <w:t xml:space="preserve"> </w:t>
      </w:r>
      <w:r>
        <w:t xml:space="preserve">en estudios japoneses de un mismo grupo de trabajo, personas mayores recibieron una mezcla de anserina y carnosina (3:1). En 39 personas mayores sanas, el recuerdo diferido de contenidos verbales se mantuvo mejor que con placebo</w:t>
      </w:r>
      <w:r>
        <w:rPr>
          <w:rStyle w:val="FootnoteReference"/>
        </w:rPr>
        <w:footnoteReference w:id="2422"/>
      </w:r>
      <w:r>
        <w:t xml:space="preserve">. En 54 personas con deterioro cognitivo leve, una puntuación global de gravedad de la demencia fue más favorable con la mezcla; la mayoría de las demás pruebas no difirieron</w:t>
      </w:r>
      <w:r>
        <w:rPr>
          <w:rStyle w:val="FootnoteReference"/>
        </w:rPr>
        <w:footnoteReference w:id="2423"/>
      </w:r>
      <w:r>
        <w:t xml:space="preserve">.</w:t>
      </w:r>
    </w:p>
    <w:p>
      <w:pPr>
        <w:numPr>
          <w:ilvl w:val="0"/>
          <w:numId w:val="1302"/>
        </w:numPr>
        <w:pStyle w:val="Compact"/>
      </w:pPr>
      <w:r>
        <w:rPr>
          <w:bCs/>
          <w:b/>
        </w:rPr>
        <w:t xml:space="preserve">Adultos más jóvenes:</w:t>
      </w:r>
      <w:r>
        <w:t xml:space="preserve"> </w:t>
      </w:r>
      <w:r>
        <w:t xml:space="preserve">en un análisis posterior del estudio NEAT, la velocidad y la eficiencia en pruebas cognitivas solo mejoraron en el grupo de edad más joven (23–35 años)</w:t>
      </w:r>
      <w:r>
        <w:rPr>
          <w:rStyle w:val="FootnoteReference"/>
        </w:rPr>
        <w:footnoteReference w:id="2424"/>
      </w:r>
      <w:r>
        <w:t xml:space="preserve">.</w:t>
      </w:r>
    </w:p>
    <w:p>
      <w:pPr>
        <w:numPr>
          <w:ilvl w:val="0"/>
          <w:numId w:val="1302"/>
        </w:numPr>
        <w:pStyle w:val="Compact"/>
      </w:pPr>
      <w:r>
        <w:rPr>
          <w:bCs/>
          <w:b/>
        </w:rPr>
        <w:t xml:space="preserve">Resumen:</w:t>
      </w:r>
      <w:r>
        <w:t xml:space="preserve"> </w:t>
      </w:r>
      <w:r>
        <w:t xml:space="preserve">un metaanálisis de 2026 incluyó 13 estudios. La mayoría de las pruebas cognitivas no mostraron diferencias frente al placebo; los efectos agrupados favorables se basaban en parte en tres estudios del mismo grupo de investigación. Los autores califican la solidez de la evidencia de baja</w:t>
      </w:r>
      <w:r>
        <w:rPr>
          <w:rStyle w:val="FootnoteReference"/>
        </w:rPr>
        <w:footnoteReference w:id="2425"/>
      </w:r>
      <w:r>
        <w:t xml:space="preserve">. Otro metaanálisis encontró una reducción de las puntuaciones de depresión (fiabilidad moderada), pero subraya que se trata de estudios pequeños con un riesgo de sesgo moderado a alto</w:t>
      </w:r>
      <w:r>
        <w:rPr>
          <w:rStyle w:val="FootnoteReference"/>
        </w:rPr>
        <w:footnoteReference w:id="2426"/>
      </w:r>
      <w:r>
        <w:t xml:space="preserve">.</w:t>
      </w:r>
    </w:p>
    <w:p>
      <w:pPr>
        <w:numPr>
          <w:ilvl w:val="0"/>
          <w:numId w:val="1302"/>
        </w:numPr>
        <w:pStyle w:val="Compact"/>
      </w:pPr>
      <w:r>
        <w:rPr>
          <w:bCs/>
          <w:b/>
        </w:rPr>
        <w:t xml:space="preserve">Autismo:</w:t>
      </w:r>
      <w:r>
        <w:t xml:space="preserve"> </w:t>
      </w:r>
      <w:r>
        <w:t xml:space="preserve">un estudio temprano con 31 niños comunicó mejoras en una escala conductual</w:t>
      </w:r>
      <w:r>
        <w:rPr>
          <w:rStyle w:val="FootnoteReference"/>
        </w:rPr>
        <w:footnoteReference w:id="2427"/>
      </w:r>
      <w:r>
        <w:t xml:space="preserve">. En cambio, un estudio aleatorizado posterior con 63 niños analizables no encontró diferencias en ninguna variable</w:t>
      </w:r>
      <w:r>
        <w:rPr>
          <w:rStyle w:val="FootnoteReference"/>
        </w:rPr>
        <w:footnoteReference w:id="2428"/>
      </w:r>
      <w:r>
        <w:t xml:space="preserve">.</w:t>
      </w:r>
    </w:p>
    <w:bookmarkEnd w:id="2429"/>
    <w:bookmarkStart w:id="2434" w:name="otras-aplicaciones-4"/>
    <w:p>
      <w:pPr>
        <w:pStyle w:val="Heading4"/>
      </w:pPr>
      <w:r>
        <w:t xml:space="preserve">Otras aplicaciones</w:t>
      </w:r>
    </w:p>
    <w:p>
      <w:pPr>
        <w:numPr>
          <w:ilvl w:val="0"/>
          <w:numId w:val="1303"/>
        </w:numPr>
        <w:pStyle w:val="Compact"/>
      </w:pPr>
      <w:r>
        <w:rPr>
          <w:bCs/>
          <w:b/>
        </w:rPr>
        <w:t xml:space="preserve">Daño nervioso por quimioterapia:</w:t>
      </w:r>
      <w:r>
        <w:t xml:space="preserve"> </w:t>
      </w:r>
      <w:r>
        <w:t xml:space="preserve">en un estudio piloto aleatorizado con 65 pacientes con cáncer colorrectal, la neuropatía de grado 2 fue menos frecuente con quimioterapia con oxaliplatino más carnosina (1 de 30 frente a 19 de 31 sin carnosina)</w:t>
      </w:r>
      <w:r>
        <w:rPr>
          <w:rStyle w:val="FootnoteReference"/>
        </w:rPr>
        <w:footnoteReference w:id="2430"/>
      </w:r>
      <w:r>
        <w:t xml:space="preserve">. El estudio no fue cegado ni tuvo placebo; falta una confirmación.</w:t>
      </w:r>
    </w:p>
    <w:p>
      <w:pPr>
        <w:numPr>
          <w:ilvl w:val="0"/>
          <w:numId w:val="1303"/>
        </w:numPr>
        <w:pStyle w:val="Compact"/>
      </w:pPr>
      <w:r>
        <w:rPr>
          <w:bCs/>
          <w:b/>
        </w:rPr>
        <w:t xml:space="preserve">Insuficiencia cardiaca:</w:t>
      </w:r>
      <w:r>
        <w:t xml:space="preserve"> </w:t>
      </w:r>
      <w:r>
        <w:t xml:space="preserve">en 50 pacientes con insuficiencia cardiaca grave, la distancia recorrida, el consumo máximo de oxígeno y la calidad de vida mejoraron con carnosina en comparación con el tratamiento estándar</w:t>
      </w:r>
      <w:r>
        <w:rPr>
          <w:rStyle w:val="FootnoteReference"/>
        </w:rPr>
        <w:footnoteReference w:id="2431"/>
      </w:r>
      <w:r>
        <w:t xml:space="preserve">, también sin placebo.</w:t>
      </w:r>
    </w:p>
    <w:p>
      <w:pPr>
        <w:numPr>
          <w:ilvl w:val="0"/>
          <w:numId w:val="1303"/>
        </w:numPr>
        <w:pStyle w:val="Compact"/>
      </w:pPr>
      <w:r>
        <w:rPr>
          <w:bCs/>
          <w:b/>
        </w:rPr>
        <w:t xml:space="preserve">Síndrome de la Guerra del Golfo:</w:t>
      </w:r>
      <w:r>
        <w:t xml:space="preserve"> </w:t>
      </w:r>
      <w:r>
        <w:t xml:space="preserve">en un pequeño estudio con 25 veteranos mejoró una prueba cognitiva; el cansancio y el dolor no cambiaron</w:t>
      </w:r>
      <w:r>
        <w:rPr>
          <w:rStyle w:val="FootnoteReference"/>
        </w:rPr>
        <w:footnoteReference w:id="2432"/>
      </w:r>
      <w:r>
        <w:t xml:space="preserve">.</w:t>
      </w:r>
    </w:p>
    <w:p>
      <w:pPr>
        <w:numPr>
          <w:ilvl w:val="0"/>
          <w:numId w:val="1303"/>
        </w:numPr>
        <w:pStyle w:val="Compact"/>
      </w:pPr>
      <w:r>
        <w:rPr>
          <w:bCs/>
          <w:b/>
        </w:rPr>
        <w:t xml:space="preserve">Piel:</w:t>
      </w:r>
      <w:r>
        <w:t xml:space="preserve"> </w:t>
      </w:r>
      <w:r>
        <w:t xml:space="preserve">un estudio con una preparación de carnosina «no hidrolizable» comunicó mejoras cutáneas; procede del inventor de la formulación patentada y mezcla experimentos de laboratorio con un ensayo clínico</w:t>
      </w:r>
      <w:r>
        <w:rPr>
          <w:rStyle w:val="FootnoteReference"/>
        </w:rPr>
        <w:footnoteReference w:id="2433"/>
      </w:r>
      <w:r>
        <w:t xml:space="preserve">.</w:t>
      </w:r>
    </w:p>
    <w:bookmarkEnd w:id="2434"/>
    <w:bookmarkStart w:id="2437" w:name="Xa4eda7510cfe1be76e86bc500e725af46599a1b"/>
    <w:p>
      <w:pPr>
        <w:pStyle w:val="Heading4"/>
      </w:pPr>
      <w:r>
        <w:t xml:space="preserve">Sustancias relacionadas: zinc-carnosina y N-acetilcarnosina</w:t>
      </w:r>
    </w:p>
    <w:p>
      <w:pPr>
        <w:pStyle w:val="FirstParagraph"/>
      </w:pPr>
      <w:r>
        <w:t xml:space="preserve">La</w:t>
      </w:r>
      <w:r>
        <w:t xml:space="preserve"> </w:t>
      </w:r>
      <w:r>
        <w:rPr>
          <w:bCs/>
          <w:b/>
        </w:rPr>
        <w:t xml:space="preserve">zinc-carnosina (polaprezinc)</w:t>
      </w:r>
      <w:r>
        <w:t xml:space="preserve"> </w:t>
      </w:r>
      <w:r>
        <w:t xml:space="preserve">es un compuesto de zinc y carnosina que en Japón se utiliza como medicamento contra las úlceras gástricas. En un estudio multicéntrico con 224 pacientes, a las ocho semanas fue tan eficaz como el medicamento de comparación rebamipida (tasa de curación del 81,5 % frente al 74,3 %, diferencia no significativa)</w:t>
      </w:r>
      <w:r>
        <w:rPr>
          <w:rStyle w:val="FootnoteReference"/>
        </w:rPr>
        <w:footnoteReference w:id="2435"/>
      </w:r>
      <w:r>
        <w:t xml:space="preserve">. Este efecto probablemente está muy ligado al zinc y no puede trasladarse a la carnosina pura.</w:t>
      </w:r>
    </w:p>
    <w:p>
      <w:pPr>
        <w:pStyle w:val="BodyText"/>
      </w:pPr>
      <w:r>
        <w:t xml:space="preserve">Los</w:t>
      </w:r>
      <w:r>
        <w:t xml:space="preserve"> </w:t>
      </w:r>
      <w:r>
        <w:rPr>
          <w:bCs/>
          <w:b/>
        </w:rPr>
        <w:t xml:space="preserve">colirios de N-acetilcarnosina</w:t>
      </w:r>
      <w:r>
        <w:t xml:space="preserve"> </w:t>
      </w:r>
      <w:r>
        <w:t xml:space="preserve">se promocionan en internet contra las cataratas. Una revisión Cochrane solo encontró dos posibles estudios con 114 participantes cuya metodología no era comprensible y concluyó que no hay pruebas convincentes de que las gotas reviertan las cataratas o impidan su progresión</w:t>
      </w:r>
      <w:r>
        <w:rPr>
          <w:rStyle w:val="FootnoteReference"/>
        </w:rPr>
        <w:footnoteReference w:id="2436"/>
      </w:r>
      <w:r>
        <w:t xml:space="preserve">. El único tratamiento eficaz sigue siendo la cirugía.</w:t>
      </w:r>
    </w:p>
    <w:bookmarkEnd w:id="2437"/>
    <w:bookmarkEnd w:id="2438"/>
    <w:bookmarkStart w:id="2441" w:name="estudios-en-animales-y-de-laboratorio-54"/>
    <w:p>
      <w:pPr>
        <w:pStyle w:val="Heading3"/>
      </w:pPr>
      <w:r>
        <w:t xml:space="preserve">Estudios en animales y de laboratorio</w:t>
      </w:r>
    </w:p>
    <w:p>
      <w:pPr>
        <w:pStyle w:val="FirstParagraph"/>
      </w:pPr>
      <w:r>
        <w:t xml:space="preserve">En cultivos celulares y en roedores, la carnosina tiene efecto antioxidante, inhibe la glicación de las proteínas y une aldehídos reactivos. En ratones y ratas mejoró en muchos experimentos la glucemia, el daño renal en la diabetes, la cicatrización de heridas y la función vascular. El metaanálisis de Matthews 2021 incluyó, además de cuatro estudios en humanos, 16 estudios en roedores y calificó de muy baja la fiabilidad de los datos en animales</w:t>
      </w:r>
      <w:r>
        <w:rPr>
          <w:rStyle w:val="FootnoteReference"/>
        </w:rPr>
        <w:footnoteReference w:id="2439"/>
      </w:r>
      <w:r>
        <w:t xml:space="preserve">.</w:t>
      </w:r>
    </w:p>
    <w:p>
      <w:pPr>
        <w:pStyle w:val="BodyText"/>
      </w:pPr>
      <w:r>
        <w:t xml:space="preserve">Persiste un problema fundamental de traslación: los roedores prácticamente no tienen carnosinasa en la sangre. En ratones a los que se incorporó por ingeniería genética la enzima humana, la diabetes y el daño renal fueron más graves</w:t>
      </w:r>
      <w:r>
        <w:rPr>
          <w:rStyle w:val="FootnoteReference"/>
        </w:rPr>
        <w:footnoteReference w:id="2440"/>
      </w:r>
      <w:r>
        <w:t xml:space="preserve">. Esto sugiere que, en humanos, la enzima podría limitar considerablemente el efecto de la carnosina aportada.</w:t>
      </w:r>
    </w:p>
    <w:bookmarkEnd w:id="2441"/>
    <w:bookmarkStart w:id="2444" w:name="riesgos-y-efectos-adversos-54"/>
    <w:p>
      <w:pPr>
        <w:pStyle w:val="Heading3"/>
      </w:pPr>
      <w:r>
        <w:t xml:space="preserve">Riesgos y efectos adversos</w:t>
      </w:r>
    </w:p>
    <w:p>
      <w:pPr>
        <w:pStyle w:val="FirstParagraph"/>
      </w:pPr>
      <w:r>
        <w:rPr>
          <w:bCs/>
          <w:b/>
        </w:rPr>
        <w:t xml:space="preserve">Demostrados:</w:t>
      </w:r>
      <w:r>
        <w:t xml:space="preserve"> </w:t>
      </w:r>
      <w:r>
        <w:t xml:space="preserve">en los estudios realizados hasta ahora –con cantidades diarias de hasta 2 g durante un máximo de 14 semanas– no se comunicaron efectos adversos relevantes. En el estudio NEAT, con casi 300 participantes, no se encontraron cambios en la función renal, hepática ni cardiaca ni en los electrolitos</w:t>
      </w:r>
      <w:r>
        <w:rPr>
          <w:rStyle w:val="FootnoteReference"/>
        </w:rPr>
        <w:footnoteReference w:id="2442"/>
      </w:r>
      <w:r>
        <w:t xml:space="preserve">.</w:t>
      </w:r>
    </w:p>
    <w:p>
      <w:pPr>
        <w:pStyle w:val="BodyText"/>
      </w:pPr>
      <w:r>
        <w:rPr>
          <w:bCs/>
          <w:b/>
        </w:rPr>
        <w:t xml:space="preserve">Beta-alanina:</w:t>
      </w:r>
      <w:r>
        <w:t xml:space="preserve"> </w:t>
      </w:r>
      <w:r>
        <w:t xml:space="preserve">el único efecto adverso comunicado con regularidad es un hormigueo cutáneo inofensivo pero desagradable (parestesia), por lo general en la cara y las manos, poco después de la toma. Una evaluación de riesgos con 101 estudios en humanos estimó que la probabilidad (odds) de este efecto con beta-alanina era unas nueve veces mayor que con placebo (odds ratio 8,9); las tasas de abandono no difirieron, y un pequeño aumento de un valor hepático se mantuvo dentro del rango normal</w:t>
      </w:r>
      <w:r>
        <w:rPr>
          <w:rStyle w:val="FootnoteReference"/>
        </w:rPr>
        <w:footnoteReference w:id="2443"/>
      </w:r>
      <w:r>
        <w:t xml:space="preserve">.</w:t>
      </w:r>
    </w:p>
    <w:p>
      <w:pPr>
        <w:pStyle w:val="BodyText"/>
      </w:pPr>
      <w:r>
        <w:rPr>
          <w:bCs/>
          <w:b/>
        </w:rPr>
        <w:t xml:space="preserve">Teóricos o inciertos:</w:t>
      </w:r>
    </w:p>
    <w:p>
      <w:pPr>
        <w:numPr>
          <w:ilvl w:val="0"/>
          <w:numId w:val="1304"/>
        </w:numPr>
        <w:pStyle w:val="Compact"/>
      </w:pPr>
      <w:r>
        <w:t xml:space="preserve">Faltan datos a largo plazo de más de un año.</w:t>
      </w:r>
    </w:p>
    <w:p>
      <w:pPr>
        <w:numPr>
          <w:ilvl w:val="0"/>
          <w:numId w:val="1304"/>
        </w:numPr>
        <w:pStyle w:val="Compact"/>
      </w:pPr>
      <w:r>
        <w:t xml:space="preserve">No hay datos de seguridad para el embarazo, la lactancia ni los niños (salvo los pequeños estudios mencionados).</w:t>
      </w:r>
    </w:p>
    <w:p>
      <w:pPr>
        <w:numPr>
          <w:ilvl w:val="0"/>
          <w:numId w:val="1304"/>
        </w:numPr>
        <w:pStyle w:val="Compact"/>
      </w:pPr>
      <w:r>
        <w:t xml:space="preserve">Con medicamentos antidiabéticos es concebible una potenciación de la reducción de la glucemia, pero no está demostrada; los controles de glucemia y la consulta médica son razonables.</w:t>
      </w:r>
    </w:p>
    <w:p>
      <w:pPr>
        <w:numPr>
          <w:ilvl w:val="0"/>
          <w:numId w:val="1304"/>
        </w:numPr>
        <w:pStyle w:val="Compact"/>
      </w:pPr>
      <w:r>
        <w:t xml:space="preserve">Como con todos los complementos alimenticios, la calidad depende del fabricante.</w:t>
      </w:r>
    </w:p>
    <w:bookmarkEnd w:id="2444"/>
    <w:bookmarkStart w:id="2445" w:name="situación-legal-54"/>
    <w:p>
      <w:pPr>
        <w:pStyle w:val="Heading3"/>
      </w:pPr>
      <w:r>
        <w:t xml:space="preserve">Situación legal</w:t>
      </w:r>
    </w:p>
    <w:p>
      <w:pPr>
        <w:numPr>
          <w:ilvl w:val="0"/>
          <w:numId w:val="1305"/>
        </w:numPr>
        <w:pStyle w:val="Compact"/>
      </w:pPr>
      <w:r>
        <w:rPr>
          <w:bCs/>
          <w:b/>
        </w:rPr>
        <w:t xml:space="preserve">UE / Austria / Alemania:</w:t>
      </w:r>
      <w:r>
        <w:t xml:space="preserve"> </w:t>
      </w:r>
      <w:r>
        <w:t xml:space="preserve">la carnosina se comercializa como complemento alimenticio. Para la carnosina no existe ninguna declaración de propiedades saludables autorizada según el Reglamento sobre declaraciones de propiedades saludables (Reglamento (CE) n.º 1924/2006); por tanto, no se permiten afirmaciones publicitarias como «antiedad» o «protege las células». Si determinadas preparaciones deben clasificarse como nuevos alimentos (novel food) puede variar de un producto a otro; compruébese la situación actual. La zinc-carnosina no está autorizada como medicamento en la UE; los colirios de N-acetilcarnosina no tienen autorización como medicamento contra las cataratas.</w:t>
      </w:r>
    </w:p>
    <w:p>
      <w:pPr>
        <w:numPr>
          <w:ilvl w:val="0"/>
          <w:numId w:val="1305"/>
        </w:numPr>
        <w:pStyle w:val="Compact"/>
      </w:pPr>
      <w:r>
        <w:rPr>
          <w:bCs/>
          <w:b/>
        </w:rPr>
        <w:t xml:space="preserve">EE. UU.:</w:t>
      </w:r>
      <w:r>
        <w:t xml:space="preserve"> </w:t>
      </w:r>
      <w:r>
        <w:t xml:space="preserve">disponible como complemento alimenticio, sin autorización como medicamento.</w:t>
      </w:r>
    </w:p>
    <w:p>
      <w:pPr>
        <w:numPr>
          <w:ilvl w:val="0"/>
          <w:numId w:val="1305"/>
        </w:numPr>
        <w:pStyle w:val="Compact"/>
      </w:pPr>
      <w:r>
        <w:rPr>
          <w:bCs/>
          <w:b/>
        </w:rPr>
        <w:t xml:space="preserve">Japón:</w:t>
      </w:r>
      <w:r>
        <w:t xml:space="preserve"> </w:t>
      </w:r>
      <w:r>
        <w:t xml:space="preserve">el polaprezinc (zinc-carnosina) es un medicamento gástrico autorizado.</w:t>
      </w:r>
    </w:p>
    <w:p>
      <w:pPr>
        <w:numPr>
          <w:ilvl w:val="0"/>
          <w:numId w:val="1305"/>
        </w:numPr>
        <w:pStyle w:val="Compact"/>
      </w:pPr>
      <w:r>
        <w:rPr>
          <w:bCs/>
          <w:b/>
        </w:rPr>
        <w:t xml:space="preserve">Deporte:</w:t>
      </w:r>
      <w:r>
        <w:t xml:space="preserve"> </w:t>
      </w:r>
      <w:r>
        <w:t xml:space="preserve">ni la carnosina ni la beta-alanina figuran en la lista de prohibiciones de la WADA (situación en 2026, compruébese la versión actual).</w:t>
      </w:r>
    </w:p>
    <w:bookmarkEnd w:id="2445"/>
    <w:bookmarkStart w:id="2449" w:name="estudios-en-curso-y-perspectivas-54"/>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306"/>
        </w:numPr>
        <w:pStyle w:val="Compact"/>
      </w:pPr>
      <w:r>
        <w:rPr>
          <w:bCs/>
          <w:b/>
        </w:rPr>
        <w:t xml:space="preserve">Enfermedad arterial periférica:</w:t>
      </w:r>
      <w:r>
        <w:t xml:space="preserve"> </w:t>
      </w:r>
      <w:r>
        <w:t xml:space="preserve">un estudio de fase 1/2 con 144 participantes previstos investiga la carnosina en los trastornos circulatorios de las piernas</w:t>
      </w:r>
      <w:r>
        <w:rPr>
          <w:rStyle w:val="FootnoteReference"/>
        </w:rPr>
        <w:footnoteReference w:id="2446"/>
      </w:r>
      <w:r>
        <w:t xml:space="preserve">; estudios anteriores más pequeños sobre el mismo tema figuran como finalizados o con estado desconocido.</w:t>
      </w:r>
    </w:p>
    <w:p>
      <w:pPr>
        <w:numPr>
          <w:ilvl w:val="0"/>
          <w:numId w:val="1306"/>
        </w:numPr>
        <w:pStyle w:val="Compact"/>
      </w:pPr>
      <w:r>
        <w:rPr>
          <w:bCs/>
          <w:b/>
        </w:rPr>
        <w:t xml:space="preserve">Geroterapia:</w:t>
      </w:r>
      <w:r>
        <w:t xml:space="preserve"> </w:t>
      </w:r>
      <w:r>
        <w:t xml:space="preserve">un pequeño estudio de fase 3 con 30 participantes examina combinaciones de sustancias para mejorar la esperanza de vida saludable, entre ellas la carnosina</w:t>
      </w:r>
      <w:r>
        <w:rPr>
          <w:rStyle w:val="FootnoteReference"/>
        </w:rPr>
        <w:footnoteReference w:id="2447"/>
      </w:r>
      <w:r>
        <w:t xml:space="preserve">.</w:t>
      </w:r>
    </w:p>
    <w:p>
      <w:pPr>
        <w:numPr>
          <w:ilvl w:val="0"/>
          <w:numId w:val="1306"/>
        </w:numPr>
        <w:pStyle w:val="Compact"/>
      </w:pPr>
      <w:r>
        <w:t xml:space="preserve">El estudio NEAT</w:t>
      </w:r>
      <w:r>
        <w:rPr>
          <w:rStyle w:val="FootnoteReference"/>
        </w:rPr>
        <w:footnoteReference w:id="2448"/>
      </w:r>
      <w:r>
        <w:t xml:space="preserve"> </w:t>
      </w:r>
      <w:r>
        <w:t xml:space="preserve">ha finalizado; son posibles nuevos análisis sobre los vasos y la contaminación atmosférica.</w:t>
      </w:r>
    </w:p>
    <w:p>
      <w:pPr>
        <w:pStyle w:val="FirstParagraph"/>
      </w:pPr>
      <w:r>
        <w:rPr>
          <w:bCs/>
          <w:b/>
        </w:rPr>
        <w:t xml:space="preserve">Valoración:</w:t>
      </w:r>
      <w:r>
        <w:t xml:space="preserve"> </w:t>
      </w:r>
      <w:r>
        <w:t xml:space="preserve">la carnosina es biológicamente interesante, pero los estudios en humanos son pequeños y heterogéneos. Para el deporte, el precursor beta-alanina es la vía mejor documentada. Para la diabetes y el envejecimiento cerebral harían falta estudios más grandes y largos con variables clínicas. Una línea de investigación son los derivados resistentes a la carnosinasa, que no se degradan de inmediato en la sangre, pero todavía se encuentran en fase de laboratorio.</w:t>
      </w:r>
    </w:p>
    <w:bookmarkEnd w:id="2449"/>
    <w:bookmarkStart w:id="2450" w:name="conclusión-54"/>
    <w:p>
      <w:pPr>
        <w:pStyle w:val="Heading3"/>
      </w:pPr>
      <w:r>
        <w:t xml:space="preserve">Conclusión</w:t>
      </w:r>
    </w:p>
    <w:p>
      <w:pPr>
        <w:pStyle w:val="FirstParagraph"/>
      </w:pPr>
      <w:r>
        <w:t xml:space="preserve">La carnosina es un dipéptido endógeno que amortigua el ácido en el músculo y que, en el laboratorio, protege a las células de los productos de degradación de azúcares y grasas. En humanos, la enzima carnosinasa la degrada rápidamente en la sangre, por lo que los resultados en animales solo son trasladables de forma limitada. Estudios pequeños y metaanálisis apuntan a una ligera mejora del control glucémico a largo plazo en la diabetes y a efectos sobre los marcadores inflamatorios; para el rendimiento, la memoria y el envejecimiento cutáneo, los datos son débiles o contradictorios. Para el rendimiento deportivo, el precursor beta-alanina está mejor estudiado y se asocia a pequeñas ventajas en esfuerzos breves e intensos. La carnosina se considera bien tolerada en las cantidades estudiadas.</w:t>
      </w:r>
    </w:p>
    <w:bookmarkEnd w:id="2450"/>
    <w:bookmarkEnd w:id="2451"/>
    <w:bookmarkStart w:id="2479" w:name="ghk-cu-péptido-de-cobre"/>
    <w:p>
      <w:pPr>
        <w:pStyle w:val="Heading2"/>
      </w:pPr>
      <w:r>
        <w:t xml:space="preserve">GHK-Cu (péptido de cobre)</w:t>
      </w:r>
    </w:p>
    <w:bookmarkStart w:id="2453" w:name="ficha-55"/>
    <w:p>
      <w:pPr>
        <w:pStyle w:val="Heading3"/>
      </w:pPr>
      <w:r>
        <w:t xml:space="preserve">Ficha</w:t>
      </w:r>
    </w:p>
    <w:p>
      <w:pPr>
        <w:numPr>
          <w:ilvl w:val="0"/>
          <w:numId w:val="1307"/>
        </w:numPr>
        <w:pStyle w:val="Compact"/>
      </w:pPr>
      <w:r>
        <w:rPr>
          <w:bCs/>
          <w:b/>
        </w:rPr>
        <w:t xml:space="preserve">Tipo/estructura:</w:t>
      </w:r>
      <w:r>
        <w:t xml:space="preserve"> </w:t>
      </w:r>
      <w:r>
        <w:t xml:space="preserve">tripéptido de glicina, histidina y lisina (Gly-His-Lys, abreviado GHK) que une firmemente un ion de cobre. En las listas de ingredientes cosméticos suele denominarse</w:t>
      </w:r>
      <w:r>
        <w:t xml:space="preserve"> </w:t>
      </w:r>
      <w:r>
        <w:rPr>
          <w:iCs/>
          <w:i/>
        </w:rPr>
        <w:t xml:space="preserve">Copper Tripeptide-1</w:t>
      </w:r>
      <w:r>
        <w:t xml:space="preserve">. Una forma emparentada sin cobre, pero con un resto de ácido graso, es el palmitoil tripéptido-1 (Pal-GHK), componente de «Matrixyl 3000».</w:t>
      </w:r>
    </w:p>
    <w:p>
      <w:pPr>
        <w:numPr>
          <w:ilvl w:val="0"/>
          <w:numId w:val="1307"/>
        </w:numPr>
        <w:pStyle w:val="Compact"/>
      </w:pPr>
      <w:r>
        <w:rPr>
          <w:bCs/>
          <w:b/>
        </w:rPr>
        <w:t xml:space="preserve">Origen:</w:t>
      </w:r>
      <w:r>
        <w:t xml:space="preserve"> </w:t>
      </w:r>
      <w:r>
        <w:t xml:space="preserve">endógeno. El GHK se descubrió en la década de 1970 en el plasma sanguíneo humano</w:t>
      </w:r>
      <w:r>
        <w:rPr>
          <w:rStyle w:val="FootnoteReference"/>
        </w:rPr>
        <w:footnoteReference w:id="2452"/>
      </w:r>
      <w:r>
        <w:t xml:space="preserve"> </w:t>
      </w:r>
      <w:r>
        <w:t xml:space="preserve">y también está presente en la saliva y la orina. La secuencia GHK forma parte del colágeno y podría liberarse durante su degradación. Para los productos se fabrica de forma sintética.</w:t>
      </w:r>
    </w:p>
    <w:p>
      <w:pPr>
        <w:numPr>
          <w:ilvl w:val="0"/>
          <w:numId w:val="1307"/>
        </w:numPr>
        <w:pStyle w:val="Compact"/>
      </w:pPr>
      <w:r>
        <w:rPr>
          <w:bCs/>
          <w:b/>
        </w:rPr>
        <w:t xml:space="preserve">Mecanismo de acción:</w:t>
      </w:r>
      <w:r>
        <w:t xml:space="preserve"> </w:t>
      </w:r>
      <w:r>
        <w:t xml:space="preserve">se supone que estimula la cicatrización de heridas y la remodelación del tejido conjuntivo, entre otras cosas mediante el transporte de cobre al interior de las células y la estimulación de la formación de colágeno.</w:t>
      </w:r>
    </w:p>
    <w:p>
      <w:pPr>
        <w:numPr>
          <w:ilvl w:val="0"/>
          <w:numId w:val="1307"/>
        </w:numPr>
        <w:pStyle w:val="Compact"/>
      </w:pPr>
      <w:r>
        <w:rPr>
          <w:bCs/>
          <w:b/>
        </w:rPr>
        <w:t xml:space="preserve">Uso:</w:t>
      </w:r>
      <w:r>
        <w:t xml:space="preserve"> </w:t>
      </w:r>
      <w:r>
        <w:t xml:space="preserve">permitido como ingrediente de cosméticos (cremas, sérums, cuidado capilar). Además, se ofrece en el mercado gris como «research peptide» para inyección.</w:t>
      </w:r>
    </w:p>
    <w:p>
      <w:pPr>
        <w:numPr>
          <w:ilvl w:val="0"/>
          <w:numId w:val="1307"/>
        </w:numPr>
        <w:pStyle w:val="Compact"/>
      </w:pPr>
      <w:r>
        <w:rPr>
          <w:bCs/>
          <w:b/>
        </w:rPr>
        <w:t xml:space="preserve">Autorización en la UE:</w:t>
      </w:r>
      <w:r>
        <w:t xml:space="preserve"> </w:t>
      </w:r>
      <w:r>
        <w:t xml:space="preserve">sin autorización como medicamento. Utilizable como ingrediente cosmético.</w:t>
      </w:r>
    </w:p>
    <w:p>
      <w:pPr>
        <w:numPr>
          <w:ilvl w:val="0"/>
          <w:numId w:val="1307"/>
        </w:numPr>
        <w:pStyle w:val="Compact"/>
      </w:pPr>
      <w:r>
        <w:rPr>
          <w:bCs/>
          <w:b/>
        </w:rPr>
        <w:t xml:space="preserve">Autorización en EE. UU.:</w:t>
      </w:r>
      <w:r>
        <w:t xml:space="preserve"> </w:t>
      </w:r>
      <w:r>
        <w:t xml:space="preserve">sin autorización como medicamento; comercializado como ingrediente cosmético. Existen restricciones para la elaboración de preparaciones inyectables en farmacias (véase la situación legal).</w:t>
      </w:r>
    </w:p>
    <w:p>
      <w:pPr>
        <w:numPr>
          <w:ilvl w:val="0"/>
          <w:numId w:val="1307"/>
        </w:numPr>
        <w:pStyle w:val="Compact"/>
      </w:pPr>
      <w:r>
        <w:rPr>
          <w:bCs/>
          <w:b/>
        </w:rPr>
        <w:t xml:space="preserve">WADA:</w:t>
      </w:r>
      <w:r>
        <w:t xml:space="preserve"> </w:t>
      </w:r>
      <w:r>
        <w:t xml:space="preserve">no figura nominalmente. En caso de inyección, como principio activo no autorizado, puede aplicarse la categoría S0 («sustancias no aprobadas»).</w:t>
      </w:r>
    </w:p>
    <w:p>
      <w:pPr>
        <w:numPr>
          <w:ilvl w:val="0"/>
          <w:numId w:val="1307"/>
        </w:numPr>
        <w:pStyle w:val="Compact"/>
      </w:pPr>
      <w:r>
        <w:rPr>
          <w:bCs/>
          <w:b/>
        </w:rPr>
        <w:t xml:space="preserve">Nivel de evidencia:</w:t>
      </w:r>
      <w:r>
        <w:t xml:space="preserve"> </w:t>
      </w:r>
      <w:r>
        <w:rPr>
          <w:bCs/>
          <w:b/>
        </w:rPr>
        <w:t xml:space="preserve">C</w:t>
      </w:r>
      <w:r>
        <w:t xml:space="preserve"> </w:t>
      </w:r>
      <w:r>
        <w:t xml:space="preserve">– un estudio aleatorizado antiguo sobre heridas y unos pocos estudios cutáneos muy pequeños; para los usos que hoy se promocionan (cosmética antiedad, inyecciones), no hay datos controlados sólidos en humanos.</w:t>
      </w:r>
    </w:p>
    <w:bookmarkEnd w:id="2453"/>
    <w:bookmarkStart w:id="2460" w:name="cómo-se-supone-que-actúa-55"/>
    <w:p>
      <w:pPr>
        <w:pStyle w:val="Heading3"/>
      </w:pPr>
      <w:r>
        <w:t xml:space="preserve">Cómo se supone que actúa</w:t>
      </w:r>
    </w:p>
    <w:p>
      <w:pPr>
        <w:pStyle w:val="FirstParagraph"/>
      </w:pPr>
      <w:r>
        <w:t xml:space="preserve">El GHK une el cobre con tanta fuerza que puede transportar este oligoelemento esencial al interior de las células. Varias enzimas importantes para el tejido conjuntivo necesitan cobre, por ejemplo la lisil oxidasa, que entrelaza las fibras de colágeno y elastina. Un trabajo temprano ya supuso en 1980 que el GHK ejerce su efecto sobre las células facilitando la captación de cobre</w:t>
      </w:r>
      <w:r>
        <w:rPr>
          <w:rStyle w:val="FootnoteReference"/>
        </w:rPr>
        <w:footnoteReference w:id="2454"/>
      </w:r>
      <w:r>
        <w:t xml:space="preserve">.</w:t>
      </w:r>
    </w:p>
    <w:p>
      <w:pPr>
        <w:pStyle w:val="BodyText"/>
      </w:pPr>
      <w:r>
        <w:t xml:space="preserve">En cultivos celulares, el GHK-Cu estimuló la formación de colágeno por los fibroblastos ya a concentraciones extremadamente bajas; el máximo se situó en torno a un nanomol por litro</w:t>
      </w:r>
      <w:r>
        <w:rPr>
          <w:rStyle w:val="FootnoteReference"/>
        </w:rPr>
        <w:footnoteReference w:id="2455"/>
      </w:r>
      <w:r>
        <w:t xml:space="preserve">. El descubridor del GHK, Loren Pickart, ha descrito en varias revisiones muchos otros efectos: sobre la cicatrización de heridas, el crecimiento del cabello, la inflamación, el crecimiento nervioso e incluso sobre la actividad de miles de genes</w:t>
      </w:r>
      <w:r>
        <w:rPr>
          <w:rStyle w:val="FootnoteReference"/>
        </w:rPr>
        <w:footnoteReference w:id="2456"/>
      </w:r>
      <w:r>
        <w:t xml:space="preserve">. Estas afirmaciones se basan sobre todo en experimentos celulares y animales, así como en datos de expresión génica procedentes de bases de datos, y no en estudios en humanos. Además, muchas de estas revisiones proceden del entorno de las personas que también desarrollaron comercialmente el GHK-Cu, una circunstancia que las lectoras y los lectores deberían conocer al valorarlas.</w:t>
      </w:r>
    </w:p>
    <w:bookmarkStart w:id="2459" w:name="atraviesa-el-péptido-la-piel"/>
    <w:p>
      <w:pPr>
        <w:pStyle w:val="Heading4"/>
      </w:pPr>
      <w:r>
        <w:t xml:space="preserve">¿Atraviesa el péptido la piel?</w:t>
      </w:r>
    </w:p>
    <w:p>
      <w:pPr>
        <w:pStyle w:val="FirstParagraph"/>
      </w:pPr>
      <w:r>
        <w:t xml:space="preserve">Para el uso cosmético es decisivo si el GHK-Cu supera la barrera cutánea. El estrato córneo de la piel es poco permeable para moléculas hidrosolubles y con carga, como el GHK. Una revisión de 2025 concluye que, en los experimentos celulares, el GHK podría considerarse sin duda un principio activo antiarrugas, pero que hay llamativamente pocos estudios clínicos; la unión al cobre y la adición de ácidos grasos mejoran la permeabilidad, y se investigan las microagujas y otros recursos</w:t>
      </w:r>
      <w:r>
        <w:rPr>
          <w:rStyle w:val="FootnoteReference"/>
        </w:rPr>
        <w:footnoteReference w:id="2457"/>
      </w:r>
      <w:r>
        <w:t xml:space="preserve">. Un estudio en tres voluntarios encontró el Pal-GHK, emparentado, tras su aplicación en todas las capas del estrato córneo, aunque solo entre las células y en cantidad decreciente con la profundidad</w:t>
      </w:r>
      <w:r>
        <w:rPr>
          <w:rStyle w:val="FootnoteReference"/>
        </w:rPr>
        <w:footnoteReference w:id="2458"/>
      </w:r>
      <w:r>
        <w:t xml:space="preserve">. No está aclarado si llegan cantidades suficientes a las capas más profundas de la piel, donde se forma el colágeno.</w:t>
      </w:r>
    </w:p>
    <w:bookmarkEnd w:id="2459"/>
    <w:bookmarkEnd w:id="2460"/>
    <w:bookmarkStart w:id="2464" w:name="estudios-en-humanos-55"/>
    <w:p>
      <w:pPr>
        <w:pStyle w:val="Heading3"/>
      </w:pPr>
      <w:r>
        <w:t xml:space="preserve">Estudios en humanos</w:t>
      </w:r>
    </w:p>
    <w:p>
      <w:pPr>
        <w:pStyle w:val="FirstParagraph"/>
      </w:pPr>
      <w:r>
        <w:t xml:space="preserve">La consulta en PubMed evaluada para este libro (GHK-Cu, tripéptido de cobre o péptido de cobre GHK en el título o el resumen, fecha de consulta octubre de 2026) arrojó solo</w:t>
      </w:r>
      <w:r>
        <w:t xml:space="preserve"> </w:t>
      </w:r>
      <w:r>
        <w:rPr>
          <w:bCs/>
          <w:b/>
        </w:rPr>
        <w:t xml:space="preserve">un</w:t>
      </w:r>
      <w:r>
        <w:t xml:space="preserve"> </w:t>
      </w:r>
      <w:r>
        <w:t xml:space="preserve">estudio en humanos. En ClinicalTrials.gov, la búsqueda arrojó 25 registros, pero casi todos se refieren a otros compuestos de cobre (por ejemplo, cobre-64 radiactivo para la obtención de imágenes). Solo un registro creíble estudia realmente el GHK o el GHK-Cu; otro registro sobre un gel de GHK-Cu para heridas procede de un promotor cuyos registros, según nuestra comprobación, son al parecer registros ficticios de ejemplo o de prueba, por lo que no se tiene en cuenta aquí. Una búsqueda ampliada arrojó además el estudio antiguo sobre heridas mencionado más abajo, así como casos clínicos aislados.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Mulder 1994, PMID 17147644</w:t>
            </w:r>
          </w:p>
        </w:tc>
        <w:tc>
          <w:tcPr/>
          <w:p>
            <w:pPr>
              <w:pStyle w:val="Compact"/>
              <w:jc w:val="left"/>
            </w:pPr>
            <w:r>
              <w:t xml:space="preserve">Personas con úlceras de pie diabético, multicéntrico, aleatorizado, evaluación ciega, gel de GHK-Cu frente a gel vehículo</w:t>
            </w:r>
          </w:p>
        </w:tc>
        <w:tc>
          <w:tcPr/>
          <w:p>
            <w:pPr>
              <w:pStyle w:val="Compact"/>
              <w:jc w:val="left"/>
            </w:pPr>
            <w:r>
              <w:t xml:space="preserve">n. d. en el resumen</w:t>
            </w:r>
          </w:p>
        </w:tc>
        <w:tc>
          <w:tcPr/>
          <w:p>
            <w:pPr>
              <w:pStyle w:val="Compact"/>
              <w:jc w:val="left"/>
            </w:pPr>
            <w:r>
              <w:t xml:space="preserve">Reducción mediana de la superficie de la herida 98,5 % frente a 60,8 %; infecciones 7 % frente a 34 %</w:t>
            </w:r>
          </w:p>
        </w:tc>
      </w:tr>
      <w:tr>
        <w:tc>
          <w:tcPr/>
          <w:p>
            <w:pPr>
              <w:pStyle w:val="Compact"/>
              <w:jc w:val="left"/>
            </w:pPr>
            <w:r>
              <w:t xml:space="preserve">Miller 2006, PMID 16847171</w:t>
            </w:r>
          </w:p>
        </w:tc>
        <w:tc>
          <w:tcPr/>
          <w:p>
            <w:pPr>
              <w:pStyle w:val="Compact"/>
              <w:jc w:val="left"/>
            </w:pPr>
            <w:r>
              <w:t xml:space="preserve">Cuidado de la piel tras tratamiento con láser de CO₂, aleatorizado, 13 analizables</w:t>
            </w:r>
          </w:p>
        </w:tc>
        <w:tc>
          <w:tcPr/>
          <w:p>
            <w:pPr>
              <w:pStyle w:val="Compact"/>
              <w:jc w:val="left"/>
            </w:pPr>
            <w:r>
              <w:t xml:space="preserve">12 semanas</w:t>
            </w:r>
          </w:p>
        </w:tc>
        <w:tc>
          <w:tcPr/>
          <w:p>
            <w:pPr>
              <w:pStyle w:val="Compact"/>
              <w:jc w:val="left"/>
            </w:pPr>
            <w:r>
              <w:t xml:space="preserve">Sin diferencia en enrojecimiento, arrugas ni calidad de la piel según medición y evaluación ciega; mayor satisfacción en el cuestionario</w:t>
            </w:r>
          </w:p>
        </w:tc>
      </w:tr>
      <w:tr>
        <w:tc>
          <w:tcPr/>
          <w:p>
            <w:pPr>
              <w:pStyle w:val="Compact"/>
              <w:jc w:val="left"/>
            </w:pPr>
            <w:r>
              <w:t xml:space="preserve">Byun 2016, PMID 27064823</w:t>
            </w:r>
          </w:p>
        </w:tc>
        <w:tc>
          <w:tcPr/>
          <w:p>
            <w:pPr>
              <w:pStyle w:val="Compact"/>
              <w:jc w:val="left"/>
            </w:pPr>
            <w:r>
              <w:t xml:space="preserve">1 hombre, mezcla de GHK-Cu, ácido hialurónico, extracto vegetal, ácido tranexámico y betaglucano con pulverizador</w:t>
            </w:r>
          </w:p>
        </w:tc>
        <w:tc>
          <w:tcPr/>
          <w:p>
            <w:pPr>
              <w:pStyle w:val="Compact"/>
              <w:jc w:val="left"/>
            </w:pPr>
            <w:r>
              <w:t xml:space="preserve">12 semanas</w:t>
            </w:r>
          </w:p>
        </w:tc>
        <w:tc>
          <w:tcPr/>
          <w:p>
            <w:pPr>
              <w:pStyle w:val="Compact"/>
              <w:jc w:val="left"/>
            </w:pPr>
            <w:r>
              <w:t xml:space="preserve">Menos arrugas perioculares; más colágeno en muestras cutáneas (caso aislado, producto combinado)</w:t>
            </w:r>
          </w:p>
        </w:tc>
      </w:tr>
    </w:tbl>
    <w:p>
      <w:pPr>
        <w:pStyle w:val="BodyText"/>
      </w:pPr>
      <w:r>
        <w:rPr>
          <w:bCs/>
          <w:b/>
        </w:rPr>
        <w:t xml:space="preserve">El estudio sobre heridas de 1994</w:t>
      </w:r>
      <w:r>
        <w:t xml:space="preserve"> </w:t>
      </w:r>
      <w:r>
        <w:t xml:space="preserve">es el único estudio controlado que mejoró una variable clínicamente relevante. Sin embargo, el preparado (desarrollado con el nombre de Iamin) no obtuvo autorización como medicamento. El resumen no indica ni el número de participantes ni la duración del estudio; en PubMed no se encuentran estudios de confirmación posteriores.</w:t>
      </w:r>
    </w:p>
    <w:p>
      <w:pPr>
        <w:pStyle w:val="BodyText"/>
      </w:pPr>
      <w:r>
        <w:rPr>
          <w:bCs/>
          <w:b/>
        </w:rPr>
        <w:t xml:space="preserve">El estudio con láser de 2006</w:t>
      </w:r>
      <w:r>
        <w:t xml:space="preserve"> </w:t>
      </w:r>
      <w:r>
        <w:t xml:space="preserve">es el único estudio aleatorizado con una pregunta cosmética recogido en PubMed. Con solo 13 pacientes analizables, era demasiado pequeño para detectar diferencias con seguridad, y objetivamente no encontró ninguna.</w:t>
      </w:r>
    </w:p>
    <w:p>
      <w:pPr>
        <w:pStyle w:val="BodyText"/>
      </w:pPr>
      <w:r>
        <w:rPr>
          <w:bCs/>
          <w:b/>
        </w:rPr>
        <w:t xml:space="preserve">Estudios cosméticos:</w:t>
      </w:r>
      <w:r>
        <w:t xml:space="preserve"> </w:t>
      </w:r>
      <w:r>
        <w:t xml:space="preserve">en libros especializados y material publicitario se citan estudios según los cuales las cremas con GHK-Cu habrían mejorado las arrugas, la densidad cutánea y la elasticidad. En su mayoría no se han publicado en revistas indexadas en PubMed o solo están disponibles como comunicaciones a congresos e informes de fabricantes, y no pudieron comprobarse en su versión original para este libro. Un metaanálisis de 2026 sobre péptidos orales y tópicos contra el envejecimiento cutáneo encontró que el beneficio sobre las arrugas se debía sobre todo a los péptidos tomados por vía</w:t>
      </w:r>
      <w:r>
        <w:t xml:space="preserve"> </w:t>
      </w:r>
      <w:r>
        <w:rPr>
          <w:iCs/>
          <w:i/>
        </w:rPr>
        <w:t xml:space="preserve">oral</w:t>
      </w:r>
      <w:r>
        <w:t xml:space="preserve">; el resumen no presenta resultados específicos para el GHK-Cu</w:t>
      </w:r>
      <w:r>
        <w:rPr>
          <w:rStyle w:val="FootnoteReference"/>
        </w:rPr>
        <w:footnoteReference w:id="2461"/>
      </w:r>
      <w:r>
        <w:t xml:space="preserve">.</w:t>
      </w:r>
    </w:p>
    <w:p>
      <w:pPr>
        <w:pStyle w:val="BodyText"/>
      </w:pPr>
      <w:r>
        <w:rPr>
          <w:bCs/>
          <w:b/>
        </w:rPr>
        <w:t xml:space="preserve">Inyecciones:</w:t>
      </w:r>
      <w:r>
        <w:t xml:space="preserve"> </w:t>
      </w:r>
      <w:r>
        <w:t xml:space="preserve">no existe ni un solo estudio controlado publicado en humanos sobre el GHK-Cu inyectado. Una revisión de ortopedia y medicina deportiva constata que no hay datos clínicos para su uso en enfermedades del aparato locomotor y que se desconocen la dosis, la frecuencia y la duración de un tratamiento</w:t>
      </w:r>
      <w:r>
        <w:rPr>
          <w:rStyle w:val="FootnoteReference"/>
        </w:rPr>
        <w:footnoteReference w:id="2462"/>
      </w:r>
      <w:r>
        <w:t xml:space="preserve">. Otra revisión sobre péptidos no autorizados en medicina deportiva concluye que faltan datos de seguridad sólidos en humanos y que existe un potencial de daño</w:t>
      </w:r>
      <w:r>
        <w:rPr>
          <w:rStyle w:val="FootnoteReference"/>
        </w:rPr>
        <w:footnoteReference w:id="2463"/>
      </w:r>
      <w:r>
        <w:t xml:space="preserve">.</w:t>
      </w:r>
    </w:p>
    <w:bookmarkEnd w:id="2464"/>
    <w:bookmarkStart w:id="2471" w:name="estudios-en-animales-y-de-laboratorio-55"/>
    <w:p>
      <w:pPr>
        <w:pStyle w:val="Heading3"/>
      </w:pPr>
      <w:r>
        <w:t xml:space="preserve">Estudios en animales y de laboratorio</w:t>
      </w:r>
    </w:p>
    <w:p>
      <w:pPr>
        <w:pStyle w:val="FirstParagraph"/>
      </w:pPr>
      <w:r>
        <w:t xml:space="preserve">La bibliografía preclínica es amplia:</w:t>
      </w:r>
    </w:p>
    <w:p>
      <w:pPr>
        <w:numPr>
          <w:ilvl w:val="0"/>
          <w:numId w:val="1308"/>
        </w:numPr>
        <w:pStyle w:val="Compact"/>
      </w:pPr>
      <w:r>
        <w:rPr>
          <w:bCs/>
          <w:b/>
        </w:rPr>
        <w:t xml:space="preserve">Cultivo celular:</w:t>
      </w:r>
      <w:r>
        <w:t xml:space="preserve"> </w:t>
      </w:r>
      <w:r>
        <w:t xml:space="preserve">aumento de la formación de colágeno en fibroblastos</w:t>
      </w:r>
      <w:r>
        <w:rPr>
          <w:rStyle w:val="FootnoteReference"/>
        </w:rPr>
        <w:footnoteReference w:id="2465"/>
      </w:r>
      <w:r>
        <w:t xml:space="preserve">; influencia sobre enzimas que forman y degradan el tejido conjuntivo.</w:t>
      </w:r>
    </w:p>
    <w:p>
      <w:pPr>
        <w:numPr>
          <w:ilvl w:val="0"/>
          <w:numId w:val="1308"/>
        </w:numPr>
        <w:pStyle w:val="Compact"/>
      </w:pPr>
      <w:r>
        <w:rPr>
          <w:bCs/>
          <w:b/>
        </w:rPr>
        <w:t xml:space="preserve">Cicatrización de heridas en animales:</w:t>
      </w:r>
      <w:r>
        <w:t xml:space="preserve"> </w:t>
      </w:r>
      <w:r>
        <w:t xml:space="preserve">en ratas con heridas mal irrigadas, la superficie de la herida se redujo a los 13 días un 64,5 % con gel de GHK-Cu, un 45,6 % con el gel vehículo y un 28,2 % sin tratamiento</w:t>
      </w:r>
      <w:r>
        <w:rPr>
          <w:rStyle w:val="FootnoteReference"/>
        </w:rPr>
        <w:footnoteReference w:id="2466"/>
      </w:r>
      <w:r>
        <w:t xml:space="preserve">. En ratones, liposomas con GHK-Cu favorecieron la formación de nuevos vasos en piel escaldada y acortaron el tiempo de curación</w:t>
      </w:r>
      <w:r>
        <w:rPr>
          <w:rStyle w:val="FootnoteReference"/>
        </w:rPr>
        <w:footnoteReference w:id="2467"/>
      </w:r>
      <w:r>
        <w:t xml:space="preserve">.</w:t>
      </w:r>
    </w:p>
    <w:p>
      <w:pPr>
        <w:numPr>
          <w:ilvl w:val="0"/>
          <w:numId w:val="1308"/>
        </w:numPr>
        <w:pStyle w:val="Compact"/>
      </w:pPr>
      <w:r>
        <w:rPr>
          <w:bCs/>
          <w:b/>
        </w:rPr>
        <w:t xml:space="preserve">Otros órganos (en animales):</w:t>
      </w:r>
      <w:r>
        <w:t xml:space="preserve"> </w:t>
      </w:r>
      <w:r>
        <w:t xml:space="preserve">en ratones, el GHK-Cu inyectado en la cavidad abdominal atenuó una fibrosis pulmonar inducida experimentalmente</w:t>
      </w:r>
      <w:r>
        <w:rPr>
          <w:rStyle w:val="FootnoteReference"/>
        </w:rPr>
        <w:footnoteReference w:id="2468"/>
      </w:r>
      <w:r>
        <w:t xml:space="preserve">; otros estudios en ratones describen efectos en el daño pulmonar, la inflamación intestinal y la debilidad muscular tras el humo de tabaco. En ratas mejoró solo transitoriamente la curación tras la reconstrucción del ligamento cruzado</w:t>
      </w:r>
      <w:r>
        <w:rPr>
          <w:rStyle w:val="FootnoteReference"/>
        </w:rPr>
        <w:footnoteReference w:id="2469"/>
      </w:r>
      <w:r>
        <w:t xml:space="preserve">.</w:t>
      </w:r>
    </w:p>
    <w:p>
      <w:pPr>
        <w:numPr>
          <w:ilvl w:val="0"/>
          <w:numId w:val="1308"/>
        </w:numPr>
        <w:pStyle w:val="Compact"/>
      </w:pPr>
      <w:r>
        <w:rPr>
          <w:bCs/>
          <w:b/>
        </w:rPr>
        <w:t xml:space="preserve">Cerebro (en ratones):</w:t>
      </w:r>
      <w:r>
        <w:t xml:space="preserve"> </w:t>
      </w:r>
      <w:r>
        <w:t xml:space="preserve">una prepublicación de 2026 aún no revisada por pares describió en ratones viejos un mejor rendimiento de aprendizaje tras ocho semanas de administración por vía nasal, y tras una administración breve en la cavidad abdominal, solo transitoriamente y solo en machos</w:t>
      </w:r>
      <w:r>
        <w:rPr>
          <w:rStyle w:val="FootnoteReference"/>
        </w:rPr>
        <w:footnoteReference w:id="2470"/>
      </w:r>
      <w:r>
        <w:t xml:space="preserve">.</w:t>
      </w:r>
    </w:p>
    <w:p>
      <w:pPr>
        <w:pStyle w:val="FirstParagraph"/>
      </w:pPr>
      <w:r>
        <w:t xml:space="preserve">Estos hallazgos muestran una actividad biológica, pero no pueden trasladarse sin más a los humanos, y menos aún a cremas cosméticas con una permeabilidad cutánea incierta.</w:t>
      </w:r>
    </w:p>
    <w:bookmarkEnd w:id="2471"/>
    <w:bookmarkStart w:id="2474" w:name="riesgos-y-efectos-adversos-55"/>
    <w:p>
      <w:pPr>
        <w:pStyle w:val="Heading3"/>
      </w:pPr>
      <w:r>
        <w:t xml:space="preserve">Riesgos y efectos adversos</w:t>
      </w:r>
    </w:p>
    <w:p>
      <w:pPr>
        <w:pStyle w:val="FirstParagraph"/>
      </w:pPr>
      <w:r>
        <w:rPr>
          <w:bCs/>
          <w:b/>
        </w:rPr>
        <w:t xml:space="preserve">Uso cosmético (demostrado o probable):</w:t>
      </w:r>
      <w:r>
        <w:t xml:space="preserve"> </w:t>
      </w:r>
      <w:r>
        <w:t xml:space="preserve">el GHK-Cu se utiliza desde hace décadas en cosméticos; en los pocos estudios no se comunicaron efectos adversos relevantes. Como con cualquier ingrediente cosmético, son posibles irritaciones cutáneas y alergias de contacto. Los sérums con cobre pueden ser o no químicamente compatibles con otros principios activos (por ejemplo, la vitamina C o los ácidos); es una cuestión de formulación.</w:t>
      </w:r>
    </w:p>
    <w:p>
      <w:pPr>
        <w:pStyle w:val="BodyText"/>
      </w:pPr>
      <w:r>
        <w:rPr>
          <w:bCs/>
          <w:b/>
        </w:rPr>
        <w:t xml:space="preserve">Inyección (teórico, pero a tomar en serio):</w:t>
      </w:r>
    </w:p>
    <w:p>
      <w:pPr>
        <w:numPr>
          <w:ilvl w:val="0"/>
          <w:numId w:val="1309"/>
        </w:numPr>
        <w:pStyle w:val="Compact"/>
      </w:pPr>
      <w:r>
        <w:rPr>
          <w:bCs/>
          <w:b/>
        </w:rPr>
        <w:t xml:space="preserve">Sin datos de seguridad:</w:t>
      </w:r>
      <w:r>
        <w:t xml:space="preserve"> </w:t>
      </w:r>
      <w:r>
        <w:t xml:space="preserve">no hay datos sistemáticos sobre la tolerabilidad, la dosificación ni las consecuencias a largo plazo en humanos.</w:t>
      </w:r>
    </w:p>
    <w:p>
      <w:pPr>
        <w:numPr>
          <w:ilvl w:val="0"/>
          <w:numId w:val="1309"/>
        </w:numPr>
        <w:pStyle w:val="Compact"/>
      </w:pPr>
      <w:r>
        <w:rPr>
          <w:bCs/>
          <w:b/>
        </w:rPr>
        <w:t xml:space="preserve">Efectos celulares heterogéneos:</w:t>
      </w:r>
      <w:r>
        <w:t xml:space="preserve"> </w:t>
      </w:r>
      <w:r>
        <w:t xml:space="preserve">ya los primeros trabajos de laboratorio describieron que el GHK, según el sistema celular, puede favorecer el crecimiento, pero también resultar tóxico</w:t>
      </w:r>
      <w:r>
        <w:rPr>
          <w:rStyle w:val="FootnoteReference"/>
        </w:rPr>
        <w:footnoteReference w:id="2472"/>
      </w:r>
      <w:r>
        <w:t xml:space="preserve">.</w:t>
      </w:r>
    </w:p>
    <w:p>
      <w:pPr>
        <w:numPr>
          <w:ilvl w:val="0"/>
          <w:numId w:val="1309"/>
        </w:numPr>
        <w:pStyle w:val="Compact"/>
      </w:pPr>
      <w:r>
        <w:rPr>
          <w:bCs/>
          <w:b/>
        </w:rPr>
        <w:t xml:space="preserve">Carga de cobre:</w:t>
      </w:r>
      <w:r>
        <w:t xml:space="preserve"> </w:t>
      </w:r>
      <w:r>
        <w:t xml:space="preserve">el cobre es tóxico en cantidades mayores. No se ha estudiado cuánto cobre permanece en el organismo con inyecciones repetidas. Las personas especialmente expuestas serían las que padecen la enfermedad de Wilson, una enfermedad congénita de acumulación de cobre.</w:t>
      </w:r>
    </w:p>
    <w:p>
      <w:pPr>
        <w:numPr>
          <w:ilvl w:val="0"/>
          <w:numId w:val="1309"/>
        </w:numPr>
        <w:pStyle w:val="Compact"/>
      </w:pPr>
      <w:r>
        <w:rPr>
          <w:bCs/>
          <w:b/>
        </w:rPr>
        <w:t xml:space="preserve">Señales de crecimiento:</w:t>
      </w:r>
      <w:r>
        <w:t xml:space="preserve"> </w:t>
      </w:r>
      <w:r>
        <w:t xml:space="preserve">en experimentos con animales, el GHK-Cu favorece la formación de nuevos vasos sanguíneos (angiogénesis). Se desconoce si esto supone un riesgo en presencia de tumores (riesgo teórico).</w:t>
      </w:r>
    </w:p>
    <w:p>
      <w:pPr>
        <w:numPr>
          <w:ilvl w:val="0"/>
          <w:numId w:val="1309"/>
        </w:numPr>
        <w:pStyle w:val="Compact"/>
      </w:pPr>
      <w:r>
        <w:rPr>
          <w:bCs/>
          <w:b/>
        </w:rPr>
        <w:t xml:space="preserve">Calidad del mercado gris:</w:t>
      </w:r>
      <w:r>
        <w:t xml:space="preserve"> </w:t>
      </w:r>
      <w:r>
        <w:t xml:space="preserve">los «research peptides» se fabrican sin control de calidad farmacéutico. Son posibles impurezas, cantidades erróneas o contaminación bacteriana; las inyecciones de productos no estériles pueden provocar abscesos e infecciones. Una revisión describe estos riesgos para los péptidos inyectables de «biohacking» en general</w:t>
      </w:r>
      <w:r>
        <w:rPr>
          <w:rStyle w:val="FootnoteReference"/>
        </w:rPr>
        <w:footnoteReference w:id="2473"/>
      </w:r>
      <w:r>
        <w:t xml:space="preserve">. La Parte IV trata el tema con detalle.</w:t>
      </w:r>
    </w:p>
    <w:bookmarkEnd w:id="2474"/>
    <w:bookmarkStart w:id="2475" w:name="situación-legal-55"/>
    <w:p>
      <w:pPr>
        <w:pStyle w:val="Heading3"/>
      </w:pPr>
      <w:r>
        <w:t xml:space="preserve">Situación legal</w:t>
      </w:r>
    </w:p>
    <w:p>
      <w:pPr>
        <w:numPr>
          <w:ilvl w:val="0"/>
          <w:numId w:val="1310"/>
        </w:numPr>
        <w:pStyle w:val="Compact"/>
      </w:pPr>
      <w:r>
        <w:rPr>
          <w:bCs/>
          <w:b/>
        </w:rPr>
        <w:t xml:space="preserve">UE / Austria / Alemania:</w:t>
      </w:r>
      <w:r>
        <w:t xml:space="preserve"> </w:t>
      </w:r>
      <w:r>
        <w:t xml:space="preserve">el GHK-Cu (Copper Tripeptide-1) puede utilizarse como ingrediente de cosméticos; rige el Reglamento europeo sobre los productos cosméticos (Reglamento (CE) n.º 1223/2009). Los cosméticos solo pueden destinarse a la aplicación sobre la piel y sus anexos y no pueden atribuirse efectos farmacológicos; las afirmaciones publicitarias deben poder justificarse según el Reglamento (UE) n.º 655/2013. Un GHK-Cu destinado a inyección no es un cosmético, sino un medicamento no autorizado. Su venta para uso en humanos no está permitida; etiquetas como «solo para fines de investigación» no cambian nada.</w:t>
      </w:r>
    </w:p>
    <w:p>
      <w:pPr>
        <w:numPr>
          <w:ilvl w:val="0"/>
          <w:numId w:val="1310"/>
        </w:numPr>
        <w:pStyle w:val="Compact"/>
      </w:pPr>
      <w:r>
        <w:rPr>
          <w:bCs/>
          <w:b/>
        </w:rPr>
        <w:t xml:space="preserve">EE. UU.:</w:t>
      </w:r>
      <w:r>
        <w:t xml:space="preserve"> </w:t>
      </w:r>
      <w:r>
        <w:t xml:space="preserve">permitido en cosméticos. Según nuestra información, en 2023 la FDA incluyó el GHK-Cu inyectable en una lista de principios activos para los que ve importantes problemas de seguridad en la elaboración en farmacias (compounding); desde entonces se ha vuelto a debatir la clasificación de varios péptidos.</w:t>
      </w:r>
    </w:p>
    <w:p>
      <w:pPr>
        <w:numPr>
          <w:ilvl w:val="0"/>
          <w:numId w:val="1310"/>
        </w:numPr>
        <w:pStyle w:val="Compact"/>
      </w:pPr>
      <w:r>
        <w:rPr>
          <w:bCs/>
          <w:b/>
        </w:rPr>
        <w:t xml:space="preserve">Deporte:</w:t>
      </w:r>
      <w:r>
        <w:t xml:space="preserve"> </w:t>
      </w:r>
      <w:r>
        <w:t xml:space="preserve">el GHK-Cu no figura nominalmente en la lista de la WADA. Las cremas cosméticas se consideran no problemáticas. El GHK-Cu inyectado, como sustancia no aprobada, podría entrar en la categoría S0; en caso de duda, las y los deportistas deberían consultar a la agencia nacional antidopaje (situación en 2026, compruébese la versión actual).</w:t>
      </w:r>
    </w:p>
    <w:bookmarkEnd w:id="2475"/>
    <w:bookmarkStart w:id="2477" w:name="estudios-en-curso-y-perspectivas-55"/>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311"/>
        </w:numPr>
        <w:pStyle w:val="Compact"/>
      </w:pPr>
      <w:r>
        <w:rPr>
          <w:bCs/>
          <w:b/>
        </w:rPr>
        <w:t xml:space="preserve">Parche:</w:t>
      </w:r>
      <w:r>
        <w:t xml:space="preserve"> </w:t>
      </w:r>
      <w:r>
        <w:t xml:space="preserve">un estudio con 100 personas sanas previstas pretende investigar si un parche (X39) modifica las concentraciones de GHK y GHK-Cu en sangre; inicio previsto en 2027</w:t>
      </w:r>
      <w:r>
        <w:rPr>
          <w:rStyle w:val="FootnoteReference"/>
        </w:rPr>
        <w:footnoteReference w:id="2476"/>
      </w:r>
      <w:r>
        <w:t xml:space="preserve">. El promotor es una empresa que comercializa el parche.</w:t>
      </w:r>
    </w:p>
    <w:p>
      <w:pPr>
        <w:pStyle w:val="FirstParagraph"/>
      </w:pPr>
      <w:r>
        <w:rPr>
          <w:bCs/>
          <w:b/>
        </w:rPr>
        <w:t xml:space="preserve">Valoración:</w:t>
      </w:r>
      <w:r>
        <w:t xml:space="preserve"> </w:t>
      </w:r>
      <w:r>
        <w:t xml:space="preserve">actualmente no se vislumbra ningún estudio serio y registrado sobre una variable médicamente relevante, por ejemplo la cicatrización de heridas, de donde proceden los únicos datos controlados positivos en humanos. Para el uso cosmético harían falta estudios independientes, suficientemente grandes y controlados con placebo con una crema sin otros principios activos. Para las inyecciones no se vislumbra ningún estudio serio; el interés lo alimentan sobre todo las redes sociales y el mercado gris.</w:t>
      </w:r>
    </w:p>
    <w:bookmarkEnd w:id="2477"/>
    <w:bookmarkStart w:id="2478" w:name="conclusión-55"/>
    <w:p>
      <w:pPr>
        <w:pStyle w:val="Heading3"/>
      </w:pPr>
      <w:r>
        <w:t xml:space="preserve">Conclusión</w:t>
      </w:r>
    </w:p>
    <w:p>
      <w:pPr>
        <w:pStyle w:val="FirstParagraph"/>
      </w:pPr>
      <w:r>
        <w:t xml:space="preserve">El GHK-Cu es un péptido de cobre endógeno que estimula la formación de colágeno en el laboratorio y acelera la cicatrización de heridas en experimentos con animales. En humanos solo hay un estudio aleatorizado antiguo sobre úlceras de pie diabético con resultado positivo y un minúsculo estudio cosmético sin efecto medible. No está aclarado si el GHK-Cu de las cremas llega a la piel en cantidad suficiente; las afirmaciones publicitarias se basan sobre todo en datos de laboratorio y en estudios de fabricantes no verificados de forma independiente. Como ingrediente cosmético es legal y se considera bien tolerado. Las inyecciones de GHK-Cu del mercado gris no están estudiadas ni autorizadas y conllevan riesgos evitables.</w:t>
      </w:r>
    </w:p>
    <w:bookmarkEnd w:id="2478"/>
    <w:bookmarkEnd w:id="2479"/>
    <w:bookmarkStart w:id="2498" w:name="palmitoil-pentapéptido-4-matrixyl"/>
    <w:p>
      <w:pPr>
        <w:pStyle w:val="Heading2"/>
      </w:pPr>
      <w:r>
        <w:t xml:space="preserve">Palmitoil pentapéptido-4 (Matrixyl)</w:t>
      </w:r>
    </w:p>
    <w:bookmarkStart w:id="2480" w:name="ficha-56"/>
    <w:p>
      <w:pPr>
        <w:pStyle w:val="Heading3"/>
      </w:pPr>
      <w:r>
        <w:t xml:space="preserve">Ficha</w:t>
      </w:r>
    </w:p>
    <w:p>
      <w:pPr>
        <w:numPr>
          <w:ilvl w:val="0"/>
          <w:numId w:val="1312"/>
        </w:numPr>
        <w:pStyle w:val="Compact"/>
      </w:pPr>
      <w:r>
        <w:rPr>
          <w:bCs/>
          <w:b/>
        </w:rPr>
        <w:t xml:space="preserve">Tipo/estructura:</w:t>
      </w:r>
      <w:r>
        <w:t xml:space="preserve"> </w:t>
      </w:r>
      <w:r>
        <w:t xml:space="preserve">pentapéptido de lisina, treonina, treonina, lisina y serina (KTTKS) al que va unido un ácido palmítico (un ácido graso de 16 átomos de carbono). Abreviatura Pal-KTTKS; antes figuraba como palmitoil pentapéptido-3. Nombre comercial de la materia prima: Matrixyl.</w:t>
      </w:r>
    </w:p>
    <w:p>
      <w:pPr>
        <w:numPr>
          <w:ilvl w:val="0"/>
          <w:numId w:val="1312"/>
        </w:numPr>
        <w:pStyle w:val="Compact"/>
      </w:pPr>
      <w:r>
        <w:rPr>
          <w:bCs/>
          <w:b/>
        </w:rPr>
        <w:t xml:space="preserve">Origen:</w:t>
      </w:r>
      <w:r>
        <w:t xml:space="preserve"> </w:t>
      </w:r>
      <w:r>
        <w:t xml:space="preserve">sintético. La secuencia KTTKS procede de la molécula precursora del colágeno de tipo I (procolágeno). El anexo de ácido graso pretende mejorar la penetración en la piel.</w:t>
      </w:r>
    </w:p>
    <w:p>
      <w:pPr>
        <w:numPr>
          <w:ilvl w:val="0"/>
          <w:numId w:val="1312"/>
        </w:numPr>
        <w:pStyle w:val="Compact"/>
      </w:pPr>
      <w:r>
        <w:rPr>
          <w:bCs/>
          <w:b/>
        </w:rPr>
        <w:t xml:space="preserve">Mecanismo de acción:</w:t>
      </w:r>
      <w:r>
        <w:t xml:space="preserve"> </w:t>
      </w:r>
      <w:r>
        <w:t xml:space="preserve">se supone que, como «matriquina» –un fragmento de la matriz del tejido conjuntivo con efecto señalizador–, estimula a los fibroblastos de la piel a formar colágeno y otros componentes de la matriz.</w:t>
      </w:r>
    </w:p>
    <w:p>
      <w:pPr>
        <w:numPr>
          <w:ilvl w:val="0"/>
          <w:numId w:val="1312"/>
        </w:numPr>
        <w:pStyle w:val="Compact"/>
      </w:pPr>
      <w:r>
        <w:rPr>
          <w:bCs/>
          <w:b/>
        </w:rPr>
        <w:t xml:space="preserve">Diferenciación:</w:t>
      </w:r>
      <w:r>
        <w:t xml:space="preserve"> </w:t>
      </w:r>
      <w:r>
        <w:t xml:space="preserve">«Matrixyl 3000» es un producto distinto, una combinación de palmitoil tripéptido-1 (Pal-GHK, véase el capítulo sobre el GHK-Cu) y palmitoil tetrapéptido-7.</w:t>
      </w:r>
    </w:p>
    <w:p>
      <w:pPr>
        <w:numPr>
          <w:ilvl w:val="0"/>
          <w:numId w:val="1312"/>
        </w:numPr>
        <w:pStyle w:val="Compact"/>
      </w:pPr>
      <w:r>
        <w:rPr>
          <w:bCs/>
          <w:b/>
        </w:rPr>
        <w:t xml:space="preserve">Autorización en la UE:</w:t>
      </w:r>
      <w:r>
        <w:t xml:space="preserve"> </w:t>
      </w:r>
      <w:r>
        <w:t xml:space="preserve">no es un medicamento; ingrediente cosmético.</w:t>
      </w:r>
    </w:p>
    <w:p>
      <w:pPr>
        <w:numPr>
          <w:ilvl w:val="0"/>
          <w:numId w:val="1312"/>
        </w:numPr>
        <w:pStyle w:val="Compact"/>
      </w:pPr>
      <w:r>
        <w:rPr>
          <w:bCs/>
          <w:b/>
        </w:rPr>
        <w:t xml:space="preserve">Autorización en EE. UU.:</w:t>
      </w:r>
      <w:r>
        <w:t xml:space="preserve"> </w:t>
      </w:r>
      <w:r>
        <w:t xml:space="preserve">no es un medicamento; ingrediente cosmético.</w:t>
      </w:r>
    </w:p>
    <w:p>
      <w:pPr>
        <w:numPr>
          <w:ilvl w:val="0"/>
          <w:numId w:val="1312"/>
        </w:numPr>
        <w:pStyle w:val="Compact"/>
      </w:pPr>
      <w:r>
        <w:rPr>
          <w:bCs/>
          <w:b/>
        </w:rPr>
        <w:t xml:space="preserve">WADA:</w:t>
      </w:r>
      <w:r>
        <w:t xml:space="preserve"> </w:t>
      </w:r>
      <w:r>
        <w:t xml:space="preserve">no figura en la lista; como componente cosmético, sin relevancia en el derecho deportivo.</w:t>
      </w:r>
    </w:p>
    <w:p>
      <w:pPr>
        <w:numPr>
          <w:ilvl w:val="0"/>
          <w:numId w:val="1312"/>
        </w:numPr>
        <w:pStyle w:val="Compact"/>
      </w:pPr>
      <w:r>
        <w:rPr>
          <w:bCs/>
          <w:b/>
        </w:rPr>
        <w:t xml:space="preserve">Nivel de evidencia:</w:t>
      </w:r>
      <w:r>
        <w:t xml:space="preserve"> </w:t>
      </w:r>
      <w:r>
        <w:rPr>
          <w:bCs/>
          <w:b/>
        </w:rPr>
        <w:t xml:space="preserve">B</w:t>
      </w:r>
      <w:r>
        <w:t xml:space="preserve"> </w:t>
      </w:r>
      <w:r>
        <w:t xml:space="preserve">(débil) – un estudio aleatorizado de hemicara más grande de 2005 y un estudio aleatorizado muy pequeño; ningún estudio de confirmación independiente.</w:t>
      </w:r>
    </w:p>
    <w:bookmarkEnd w:id="2480"/>
    <w:bookmarkStart w:id="2484" w:name="cómo-se-supone-que-actúa-56"/>
    <w:p>
      <w:pPr>
        <w:pStyle w:val="Heading3"/>
      </w:pPr>
      <w:r>
        <w:t xml:space="preserve">Cómo se supone que actúa</w:t>
      </w:r>
    </w:p>
    <w:p>
      <w:pPr>
        <w:pStyle w:val="FirstParagraph"/>
      </w:pPr>
      <w:r>
        <w:t xml:space="preserve">Cuando el tejido conjuntivo se lesiona, unas enzimas descomponen el colágeno y otros componentes de la matriz en fragmentos. Algunos de estos fragmentos actúan como señal: indican a las células del tejido conjuntivo que hace falta una reparación. Estos fragmentos señalizadores se denominan matriquinas.</w:t>
      </w:r>
    </w:p>
    <w:p>
      <w:pPr>
        <w:pStyle w:val="BodyText"/>
      </w:pPr>
      <w:r>
        <w:t xml:space="preserve">En 1993, un grupo de trabajo describió que el pentapéptido KTTKS –un pequeño trozo del extremo del procolágeno de tipo I– aumenta con fuerza, en cultivos de fibroblastos, la formación de colágeno de tipo I y de tipo III y de fibronectina. KTTKS era la secuencia más pequeña que todavía desencadenaba este efecto</w:t>
      </w:r>
      <w:r>
        <w:rPr>
          <w:rStyle w:val="FootnoteReference"/>
        </w:rPr>
        <w:footnoteReference w:id="2481"/>
      </w:r>
      <w:r>
        <w:t xml:space="preserve">. La industria cosmética retomó la idea: un péptido que señala a la piel una «necesidad de reparación» podría estimular la formación de colágeno, que disminuye con la edad.</w:t>
      </w:r>
    </w:p>
    <w:p>
      <w:pPr>
        <w:pStyle w:val="BodyText"/>
      </w:pPr>
      <w:r>
        <w:t xml:space="preserve">Sin embargo, el KTTKS puro apenas penetra en la piel. Al añadir un ácido graso (palmitoilación), la molécula se vuelve más liposoluble. En cultivo celular, el Pal-KTTKS estimuló la formación de colágeno por fibroblastos de la piel y de la córnea de forma dependiente de la concentración; el efecto apareció cerca de la concentración a partir de la cual las moléculas se agregan en nanoestructuras en forma de cinta</w:t>
      </w:r>
      <w:r>
        <w:rPr>
          <w:rStyle w:val="FootnoteReference"/>
        </w:rPr>
        <w:footnoteReference w:id="2482"/>
      </w:r>
      <w:r>
        <w:t xml:space="preserve">.</w:t>
      </w:r>
    </w:p>
    <w:p>
      <w:pPr>
        <w:pStyle w:val="BodyText"/>
      </w:pPr>
      <w:r>
        <w:t xml:space="preserve">Sigue sin aclararse cuánto Pal-KTTKS de una crema llega realmente a la dermis, donde se encuentran los fibroblastos. Para el Pal-GHK, emparentado, un estudio en voluntarios mostró que, tras su aplicación, solo se distribuye entre las células del estrato córneo y disminuye con la profundidad</w:t>
      </w:r>
      <w:r>
        <w:rPr>
          <w:rStyle w:val="FootnoteReference"/>
        </w:rPr>
        <w:footnoteReference w:id="2483"/>
      </w:r>
      <w:r>
        <w:t xml:space="preserve">. Para el propio Pal-KTTKS faltan en la bibliografía evaluada mediciones comparables en humanos.</w:t>
      </w:r>
    </w:p>
    <w:bookmarkEnd w:id="2484"/>
    <w:bookmarkStart w:id="2487" w:name="estudios-en-humanos-56"/>
    <w:p>
      <w:pPr>
        <w:pStyle w:val="Heading3"/>
      </w:pPr>
      <w:r>
        <w:t xml:space="preserve">Estudios en humanos</w:t>
      </w:r>
    </w:p>
    <w:p>
      <w:pPr>
        <w:pStyle w:val="FirstParagraph"/>
      </w:pPr>
      <w:r>
        <w:t xml:space="preserve">La consulta en PubMed evaluada para este libro (palmitoil pentapéptido o Matrixyl en el título o el resumen, fecha de consulta octubre de 2026) arrojó solo</w:t>
      </w:r>
      <w:r>
        <w:t xml:space="preserve"> </w:t>
      </w:r>
      <w:r>
        <w:rPr>
          <w:bCs/>
          <w:b/>
        </w:rPr>
        <w:t xml:space="preserve">un</w:t>
      </w:r>
      <w:r>
        <w:t xml:space="preserve"> </w:t>
      </w:r>
      <w:r>
        <w:t xml:space="preserve">trabajo clasificado como estudio en humanos; en ClinicalTrials.gov no figura ningún registro. En la revisión manual se encontraron otros dos estudios controlados, así como estudios con productos combinados.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Robinson 2005, PMID 18492182</w:t>
            </w:r>
          </w:p>
        </w:tc>
        <w:tc>
          <w:tcPr/>
          <w:p>
            <w:pPr>
              <w:pStyle w:val="Compact"/>
              <w:jc w:val="left"/>
            </w:pPr>
            <w:r>
              <w:t xml:space="preserve">93 mujeres de piel clara (35–55 años), crema hidratante con Pal-KTTKS en una hemicara frente a la misma crema sin principio activo en la otra, doble ciego</w:t>
            </w:r>
          </w:p>
        </w:tc>
        <w:tc>
          <w:tcPr/>
          <w:p>
            <w:pPr>
              <w:pStyle w:val="Compact"/>
              <w:jc w:val="left"/>
            </w:pPr>
            <w:r>
              <w:t xml:space="preserve">12 semanas</w:t>
            </w:r>
          </w:p>
        </w:tc>
        <w:tc>
          <w:tcPr/>
          <w:p>
            <w:pPr>
              <w:pStyle w:val="Compact"/>
              <w:jc w:val="left"/>
            </w:pPr>
            <w:r>
              <w:t xml:space="preserve">Reducción significativa de arrugas y líneas finas frente al lado de control, medida con análisis de imagen y por especialistas; buena tolerabilidad</w:t>
            </w:r>
          </w:p>
        </w:tc>
      </w:tr>
      <w:tr>
        <w:tc>
          <w:tcPr/>
          <w:p>
            <w:pPr>
              <w:pStyle w:val="Compact"/>
              <w:jc w:val="left"/>
            </w:pPr>
            <w:r>
              <w:t xml:space="preserve">Aruan 2023, PMID 36909866</w:t>
            </w:r>
          </w:p>
        </w:tc>
        <w:tc>
          <w:tcPr/>
          <w:p>
            <w:pPr>
              <w:pStyle w:val="Compact"/>
              <w:jc w:val="left"/>
            </w:pPr>
            <w:r>
              <w:t xml:space="preserve">21 mujeres indonesias (26–55 años), crema con palmitoil pentapéptido-4 frente a acetil hexapéptido-3 frente a placebo, doble ciego</w:t>
            </w:r>
          </w:p>
        </w:tc>
        <w:tc>
          <w:tcPr/>
          <w:p>
            <w:pPr>
              <w:pStyle w:val="Compact"/>
              <w:jc w:val="left"/>
            </w:pPr>
            <w:r>
              <w:t xml:space="preserve">8 semanas</w:t>
            </w:r>
          </w:p>
        </w:tc>
        <w:tc>
          <w:tcPr/>
          <w:p>
            <w:pPr>
              <w:pStyle w:val="Compact"/>
              <w:jc w:val="left"/>
            </w:pPr>
            <w:r>
              <w:t xml:space="preserve">Mejoras «en algunas participantes»; el palmitoil pentapéptido-4 obtuvo mejores resultados que los grupos de comparación; sin tamaños del efecto fiables en el resumen</w:t>
            </w:r>
          </w:p>
        </w:tc>
      </w:tr>
      <w:tr>
        <w:tc>
          <w:tcPr/>
          <w:p>
            <w:pPr>
              <w:pStyle w:val="Compact"/>
              <w:jc w:val="left"/>
            </w:pPr>
            <w:r>
              <w:t xml:space="preserve">Röper 2004, PMID 15127162</w:t>
            </w:r>
          </w:p>
        </w:tc>
        <w:tc>
          <w:tcPr/>
          <w:p>
            <w:pPr>
              <w:pStyle w:val="Compact"/>
              <w:jc w:val="left"/>
            </w:pPr>
            <w:r>
              <w:t xml:space="preserve">20 mujeres con cáncer de mama en radioterapia, crema con Matrixyl y otros principios activos frente a loción de dexpantenol</w:t>
            </w:r>
          </w:p>
        </w:tc>
        <w:tc>
          <w:tcPr/>
          <w:p>
            <w:pPr>
              <w:pStyle w:val="Compact"/>
              <w:jc w:val="left"/>
            </w:pPr>
            <w:r>
              <w:t xml:space="preserve">duración del tratamiento</w:t>
            </w:r>
          </w:p>
        </w:tc>
        <w:tc>
          <w:tcPr/>
          <w:p>
            <w:pPr>
              <w:pStyle w:val="Compact"/>
              <w:jc w:val="left"/>
            </w:pPr>
            <w:r>
              <w:t xml:space="preserve">Sin ventaja en las reacciones cutáneas; prurito más frecuente, una sospecha de reacción alérgica solo en el grupo de Matrixyl</w:t>
            </w:r>
          </w:p>
        </w:tc>
      </w:tr>
    </w:tbl>
    <w:p>
      <w:pPr>
        <w:pStyle w:val="BodyText"/>
      </w:pPr>
      <w:r>
        <w:rPr>
          <w:bCs/>
          <w:b/>
        </w:rPr>
        <w:t xml:space="preserve">Robinson 2005</w:t>
      </w:r>
      <w:r>
        <w:t xml:space="preserve"> </w:t>
      </w:r>
      <w:r>
        <w:t xml:space="preserve">es el estudio central. El diseño de hemicara es inteligente, porque cada participante es su propio control. La concentración en el producto era de 3 ppm (partes por millón). Limitaciones: el resumen no indica tamaños del efecto; el estudio se publicó en una revista especializada en cosmética y desde entonces no ha sido repetido de forma independiente. Solo se estudiaron mujeres de piel clara con fotoenvejecimiento; no se sabe si los resultados son trasladables a otros tipos de piel.</w:t>
      </w:r>
    </w:p>
    <w:p>
      <w:pPr>
        <w:pStyle w:val="BodyText"/>
      </w:pPr>
      <w:r>
        <w:rPr>
          <w:bCs/>
          <w:b/>
        </w:rPr>
        <w:t xml:space="preserve">Aruan 2023</w:t>
      </w:r>
      <w:r>
        <w:t xml:space="preserve">, con 21 participantes en tres grupos, era demasiado pequeño para obtener conclusiones fiables; los propios autores lo califican de punto de partida para estudios más grandes.</w:t>
      </w:r>
    </w:p>
    <w:p>
      <w:pPr>
        <w:pStyle w:val="BodyText"/>
      </w:pPr>
      <w:r>
        <w:rPr>
          <w:bCs/>
          <w:b/>
        </w:rPr>
        <w:t xml:space="preserve">Röper 2004</w:t>
      </w:r>
      <w:r>
        <w:t xml:space="preserve"> </w:t>
      </w:r>
      <w:r>
        <w:t xml:space="preserve">examinó un producto combinado en un contexto médico y no encontró ningún beneficio.</w:t>
      </w:r>
    </w:p>
    <w:p>
      <w:pPr>
        <w:pStyle w:val="BodyText"/>
      </w:pPr>
      <w:r>
        <w:rPr>
          <w:bCs/>
          <w:b/>
        </w:rPr>
        <w:t xml:space="preserve">Productos combinados:</w:t>
      </w:r>
      <w:r>
        <w:t xml:space="preserve"> </w:t>
      </w:r>
      <w:r>
        <w:t xml:space="preserve">en dos estudios de hemicara con 42 y 35 mujeres, productos de cuidado que contenían Pal-KTTKS junto con niacinamida, otro péptido, carnosina y en parte propionato de retinilo mejoraron la suavidad de la piel del contorno de ojos en comparación con la piel no tratada</w:t>
      </w:r>
      <w:r>
        <w:rPr>
          <w:rStyle w:val="FootnoteReference"/>
        </w:rPr>
        <w:footnoteReference w:id="2485"/>
      </w:r>
      <w:r>
        <w:t xml:space="preserve">. Como se probaron varios principios activos a la vez y se compararon con «ningún tratamiento», el efecto no puede atribuirse al péptido.</w:t>
      </w:r>
    </w:p>
    <w:p>
      <w:pPr>
        <w:pStyle w:val="BodyText"/>
      </w:pPr>
      <w:r>
        <w:rPr>
          <w:bCs/>
          <w:b/>
        </w:rPr>
        <w:t xml:space="preserve">Metaanálisis:</w:t>
      </w:r>
      <w:r>
        <w:t xml:space="preserve"> </w:t>
      </w:r>
      <w:r>
        <w:t xml:space="preserve">un metaanálisis sobre péptidos orales y tópicos contra el envejecimiento cutáneo (19 estudios, 1341 participantes) encontró un efecto global modesto sobre las arrugas, debido sobre todo a los péptidos tomados por vía oral</w:t>
      </w:r>
      <w:r>
        <w:rPr>
          <w:rStyle w:val="FootnoteReference"/>
        </w:rPr>
        <w:footnoteReference w:id="2486"/>
      </w:r>
      <w:r>
        <w:t xml:space="preserve">. De ello no se deriva una prueba propia para los péptidos tópicos como el Pal-KTTKS.</w:t>
      </w:r>
    </w:p>
    <w:bookmarkEnd w:id="2487"/>
    <w:bookmarkStart w:id="2491" w:name="estudios-en-animales-y-de-laboratorio-56"/>
    <w:p>
      <w:pPr>
        <w:pStyle w:val="Heading3"/>
      </w:pPr>
      <w:r>
        <w:t xml:space="preserve">Estudios en animales y de laboratorio</w:t>
      </w:r>
    </w:p>
    <w:p>
      <w:pPr>
        <w:numPr>
          <w:ilvl w:val="0"/>
          <w:numId w:val="1313"/>
        </w:numPr>
        <w:pStyle w:val="Compact"/>
      </w:pPr>
      <w:r>
        <w:rPr>
          <w:bCs/>
          <w:b/>
        </w:rPr>
        <w:t xml:space="preserve">Cultivo celular:</w:t>
      </w:r>
      <w:r>
        <w:t xml:space="preserve"> </w:t>
      </w:r>
      <w:r>
        <w:t xml:space="preserve">el KTTKS y el Pal-KTTKS aumentan la formación de colágeno y fibronectina en fibroblastos</w:t>
      </w:r>
      <w:r>
        <w:rPr>
          <w:rStyle w:val="FootnoteReference"/>
        </w:rPr>
        <w:footnoteReference w:id="2488"/>
      </w:r>
      <w:r>
        <w:t xml:space="preserve">. En otro estudio celular, el Pal-KTTKS a baja concentración redujo la transformación de fibroblastos en miofibroblastos formadores de cicatrices; a mayor concentración, el efecto no fue significativo</w:t>
      </w:r>
      <w:r>
        <w:rPr>
          <w:rStyle w:val="FootnoteReference"/>
        </w:rPr>
        <w:footnoteReference w:id="2489"/>
      </w:r>
      <w:r>
        <w:t xml:space="preserve">.</w:t>
      </w:r>
    </w:p>
    <w:p>
      <w:pPr>
        <w:numPr>
          <w:ilvl w:val="0"/>
          <w:numId w:val="1313"/>
        </w:numPr>
        <w:pStyle w:val="Compact"/>
      </w:pPr>
      <w:r>
        <w:rPr>
          <w:bCs/>
          <w:b/>
        </w:rPr>
        <w:t xml:space="preserve">Experimentos con animales:</w:t>
      </w:r>
      <w:r>
        <w:t xml:space="preserve"> </w:t>
      </w:r>
      <w:r>
        <w:t xml:space="preserve">en animales de laboratorio, parches y cremas con Matrixyl mejoraron la cicatrización de heridas cutáneas en comparación con controles no tratados</w:t>
      </w:r>
      <w:r>
        <w:rPr>
          <w:rStyle w:val="FootnoteReference"/>
        </w:rPr>
        <w:footnoteReference w:id="2490"/>
      </w:r>
      <w:r>
        <w:t xml:space="preserve">.</w:t>
      </w:r>
    </w:p>
    <w:p>
      <w:pPr>
        <w:numPr>
          <w:ilvl w:val="0"/>
          <w:numId w:val="1313"/>
        </w:numPr>
        <w:pStyle w:val="Compact"/>
      </w:pPr>
      <w:r>
        <w:rPr>
          <w:bCs/>
          <w:b/>
        </w:rPr>
        <w:t xml:space="preserve">Nuevas variantes:</w:t>
      </w:r>
      <w:r>
        <w:t xml:space="preserve"> </w:t>
      </w:r>
      <w:r>
        <w:t xml:space="preserve">algunos grupos de investigación acoplan el KTTKS a otras moléculas para obtener variantes antibacterianas o con mayor estímulo del colágeno, hasta ahora exclusivamente en el laboratorio.</w:t>
      </w:r>
    </w:p>
    <w:bookmarkEnd w:id="2491"/>
    <w:bookmarkStart w:id="2494" w:name="riesgos-y-efectos-adversos-56"/>
    <w:p>
      <w:pPr>
        <w:pStyle w:val="Heading3"/>
      </w:pPr>
      <w:r>
        <w:t xml:space="preserve">Riesgos y efectos adversos</w:t>
      </w:r>
    </w:p>
    <w:p>
      <w:pPr>
        <w:pStyle w:val="FirstParagraph"/>
      </w:pPr>
      <w:r>
        <w:rPr>
          <w:bCs/>
          <w:b/>
        </w:rPr>
        <w:t xml:space="preserve">Demostrados:</w:t>
      </w:r>
      <w:r>
        <w:t xml:space="preserve"> </w:t>
      </w:r>
      <w:r>
        <w:t xml:space="preserve">en el estudio de Robinson, el péptido fue bien tolerado. En el estudio de radioterapia, el prurito fue más frecuente con el producto combinado con Matrixyl, y hubo una sospecha de reacción alérgica solo con este producto</w:t>
      </w:r>
      <w:r>
        <w:rPr>
          <w:rStyle w:val="FootnoteReference"/>
        </w:rPr>
        <w:footnoteReference w:id="2492"/>
      </w:r>
      <w:r>
        <w:t xml:space="preserve">; no está claro qué componente fue el responsable.</w:t>
      </w:r>
    </w:p>
    <w:p>
      <w:pPr>
        <w:pStyle w:val="BodyText"/>
      </w:pPr>
      <w:r>
        <w:rPr>
          <w:bCs/>
          <w:b/>
        </w:rPr>
        <w:t xml:space="preserve">En general:</w:t>
      </w:r>
      <w:r>
        <w:t xml:space="preserve"> </w:t>
      </w:r>
      <w:r>
        <w:t xml:space="preserve">como con cualquier componente cosmético, son posibles irritaciones y alergias de contacto, pero parecen ser raras. Un trabajo de la industria cosmética que examinó péptidos con herramientas bioinformáticas en cuanto a su potencial tóxico y alergénico encontró para el palmitoil pentapéptido-4 similitudes con proteínas del tejido conjuntivo de la piel, pero ningún indicio de estructuras de toxinas o alérgenos</w:t>
      </w:r>
      <w:r>
        <w:rPr>
          <w:rStyle w:val="FootnoteReference"/>
        </w:rPr>
        <w:footnoteReference w:id="2493"/>
      </w:r>
      <w:r>
        <w:t xml:space="preserve">. Estos análisis informáticos no sustituyen a la observación clínica.</w:t>
      </w:r>
    </w:p>
    <w:p>
      <w:pPr>
        <w:pStyle w:val="BodyText"/>
      </w:pPr>
      <w:r>
        <w:rPr>
          <w:bCs/>
          <w:b/>
        </w:rPr>
        <w:t xml:space="preserve">Teóricos:</w:t>
      </w:r>
      <w:r>
        <w:t xml:space="preserve"> </w:t>
      </w:r>
      <w:r>
        <w:t xml:space="preserve">una sustancia señalizadora que realmente estimule a los fibroblastos a formar colágeno podría ser indeseable en caso de tendencia a cicatrices hipertróficas. No hay casos clínicos al respecto; la escasa permeabilidad cutánea va en contra de un efecto relevante.</w:t>
      </w:r>
    </w:p>
    <w:bookmarkEnd w:id="2494"/>
    <w:bookmarkStart w:id="2495" w:name="situación-legal-56"/>
    <w:p>
      <w:pPr>
        <w:pStyle w:val="Heading3"/>
      </w:pPr>
      <w:r>
        <w:t xml:space="preserve">Situación legal</w:t>
      </w:r>
    </w:p>
    <w:p>
      <w:pPr>
        <w:numPr>
          <w:ilvl w:val="0"/>
          <w:numId w:val="1314"/>
        </w:numPr>
        <w:pStyle w:val="Compact"/>
      </w:pPr>
      <w:r>
        <w:rPr>
          <w:bCs/>
          <w:b/>
        </w:rPr>
        <w:t xml:space="preserve">UE / Austria / Alemania:</w:t>
      </w:r>
      <w:r>
        <w:t xml:space="preserve"> </w:t>
      </w:r>
      <w:r>
        <w:t xml:space="preserve">el palmitoil pentapéptido-4 es un ingrediente cosmético permitido según el Reglamento europeo sobre los productos cosméticos (Reglamento (CE) n.º 1223/2009). Los cosméticos no se someten a una evaluación oficial de su eficacia antes de la venta; el fabricante debe elaborar una evaluación de seguridad y poder justificar las afirmaciones publicitarias según el Reglamento (UE) n.º 655/2013. Por ello, afirmaciones como «actúa como un relleno de arrugas» o «regenera el colágeno» son jurídicamente delicadas si no están respaldadas por estudios con el producto.</w:t>
      </w:r>
    </w:p>
    <w:p>
      <w:pPr>
        <w:numPr>
          <w:ilvl w:val="0"/>
          <w:numId w:val="1314"/>
        </w:numPr>
        <w:pStyle w:val="Compact"/>
      </w:pPr>
      <w:r>
        <w:rPr>
          <w:bCs/>
          <w:b/>
        </w:rPr>
        <w:t xml:space="preserve">EE. UU.:</w:t>
      </w:r>
      <w:r>
        <w:t xml:space="preserve"> </w:t>
      </w:r>
      <w:r>
        <w:t xml:space="preserve">ingrediente cosmético sin evaluación previa por la FDA. Las afirmaciones publicitarias que prometen una modificación de la estructura de la piel pueden convertir jurídicamente un producto en un medicamento.</w:t>
      </w:r>
    </w:p>
    <w:p>
      <w:pPr>
        <w:numPr>
          <w:ilvl w:val="0"/>
          <w:numId w:val="1314"/>
        </w:numPr>
        <w:pStyle w:val="Compact"/>
      </w:pPr>
      <w:r>
        <w:rPr>
          <w:bCs/>
          <w:b/>
        </w:rPr>
        <w:t xml:space="preserve">Deporte:</w:t>
      </w:r>
      <w:r>
        <w:t xml:space="preserve"> </w:t>
      </w:r>
      <w:r>
        <w:t xml:space="preserve">sin relevancia (situación en 2026, compruébese la versión actual).</w:t>
      </w:r>
    </w:p>
    <w:bookmarkEnd w:id="2495"/>
    <w:bookmarkStart w:id="2496" w:name="estudios-en-curso-y-perspectivas-56"/>
    <w:p>
      <w:pPr>
        <w:pStyle w:val="Heading3"/>
      </w:pPr>
      <w:r>
        <w:t xml:space="preserve">Estudios en curso y perspectivas</w:t>
      </w:r>
    </w:p>
    <w:p>
      <w:pPr>
        <w:pStyle w:val="FirstParagraph"/>
      </w:pPr>
      <w:r>
        <w:rPr>
          <w:bCs/>
          <w:b/>
        </w:rPr>
        <w:t xml:space="preserve">Confirmado:</w:t>
      </w:r>
      <w:r>
        <w:t xml:space="preserve"> </w:t>
      </w:r>
      <w:r>
        <w:t xml:space="preserve">en ClinicalTrials.gov no hay ningún estudio registrado con «palmitoyl pentapeptide» (situación en octubre de 2026). Los estudios de eficacia cosmética no suelen registrarse, sino que los encargan los fabricantes y solo se publican en parte.</w:t>
      </w:r>
    </w:p>
    <w:p>
      <w:pPr>
        <w:pStyle w:val="BodyText"/>
      </w:pPr>
      <w:r>
        <w:rPr>
          <w:bCs/>
          <w:b/>
        </w:rPr>
        <w:t xml:space="preserve">Valoración:</w:t>
      </w:r>
      <w:r>
        <w:t xml:space="preserve"> </w:t>
      </w:r>
      <w:r>
        <w:t xml:space="preserve">el Matrixyl es uno de los «péptidos antiedad» más antiguos y más utilizados en cosmética. Su base científica –un trabajo en cultivo celular de 1993 y un estudio de hemicara de 2005– es sorprendentemente estrecha para un producto tan extendido. Los nuevos desarrollos se dirigen a una mejor penetración cutánea (microagujas, nanoestructuras) y a combinaciones con otros péptidos. Sin estudios independientes y suficientemente grandes con el principio activo aislado, el estado del conocimiento cambiará poco.</w:t>
      </w:r>
    </w:p>
    <w:bookmarkEnd w:id="2496"/>
    <w:bookmarkStart w:id="2497" w:name="conclusión-56"/>
    <w:p>
      <w:pPr>
        <w:pStyle w:val="Heading3"/>
      </w:pPr>
      <w:r>
        <w:t xml:space="preserve">Conclusión</w:t>
      </w:r>
    </w:p>
    <w:p>
      <w:pPr>
        <w:pStyle w:val="FirstParagraph"/>
      </w:pPr>
      <w:r>
        <w:t xml:space="preserve">El palmitoil pentapéptido-4 es un fragmento del precursor del colágeno unido a un ácido graso que, en el laboratorio, estimula a los fibroblastos a formar colágeno. En humanos, la eficacia se basa sobre todo en un estudio de hemicara con 93 mujeres de 2005, que mostró una reducción de las líneas finas, y en un estudio muy pequeño de 2023. No está aclarado cuánto principio activo llega realmente a las capas profundas de la piel. Como ingrediente cosmético se considera bien tolerado. Quien use productos con Matrixyl debería esperar un efecto pequeño y cosmético, no un sustituto de la protección UV ni de principios activos evaluados médicamente como los retinoides.</w:t>
      </w:r>
    </w:p>
    <w:bookmarkEnd w:id="2497"/>
    <w:bookmarkEnd w:id="2498"/>
    <w:bookmarkStart w:id="2522" w:name="acetil-hexapéptido-8-argireline"/>
    <w:p>
      <w:pPr>
        <w:pStyle w:val="Heading2"/>
      </w:pPr>
      <w:r>
        <w:t xml:space="preserve">Acetil hexapéptido-8 (Argireline)</w:t>
      </w:r>
    </w:p>
    <w:bookmarkStart w:id="2499" w:name="ficha-57"/>
    <w:p>
      <w:pPr>
        <w:pStyle w:val="Heading3"/>
      </w:pPr>
      <w:r>
        <w:t xml:space="preserve">Ficha</w:t>
      </w:r>
    </w:p>
    <w:p>
      <w:pPr>
        <w:numPr>
          <w:ilvl w:val="0"/>
          <w:numId w:val="1315"/>
        </w:numPr>
        <w:pStyle w:val="Compact"/>
      </w:pPr>
      <w:r>
        <w:rPr>
          <w:bCs/>
          <w:b/>
        </w:rPr>
        <w:t xml:space="preserve">Tipo/estructura:</w:t>
      </w:r>
      <w:r>
        <w:t xml:space="preserve"> </w:t>
      </w:r>
      <w:r>
        <w:t xml:space="preserve">hexapéptido con la secuencia glutamato-glutamato-metionina-glutamina-arginina-arginina (Ac-EEMQRR-NH₂), acetilado en el extremo inicial y amidado en el final. Antes se denominaba acetil hexapéptido-3; nombre comercial de la materia prima: Argireline.</w:t>
      </w:r>
    </w:p>
    <w:p>
      <w:pPr>
        <w:numPr>
          <w:ilvl w:val="0"/>
          <w:numId w:val="1315"/>
        </w:numPr>
        <w:pStyle w:val="Compact"/>
      </w:pPr>
      <w:r>
        <w:rPr>
          <w:bCs/>
          <w:b/>
        </w:rPr>
        <w:t xml:space="preserve">Origen:</w:t>
      </w:r>
      <w:r>
        <w:t xml:space="preserve"> </w:t>
      </w:r>
      <w:r>
        <w:t xml:space="preserve">sintético, diseñado de forma dirigida a principios de la década de 2000. La secuencia imita el fragmento inicial de la proteína neuronal SNAP-25.</w:t>
      </w:r>
    </w:p>
    <w:p>
      <w:pPr>
        <w:numPr>
          <w:ilvl w:val="0"/>
          <w:numId w:val="1315"/>
        </w:numPr>
        <w:pStyle w:val="Compact"/>
      </w:pPr>
      <w:r>
        <w:rPr>
          <w:bCs/>
          <w:b/>
        </w:rPr>
        <w:t xml:space="preserve">Mecanismo de acción:</w:t>
      </w:r>
      <w:r>
        <w:t xml:space="preserve"> </w:t>
      </w:r>
      <w:r>
        <w:t xml:space="preserve">se supone que atenúa la liberación del mensajero acetilcolina en la unión entre nervio y músculo y alisa así las arrugas de expresión, un punto de acción similar al de la toxina botulínica, solo que mucho más débil. De ahí el término publicitario «bótox en tubo».</w:t>
      </w:r>
    </w:p>
    <w:p>
      <w:pPr>
        <w:numPr>
          <w:ilvl w:val="0"/>
          <w:numId w:val="1315"/>
        </w:numPr>
        <w:pStyle w:val="Compact"/>
      </w:pPr>
      <w:r>
        <w:rPr>
          <w:bCs/>
          <w:b/>
        </w:rPr>
        <w:t xml:space="preserve">Autorización en la UE:</w:t>
      </w:r>
      <w:r>
        <w:t xml:space="preserve"> </w:t>
      </w:r>
      <w:r>
        <w:t xml:space="preserve">no es un medicamento; ingrediente cosmético.</w:t>
      </w:r>
    </w:p>
    <w:p>
      <w:pPr>
        <w:numPr>
          <w:ilvl w:val="0"/>
          <w:numId w:val="1315"/>
        </w:numPr>
        <w:pStyle w:val="Compact"/>
      </w:pPr>
      <w:r>
        <w:rPr>
          <w:bCs/>
          <w:b/>
        </w:rPr>
        <w:t xml:space="preserve">Autorización en EE. UU.:</w:t>
      </w:r>
      <w:r>
        <w:t xml:space="preserve"> </w:t>
      </w:r>
      <w:r>
        <w:t xml:space="preserve">no es un medicamento; ingrediente cosmético.</w:t>
      </w:r>
    </w:p>
    <w:p>
      <w:pPr>
        <w:numPr>
          <w:ilvl w:val="0"/>
          <w:numId w:val="1315"/>
        </w:numPr>
        <w:pStyle w:val="Compact"/>
      </w:pPr>
      <w:r>
        <w:rPr>
          <w:bCs/>
          <w:b/>
        </w:rPr>
        <w:t xml:space="preserve">WADA:</w:t>
      </w:r>
      <w:r>
        <w:t xml:space="preserve"> </w:t>
      </w:r>
      <w:r>
        <w:t xml:space="preserve">no figura en la lista.</w:t>
      </w:r>
    </w:p>
    <w:p>
      <w:pPr>
        <w:numPr>
          <w:ilvl w:val="0"/>
          <w:numId w:val="1315"/>
        </w:numPr>
        <w:pStyle w:val="Compact"/>
      </w:pPr>
      <w:r>
        <w:rPr>
          <w:bCs/>
          <w:b/>
        </w:rPr>
        <w:t xml:space="preserve">Nivel de evidencia:</w:t>
      </w:r>
      <w:r>
        <w:t xml:space="preserve"> </w:t>
      </w:r>
      <w:r>
        <w:rPr>
          <w:bCs/>
          <w:b/>
        </w:rPr>
        <w:t xml:space="preserve">B</w:t>
      </w:r>
      <w:r>
        <w:t xml:space="preserve"> </w:t>
      </w:r>
      <w:r>
        <w:t xml:space="preserve">(débil) – algunos estudios aleatorizados pequeños, en su mayoría de corta duración y con resultados heterogéneos.</w:t>
      </w:r>
    </w:p>
    <w:bookmarkEnd w:id="2499"/>
    <w:bookmarkStart w:id="2503" w:name="cómo-se-supone-que-actúa-57"/>
    <w:p>
      <w:pPr>
        <w:pStyle w:val="Heading3"/>
      </w:pPr>
      <w:r>
        <w:t xml:space="preserve">Cómo se supone que actúa</w:t>
      </w:r>
    </w:p>
    <w:p>
      <w:pPr>
        <w:pStyle w:val="FirstParagraph"/>
      </w:pPr>
      <w:r>
        <w:t xml:space="preserve">Para que un músculo se contraiga, una neurona debe liberar el mensajero acetilcolina. Para ello, pequeñas vesículas llenas del mensajero se fusionan con la membrana celular. Esta fusión está mediada por un complejo proteico, el complejo SNARE, en el que participa, entre otras, la proteína SNAP-25. La toxina botulínica de tipo A corta la SNAP-25 y paraliza así durante meses la liberación del mensajero: el músculo se relaja y la arruga que hay encima se alisa.</w:t>
      </w:r>
    </w:p>
    <w:p>
      <w:pPr>
        <w:pStyle w:val="BodyText"/>
      </w:pPr>
      <w:r>
        <w:t xml:space="preserve">La Argireline se diseñó como imitación del fragmento inicial de la SNAP-25. La idea: el péptido corto compite con la SNAP-25 auténtica por su lugar en el complejo SNARE y altera su formación. En la primera descripción, la Argireline inhibió en experimentos celulares la liberación de mensajeros con una</w:t>
      </w:r>
      <w:r>
        <w:t xml:space="preserve"> </w:t>
      </w:r>
      <w:r>
        <w:rPr>
          <w:iCs/>
          <w:i/>
        </w:rPr>
        <w:t xml:space="preserve">potencia</w:t>
      </w:r>
      <w:r>
        <w:t xml:space="preserve"> </w:t>
      </w:r>
      <w:r>
        <w:t xml:space="preserve">similar a la de la toxina botulínica A, pero, como era de esperar, alcanzó una</w:t>
      </w:r>
      <w:r>
        <w:t xml:space="preserve"> </w:t>
      </w:r>
      <w:r>
        <w:rPr>
          <w:iCs/>
          <w:i/>
        </w:rPr>
        <w:t xml:space="preserve">eficacia</w:t>
      </w:r>
      <w:r>
        <w:t xml:space="preserve"> </w:t>
      </w:r>
      <w:r>
        <w:t xml:space="preserve">mucho menor, es decir, un efecto máximo claramente menor</w:t>
      </w:r>
      <w:r>
        <w:rPr>
          <w:rStyle w:val="FootnoteReference"/>
        </w:rPr>
        <w:footnoteReference w:id="2500"/>
      </w:r>
      <w:r>
        <w:t xml:space="preserve">.</w:t>
      </w:r>
    </w:p>
    <w:p>
      <w:pPr>
        <w:pStyle w:val="BodyText"/>
      </w:pPr>
      <w:r>
        <w:t xml:space="preserve">El problema decisivo: para actuar, la Argireline de una crema tendría que atravesar la epidermis y la dermis hasta llegar a las terminaciones nerviosas de los músculos faciales. La molécula es hidrosoluble, tiene carga eléctrica y es relativamente grande para la piel. En un experimento de laboratorio con piel de donantes de cuerpos, a las 24 horas la mayor parte permanecía en la superficie cutánea; el 0,22 % del péptido aplicado se encontró en el estrato córneo, el 0,01 % en la epidermis, y en la dermis y por debajo no se detectó nada</w:t>
      </w:r>
      <w:r>
        <w:rPr>
          <w:rStyle w:val="FootnoteReference"/>
        </w:rPr>
        <w:footnoteReference w:id="2501"/>
      </w:r>
      <w:r>
        <w:t xml:space="preserve">. Una revisión de 2025 constata que sigue sin estar claro si el péptido llega siquiera a la unión neuromuscular</w:t>
      </w:r>
      <w:r>
        <w:rPr>
          <w:rStyle w:val="FootnoteReference"/>
        </w:rPr>
        <w:footnoteReference w:id="2502"/>
      </w:r>
      <w:r>
        <w:t xml:space="preserve">.</w:t>
      </w:r>
    </w:p>
    <w:p>
      <w:pPr>
        <w:pStyle w:val="BodyText"/>
      </w:pPr>
      <w:r>
        <w:t xml:space="preserve">Esto no excluye efectos sobre la piel –por ejemplo, sobre la hidratación o a través de terminaciones nerviosas de las capas superiores de la piel–, pero hace poco probable el «mecanismo bótox» anunciado cuando se aplica sobre la piel.</w:t>
      </w:r>
    </w:p>
    <w:bookmarkEnd w:id="2503"/>
    <w:bookmarkStart w:id="2510" w:name="estudios-en-humanos-57"/>
    <w:p>
      <w:pPr>
        <w:pStyle w:val="Heading3"/>
      </w:pPr>
      <w:r>
        <w:t xml:space="preserve">Estudios en humanos</w:t>
      </w:r>
    </w:p>
    <w:p>
      <w:pPr>
        <w:pStyle w:val="FirstParagraph"/>
      </w:pPr>
      <w:r>
        <w:t xml:space="preserve">La consulta en PubMed evaluada para este libro (acetil hexapéptido o Argireline en el título o el resumen, fecha de consulta octubre de 2026) arrojó tres trabajos clasificados como estudios en humanos; en ClinicalTrials.gov figuran siete registros. En la revisión se encontraron algunos otros estudios pequeños.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Blanes-Mira 2002, PMID 18498523</w:t>
            </w:r>
          </w:p>
        </w:tc>
        <w:tc>
          <w:tcPr/>
          <w:p>
            <w:pPr>
              <w:pStyle w:val="Compact"/>
              <w:jc w:val="left"/>
            </w:pPr>
            <w:r>
              <w:t xml:space="preserve">mujeres sanas, emulsión con un 10 % de Argireline (datos escasos en el resumen)</w:t>
            </w:r>
          </w:p>
        </w:tc>
        <w:tc>
          <w:tcPr/>
          <w:p>
            <w:pPr>
              <w:pStyle w:val="Compact"/>
              <w:jc w:val="left"/>
            </w:pPr>
            <w:r>
              <w:t xml:space="preserve">30 días</w:t>
            </w:r>
          </w:p>
        </w:tc>
        <w:tc>
          <w:tcPr/>
          <w:p>
            <w:pPr>
              <w:pStyle w:val="Compact"/>
              <w:jc w:val="left"/>
            </w:pPr>
            <w:r>
              <w:t xml:space="preserve">Profundidad de las arrugas reducida hasta un 30 %</w:t>
            </w:r>
          </w:p>
        </w:tc>
      </w:tr>
      <w:tr>
        <w:tc>
          <w:tcPr/>
          <w:p>
            <w:pPr>
              <w:pStyle w:val="Compact"/>
              <w:jc w:val="left"/>
            </w:pPr>
            <w:r>
              <w:t xml:space="preserve">Wang 2013, PMID 23417317</w:t>
            </w:r>
          </w:p>
        </w:tc>
        <w:tc>
          <w:tcPr/>
          <w:p>
            <w:pPr>
              <w:pStyle w:val="Compact"/>
              <w:jc w:val="left"/>
            </w:pPr>
            <w:r>
              <w:t xml:space="preserve">60 adultos chinos con arrugas perioculares, Argireline frente a placebo en proporción 3:1</w:t>
            </w:r>
          </w:p>
        </w:tc>
        <w:tc>
          <w:tcPr/>
          <w:p>
            <w:pPr>
              <w:pStyle w:val="Compact"/>
              <w:jc w:val="left"/>
            </w:pPr>
            <w:r>
              <w:t xml:space="preserve">4 semanas</w:t>
            </w:r>
          </w:p>
        </w:tc>
        <w:tc>
          <w:tcPr/>
          <w:p>
            <w:pPr>
              <w:pStyle w:val="Compact"/>
              <w:jc w:val="left"/>
            </w:pPr>
            <w:r>
              <w:t xml:space="preserve">«Eficacia global» subjetiva 48,9 % frente a 0 %; valores de rugosidad en réplicas cutáneas reducidos</w:t>
            </w:r>
          </w:p>
        </w:tc>
      </w:tr>
      <w:tr>
        <w:tc>
          <w:tcPr/>
          <w:p>
            <w:pPr>
              <w:pStyle w:val="Compact"/>
              <w:jc w:val="left"/>
            </w:pPr>
            <w:r>
              <w:t xml:space="preserve">Raikou 2017, PMID 28150423</w:t>
            </w:r>
          </w:p>
        </w:tc>
        <w:tc>
          <w:tcPr/>
          <w:p>
            <w:pPr>
              <w:pStyle w:val="Compact"/>
              <w:jc w:val="left"/>
            </w:pPr>
            <w:r>
              <w:t xml:space="preserve">24 personas sanas, cuatro grupos: Argireline, tripéptido-10 citrulina, ambos o ninguno</w:t>
            </w:r>
          </w:p>
        </w:tc>
        <w:tc>
          <w:tcPr/>
          <w:p>
            <w:pPr>
              <w:pStyle w:val="Compact"/>
              <w:jc w:val="left"/>
            </w:pPr>
            <w:r>
              <w:t xml:space="preserve">60 días</w:t>
            </w:r>
          </w:p>
        </w:tc>
        <w:tc>
          <w:tcPr/>
          <w:p>
            <w:pPr>
              <w:pStyle w:val="Compact"/>
              <w:jc w:val="left"/>
            </w:pPr>
            <w:r>
              <w:t xml:space="preserve">Algunos parámetros de arrugas y la pérdida de agua de la piel mejores con Argireline</w:t>
            </w:r>
          </w:p>
        </w:tc>
      </w:tr>
      <w:tr>
        <w:tc>
          <w:tcPr/>
          <w:p>
            <w:pPr>
              <w:pStyle w:val="Compact"/>
              <w:jc w:val="left"/>
            </w:pPr>
            <w:r>
              <w:t xml:space="preserve">Henseler 2023, PMID 38024099</w:t>
            </w:r>
          </w:p>
        </w:tc>
        <w:tc>
          <w:tcPr/>
          <w:p>
            <w:pPr>
              <w:pStyle w:val="Compact"/>
              <w:jc w:val="left"/>
            </w:pPr>
            <w:r>
              <w:t xml:space="preserve">19 mujeres, comparación de hemicaras: sérum de ácido hialurónico con frente a sin Argireline, doble ciego</w:t>
            </w:r>
          </w:p>
        </w:tc>
        <w:tc>
          <w:tcPr/>
          <w:p>
            <w:pPr>
              <w:pStyle w:val="Compact"/>
              <w:jc w:val="left"/>
            </w:pPr>
            <w:r>
              <w:t xml:space="preserve">4 semanas</w:t>
            </w:r>
          </w:p>
        </w:tc>
        <w:tc>
          <w:tcPr/>
          <w:p>
            <w:pPr>
              <w:pStyle w:val="Compact"/>
              <w:jc w:val="left"/>
            </w:pPr>
            <w:r>
              <w:t xml:space="preserve">Sin diferencia significativa entre las hemicaras</w:t>
            </w:r>
          </w:p>
        </w:tc>
      </w:tr>
      <w:tr>
        <w:tc>
          <w:tcPr/>
          <w:p>
            <w:pPr>
              <w:pStyle w:val="Compact"/>
              <w:jc w:val="left"/>
            </w:pPr>
            <w:r>
              <w:t xml:space="preserve">Aruan 2023, PMID 36909866</w:t>
            </w:r>
          </w:p>
        </w:tc>
        <w:tc>
          <w:tcPr/>
          <w:p>
            <w:pPr>
              <w:pStyle w:val="Compact"/>
              <w:jc w:val="left"/>
            </w:pPr>
            <w:r>
              <w:t xml:space="preserve">21 mujeres, acetil hexapéptido-3 frente a palmitoil pentapéptido-4 frente a placebo</w:t>
            </w:r>
          </w:p>
        </w:tc>
        <w:tc>
          <w:tcPr/>
          <w:p>
            <w:pPr>
              <w:pStyle w:val="Compact"/>
              <w:jc w:val="left"/>
            </w:pPr>
            <w:r>
              <w:t xml:space="preserve">8 semanas</w:t>
            </w:r>
          </w:p>
        </w:tc>
        <w:tc>
          <w:tcPr/>
          <w:p>
            <w:pPr>
              <w:pStyle w:val="Compact"/>
              <w:jc w:val="left"/>
            </w:pPr>
            <w:r>
              <w:t xml:space="preserve">El palmitoil pentapéptido-4 obtuvo mejores resultados que la Argireline y el placebo</w:t>
            </w:r>
          </w:p>
        </w:tc>
      </w:tr>
    </w:tbl>
    <w:p>
      <w:pPr>
        <w:pStyle w:val="BodyText"/>
      </w:pPr>
      <w:r>
        <w:rPr>
          <w:bCs/>
          <w:b/>
        </w:rPr>
        <w:t xml:space="preserve">Para situar los estudios positivos:</w:t>
      </w:r>
    </w:p>
    <w:p>
      <w:pPr>
        <w:numPr>
          <w:ilvl w:val="0"/>
          <w:numId w:val="1316"/>
        </w:numPr>
        <w:pStyle w:val="Compact"/>
      </w:pPr>
      <w:r>
        <w:t xml:space="preserve">La primera descripción de 2002 procede de los desarrolladores y no indica en el resumen ni el número de participantes ni un grupo de control. Probó una concentración del 10 %, muy por encima de lo que una evaluación de seguridad estadounidense consideró después suficientemente estudiado (véanse los riesgos).</w:t>
      </w:r>
    </w:p>
    <w:p>
      <w:pPr>
        <w:numPr>
          <w:ilvl w:val="0"/>
          <w:numId w:val="1316"/>
        </w:numPr>
        <w:pStyle w:val="Compact"/>
      </w:pPr>
      <w:r>
        <w:t xml:space="preserve">El estudio chino (Wang 2013) es el más grande. Los grupos tenían tamaños desiguales (unos 45 frente a 15), la valoración principal era subjetiva, y los mismos datos clínicos aparecen junto con experimentos en ratones en otra publicación del mismo grupo</w:t>
      </w:r>
      <w:r>
        <w:rPr>
          <w:rStyle w:val="FootnoteReference"/>
        </w:rPr>
        <w:footnoteReference w:id="2504"/>
      </w:r>
      <w:r>
        <w:t xml:space="preserve">. En las comparaciones con el valor basal, solo el grupo de Argireline mostró valores de rugosidad decrecientes; el resumen no comunica una comparación estadística directa entre los grupos.</w:t>
      </w:r>
    </w:p>
    <w:p>
      <w:pPr>
        <w:numPr>
          <w:ilvl w:val="0"/>
          <w:numId w:val="1316"/>
        </w:numPr>
        <w:pStyle w:val="Compact"/>
      </w:pPr>
      <w:r>
        <w:t xml:space="preserve">El estudio de Raikou solo tenía seis participantes por grupo y una gran cantidad de comparaciones individuales; algunas diferencias fueron significativas y otras no.</w:t>
      </w:r>
    </w:p>
    <w:p>
      <w:pPr>
        <w:pStyle w:val="FirstParagraph"/>
      </w:pPr>
      <w:r>
        <w:rPr>
          <w:bCs/>
          <w:b/>
        </w:rPr>
        <w:t xml:space="preserve">El estudio negativo:</w:t>
      </w:r>
      <w:r>
        <w:t xml:space="preserve"> </w:t>
      </w:r>
      <w:r>
        <w:t xml:space="preserve">un estudio doble ciego de hemicara de una consulta de cirugía plástica, con medición objetiva mediante cámara (Henseler 2023), no encontró ninguna diferencia entre la hemicara con y sin Argireline. Los responsables del estudio concluyeron que no se había demostrado un efecto y que la Argireline no debe considerarse una alternativa a la toxina botulínica. No obstante, con 19 participantes, también este estudio era pequeño.</w:t>
      </w:r>
    </w:p>
    <w:bookmarkStart w:id="2509" w:name="otras-aplicaciones-5"/>
    <w:p>
      <w:pPr>
        <w:pStyle w:val="Heading4"/>
      </w:pPr>
      <w:r>
        <w:t xml:space="preserve">Otras aplicaciones</w:t>
      </w:r>
    </w:p>
    <w:p>
      <w:pPr>
        <w:numPr>
          <w:ilvl w:val="0"/>
          <w:numId w:val="1317"/>
        </w:numPr>
        <w:pStyle w:val="Compact"/>
      </w:pPr>
      <w:r>
        <w:rPr>
          <w:bCs/>
          <w:b/>
        </w:rPr>
        <w:t xml:space="preserve">Blefaroespasmo:</w:t>
      </w:r>
      <w:r>
        <w:t xml:space="preserve"> </w:t>
      </w:r>
      <w:r>
        <w:t xml:space="preserve">en esta enfermedad neurológica, los músculos de los párpados sufren espasmos involuntarios; el tratamiento estándar es la inyección de toxina botulínica cada tres meses. En un estudio piloto con 24 pacientes, una crema de Argireline debía prolongar la duración del efecto de la inyección. Hubo una tendencia no significativa (3,7 frente a 3,0 meses hasta la reaparición de los síntomas) y ningún efecto adverso relevante (Lungu 2013, PMID 23146065; registrado como NCT00942851). Un estudio posterior se interrumpió tras ocho participantes</w:t>
      </w:r>
      <w:r>
        <w:rPr>
          <w:rStyle w:val="FootnoteReference"/>
        </w:rPr>
        <w:footnoteReference w:id="2505"/>
      </w:r>
      <w:r>
        <w:t xml:space="preserve">.</w:t>
      </w:r>
    </w:p>
    <w:p>
      <w:pPr>
        <w:numPr>
          <w:ilvl w:val="0"/>
          <w:numId w:val="1317"/>
        </w:numPr>
        <w:pStyle w:val="Compact"/>
      </w:pPr>
      <w:r>
        <w:rPr>
          <w:bCs/>
          <w:b/>
        </w:rPr>
        <w:t xml:space="preserve">Parches de microagujas:</w:t>
      </w:r>
      <w:r>
        <w:t xml:space="preserve"> </w:t>
      </w:r>
      <w:r>
        <w:t xml:space="preserve">en un estudio coreano de hemicara con 52 mujeres, un parche de microagujas de ácido hialurónico con Argireline mejoró las arrugas más que el parche solo</w:t>
      </w:r>
      <w:r>
        <w:rPr>
          <w:rStyle w:val="FootnoteReference"/>
        </w:rPr>
        <w:footnoteReference w:id="2506"/>
      </w:r>
      <w:r>
        <w:t xml:space="preserve">. Aquí el péptido se introduce en la piel mediante agujas diminutas; el resultado no es trasladable a las cremas normales.</w:t>
      </w:r>
    </w:p>
    <w:p>
      <w:pPr>
        <w:numPr>
          <w:ilvl w:val="0"/>
          <w:numId w:val="1317"/>
        </w:numPr>
        <w:pStyle w:val="Compact"/>
      </w:pPr>
      <w:r>
        <w:rPr>
          <w:bCs/>
          <w:b/>
        </w:rPr>
        <w:t xml:space="preserve">Productos combinados:</w:t>
      </w:r>
      <w:r>
        <w:t xml:space="preserve"> </w:t>
      </w:r>
      <w:r>
        <w:t xml:space="preserve">muchos estudios prueban sérums que contienen Argireline junto con retinol, ácido hialurónico u otros péptidos. Su resultado no puede atribuirse al péptido aislado.</w:t>
      </w:r>
    </w:p>
    <w:p>
      <w:pPr>
        <w:numPr>
          <w:ilvl w:val="0"/>
          <w:numId w:val="1317"/>
        </w:numPr>
        <w:pStyle w:val="Compact"/>
      </w:pPr>
      <w:r>
        <w:rPr>
          <w:bCs/>
          <w:b/>
        </w:rPr>
        <w:t xml:space="preserve">Estudios minúsculos registrados:</w:t>
      </w:r>
      <w:r>
        <w:t xml:space="preserve"> </w:t>
      </w:r>
      <w:r>
        <w:t xml:space="preserve">en ClinicalTrials.gov figuran, entre otros, un estudio finalizado sobre piel grasa con 14 participantes</w:t>
      </w:r>
      <w:r>
        <w:rPr>
          <w:rStyle w:val="FootnoteReference"/>
        </w:rPr>
        <w:footnoteReference w:id="2507"/>
      </w:r>
      <w:r>
        <w:t xml:space="preserve"> </w:t>
      </w:r>
      <w:r>
        <w:t xml:space="preserve">y un estudio denominado de fase 3 sobre arrugas perioculares con 70 participantes</w:t>
      </w:r>
      <w:r>
        <w:rPr>
          <w:rStyle w:val="FootnoteReference"/>
        </w:rPr>
        <w:footnoteReference w:id="2508"/>
      </w:r>
      <w:r>
        <w:t xml:space="preserve">; no pudo aclararse de forma inequívoca si este último corresponde al estudio chino mencionado más arriba.</w:t>
      </w:r>
    </w:p>
    <w:bookmarkEnd w:id="2509"/>
    <w:bookmarkEnd w:id="2510"/>
    <w:bookmarkStart w:id="2515" w:name="estudios-en-animales-y-de-laboratorio-57"/>
    <w:p>
      <w:pPr>
        <w:pStyle w:val="Heading3"/>
      </w:pPr>
      <w:r>
        <w:t xml:space="preserve">Estudios en animales y de laboratorio</w:t>
      </w:r>
    </w:p>
    <w:p>
      <w:pPr>
        <w:numPr>
          <w:ilvl w:val="0"/>
          <w:numId w:val="1318"/>
        </w:numPr>
        <w:pStyle w:val="Compact"/>
      </w:pPr>
      <w:r>
        <w:rPr>
          <w:bCs/>
          <w:b/>
        </w:rPr>
        <w:t xml:space="preserve">Experimentos celulares:</w:t>
      </w:r>
      <w:r>
        <w:t xml:space="preserve"> </w:t>
      </w:r>
      <w:r>
        <w:t xml:space="preserve">inhibición de la liberación de mensajeros y alteración de la formación del complejo SNARE</w:t>
      </w:r>
      <w:r>
        <w:rPr>
          <w:rStyle w:val="FootnoteReference"/>
        </w:rPr>
        <w:footnoteReference w:id="2511"/>
      </w:r>
      <w:r>
        <w:t xml:space="preserve">. En cultivos de fibroblastos cutáneos humanos y otras líneas celulares, la Argireline inhibió la proliferación celular de forma dependiente de la dosis, aunque solo a concentraciones entre 18 y 10.000 veces superiores a las de la sustancia de comparación doxorrubicina, un medicamento antitumoral</w:t>
      </w:r>
      <w:r>
        <w:rPr>
          <w:rStyle w:val="FootnoteReference"/>
        </w:rPr>
        <w:footnoteReference w:id="2512"/>
      </w:r>
      <w:r>
        <w:t xml:space="preserve">.</w:t>
      </w:r>
    </w:p>
    <w:p>
      <w:pPr>
        <w:numPr>
          <w:ilvl w:val="0"/>
          <w:numId w:val="1318"/>
        </w:numPr>
        <w:pStyle w:val="Compact"/>
      </w:pPr>
      <w:r>
        <w:rPr>
          <w:bCs/>
          <w:b/>
        </w:rPr>
        <w:t xml:space="preserve">Experimentos con animales:</w:t>
      </w:r>
      <w:r>
        <w:t xml:space="preserve"> </w:t>
      </w:r>
      <w:r>
        <w:t xml:space="preserve">en ratones con envejecimiento acelerado artificialmente (mediante D-galactosa), la proporción de fibras de colágeno de tipo I en la piel aumentó con Argireline</w:t>
      </w:r>
      <w:r>
        <w:rPr>
          <w:rStyle w:val="FootnoteReference"/>
        </w:rPr>
        <w:footnoteReference w:id="2513"/>
      </w:r>
      <w:r>
        <w:t xml:space="preserve">.</w:t>
      </w:r>
    </w:p>
    <w:p>
      <w:pPr>
        <w:numPr>
          <w:ilvl w:val="0"/>
          <w:numId w:val="1318"/>
        </w:numPr>
        <w:pStyle w:val="Compact"/>
      </w:pPr>
      <w:r>
        <w:rPr>
          <w:bCs/>
          <w:b/>
        </w:rPr>
        <w:t xml:space="preserve">Permeabilidad cutánea:</w:t>
      </w:r>
      <w:r>
        <w:t xml:space="preserve"> </w:t>
      </w:r>
      <w:r>
        <w:t xml:space="preserve">además del estudio en piel de donantes</w:t>
      </w:r>
      <w:r>
        <w:rPr>
          <w:rStyle w:val="FootnoteReference"/>
        </w:rPr>
        <w:footnoteReference w:id="2514"/>
      </w:r>
      <w:r>
        <w:t xml:space="preserve">, numerosos trabajos de laboratorio investigan emulsiones, microagujas, iontoforesis y modificaciones químicas para introducir más principio activo en la piel.</w:t>
      </w:r>
    </w:p>
    <w:bookmarkEnd w:id="2515"/>
    <w:bookmarkStart w:id="2518" w:name="riesgos-y-efectos-adversos-57"/>
    <w:p>
      <w:pPr>
        <w:pStyle w:val="Heading3"/>
      </w:pPr>
      <w:r>
        <w:t xml:space="preserve">Riesgos y efectos adversos</w:t>
      </w:r>
    </w:p>
    <w:p>
      <w:pPr>
        <w:pStyle w:val="FirstParagraph"/>
      </w:pPr>
      <w:r>
        <w:rPr>
          <w:bCs/>
          <w:b/>
        </w:rPr>
        <w:t xml:space="preserve">Como crema (demostrado):</w:t>
      </w:r>
      <w:r>
        <w:t xml:space="preserve"> </w:t>
      </w:r>
      <w:r>
        <w:t xml:space="preserve">en los estudios no se observaron efectos adversos relevantes; como con cualquier componente cosmético, son posibles irritaciones cutáneas y alergias. El panel independiente de expertos estadounidense sobre la seguridad de los ingredientes cosméticos (Cosmetic Ingredient Review) concluyó en 2025 que el acetil hexapéptido-8 es seguro en las concentraciones habituales actuales de hasta el 0,005 %. Para concentraciones más altas, los datos disponibles no bastaban para una valoración de seguridad</w:t>
      </w:r>
      <w:r>
        <w:rPr>
          <w:rStyle w:val="FootnoteReference"/>
        </w:rPr>
        <w:footnoteReference w:id="2516"/>
      </w:r>
      <w:r>
        <w:t xml:space="preserve">.</w:t>
      </w:r>
    </w:p>
    <w:p>
      <w:pPr>
        <w:pStyle w:val="BodyText"/>
      </w:pPr>
      <w:r>
        <w:rPr>
          <w:bCs/>
          <w:b/>
        </w:rPr>
        <w:t xml:space="preserve">Como inyección:</w:t>
      </w:r>
      <w:r>
        <w:t xml:space="preserve"> </w:t>
      </w:r>
      <w:r>
        <w:t xml:space="preserve">la Argireline también se inyecta a veces en la piel, por ejemplo en centros de estética o mediante productos del mercado gris. Para ello no hay autorización ni estudios. Un caso clínico describe a una mujer de 45 años en la que, tras inyecciones de Argireline en la frente y las sienes, aparecieron enrojecimiento, nódulos y abscesos; la causa fue una infección por la bacteria de difícil tratamiento</w:t>
      </w:r>
      <w:r>
        <w:t xml:space="preserve"> </w:t>
      </w:r>
      <w:r>
        <w:rPr>
          <w:iCs/>
          <w:i/>
        </w:rPr>
        <w:t xml:space="preserve">Mycobacterium abscessus</w:t>
      </w:r>
      <w:r>
        <w:t xml:space="preserve">, que requirió un tratamiento antibiótico de cinco meses</w:t>
      </w:r>
      <w:r>
        <w:rPr>
          <w:rStyle w:val="FootnoteReference"/>
        </w:rPr>
        <w:footnoteReference w:id="2517"/>
      </w:r>
      <w:r>
        <w:t xml:space="preserve">. Aquí el riesgo reside menos en el propio péptido que en los productos y procedimientos no estériles.</w:t>
      </w:r>
    </w:p>
    <w:p>
      <w:pPr>
        <w:pStyle w:val="BodyText"/>
      </w:pPr>
      <w:r>
        <w:rPr>
          <w:bCs/>
          <w:b/>
        </w:rPr>
        <w:t xml:space="preserve">Teóricos:</w:t>
      </w:r>
      <w:r>
        <w:t xml:space="preserve"> </w:t>
      </w:r>
      <w:r>
        <w:t xml:space="preserve">si la Argireline llegara en cantidad apreciable a las uniones neuromusculares, serían concebibles –como con la toxina botulínica– debilidades musculares no deseadas. No hay indicios de ello con la aplicación externa.</w:t>
      </w:r>
    </w:p>
    <w:bookmarkEnd w:id="2518"/>
    <w:bookmarkStart w:id="2519" w:name="situación-legal-57"/>
    <w:p>
      <w:pPr>
        <w:pStyle w:val="Heading3"/>
      </w:pPr>
      <w:r>
        <w:t xml:space="preserve">Situación legal</w:t>
      </w:r>
    </w:p>
    <w:p>
      <w:pPr>
        <w:numPr>
          <w:ilvl w:val="0"/>
          <w:numId w:val="1319"/>
        </w:numPr>
        <w:pStyle w:val="Compact"/>
      </w:pPr>
      <w:r>
        <w:rPr>
          <w:bCs/>
          <w:b/>
        </w:rPr>
        <w:t xml:space="preserve">UE / Austria / Alemania:</w:t>
      </w:r>
      <w:r>
        <w:t xml:space="preserve"> </w:t>
      </w:r>
      <w:r>
        <w:t xml:space="preserve">el acetil hexapéptido-8 es un ingrediente cosmético permitido según el Reglamento europeo sobre los productos cosméticos (Reglamento (CE) n.º 1223/2009). Las afirmaciones publicitarias deben poder justificarse según el Reglamento (UE) n.º 655/2013. Las comparaciones con la toxina botulínica («como el bótox») son engañosas si sugieren un efecto comparable. Una inyección no es un uso cosmético; un producto destinado a inyección sería un medicamento o un producto sanitario no autorizado y no puede distribuirse como tal.</w:t>
      </w:r>
    </w:p>
    <w:p>
      <w:pPr>
        <w:numPr>
          <w:ilvl w:val="0"/>
          <w:numId w:val="1319"/>
        </w:numPr>
        <w:pStyle w:val="Compact"/>
      </w:pPr>
      <w:r>
        <w:rPr>
          <w:bCs/>
          <w:b/>
        </w:rPr>
        <w:t xml:space="preserve">EE. UU.:</w:t>
      </w:r>
      <w:r>
        <w:t xml:space="preserve"> </w:t>
      </w:r>
      <w:r>
        <w:t xml:space="preserve">ingrediente cosmético sin evaluación previa por la FDA; las afirmaciones que prometen un efecto muscular pueden convertir jurídicamente un producto en un medicamento.</w:t>
      </w:r>
    </w:p>
    <w:p>
      <w:pPr>
        <w:numPr>
          <w:ilvl w:val="0"/>
          <w:numId w:val="1319"/>
        </w:numPr>
        <w:pStyle w:val="Compact"/>
      </w:pPr>
      <w:r>
        <w:rPr>
          <w:bCs/>
          <w:b/>
        </w:rPr>
        <w:t xml:space="preserve">Deporte:</w:t>
      </w:r>
      <w:r>
        <w:t xml:space="preserve"> </w:t>
      </w:r>
      <w:r>
        <w:t xml:space="preserve">sin relevancia (situación en 2026, compruébese la versión actual).</w:t>
      </w:r>
    </w:p>
    <w:bookmarkEnd w:id="2519"/>
    <w:bookmarkStart w:id="2520" w:name="estudios-en-curso-y-perspectivas-57"/>
    <w:p>
      <w:pPr>
        <w:pStyle w:val="Heading3"/>
      </w:pPr>
      <w:r>
        <w:t xml:space="preserve">Estudios en curso y perspectivas</w:t>
      </w:r>
    </w:p>
    <w:p>
      <w:pPr>
        <w:pStyle w:val="FirstParagraph"/>
      </w:pPr>
      <w:r>
        <w:rPr>
          <w:bCs/>
          <w:b/>
        </w:rPr>
        <w:t xml:space="preserve">Confirmado:</w:t>
      </w:r>
      <w:r>
        <w:t xml:space="preserve"> </w:t>
      </w:r>
      <w:r>
        <w:t xml:space="preserve">en ClinicalTrials.gov no figura (situación en octubre de 2026) ningún estudio en curso con acetil hexapéptido-8 como principio activo único; los registros listados están finalizados o interrumpidos. Los estudios de eficacia cosmética rara vez se registran.</w:t>
      </w:r>
    </w:p>
    <w:p>
      <w:pPr>
        <w:pStyle w:val="BodyText"/>
      </w:pPr>
      <w:r>
        <w:rPr>
          <w:bCs/>
          <w:b/>
        </w:rPr>
        <w:t xml:space="preserve">Valoración:</w:t>
      </w:r>
      <w:r>
        <w:t xml:space="preserve"> </w:t>
      </w:r>
      <w:r>
        <w:t xml:space="preserve">la Argireline es un ejemplo de péptido de diseño racional cuyo hallazgo de laboratorio es convincente, pero cuyo camino hasta el lugar de acción sigue sin resolverse. Por ello, la investigación se centra en sistemas de transporte como las microagujas y los nanotransportadores. Si estos logran un efecto visible para las usuarias y los usuarios y que vaya más allá del de un buen producto hidratante tendrán que demostrarlo estudios más grandes e independientes. Según el conocimiento actual, no cabe esperar una verdadera alternativa a la toxina botulínica.</w:t>
      </w:r>
    </w:p>
    <w:bookmarkEnd w:id="2520"/>
    <w:bookmarkStart w:id="2521" w:name="conclusión-57"/>
    <w:p>
      <w:pPr>
        <w:pStyle w:val="Heading3"/>
      </w:pPr>
      <w:r>
        <w:t xml:space="preserve">Conclusión</w:t>
      </w:r>
    </w:p>
    <w:p>
      <w:pPr>
        <w:pStyle w:val="FirstParagraph"/>
      </w:pPr>
      <w:r>
        <w:t xml:space="preserve">El acetil hexapéptido-8 es un péptido sintético que, en el laboratorio, inhibe la liberación de mensajeros en las neuronas de forma similar a la toxina botulínica, pero mucho más débil. Desde las cremas apenas penetra en la piel; en un experimento de laboratorio permaneció casi por completo en las capas superficiales. Estudios pequeños y cortos –en parte de los desarrolladores, en parte con productos combinados– comunican menos arrugas finas; en cambio, un estudio ciego de hemicara con medición objetiva no encontró ninguna diferencia. Como crema se considera segura en las concentraciones habituales; las inyecciones no están estudiadas ni autorizadas y pueden provocar infecciones graves. El término publicitario «bótox en tubo» no está respaldado por los datos.</w:t>
      </w:r>
    </w:p>
    <w:bookmarkEnd w:id="2521"/>
    <w:bookmarkEnd w:id="2522"/>
    <w:bookmarkEnd w:id="2523"/>
    <w:bookmarkStart w:id="2602" w:name="parte-iii-la-gran-comparación"/>
    <w:p>
      <w:pPr>
        <w:pStyle w:val="Heading1"/>
      </w:pPr>
      <w:r>
        <w:t xml:space="preserve">Parte III – La gran comparación</w:t>
      </w:r>
    </w:p>
    <w:p>
      <w:pPr>
        <w:pStyle w:val="FirstParagraph"/>
      </w:pPr>
      <w:r>
        <w:t xml:space="preserve">En la Parte II se examinó cada péptido por separado. Esta parte pone los resultados uno junto a otro y responde a tres preguntas: ¿qué tan bien estudiado está un péptido en comparación con los demás? ¿Cómo se comparan entre sí los medicamentos para adelgazar y para la diabetes? ¿Y qué queda de las promesas de internet si solo se admiten los estudios en humanos?</w:t>
      </w:r>
    </w:p>
    <w:p>
      <w:pPr>
        <w:pStyle w:val="BodyText"/>
      </w:pPr>
      <w:r>
        <w:t xml:space="preserve">Las tablas son resúmenes. Las fuentes y las limitaciones de cada cifra figuran en los capítulos de la Parte II. Todos los datos sobre autorización y estatus antidopaje reflejan la situación en 2026 y conviene comprobarlos en su versión actual.</w:t>
      </w:r>
    </w:p>
    <w:bookmarkStart w:id="2536" w:name="todos-los-péptidos-de-un-vistazo"/>
    <w:p>
      <w:pPr>
        <w:pStyle w:val="Heading2"/>
      </w:pPr>
      <w:r>
        <w:t xml:space="preserve">Todos los péptidos de un vistazo</w:t>
      </w:r>
    </w:p>
    <w:bookmarkStart w:id="2524" w:name="cómo-leer-las-tablas"/>
    <w:p>
      <w:pPr>
        <w:pStyle w:val="Heading3"/>
      </w:pPr>
      <w:r>
        <w:t xml:space="preserve">Cómo leer las tablas</w:t>
      </w:r>
    </w:p>
    <w:p>
      <w:pPr>
        <w:pStyle w:val="FirstParagraph"/>
      </w:pPr>
      <w:r>
        <w:t xml:space="preserve">Para cada grupo de la Parte II siguen dos tablas: la primera con el nivel de evidencia, la autorización y la magnitud de la evidencia disponible; la segunda con el resultado de estudio más importante y el riesgo principal.</w:t>
      </w:r>
    </w:p>
    <w:p>
      <w:pPr>
        <w:pStyle w:val="BodyText"/>
      </w:pPr>
      <w:r>
        <w:rPr>
          <w:bCs/>
          <w:b/>
        </w:rPr>
        <w:t xml:space="preserve">Nivel de evidencia</w:t>
      </w:r>
      <w:r>
        <w:t xml:space="preserve"> </w:t>
      </w:r>
      <w:r>
        <w:t xml:space="preserve">(como en la Parte II):</w:t>
      </w:r>
    </w:p>
    <w:p>
      <w:pPr>
        <w:numPr>
          <w:ilvl w:val="0"/>
          <w:numId w:val="1320"/>
        </w:numPr>
        <w:pStyle w:val="Compact"/>
      </w:pPr>
      <w:r>
        <w:rPr>
          <w:bCs/>
          <w:b/>
        </w:rPr>
        <w:t xml:space="preserve">A</w:t>
      </w:r>
      <w:r>
        <w:t xml:space="preserve">: varios estudios aleatorizados grandes en humanos, por lo general con autorización</w:t>
      </w:r>
    </w:p>
    <w:p>
      <w:pPr>
        <w:numPr>
          <w:ilvl w:val="0"/>
          <w:numId w:val="1320"/>
        </w:numPr>
        <w:pStyle w:val="Compact"/>
      </w:pPr>
      <w:r>
        <w:rPr>
          <w:bCs/>
          <w:b/>
        </w:rPr>
        <w:t xml:space="preserve">B</w:t>
      </w:r>
      <w:r>
        <w:t xml:space="preserve">: estudios aleatorizados aislados en humanos</w:t>
      </w:r>
    </w:p>
    <w:p>
      <w:pPr>
        <w:numPr>
          <w:ilvl w:val="0"/>
          <w:numId w:val="1320"/>
        </w:numPr>
        <w:pStyle w:val="Compact"/>
      </w:pPr>
      <w:r>
        <w:rPr>
          <w:bCs/>
          <w:b/>
        </w:rPr>
        <w:t xml:space="preserve">C</w:t>
      </w:r>
      <w:r>
        <w:t xml:space="preserve">: solo estudios en humanos pequeños o no controlados</w:t>
      </w:r>
    </w:p>
    <w:p>
      <w:pPr>
        <w:numPr>
          <w:ilvl w:val="0"/>
          <w:numId w:val="1320"/>
        </w:numPr>
        <w:pStyle w:val="Compact"/>
      </w:pPr>
      <w:r>
        <w:rPr>
          <w:bCs/>
          <w:b/>
        </w:rPr>
        <w:t xml:space="preserve">D</w:t>
      </w:r>
      <w:r>
        <w:t xml:space="preserve">: solo estudios en animales y de laboratorio</w:t>
      </w:r>
    </w:p>
    <w:p>
      <w:pPr>
        <w:pStyle w:val="FirstParagraph"/>
      </w:pPr>
      <w:r>
        <w:t xml:space="preserve">El nivel describe</w:t>
      </w:r>
      <w:r>
        <w:t xml:space="preserve"> </w:t>
      </w:r>
      <w:r>
        <w:rPr>
          <w:iCs/>
          <w:i/>
        </w:rPr>
        <w:t xml:space="preserve">qué tan bien</w:t>
      </w:r>
      <w:r>
        <w:t xml:space="preserve"> </w:t>
      </w:r>
      <w:r>
        <w:t xml:space="preserve">está estudiado algo, no</w:t>
      </w:r>
      <w:r>
        <w:t xml:space="preserve"> </w:t>
      </w:r>
      <w:r>
        <w:rPr>
          <w:iCs/>
          <w:i/>
        </w:rPr>
        <w:t xml:space="preserve">si</w:t>
      </w:r>
      <w:r>
        <w:t xml:space="preserve"> </w:t>
      </w:r>
      <w:r>
        <w:t xml:space="preserve">funciona, y solo es válido para el uso estudiado.</w:t>
      </w:r>
    </w:p>
    <w:p>
      <w:pPr>
        <w:pStyle w:val="BodyText"/>
      </w:pPr>
      <w:r>
        <w:rPr>
          <w:bCs/>
          <w:b/>
        </w:rPr>
        <w:t xml:space="preserve">Estudios en humanos / registros:</w:t>
      </w:r>
      <w:r>
        <w:t xml:space="preserve"> </w:t>
      </w:r>
      <w:r>
        <w:t xml:space="preserve">las cifras proceden de la consulta automatizada realizada para este libro (octubre de 2026, metodología en el anexo): publicaciones clasificadas como estudios en humanos en PubMed y registros en el registro de estudios ClinicalTrials.gov. Solo indican el orden de magnitud, dependen mucho del término de búsqueda e incluyen en parte resultados ajenos al tema, mientras que pueden faltar trabajos antiguos publicados con otros nombres. Cuando una cifra induce claramente a error, se marca con «(nota)» y se explica bajo la tabla. No se cuentan los registros de un promotor cuyos registros resultaron ser, al comprobarlos, registros ficticios de ejemplo o de prueba.</w:t>
      </w:r>
    </w:p>
    <w:bookmarkEnd w:id="2524"/>
    <w:bookmarkStart w:id="2525" w:name="a.-metabolismo-y-peso"/>
    <w:p>
      <w:pPr>
        <w:pStyle w:val="Heading3"/>
      </w:pPr>
      <w:r>
        <w:t xml:space="preserve">A. Metabolismo y peso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437 / 379</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sí / sí (también genéricos)</w:t>
            </w:r>
          </w:p>
        </w:tc>
        <w:tc>
          <w:tcPr/>
          <w:p>
            <w:pPr>
              <w:pStyle w:val="Compact"/>
              <w:jc w:val="left"/>
            </w:pPr>
            <w:r>
              <w:t xml:space="preserve">613 / 517</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158 / 143</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sí / sí (inyección y comprimido)</w:t>
            </w:r>
          </w:p>
        </w:tc>
        <w:tc>
          <w:tcPr/>
          <w:p>
            <w:pPr>
              <w:pStyle w:val="Compact"/>
              <w:jc w:val="left"/>
            </w:pPr>
            <w:r>
              <w:t xml:space="preserve">342 / 793</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144 / 307</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32</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29</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no / no (solo China, 2025)</w:t>
            </w:r>
          </w:p>
        </w:tc>
        <w:tc>
          <w:tcPr/>
          <w:p>
            <w:pPr>
              <w:pStyle w:val="Compact"/>
              <w:jc w:val="left"/>
            </w:pPr>
            <w:r>
              <w:t xml:space="preserve">9 / 44</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15 / 44</w:t>
            </w:r>
          </w:p>
        </w:tc>
      </w:tr>
      <w:tr>
        <w:tc>
          <w:tcPr/>
          <w:p>
            <w:pPr>
              <w:pStyle w:val="Compact"/>
              <w:jc w:val="left"/>
            </w:pPr>
            <w:r>
              <w:t xml:space="preserve">Amicretina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 (nota)</w:t>
            </w:r>
          </w:p>
        </w:tc>
      </w:tr>
      <w:tr>
        <w:tc>
          <w:tcPr/>
          <w:p>
            <w:pPr>
              <w:pStyle w:val="Compact"/>
              <w:jc w:val="left"/>
            </w:pPr>
            <w:r>
              <w:t xml:space="preserve">Maridebart cafraglutida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28</w:t>
            </w:r>
          </w:p>
        </w:tc>
      </w:tr>
      <w:tr>
        <w:tc>
          <w:tcPr/>
          <w:p>
            <w:pPr>
              <w:pStyle w:val="Compact"/>
              <w:jc w:val="left"/>
            </w:pPr>
            <w:r>
              <w:t xml:space="preserve">Pramlintida</w:t>
            </w:r>
          </w:p>
        </w:tc>
        <w:tc>
          <w:tcPr/>
          <w:p>
            <w:pPr>
              <w:pStyle w:val="Compact"/>
              <w:jc w:val="left"/>
            </w:pPr>
            <w:r>
              <w:t xml:space="preserve">A</w:t>
            </w:r>
          </w:p>
        </w:tc>
        <w:tc>
          <w:tcPr/>
          <w:p>
            <w:pPr>
              <w:pStyle w:val="Compact"/>
              <w:jc w:val="left"/>
            </w:pPr>
            <w:r>
              <w:t xml:space="preserve">no / sí</w:t>
            </w:r>
          </w:p>
        </w:tc>
        <w:tc>
          <w:tcPr/>
          <w:p>
            <w:pPr>
              <w:pStyle w:val="Compact"/>
              <w:jc w:val="left"/>
            </w:pPr>
            <w:r>
              <w:t xml:space="preserve">76 / 64</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sí / sí (formas genéticas raras)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Orforglipron (no es un péptido)</w:t>
            </w:r>
          </w:p>
        </w:tc>
        <w:tc>
          <w:tcPr/>
          <w:p>
            <w:pPr>
              <w:pStyle w:val="Compact"/>
              <w:jc w:val="left"/>
            </w:pPr>
            <w:r>
              <w:t xml:space="preserve">A</w:t>
            </w:r>
          </w:p>
        </w:tc>
        <w:tc>
          <w:tcPr/>
          <w:p>
            <w:pPr>
              <w:pStyle w:val="Compact"/>
              <w:jc w:val="left"/>
            </w:pPr>
            <w:r>
              <w:t xml:space="preserve">no / solicitud presentada (compruébese)</w:t>
            </w:r>
          </w:p>
        </w:tc>
        <w:tc>
          <w:tcPr/>
          <w:p>
            <w:pPr>
              <w:pStyle w:val="Compact"/>
              <w:jc w:val="left"/>
            </w:pPr>
            <w:r>
              <w:t xml:space="preserve">20 / 53</w:t>
            </w:r>
          </w:p>
        </w:tc>
      </w:tr>
    </w:tbl>
    <w:p>
      <w:pPr>
        <w:pStyle w:val="BodyText"/>
      </w:pPr>
      <w:r>
        <w:t xml:space="preserve">Nota a la tabla: en el caso de la</w:t>
      </w:r>
      <w:r>
        <w:t xml:space="preserve"> </w:t>
      </w:r>
      <w:r>
        <w:rPr>
          <w:bCs/>
          <w:b/>
        </w:rPr>
        <w:t xml:space="preserve">amicretina</w:t>
      </w:r>
      <w:r>
        <w:t xml:space="preserve">, la búsqueda en el registro solo encontró un registro; con el nombre zenagamtida y el código de desarrollo hay registrados unos 30 estudios, entre ellos el programa de fase 3 iniciado en 2026. En el de la</w:t>
      </w:r>
      <w:r>
        <w:t xml:space="preserve"> </w:t>
      </w:r>
      <w:r>
        <w:rPr>
          <w:bCs/>
          <w:b/>
        </w:rPr>
        <w:t xml:space="preserve">mazdutida</w:t>
      </w:r>
      <w:r>
        <w:t xml:space="preserve">, los estudios proceden casi exclusivamente de China; en el del</w:t>
      </w:r>
      <w:r>
        <w:t xml:space="preserve"> </w:t>
      </w:r>
      <w:r>
        <w:rPr>
          <w:bCs/>
          <w:b/>
        </w:rPr>
        <w:t xml:space="preserve">orforglipron</w:t>
      </w:r>
      <w:r>
        <w:t xml:space="preserve">, la autorización estaba pendiente al cierre de la redacción.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Exenatida</w:t>
            </w:r>
          </w:p>
        </w:tc>
        <w:tc>
          <w:tcPr/>
          <w:p>
            <w:pPr>
              <w:pStyle w:val="Compact"/>
              <w:jc w:val="left"/>
            </w:pPr>
            <w:r>
              <w:t xml:space="preserve">EXSCEL: riesgo cardiovascular no aumentado, pero tampoco reducido significativamente (HR 0,91; PMID 28910237)</w:t>
            </w:r>
          </w:p>
        </w:tc>
        <w:tc>
          <w:tcPr/>
          <w:p>
            <w:pPr>
              <w:pStyle w:val="Compact"/>
              <w:jc w:val="left"/>
            </w:pPr>
            <w:r>
              <w:t xml:space="preserve">Náuseas, nódulos, anticuerpos</w:t>
            </w:r>
          </w:p>
        </w:tc>
      </w:tr>
      <w:tr>
        <w:tc>
          <w:tcPr/>
          <w:p>
            <w:pPr>
              <w:pStyle w:val="Compact"/>
              <w:jc w:val="left"/>
            </w:pPr>
            <w:r>
              <w:t xml:space="preserve">Liraglutida</w:t>
            </w:r>
          </w:p>
        </w:tc>
        <w:tc>
          <w:tcPr/>
          <w:p>
            <w:pPr>
              <w:pStyle w:val="Compact"/>
              <w:jc w:val="left"/>
            </w:pPr>
            <w:r>
              <w:t xml:space="preserve">LEADER: 13 % menos acontecimientos cardiovasculares (PMID 27295427); SCALE: −8,4 frente a −2,8 kg (PMID 26132939)</w:t>
            </w:r>
          </w:p>
        </w:tc>
        <w:tc>
          <w:tcPr/>
          <w:p>
            <w:pPr>
              <w:pStyle w:val="Compact"/>
              <w:jc w:val="left"/>
            </w:pPr>
            <w:r>
              <w:t xml:space="preserve">Molestias gastrointestinales, vesícula biliar</w:t>
            </w:r>
          </w:p>
        </w:tc>
      </w:tr>
      <w:tr>
        <w:tc>
          <w:tcPr/>
          <w:p>
            <w:pPr>
              <w:pStyle w:val="Compact"/>
              <w:jc w:val="left"/>
            </w:pPr>
            <w:r>
              <w:t xml:space="preserve">Dulaglutida</w:t>
            </w:r>
          </w:p>
        </w:tc>
        <w:tc>
          <w:tcPr/>
          <w:p>
            <w:pPr>
              <w:pStyle w:val="Compact"/>
              <w:jc w:val="left"/>
            </w:pPr>
            <w:r>
              <w:t xml:space="preserve">REWIND: 12 % menos acontecimientos cardiovasculares graves en 9901 participantes (PMID 31189511)</w:t>
            </w:r>
          </w:p>
        </w:tc>
        <w:tc>
          <w:tcPr/>
          <w:p>
            <w:pPr>
              <w:pStyle w:val="Compact"/>
              <w:jc w:val="left"/>
            </w:pPr>
            <w:r>
              <w:t xml:space="preserve">Gastrointestinal; hipoglucemia en combinación</w:t>
            </w:r>
          </w:p>
        </w:tc>
      </w:tr>
      <w:tr>
        <w:tc>
          <w:tcPr/>
          <w:p>
            <w:pPr>
              <w:pStyle w:val="Compact"/>
              <w:jc w:val="left"/>
            </w:pPr>
            <w:r>
              <w:t xml:space="preserve">Semaglutida</w:t>
            </w:r>
          </w:p>
        </w:tc>
        <w:tc>
          <w:tcPr/>
          <w:p>
            <w:pPr>
              <w:pStyle w:val="Compact"/>
              <w:jc w:val="left"/>
            </w:pPr>
            <w:r>
              <w:t xml:space="preserve">STEP 1: −14,9 % frente a −2,4 % (PMID 33567185); SELECT: 20 % menos acontecimientos cardiovasculares (PMID 37952131)</w:t>
            </w:r>
          </w:p>
        </w:tc>
        <w:tc>
          <w:tcPr/>
          <w:p>
            <w:pPr>
              <w:pStyle w:val="Compact"/>
              <w:jc w:val="left"/>
            </w:pPr>
            <w:r>
              <w:t xml:space="preserve">Gastrointestinal, vesícula biliar, señal rara de NAION, falsificaciones</w:t>
            </w:r>
          </w:p>
        </w:tc>
      </w:tr>
      <w:tr>
        <w:tc>
          <w:tcPr/>
          <w:p>
            <w:pPr>
              <w:pStyle w:val="Compact"/>
              <w:jc w:val="left"/>
            </w:pPr>
            <w:r>
              <w:t xml:space="preserve">Tirzepatida</w:t>
            </w:r>
          </w:p>
        </w:tc>
        <w:tc>
          <w:tcPr/>
          <w:p>
            <w:pPr>
              <w:pStyle w:val="Compact"/>
              <w:jc w:val="left"/>
            </w:pPr>
            <w:r>
              <w:t xml:space="preserve">SURMOUNT-5: −20,2 % frente a −13,7 % con semaglutida (PMID 40353578)</w:t>
            </w:r>
          </w:p>
        </w:tc>
        <w:tc>
          <w:tcPr/>
          <w:p>
            <w:pPr>
              <w:pStyle w:val="Compact"/>
              <w:jc w:val="left"/>
            </w:pPr>
            <w:r>
              <w:t xml:space="preserve">Gastrointestinal, vías biliares; recuperación del peso tras suspenderla</w:t>
            </w:r>
          </w:p>
        </w:tc>
      </w:tr>
      <w:tr>
        <w:tc>
          <w:tcPr/>
          <w:p>
            <w:pPr>
              <w:pStyle w:val="Compact"/>
              <w:jc w:val="left"/>
            </w:pPr>
            <w:r>
              <w:t xml:space="preserve">Retatrutida</w:t>
            </w:r>
          </w:p>
        </w:tc>
        <w:tc>
          <w:tcPr/>
          <w:p>
            <w:pPr>
              <w:pStyle w:val="Compact"/>
              <w:jc w:val="left"/>
            </w:pPr>
            <w:r>
              <w:t xml:space="preserve">TRIUMPH-1: hasta −25,0 % frente a −3,9 % a las 80 semanas (PMID 42814954)</w:t>
            </w:r>
          </w:p>
        </w:tc>
        <w:tc>
          <w:tcPr/>
          <w:p>
            <w:pPr>
              <w:pStyle w:val="Compact"/>
              <w:jc w:val="left"/>
            </w:pPr>
            <w:r>
              <w:t xml:space="preserve">Gastrointestinal, disestesias cutáneas, más abandonos con dosis alta</w:t>
            </w:r>
          </w:p>
        </w:tc>
      </w:tr>
      <w:tr>
        <w:tc>
          <w:tcPr/>
          <w:p>
            <w:pPr>
              <w:pStyle w:val="Compact"/>
              <w:jc w:val="left"/>
            </w:pPr>
            <w:r>
              <w:t xml:space="preserve">Survodutida</w:t>
            </w:r>
          </w:p>
        </w:tc>
        <w:tc>
          <w:tcPr/>
          <w:p>
            <w:pPr>
              <w:pStyle w:val="Compact"/>
              <w:jc w:val="left"/>
            </w:pPr>
            <w:r>
              <w:t xml:space="preserve">SYNCHRONIZE-1: hasta −13,0 % frente a −5,4 % a las 76 semanas (PMID 42253238)</w:t>
            </w:r>
          </w:p>
        </w:tc>
        <w:tc>
          <w:tcPr/>
          <w:p>
            <w:pPr>
              <w:pStyle w:val="Compact"/>
              <w:jc w:val="left"/>
            </w:pPr>
            <w:r>
              <w:t xml:space="preserve">molestias gastrointestinales muy frecuentes</w:t>
            </w:r>
          </w:p>
        </w:tc>
      </w:tr>
      <w:tr>
        <w:tc>
          <w:tcPr/>
          <w:p>
            <w:pPr>
              <w:pStyle w:val="Compact"/>
              <w:jc w:val="left"/>
            </w:pPr>
            <w:r>
              <w:t xml:space="preserve">Mazdutida</w:t>
            </w:r>
          </w:p>
        </w:tc>
        <w:tc>
          <w:tcPr/>
          <w:p>
            <w:pPr>
              <w:pStyle w:val="Compact"/>
              <w:jc w:val="left"/>
            </w:pPr>
            <w:r>
              <w:t xml:space="preserve">GLORY-1: hasta −14,0 % frente a +0,3 % a las 48 semanas (PMID 40421736)</w:t>
            </w:r>
          </w:p>
        </w:tc>
        <w:tc>
          <w:tcPr/>
          <w:p>
            <w:pPr>
              <w:pStyle w:val="Compact"/>
              <w:jc w:val="left"/>
            </w:pPr>
            <w:r>
              <w:t xml:space="preserve">Gastrointestinal, sobre todo vómitos</w:t>
            </w:r>
          </w:p>
        </w:tc>
      </w:tr>
      <w:tr>
        <w:tc>
          <w:tcPr/>
          <w:p>
            <w:pPr>
              <w:pStyle w:val="Compact"/>
              <w:jc w:val="left"/>
            </w:pPr>
            <w:r>
              <w:t xml:space="preserve">Cagrilintida / CagriSema</w:t>
            </w:r>
          </w:p>
        </w:tc>
        <w:tc>
          <w:tcPr/>
          <w:p>
            <w:pPr>
              <w:pStyle w:val="Compact"/>
              <w:jc w:val="left"/>
            </w:pPr>
            <w:r>
              <w:t xml:space="preserve">REDEFINE 1: −20,4 % frente a −3,0 % a las 68 semanas (PMID 40544433)</w:t>
            </w:r>
          </w:p>
        </w:tc>
        <w:tc>
          <w:tcPr/>
          <w:p>
            <w:pPr>
              <w:pStyle w:val="Compact"/>
              <w:jc w:val="left"/>
            </w:pPr>
            <w:r>
              <w:t xml:space="preserve">Molestias gastrointestinales en torno al 80 %</w:t>
            </w:r>
          </w:p>
        </w:tc>
      </w:tr>
      <w:tr>
        <w:tc>
          <w:tcPr/>
          <w:p>
            <w:pPr>
              <w:pStyle w:val="Compact"/>
              <w:jc w:val="left"/>
            </w:pPr>
            <w:r>
              <w:t xml:space="preserve">Amicretina</w:t>
            </w:r>
          </w:p>
        </w:tc>
        <w:tc>
          <w:tcPr/>
          <w:p>
            <w:pPr>
              <w:pStyle w:val="Compact"/>
              <w:jc w:val="left"/>
            </w:pPr>
            <w:r>
              <w:t xml:space="preserve">Fase 1b/2a: hasta −24,3 % frente a −1,1 % a las 36 semanas (PMID 40550231)</w:t>
            </w:r>
          </w:p>
        </w:tc>
        <w:tc>
          <w:tcPr/>
          <w:p>
            <w:pPr>
              <w:pStyle w:val="Compact"/>
              <w:jc w:val="left"/>
            </w:pPr>
            <w:r>
              <w:t xml:space="preserve">Gastrointestinal; consecuencias a largo plazo desconocidas</w:t>
            </w:r>
          </w:p>
        </w:tc>
      </w:tr>
      <w:tr>
        <w:tc>
          <w:tcPr/>
          <w:p>
            <w:pPr>
              <w:pStyle w:val="Compact"/>
              <w:jc w:val="left"/>
            </w:pPr>
            <w:r>
              <w:t xml:space="preserve">Maridebart cafraglutida</w:t>
            </w:r>
          </w:p>
        </w:tc>
        <w:tc>
          <w:tcPr/>
          <w:p>
            <w:pPr>
              <w:pStyle w:val="Compact"/>
              <w:jc w:val="left"/>
            </w:pPr>
            <w:r>
              <w:t xml:space="preserve">Fase 2: −12,3 a −16,2 % frente a −2,5 % a las 52 semanas (PMID 40549887)</w:t>
            </w:r>
          </w:p>
        </w:tc>
        <w:tc>
          <w:tcPr/>
          <w:p>
            <w:pPr>
              <w:pStyle w:val="Compact"/>
              <w:jc w:val="left"/>
            </w:pPr>
            <w:r>
              <w:t xml:space="preserve">Gastrointestinal; duración de acción muy larga</w:t>
            </w:r>
          </w:p>
        </w:tc>
      </w:tr>
      <w:tr>
        <w:tc>
          <w:tcPr/>
          <w:p>
            <w:pPr>
              <w:pStyle w:val="Compact"/>
              <w:jc w:val="left"/>
            </w:pPr>
            <w:r>
              <w:t xml:space="preserve">Pramlintida</w:t>
            </w:r>
          </w:p>
        </w:tc>
        <w:tc>
          <w:tcPr/>
          <w:p>
            <w:pPr>
              <w:pStyle w:val="Compact"/>
              <w:jc w:val="left"/>
            </w:pPr>
            <w:r>
              <w:t xml:space="preserve">HbA1c −0,62 puntos porcentuales, peso −1,4 kg (PMID 12610038)</w:t>
            </w:r>
          </w:p>
        </w:tc>
        <w:tc>
          <w:tcPr/>
          <w:p>
            <w:pPr>
              <w:pStyle w:val="Compact"/>
              <w:jc w:val="left"/>
            </w:pPr>
            <w:r>
              <w:t xml:space="preserve">hipoglucemia grave con insulina, náuseas</w:t>
            </w:r>
          </w:p>
        </w:tc>
      </w:tr>
      <w:tr>
        <w:tc>
          <w:tcPr/>
          <w:p>
            <w:pPr>
              <w:pStyle w:val="Compact"/>
              <w:jc w:val="left"/>
            </w:pPr>
            <w:r>
              <w:t xml:space="preserve">Setmelanotida</w:t>
            </w:r>
          </w:p>
        </w:tc>
        <w:tc>
          <w:tcPr/>
          <w:p>
            <w:pPr>
              <w:pStyle w:val="Compact"/>
              <w:jc w:val="left"/>
            </w:pPr>
            <w:r>
              <w:t xml:space="preserve">TRANSCEND: IMC −16,5 % frente a +3,3 % en la obesidad hipotalámica (PMID 42418774)</w:t>
            </w:r>
          </w:p>
        </w:tc>
        <w:tc>
          <w:tcPr/>
          <w:p>
            <w:pPr>
              <w:pStyle w:val="Compact"/>
              <w:jc w:val="left"/>
            </w:pPr>
            <w:r>
              <w:t xml:space="preserve">Lugar de inyección, oscurecimiento de la piel, náuseas</w:t>
            </w:r>
          </w:p>
        </w:tc>
      </w:tr>
      <w:tr>
        <w:tc>
          <w:tcPr/>
          <w:p>
            <w:pPr>
              <w:pStyle w:val="Compact"/>
              <w:jc w:val="left"/>
            </w:pPr>
            <w:r>
              <w:t xml:space="preserve">AOD-9604</w:t>
            </w:r>
          </w:p>
        </w:tc>
        <w:tc>
          <w:tcPr/>
          <w:p>
            <w:pPr>
              <w:pStyle w:val="Compact"/>
              <w:jc w:val="left"/>
            </w:pPr>
            <w:r>
              <w:t xml:space="preserve">Solo datos en animales: en ratones, menor aumento de peso (PMID 11673763)</w:t>
            </w:r>
          </w:p>
        </w:tc>
        <w:tc>
          <w:tcPr/>
          <w:p>
            <w:pPr>
              <w:pStyle w:val="Compact"/>
              <w:jc w:val="left"/>
            </w:pPr>
            <w:r>
              <w:t xml:space="preserve">Efecto en humanos desconocido</w:t>
            </w:r>
          </w:p>
        </w:tc>
      </w:tr>
      <w:tr>
        <w:tc>
          <w:tcPr/>
          <w:p>
            <w:pPr>
              <w:pStyle w:val="Compact"/>
              <w:jc w:val="left"/>
            </w:pPr>
            <w:r>
              <w:t xml:space="preserve">Orforglipron</w:t>
            </w:r>
          </w:p>
        </w:tc>
        <w:tc>
          <w:tcPr/>
          <w:p>
            <w:pPr>
              <w:pStyle w:val="Compact"/>
              <w:jc w:val="left"/>
            </w:pPr>
            <w:r>
              <w:t xml:space="preserve">ATTAIN-1: hasta −11,2 % frente a −2,1 % como comprimido (PMID 40960239)</w:t>
            </w:r>
          </w:p>
        </w:tc>
        <w:tc>
          <w:tcPr/>
          <w:p>
            <w:pPr>
              <w:pStyle w:val="Compact"/>
              <w:jc w:val="left"/>
            </w:pPr>
            <w:r>
              <w:t xml:space="preserve">Gastrointestinal, algo más de abandonos que con semaglutida en comprimido</w:t>
            </w:r>
          </w:p>
        </w:tc>
      </w:tr>
    </w:tbl>
    <w:bookmarkEnd w:id="2525"/>
    <w:bookmarkStart w:id="2526" w:name="X4c4fd37dabada98caba77684bf0f14593b9c10c"/>
    <w:p>
      <w:pPr>
        <w:pStyle w:val="Heading3"/>
      </w:pPr>
      <w:r>
        <w:t xml:space="preserve">B. Curación, regeneración y sistema inmunitario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0 / 4 (nota)</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 / no</w:t>
            </w:r>
          </w:p>
        </w:tc>
        <w:tc>
          <w:tcPr/>
          <w:p>
            <w:pPr>
              <w:pStyle w:val="Compact"/>
              <w:jc w:val="left"/>
            </w:pPr>
            <w:r>
              <w:t xml:space="preserve">9 / 18 (nota)</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no / no (autorizada en China, entre otros)</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91 / 20 (nota)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5 / 5</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10 (nota)</w:t>
            </w:r>
          </w:p>
        </w:tc>
      </w:tr>
      <w:tr>
        <w:tc>
          <w:tcPr/>
          <w:p>
            <w:pPr>
              <w:pStyle w:val="Compact"/>
              <w:jc w:val="left"/>
            </w:pPr>
            <w:r>
              <w:t xml:space="preserve">Timalina</w:t>
            </w:r>
          </w:p>
        </w:tc>
        <w:tc>
          <w:tcPr/>
          <w:p>
            <w:pPr>
              <w:pStyle w:val="Compact"/>
              <w:jc w:val="left"/>
            </w:pPr>
            <w:r>
              <w:t xml:space="preserve">C</w:t>
            </w:r>
          </w:p>
        </w:tc>
        <w:tc>
          <w:tcPr/>
          <w:p>
            <w:pPr>
              <w:pStyle w:val="Compact"/>
              <w:jc w:val="left"/>
            </w:pPr>
            <w:r>
              <w:t xml:space="preserve">no / no (autorizada en Rusia)</w:t>
            </w:r>
          </w:p>
        </w:tc>
        <w:tc>
          <w:tcPr/>
          <w:p>
            <w:pPr>
              <w:pStyle w:val="Compact"/>
              <w:jc w:val="left"/>
            </w:pPr>
            <w:r>
              <w:t xml:space="preserve">17 / 0</w:t>
            </w:r>
          </w:p>
        </w:tc>
      </w:tr>
    </w:tbl>
    <w:p>
      <w:pPr>
        <w:pStyle w:val="BodyText"/>
      </w:pPr>
      <w:r>
        <w:t xml:space="preserve">Notas a la tabla: en el caso del</w:t>
      </w:r>
      <w:r>
        <w:t xml:space="preserve"> </w:t>
      </w:r>
      <w:r>
        <w:rPr>
          <w:bCs/>
          <w:b/>
        </w:rPr>
        <w:t xml:space="preserve">BPC-157</w:t>
      </w:r>
      <w:r>
        <w:t xml:space="preserve">, ninguna publicación cumplió los criterios de filtro de la búsqueda automática; en realidad hay tres pequeñas investigaciones no controladas con unas 30 personas en total. En el del</w:t>
      </w:r>
      <w:r>
        <w:t xml:space="preserve"> </w:t>
      </w:r>
      <w:r>
        <w:rPr>
          <w:bCs/>
          <w:b/>
        </w:rPr>
        <w:t xml:space="preserve">TB-500</w:t>
      </w:r>
      <w:r>
        <w:t xml:space="preserve">, los resultados se refieren a la proteína completa timosina beta 4 (solo seis de ellos como principio activo); ninguno estudia el TB-500. En el del</w:t>
      </w:r>
      <w:r>
        <w:t xml:space="preserve"> </w:t>
      </w:r>
      <w:r>
        <w:rPr>
          <w:bCs/>
          <w:b/>
        </w:rPr>
        <w:t xml:space="preserve">LL-37</w:t>
      </w:r>
      <w:r>
        <w:t xml:space="preserve">, la mayoría de los resultados solo miden el LL-37 como valor de laboratorio, por ejemplo en estudios sobre la vitamina D; los estudios en los que se administró el propio LL-37 son solo cinco en PubMed y dos en el registro. En el de la</w:t>
      </w:r>
      <w:r>
        <w:t xml:space="preserve"> </w:t>
      </w:r>
      <w:r>
        <w:rPr>
          <w:bCs/>
          <w:b/>
        </w:rPr>
        <w:t xml:space="preserve">larazotida</w:t>
      </w:r>
      <w:r>
        <w:t xml:space="preserve">, la búsqueda encontró 29 registros, 19 de los cuales se refieren a otro medicamento con el mismo código de desarrollo anterior; la tabla indica la cifra depurada.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BPC-157</w:t>
            </w:r>
          </w:p>
        </w:tc>
        <w:tc>
          <w:tcPr/>
          <w:p>
            <w:pPr>
              <w:pStyle w:val="Compact"/>
              <w:jc w:val="left"/>
            </w:pPr>
            <w:r>
              <w:t xml:space="preserve">Tres investigaciones piloto no controladas; evidencia muy baja según una revisión (PMID 42885452)</w:t>
            </w:r>
          </w:p>
        </w:tc>
        <w:tc>
          <w:tcPr/>
          <w:p>
            <w:pPr>
              <w:pStyle w:val="Compact"/>
              <w:jc w:val="left"/>
            </w:pPr>
            <w:r>
              <w:t xml:space="preserve">seguridad a largo plazo desconocida, calidad del mercado gris</w:t>
            </w:r>
          </w:p>
        </w:tc>
      </w:tr>
      <w:tr>
        <w:tc>
          <w:tcPr/>
          <w:p>
            <w:pPr>
              <w:pStyle w:val="Compact"/>
              <w:jc w:val="left"/>
            </w:pPr>
            <w:r>
              <w:t xml:space="preserve">TB-500 / timosina beta 4</w:t>
            </w:r>
          </w:p>
        </w:tc>
        <w:tc>
          <w:tcPr/>
          <w:p>
            <w:pPr>
              <w:pStyle w:val="Compact"/>
              <w:jc w:val="left"/>
            </w:pPr>
            <w:r>
              <w:t xml:space="preserve">Tβ4 tras infarto de miocardio: tamaño del infarto no significativamente menor (PMID 41229390); TB-500 sin evaluar</w:t>
            </w:r>
          </w:p>
        </w:tc>
        <w:tc>
          <w:tcPr/>
          <w:p>
            <w:pPr>
              <w:pStyle w:val="Compact"/>
              <w:jc w:val="left"/>
            </w:pPr>
            <w:r>
              <w:t xml:space="preserve">contenido incierto, teóricamente promoción tumoral</w:t>
            </w:r>
          </w:p>
        </w:tc>
      </w:tr>
      <w:tr>
        <w:tc>
          <w:tcPr/>
          <w:p>
            <w:pPr>
              <w:pStyle w:val="Compact"/>
              <w:jc w:val="left"/>
            </w:pPr>
            <w:r>
              <w:t xml:space="preserve">Timosina alfa 1</w:t>
            </w:r>
          </w:p>
        </w:tc>
        <w:tc>
          <w:tcPr/>
          <w:p>
            <w:pPr>
              <w:pStyle w:val="Compact"/>
              <w:jc w:val="left"/>
            </w:pPr>
            <w:r>
              <w:t xml:space="preserve">TESTS en la sepsis: mortalidad a 28 días 23,4 % frente a 24,1 %, sin diferencia (PMID 39814420)</w:t>
            </w:r>
          </w:p>
        </w:tc>
        <w:tc>
          <w:tcPr/>
          <w:p>
            <w:pPr>
              <w:pStyle w:val="Compact"/>
              <w:jc w:val="left"/>
            </w:pPr>
            <w:r>
              <w:t xml:space="preserve">posibles desventajas en subgrupos; mercado gris</w:t>
            </w:r>
          </w:p>
        </w:tc>
      </w:tr>
      <w:tr>
        <w:tc>
          <w:tcPr/>
          <w:p>
            <w:pPr>
              <w:pStyle w:val="Compact"/>
              <w:jc w:val="left"/>
            </w:pPr>
            <w:r>
              <w:t xml:space="preserve">KPV</w:t>
            </w:r>
          </w:p>
        </w:tc>
        <w:tc>
          <w:tcPr/>
          <w:p>
            <w:pPr>
              <w:pStyle w:val="Compact"/>
              <w:jc w:val="left"/>
            </w:pPr>
            <w:r>
              <w:t xml:space="preserve">Solo datos en animales: menos inflamación intestinal en ratones (PMID 18061177)</w:t>
            </w:r>
          </w:p>
        </w:tc>
        <w:tc>
          <w:tcPr/>
          <w:p>
            <w:pPr>
              <w:pStyle w:val="Compact"/>
              <w:jc w:val="left"/>
            </w:pPr>
            <w:r>
              <w:t xml:space="preserve">perfil en humanos completamente desconocido</w:t>
            </w:r>
          </w:p>
        </w:tc>
      </w:tr>
      <w:tr>
        <w:tc>
          <w:tcPr/>
          <w:p>
            <w:pPr>
              <w:pStyle w:val="Compact"/>
              <w:jc w:val="left"/>
            </w:pPr>
            <w:r>
              <w:t xml:space="preserve">LL-37</w:t>
            </w:r>
          </w:p>
        </w:tc>
        <w:tc>
          <w:tcPr/>
          <w:p>
            <w:pPr>
              <w:pStyle w:val="Compact"/>
              <w:jc w:val="left"/>
            </w:pPr>
            <w:r>
              <w:t xml:space="preserve">HEAL LL-37: las úlceras de pierna no cicatrizaron mejor que con placebo (PMID 34687253)</w:t>
            </w:r>
          </w:p>
        </w:tc>
        <w:tc>
          <w:tcPr/>
          <w:p>
            <w:pPr>
              <w:pStyle w:val="Compact"/>
              <w:jc w:val="left"/>
            </w:pPr>
            <w:r>
              <w:t xml:space="preserve">reacciones inflamatorias y autoinmunitarias</w:t>
            </w:r>
          </w:p>
        </w:tc>
      </w:tr>
      <w:tr>
        <w:tc>
          <w:tcPr/>
          <w:p>
            <w:pPr>
              <w:pStyle w:val="Compact"/>
              <w:jc w:val="left"/>
            </w:pPr>
            <w:r>
              <w:t xml:space="preserve">ARA-290</w:t>
            </w:r>
          </w:p>
        </w:tc>
        <w:tc>
          <w:tcPr/>
          <w:p>
            <w:pPr>
              <w:pStyle w:val="Compact"/>
              <w:jc w:val="left"/>
            </w:pPr>
            <w:r>
              <w:t xml:space="preserve">Fase 2b: fibras nerviosas aumentadas solo con una de tres dosis (PMID 28475703)</w:t>
            </w:r>
          </w:p>
        </w:tc>
        <w:tc>
          <w:tcPr/>
          <w:p>
            <w:pPr>
              <w:pStyle w:val="Compact"/>
              <w:jc w:val="left"/>
            </w:pPr>
            <w:r>
              <w:t xml:space="preserve">apenas datos más allá de doce semanas</w:t>
            </w:r>
          </w:p>
        </w:tc>
      </w:tr>
      <w:tr>
        <w:tc>
          <w:tcPr/>
          <w:p>
            <w:pPr>
              <w:pStyle w:val="Compact"/>
              <w:jc w:val="left"/>
            </w:pPr>
            <w:r>
              <w:t xml:space="preserve">Larazotida</w:t>
            </w:r>
          </w:p>
        </w:tc>
        <w:tc>
          <w:tcPr/>
          <w:p>
            <w:pPr>
              <w:pStyle w:val="Compact"/>
              <w:jc w:val="left"/>
            </w:pPr>
            <w:r>
              <w:t xml:space="preserve">Solo la menor de tres dosis fue mejor que placebo (PMID 25683116); fase 3 interrumpida</w:t>
            </w:r>
          </w:p>
        </w:tc>
        <w:tc>
          <w:tcPr/>
          <w:p>
            <w:pPr>
              <w:pStyle w:val="Compact"/>
              <w:jc w:val="left"/>
            </w:pPr>
            <w:r>
              <w:t xml:space="preserve">relajación de la dieta sin gluten</w:t>
            </w:r>
          </w:p>
        </w:tc>
      </w:tr>
      <w:tr>
        <w:tc>
          <w:tcPr/>
          <w:p>
            <w:pPr>
              <w:pStyle w:val="Compact"/>
              <w:jc w:val="left"/>
            </w:pPr>
            <w:r>
              <w:t xml:space="preserve">Timalina</w:t>
            </w:r>
          </w:p>
        </w:tc>
        <w:tc>
          <w:tcPr/>
          <w:p>
            <w:pPr>
              <w:pStyle w:val="Compact"/>
              <w:jc w:val="left"/>
            </w:pPr>
            <w:r>
              <w:t xml:space="preserve">Observación ruso-ucraniana: menor mortalidad, asignación poco clara (PMID 14523363)</w:t>
            </w:r>
          </w:p>
        </w:tc>
        <w:tc>
          <w:tcPr/>
          <w:p>
            <w:pPr>
              <w:pStyle w:val="Compact"/>
              <w:jc w:val="left"/>
            </w:pPr>
            <w:r>
              <w:t xml:space="preserve">extracto animal, riesgos de lote</w:t>
            </w:r>
          </w:p>
        </w:tc>
      </w:tr>
    </w:tbl>
    <w:bookmarkEnd w:id="2526"/>
    <w:bookmarkStart w:id="2527" w:name="c.-eje-de-la-hormona-del-crecimiento"/>
    <w:p>
      <w:pPr>
        <w:pStyle w:val="Heading3"/>
      </w:pPr>
      <w:r>
        <w:t xml:space="preserve">C. Eje de la hormona del crecimiento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no / antes sí, retirada del mercado</w:t>
            </w:r>
          </w:p>
        </w:tc>
        <w:tc>
          <w:tcPr/>
          <w:p>
            <w:pPr>
              <w:pStyle w:val="Compact"/>
              <w:jc w:val="left"/>
            </w:pPr>
            <w:r>
              <w:t xml:space="preserve">0 / 27 (nota)</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no / sí (lipodistrofia por VIH)</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2 / 1</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 / no (Japón: agente diagnóstico)</w:t>
            </w:r>
          </w:p>
        </w:tc>
        <w:tc>
          <w:tcPr/>
          <w:p>
            <w:pPr>
              <w:pStyle w:val="Compact"/>
              <w:jc w:val="left"/>
            </w:pPr>
            <w:r>
              <w:t xml:space="preserve">55 / 0 (nota)</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40 / 0 (nota)</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58 / 0 (nota)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sí / sí (solo agente diagnóstico)</w:t>
            </w:r>
          </w:p>
        </w:tc>
        <w:tc>
          <w:tcPr/>
          <w:p>
            <w:pPr>
              <w:pStyle w:val="Compact"/>
              <w:jc w:val="left"/>
            </w:pPr>
            <w:r>
              <w:t xml:space="preserve">4 / 6</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Ibutamoreno (no es un péptido)</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19 / 8</w:t>
            </w:r>
          </w:p>
        </w:tc>
      </w:tr>
    </w:tbl>
    <w:p>
      <w:pPr>
        <w:pStyle w:val="BodyText"/>
      </w:pPr>
      <w:r>
        <w:t xml:space="preserve">Notas a la tabla: en el caso de la</w:t>
      </w:r>
      <w:r>
        <w:t xml:space="preserve"> </w:t>
      </w:r>
      <w:r>
        <w:rPr>
          <w:bCs/>
          <w:b/>
        </w:rPr>
        <w:t xml:space="preserve">sermorelina</w:t>
      </w:r>
      <w:r>
        <w:t xml:space="preserve">, la búsqueda por nombre no encuentra ningún estudio en humanos, porque la mayoría de los trabajos se publicaron como «GHRH(1-29)» o «GRF 1-29»; con una búsqueda dirigida son varias docenas de estudios pequeños, en su mayoría anteriores a 2000. En cambio, muchos de los 27 resultados del registro se refieren a la tesamorelina o a pruebas de GHRH en general. En el de</w:t>
      </w:r>
      <w:r>
        <w:t xml:space="preserve"> </w:t>
      </w:r>
      <w:r>
        <w:rPr>
          <w:bCs/>
          <w:b/>
        </w:rPr>
        <w:t xml:space="preserve">GHRP-2, GHRP-6 y hexarelina</w:t>
      </w:r>
      <w:r>
        <w:t xml:space="preserve">, casi todos los trabajos usan la sustancia solo como sustancia de prueba única para investigar la regulación hormonal; no dicen nada sobre un beneficio.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Sermorelina</w:t>
            </w:r>
          </w:p>
        </w:tc>
        <w:tc>
          <w:tcPr/>
          <w:p>
            <w:pPr>
              <w:pStyle w:val="Compact"/>
              <w:jc w:val="left"/>
            </w:pPr>
            <w:r>
              <w:t xml:space="preserve">110 niños con déficit de GH: crecimiento de 4,1 a 7,2 cm/año (PMID 8772599)</w:t>
            </w:r>
          </w:p>
        </w:tc>
        <w:tc>
          <w:tcPr/>
          <w:p>
            <w:pPr>
              <w:pStyle w:val="Compact"/>
              <w:jc w:val="left"/>
            </w:pPr>
            <w:r>
              <w:t xml:space="preserve">Rubefacción; consecuencias a largo plazo en adultos sin aclarar</w:t>
            </w:r>
          </w:p>
        </w:tc>
      </w:tr>
      <w:tr>
        <w:tc>
          <w:tcPr/>
          <w:p>
            <w:pPr>
              <w:pStyle w:val="Compact"/>
              <w:jc w:val="left"/>
            </w:pPr>
            <w:r>
              <w:t xml:space="preserve">Tesamorelina</w:t>
            </w:r>
          </w:p>
        </w:tc>
        <w:tc>
          <w:tcPr/>
          <w:p>
            <w:pPr>
              <w:pStyle w:val="Compact"/>
              <w:jc w:val="left"/>
            </w:pPr>
            <w:r>
              <w:t xml:space="preserve">Dos estudios de fase 3 con 806 personas: grasa abdominal visceral −15,4 % frente a placebo (PMID 20554713)</w:t>
            </w:r>
          </w:p>
        </w:tc>
        <w:tc>
          <w:tcPr/>
          <w:p>
            <w:pPr>
              <w:pStyle w:val="Compact"/>
              <w:jc w:val="left"/>
            </w:pPr>
            <w:r>
              <w:t xml:space="preserve">Dolor articular, retención de líquidos, glucemia</w:t>
            </w:r>
          </w:p>
        </w:tc>
      </w:tr>
      <w:tr>
        <w:tc>
          <w:tcPr/>
          <w:p>
            <w:pPr>
              <w:pStyle w:val="Compact"/>
              <w:jc w:val="left"/>
            </w:pPr>
            <w:r>
              <w:t xml:space="preserve">CJC-1295</w:t>
            </w:r>
          </w:p>
        </w:tc>
        <w:tc>
          <w:tcPr/>
          <w:p>
            <w:pPr>
              <w:pStyle w:val="Compact"/>
              <w:jc w:val="left"/>
            </w:pPr>
            <w:r>
              <w:t xml:space="preserve">Inyección única: GH multiplicada por 2 a 10, IGF-1 por 1,5 a 3 (PMID 16352683)</w:t>
            </w:r>
          </w:p>
        </w:tc>
        <w:tc>
          <w:tcPr/>
          <w:p>
            <w:pPr>
              <w:pStyle w:val="Compact"/>
              <w:jc w:val="left"/>
            </w:pPr>
            <w:r>
              <w:t xml:space="preserve">estimulación continua no estudiada, contenido incierto</w:t>
            </w:r>
          </w:p>
        </w:tc>
      </w:tr>
      <w:tr>
        <w:tc>
          <w:tcPr/>
          <w:p>
            <w:pPr>
              <w:pStyle w:val="Compact"/>
              <w:jc w:val="left"/>
            </w:pPr>
            <w:r>
              <w:t xml:space="preserve">Ipamorelina</w:t>
            </w:r>
          </w:p>
        </w:tc>
        <w:tc>
          <w:tcPr/>
          <w:p>
            <w:pPr>
              <w:pStyle w:val="Compact"/>
              <w:jc w:val="left"/>
            </w:pPr>
            <w:r>
              <w:t xml:space="preserve">Fase 2 tras cirugía intestinal: sin beneficio significativo (PMID 25331030)</w:t>
            </w:r>
          </w:p>
        </w:tc>
        <w:tc>
          <w:tcPr/>
          <w:p>
            <w:pPr>
              <w:pStyle w:val="Compact"/>
              <w:jc w:val="left"/>
            </w:pPr>
            <w:r>
              <w:t xml:space="preserve">sin datos sobre uso continuado; moléculas modificadas</w:t>
            </w:r>
          </w:p>
        </w:tc>
      </w:tr>
      <w:tr>
        <w:tc>
          <w:tcPr/>
          <w:p>
            <w:pPr>
              <w:pStyle w:val="Compact"/>
              <w:jc w:val="left"/>
            </w:pPr>
            <w:r>
              <w:t xml:space="preserve">GHRP-2</w:t>
            </w:r>
          </w:p>
        </w:tc>
        <w:tc>
          <w:tcPr/>
          <w:p>
            <w:pPr>
              <w:pStyle w:val="Compact"/>
              <w:jc w:val="left"/>
            </w:pPr>
            <w:r>
              <w:t xml:space="preserve">Como prueba, distinguió de forma fiable el déficit de GH de las personas sanas (PMID 17609397)</w:t>
            </w:r>
          </w:p>
        </w:tc>
        <w:tc>
          <w:tcPr/>
          <w:p>
            <w:pPr>
              <w:pStyle w:val="Compact"/>
              <w:jc w:val="left"/>
            </w:pPr>
            <w:r>
              <w:t xml:space="preserve">Hambre voraz, aumento de hormonas del estrés</w:t>
            </w:r>
          </w:p>
        </w:tc>
      </w:tr>
      <w:tr>
        <w:tc>
          <w:tcPr/>
          <w:p>
            <w:pPr>
              <w:pStyle w:val="Compact"/>
              <w:jc w:val="left"/>
            </w:pPr>
            <w:r>
              <w:t xml:space="preserve">GHRP-6</w:t>
            </w:r>
          </w:p>
        </w:tc>
        <w:tc>
          <w:tcPr/>
          <w:p>
            <w:pPr>
              <w:pStyle w:val="Compact"/>
              <w:jc w:val="left"/>
            </w:pPr>
            <w:r>
              <w:t xml:space="preserve">Una prueba combinada detectó de forma fiable el déficit de GH (PMID 11030292)</w:t>
            </w:r>
          </w:p>
        </w:tc>
        <w:tc>
          <w:tcPr/>
          <w:p>
            <w:pPr>
              <w:pStyle w:val="Compact"/>
              <w:jc w:val="left"/>
            </w:pPr>
            <w:r>
              <w:t xml:space="preserve">Rubefacción, aumentos hormonales, hambre</w:t>
            </w:r>
          </w:p>
        </w:tc>
      </w:tr>
      <w:tr>
        <w:tc>
          <w:tcPr/>
          <w:p>
            <w:pPr>
              <w:pStyle w:val="Compact"/>
              <w:jc w:val="left"/>
            </w:pPr>
            <w:r>
              <w:t xml:space="preserve">Hexarelina</w:t>
            </w:r>
          </w:p>
        </w:tc>
        <w:tc>
          <w:tcPr/>
          <w:p>
            <w:pPr>
              <w:pStyle w:val="Compact"/>
              <w:jc w:val="left"/>
            </w:pPr>
            <w:r>
              <w:t xml:space="preserve">Pérdida de efecto a lo largo de 16 semanas, composición corporal sin cambios (PMID 9589671)</w:t>
            </w:r>
          </w:p>
        </w:tc>
        <w:tc>
          <w:tcPr/>
          <w:p>
            <w:pPr>
              <w:pStyle w:val="Compact"/>
              <w:jc w:val="left"/>
            </w:pPr>
            <w:r>
              <w:t xml:space="preserve">Hormonas del estrés, prolactina, pérdida de efecto</w:t>
            </w:r>
          </w:p>
        </w:tc>
      </w:tr>
      <w:tr>
        <w:tc>
          <w:tcPr/>
          <w:p>
            <w:pPr>
              <w:pStyle w:val="Compact"/>
              <w:jc w:val="left"/>
            </w:pPr>
            <w:r>
              <w:t xml:space="preserve">Macimorelina</w:t>
            </w:r>
          </w:p>
        </w:tc>
        <w:tc>
          <w:tcPr/>
          <w:p>
            <w:pPr>
              <w:pStyle w:val="Compact"/>
              <w:jc w:val="left"/>
            </w:pPr>
            <w:r>
              <w:t xml:space="preserve">Prueba con un 87 % de sensibilidad y un 96 % de especificidad frente a la prueba de insulina (PMID 29860473)</w:t>
            </w:r>
          </w:p>
        </w:tc>
        <w:tc>
          <w:tcPr/>
          <w:p>
            <w:pPr>
              <w:pStyle w:val="Compact"/>
              <w:jc w:val="left"/>
            </w:pPr>
            <w:r>
              <w:t xml:space="preserve">Prolongación del QT en sobredosis</w:t>
            </w:r>
          </w:p>
        </w:tc>
      </w:tr>
      <w:tr>
        <w:tc>
          <w:tcPr/>
          <w:p>
            <w:pPr>
              <w:pStyle w:val="Compact"/>
              <w:jc w:val="left"/>
            </w:pPr>
            <w:r>
              <w:t xml:space="preserve">Mecasermina (IGF-1)</w:t>
            </w:r>
          </w:p>
        </w:tc>
        <w:tc>
          <w:tcPr/>
          <w:p>
            <w:pPr>
              <w:pStyle w:val="Compact"/>
              <w:jc w:val="left"/>
            </w:pPr>
            <w:r>
              <w:t xml:space="preserve">76 niños con resistencia a la GH: crecimiento de 2,8 a 8,0 cm/año (PMID 17192294)</w:t>
            </w:r>
          </w:p>
        </w:tc>
        <w:tc>
          <w:tcPr/>
          <w:p>
            <w:pPr>
              <w:pStyle w:val="Compact"/>
              <w:jc w:val="left"/>
            </w:pPr>
            <w:r>
              <w:t xml:space="preserve">Hipoglucemia; advertencia sobre neoplasias</w:t>
            </w:r>
          </w:p>
        </w:tc>
      </w:tr>
      <w:tr>
        <w:tc>
          <w:tcPr/>
          <w:p>
            <w:pPr>
              <w:pStyle w:val="Compact"/>
              <w:jc w:val="left"/>
            </w:pPr>
            <w:r>
              <w:t xml:space="preserve">IGF-1 LR3</w:t>
            </w:r>
          </w:p>
        </w:tc>
        <w:tc>
          <w:tcPr/>
          <w:p>
            <w:pPr>
              <w:pStyle w:val="Compact"/>
              <w:jc w:val="left"/>
            </w:pPr>
            <w:r>
              <w:t xml:space="preserve">Ningún estudio en humanos; en un vial del mercado negro, una variante de laboratorio (PMID 20675162)</w:t>
            </w:r>
          </w:p>
        </w:tc>
        <w:tc>
          <w:tcPr/>
          <w:p>
            <w:pPr>
              <w:pStyle w:val="Compact"/>
              <w:jc w:val="left"/>
            </w:pPr>
            <w:r>
              <w:t xml:space="preserve">Hipoglucemia, señales de crecimiento (teórico)</w:t>
            </w:r>
          </w:p>
        </w:tc>
      </w:tr>
      <w:tr>
        <w:tc>
          <w:tcPr/>
          <w:p>
            <w:pPr>
              <w:pStyle w:val="Compact"/>
              <w:jc w:val="left"/>
            </w:pPr>
            <w:r>
              <w:t xml:space="preserve">Ibutamoreno</w:t>
            </w:r>
          </w:p>
        </w:tc>
        <w:tc>
          <w:tcPr/>
          <w:p>
            <w:pPr>
              <w:pStyle w:val="Compact"/>
              <w:jc w:val="left"/>
            </w:pPr>
            <w:r>
              <w:t xml:space="preserve">65 personas mayores: masa libre de grasa +1,1 kg, fuerza y función sin cambios (PMID 18981485)</w:t>
            </w:r>
          </w:p>
        </w:tc>
        <w:tc>
          <w:tcPr/>
          <w:p>
            <w:pPr>
              <w:pStyle w:val="Compact"/>
              <w:jc w:val="left"/>
            </w:pPr>
            <w:r>
              <w:t xml:space="preserve">Señal de insuficiencia cardiaca, glucemia más alta</w:t>
            </w:r>
          </w:p>
        </w:tc>
      </w:tr>
    </w:tbl>
    <w:bookmarkEnd w:id="2527"/>
    <w:bookmarkStart w:id="2528" w:name="d.-cerebro-sueño-y-longevidad"/>
    <w:p>
      <w:pPr>
        <w:pStyle w:val="Heading3"/>
      </w:pPr>
      <w:r>
        <w:t xml:space="preserve">D. Cerebro, sueño y longevidad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 / no (registrado en Rusia)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 / no (registrado en Rusia)</w:t>
            </w:r>
          </w:p>
        </w:tc>
        <w:tc>
          <w:tcPr/>
          <w:p>
            <w:pPr>
              <w:pStyle w:val="Compact"/>
              <w:jc w:val="left"/>
            </w:pPr>
            <w:r>
              <w:t xml:space="preserve">3 / 2 (nota)</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(p. ej., Austria) / no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18 / 1 (nota)</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1 (nota)</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5 / 4 (nota)</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8 / 3 (nota)</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no / sí, acelerada (solo síndrome de Barth)</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Glutatión</w:t>
            </w:r>
          </w:p>
        </w:tc>
        <w:tc>
          <w:tcPr/>
          <w:p>
            <w:pPr>
              <w:pStyle w:val="Compact"/>
              <w:jc w:val="left"/>
            </w:pPr>
            <w:r>
              <w:t xml:space="preserve">B</w:t>
            </w:r>
          </w:p>
        </w:tc>
        <w:tc>
          <w:tcPr/>
          <w:p>
            <w:pPr>
              <w:pStyle w:val="Compact"/>
              <w:jc w:val="left"/>
            </w:pPr>
            <w:r>
              <w:t xml:space="preserve">complemento alimenticio / complemento alimenticio</w:t>
            </w:r>
          </w:p>
        </w:tc>
        <w:tc>
          <w:tcPr/>
          <w:p>
            <w:pPr>
              <w:pStyle w:val="Compact"/>
              <w:jc w:val="left"/>
            </w:pPr>
            <w:r>
              <w:t xml:space="preserve">161 / 273 (nota)</w:t>
            </w:r>
          </w:p>
        </w:tc>
      </w:tr>
    </w:tbl>
    <w:p>
      <w:pPr>
        <w:pStyle w:val="BodyText"/>
      </w:pPr>
      <w:r>
        <w:t xml:space="preserve">Notas a la tabla: en el caso de</w:t>
      </w:r>
      <w:r>
        <w:t xml:space="preserve"> </w:t>
      </w:r>
      <w:r>
        <w:rPr>
          <w:bCs/>
          <w:b/>
        </w:rPr>
        <w:t xml:space="preserve">Selank</w:t>
      </w:r>
      <w:r>
        <w:t xml:space="preserve"> </w:t>
      </w:r>
      <w:r>
        <w:t xml:space="preserve">y</w:t>
      </w:r>
      <w:r>
        <w:t xml:space="preserve"> </w:t>
      </w:r>
      <w:r>
        <w:rPr>
          <w:bCs/>
          <w:b/>
        </w:rPr>
        <w:t xml:space="preserve">DSIP</w:t>
      </w:r>
      <w:r>
        <w:t xml:space="preserve">, los resultados del registro se refieren a otros procedimientos o temas; no existe ningún estudio registrado con el péptido. El único registro sobre</w:t>
      </w:r>
      <w:r>
        <w:t xml:space="preserve"> </w:t>
      </w:r>
      <w:r>
        <w:rPr>
          <w:bCs/>
          <w:b/>
        </w:rPr>
        <w:t xml:space="preserve">Epitalon</w:t>
      </w:r>
      <w:r>
        <w:t xml:space="preserve"> </w:t>
      </w:r>
      <w:r>
        <w:t xml:space="preserve">es un estudio no controlado con un sérum cutáneo en el que el Epitalon es uno de cinco componentes. En el de</w:t>
      </w:r>
      <w:r>
        <w:t xml:space="preserve"> </w:t>
      </w:r>
      <w:r>
        <w:rPr>
          <w:bCs/>
          <w:b/>
        </w:rPr>
        <w:t xml:space="preserve">MOTS-c</w:t>
      </w:r>
      <w:r>
        <w:t xml:space="preserve"> </w:t>
      </w:r>
      <w:r>
        <w:t xml:space="preserve">y la</w:t>
      </w:r>
      <w:r>
        <w:t xml:space="preserve"> </w:t>
      </w:r>
      <w:r>
        <w:rPr>
          <w:bCs/>
          <w:b/>
        </w:rPr>
        <w:t xml:space="preserve">humanina</w:t>
      </w:r>
      <w:r>
        <w:t xml:space="preserve">, en ninguna de las publicaciones se administró el péptido; miden concentraciones endógenas. En el del</w:t>
      </w:r>
      <w:r>
        <w:t xml:space="preserve"> </w:t>
      </w:r>
      <w:r>
        <w:rPr>
          <w:bCs/>
          <w:b/>
        </w:rPr>
        <w:t xml:space="preserve">glutatión</w:t>
      </w:r>
      <w:r>
        <w:t xml:space="preserve">, muchos resultados solo miden el glutatión como valor de laboratorio o se refieren a la enzima glutatión S-transferasa; los estudios con administración de glutatión son una minoría de unas pocas docenas.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Semax</w:t>
            </w:r>
          </w:p>
        </w:tc>
        <w:tc>
          <w:tcPr/>
          <w:p>
            <w:pPr>
              <w:pStyle w:val="Compact"/>
              <w:jc w:val="left"/>
            </w:pPr>
            <w:r>
              <w:t xml:space="preserve">Estudio abierto tras ictus: BDNF más alto, mejoría más rápida (PMID 29798983)</w:t>
            </w:r>
          </w:p>
        </w:tc>
        <w:tc>
          <w:tcPr/>
          <w:p>
            <w:pPr>
              <w:pStyle w:val="Compact"/>
              <w:jc w:val="left"/>
            </w:pPr>
            <w:r>
              <w:t xml:space="preserve">sin datos de seguridad sistemáticos</w:t>
            </w:r>
          </w:p>
        </w:tc>
      </w:tr>
      <w:tr>
        <w:tc>
          <w:tcPr/>
          <w:p>
            <w:pPr>
              <w:pStyle w:val="Compact"/>
              <w:jc w:val="left"/>
            </w:pPr>
            <w:r>
              <w:t xml:space="preserve">Selank</w:t>
            </w:r>
          </w:p>
        </w:tc>
        <w:tc>
          <w:tcPr/>
          <w:p>
            <w:pPr>
              <w:pStyle w:val="Compact"/>
              <w:jc w:val="left"/>
            </w:pPr>
            <w:r>
              <w:t xml:space="preserve">Efecto ansiolítico similar al del medazepam, sin grupo placebo (PMID 18454096)</w:t>
            </w:r>
          </w:p>
        </w:tc>
        <w:tc>
          <w:tcPr/>
          <w:p>
            <w:pPr>
              <w:pStyle w:val="Compact"/>
              <w:jc w:val="left"/>
            </w:pPr>
            <w:r>
              <w:t xml:space="preserve">sin datos a largo plazo; mercado gris</w:t>
            </w:r>
          </w:p>
        </w:tc>
      </w:tr>
      <w:tr>
        <w:tc>
          <w:tcPr/>
          <w:p>
            <w:pPr>
              <w:pStyle w:val="Compact"/>
              <w:jc w:val="left"/>
            </w:pPr>
            <w:r>
              <w:t xml:space="preserve">Cerebrolisina</w:t>
            </w:r>
          </w:p>
        </w:tc>
        <w:tc>
          <w:tcPr/>
          <w:p>
            <w:pPr>
              <w:pStyle w:val="Compact"/>
              <w:jc w:val="left"/>
            </w:pPr>
            <w:r>
              <w:t xml:space="preserve">CASTA con 1070 personas: variable principal no alcanzada (PMID 22282884)</w:t>
            </w:r>
          </w:p>
        </w:tc>
        <w:tc>
          <w:tcPr/>
          <w:p>
            <w:pPr>
              <w:pStyle w:val="Compact"/>
              <w:jc w:val="left"/>
            </w:pPr>
            <w:r>
              <w:t xml:space="preserve">posible señal de efectos adversos graves (Cochrane)</w:t>
            </w:r>
          </w:p>
        </w:tc>
      </w:tr>
      <w:tr>
        <w:tc>
          <w:tcPr/>
          <w:p>
            <w:pPr>
              <w:pStyle w:val="Compact"/>
              <w:jc w:val="left"/>
            </w:pPr>
            <w:r>
              <w:t xml:space="preserve">Dihexa</w:t>
            </w:r>
          </w:p>
        </w:tc>
        <w:tc>
          <w:tcPr/>
          <w:p>
            <w:pPr>
              <w:pStyle w:val="Compact"/>
              <w:jc w:val="left"/>
            </w:pPr>
            <w:r>
              <w:t xml:space="preserve">Solo datos en animales; un estudio central en ratas fue retractado en 2025 (PMID 25187433, retractación PMID 40312093)</w:t>
            </w:r>
          </w:p>
        </w:tc>
        <w:tc>
          <w:tcPr/>
          <w:p>
            <w:pPr>
              <w:pStyle w:val="Compact"/>
              <w:jc w:val="left"/>
            </w:pPr>
            <w:r>
              <w:t xml:space="preserve">sin datos en humanos; riesgo teórico de cáncer</w:t>
            </w:r>
          </w:p>
        </w:tc>
      </w:tr>
      <w:tr>
        <w:tc>
          <w:tcPr/>
          <w:p>
            <w:pPr>
              <w:pStyle w:val="Compact"/>
              <w:jc w:val="left"/>
            </w:pPr>
            <w:r>
              <w:t xml:space="preserve">DSIP</w:t>
            </w:r>
          </w:p>
        </w:tc>
        <w:tc>
          <w:tcPr/>
          <w:p>
            <w:pPr>
              <w:pStyle w:val="Compact"/>
              <w:jc w:val="left"/>
            </w:pPr>
            <w:r>
              <w:t xml:space="preserve">16 personas con insomnio: solo efectos débiles (PMID 1299794)</w:t>
            </w:r>
          </w:p>
        </w:tc>
        <w:tc>
          <w:tcPr/>
          <w:p>
            <w:pPr>
              <w:pStyle w:val="Compact"/>
              <w:jc w:val="left"/>
            </w:pPr>
            <w:r>
              <w:t xml:space="preserve">sin datos de seguridad sistemáticos</w:t>
            </w:r>
          </w:p>
        </w:tc>
      </w:tr>
      <w:tr>
        <w:tc>
          <w:tcPr/>
          <w:p>
            <w:pPr>
              <w:pStyle w:val="Compact"/>
              <w:jc w:val="left"/>
            </w:pPr>
            <w:r>
              <w:t xml:space="preserve">Epitalon</w:t>
            </w:r>
          </w:p>
        </w:tc>
        <w:tc>
          <w:tcPr/>
          <w:p>
            <w:pPr>
              <w:pStyle w:val="Compact"/>
              <w:jc w:val="left"/>
            </w:pPr>
            <w:r>
              <w:t xml:space="preserve">En ratones, sin mayor esperanza de vida media (PMID 14501183)</w:t>
            </w:r>
          </w:p>
        </w:tc>
        <w:tc>
          <w:tcPr/>
          <w:p>
            <w:pPr>
              <w:pStyle w:val="Compact"/>
              <w:jc w:val="left"/>
            </w:pPr>
            <w:r>
              <w:t xml:space="preserve">sin datos en humanos; cuestión de la telomerasa</w:t>
            </w:r>
          </w:p>
        </w:tc>
      </w:tr>
      <w:tr>
        <w:tc>
          <w:tcPr/>
          <w:p>
            <w:pPr>
              <w:pStyle w:val="Compact"/>
              <w:jc w:val="left"/>
            </w:pPr>
            <w:r>
              <w:t xml:space="preserve">Pinealon</w:t>
            </w:r>
          </w:p>
        </w:tc>
        <w:tc>
          <w:tcPr/>
          <w:p>
            <w:pPr>
              <w:pStyle w:val="Compact"/>
              <w:jc w:val="left"/>
            </w:pPr>
            <w:r>
              <w:t xml:space="preserve">32 personas mayores, sin control; también inhibición de la hematopoyesis (PMID 26390612)</w:t>
            </w:r>
          </w:p>
        </w:tc>
        <w:tc>
          <w:tcPr/>
          <w:p>
            <w:pPr>
              <w:pStyle w:val="Compact"/>
              <w:jc w:val="left"/>
            </w:pPr>
            <w:r>
              <w:t xml:space="preserve">sin datos de seguridad sistemáticos</w:t>
            </w:r>
          </w:p>
        </w:tc>
      </w:tr>
      <w:tr>
        <w:tc>
          <w:tcPr/>
          <w:p>
            <w:pPr>
              <w:pStyle w:val="Compact"/>
              <w:jc w:val="left"/>
            </w:pPr>
            <w:r>
              <w:t xml:space="preserve">MOTS-c</w:t>
            </w:r>
          </w:p>
        </w:tc>
        <w:tc>
          <w:tcPr/>
          <w:p>
            <w:pPr>
              <w:pStyle w:val="Compact"/>
              <w:jc w:val="left"/>
            </w:pPr>
            <w:r>
              <w:t xml:space="preserve">Solo datos en animales sobre su administración: en ratones, menos sobrepeso (PMID 25738459)</w:t>
            </w:r>
          </w:p>
        </w:tc>
        <w:tc>
          <w:tcPr/>
          <w:p>
            <w:pPr>
              <w:pStyle w:val="Compact"/>
              <w:jc w:val="left"/>
            </w:pPr>
            <w:r>
              <w:t xml:space="preserve">sin datos sobre su administración en humanos</w:t>
            </w:r>
          </w:p>
        </w:tc>
      </w:tr>
      <w:tr>
        <w:tc>
          <w:tcPr/>
          <w:p>
            <w:pPr>
              <w:pStyle w:val="Compact"/>
              <w:jc w:val="left"/>
            </w:pPr>
            <w:r>
              <w:t xml:space="preserve">Humanina</w:t>
            </w:r>
          </w:p>
        </w:tc>
        <w:tc>
          <w:tcPr/>
          <w:p>
            <w:pPr>
              <w:pStyle w:val="Compact"/>
              <w:jc w:val="left"/>
            </w:pPr>
            <w:r>
              <w:t xml:space="preserve">Solo mediciones de concentraciones en humanos (PMID 32575074)</w:t>
            </w:r>
          </w:p>
        </w:tc>
        <w:tc>
          <w:tcPr/>
          <w:p>
            <w:pPr>
              <w:pStyle w:val="Compact"/>
              <w:jc w:val="left"/>
            </w:pPr>
            <w:r>
              <w:t xml:space="preserve">en ratones, más crecimiento de cáncer de mama (PMID 32444831)</w:t>
            </w:r>
          </w:p>
        </w:tc>
      </w:tr>
      <w:tr>
        <w:tc>
          <w:tcPr/>
          <w:p>
            <w:pPr>
              <w:pStyle w:val="Compact"/>
              <w:jc w:val="left"/>
            </w:pPr>
            <w:r>
              <w:t xml:space="preserve">SS-31 (elamipretida)</w:t>
            </w:r>
          </w:p>
        </w:tc>
        <w:tc>
          <w:tcPr/>
          <w:p>
            <w:pPr>
              <w:pStyle w:val="Compact"/>
              <w:jc w:val="left"/>
            </w:pPr>
            <w:r>
              <w:t xml:space="preserve">MMPOWER-3 con 218 personas: sin beneficio en la miopatía (PMID 37268435)</w:t>
            </w:r>
          </w:p>
        </w:tc>
        <w:tc>
          <w:tcPr/>
          <w:p>
            <w:pPr>
              <w:pStyle w:val="Compact"/>
              <w:jc w:val="left"/>
            </w:pPr>
            <w:r>
              <w:t xml:space="preserve">Lugar de inyección; producto del mercado gris no idéntico</w:t>
            </w:r>
          </w:p>
        </w:tc>
      </w:tr>
      <w:tr>
        <w:tc>
          <w:tcPr/>
          <w:p>
            <w:pPr>
              <w:pStyle w:val="Compact"/>
              <w:jc w:val="left"/>
            </w:pPr>
            <w:r>
              <w:t xml:space="preserve">FOXO4-DRI</w:t>
            </w:r>
          </w:p>
        </w:tc>
        <w:tc>
          <w:tcPr/>
          <w:p>
            <w:pPr>
              <w:pStyle w:val="Compact"/>
              <w:jc w:val="left"/>
            </w:pPr>
            <w:r>
              <w:t xml:space="preserve">Solo datos en animales: en ratones envejecidos, mejor forma física (PMID 28340339)</w:t>
            </w:r>
          </w:p>
        </w:tc>
        <w:tc>
          <w:tcPr/>
          <w:p>
            <w:pPr>
              <w:pStyle w:val="Compact"/>
              <w:jc w:val="left"/>
            </w:pPr>
            <w:r>
              <w:t xml:space="preserve">sin datos en humanos; intervención en p53</w:t>
            </w:r>
          </w:p>
        </w:tc>
      </w:tr>
      <w:tr>
        <w:tc>
          <w:tcPr/>
          <w:p>
            <w:pPr>
              <w:pStyle w:val="Compact"/>
              <w:jc w:val="left"/>
            </w:pPr>
            <w:r>
              <w:t xml:space="preserve">Glutatión</w:t>
            </w:r>
          </w:p>
        </w:tc>
        <w:tc>
          <w:tcPr/>
          <w:p>
            <w:pPr>
              <w:pStyle w:val="Compact"/>
              <w:jc w:val="left"/>
            </w:pPr>
            <w:r>
              <w:t xml:space="preserve">Fase 3 con 185 personas: sin protección frente al daño nervioso por quimioterapia (PMID 24619793)</w:t>
            </w:r>
          </w:p>
        </w:tc>
        <w:tc>
          <w:tcPr/>
          <w:p>
            <w:pPr>
              <w:pStyle w:val="Compact"/>
              <w:jc w:val="left"/>
            </w:pPr>
            <w:r>
              <w:t xml:space="preserve">Infusiones para aclarar la piel: advertencias de las autoridades</w:t>
            </w:r>
          </w:p>
        </w:tc>
      </w:tr>
    </w:tbl>
    <w:bookmarkEnd w:id="2528"/>
    <w:bookmarkStart w:id="2529" w:name="e.-hormonas-sexualidad-y-pigmentación"/>
    <w:p>
      <w:pPr>
        <w:pStyle w:val="Heading3"/>
      </w:pPr>
      <w:r>
        <w:t xml:space="preserve">E. Hormonas, sexualidad y pigmentación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no / sí (Vyleesi)</w:t>
            </w:r>
          </w:p>
        </w:tc>
        <w:tc>
          <w:tcPr/>
          <w:p>
            <w:pPr>
              <w:pStyle w:val="Compact"/>
              <w:jc w:val="left"/>
            </w:pPr>
            <w:r>
              <w:t xml:space="preserve">16 / 10</w:t>
            </w:r>
          </w:p>
        </w:tc>
      </w:tr>
      <w:tr>
        <w:tc>
          <w:tcPr/>
          <w:p>
            <w:pPr>
              <w:pStyle w:val="Compact"/>
              <w:jc w:val="left"/>
            </w:pPr>
            <w:r>
              <w:t xml:space="preserve">Melanotán II</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8 / 0 (nota)</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sí / sí (Scenesse, solo EPP)</w:t>
            </w:r>
          </w:p>
        </w:tc>
        <w:tc>
          <w:tcPr/>
          <w:p>
            <w:pPr>
              <w:pStyle w:val="Compact"/>
              <w:jc w:val="left"/>
            </w:pPr>
            <w:r>
              <w:t xml:space="preserve">10 / 23 (nota)</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37 / 36</w:t>
            </w:r>
          </w:p>
        </w:tc>
      </w:tr>
      <w:tr>
        <w:tc>
          <w:tcPr/>
          <w:p>
            <w:pPr>
              <w:pStyle w:val="Compact"/>
              <w:jc w:val="left"/>
            </w:pPr>
            <w:r>
              <w:t xml:space="preserve">Oxitocina (espray nasal)</w:t>
            </w:r>
          </w:p>
        </w:tc>
        <w:tc>
          <w:tcPr/>
          <w:p>
            <w:pPr>
              <w:pStyle w:val="Compact"/>
              <w:jc w:val="left"/>
            </w:pPr>
            <w:r>
              <w:t xml:space="preserve">B</w:t>
            </w:r>
          </w:p>
        </w:tc>
        <w:tc>
          <w:tcPr/>
          <w:p>
            <w:pPr>
              <w:pStyle w:val="Compact"/>
              <w:jc w:val="left"/>
            </w:pPr>
            <w:r>
              <w:t xml:space="preserve">solo obstetricia / solo obstetricia</w:t>
            </w:r>
          </w:p>
        </w:tc>
        <w:tc>
          <w:tcPr/>
          <w:p>
            <w:pPr>
              <w:pStyle w:val="Compact"/>
              <w:jc w:val="left"/>
            </w:pPr>
            <w:r>
              <w:t xml:space="preserve">349 / 263</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en algunos Estados / no</w:t>
            </w:r>
          </w:p>
        </w:tc>
        <w:tc>
          <w:tcPr/>
          <w:p>
            <w:pPr>
              <w:pStyle w:val="Compact"/>
              <w:jc w:val="left"/>
            </w:pPr>
            <w:r>
              <w:t xml:space="preserve">9 / 1000 (nota)</w:t>
            </w:r>
          </w:p>
        </w:tc>
      </w:tr>
    </w:tbl>
    <w:p>
      <w:pPr>
        <w:pStyle w:val="BodyText"/>
      </w:pPr>
      <w:r>
        <w:t xml:space="preserve">Notas a la tabla: en el caso del</w:t>
      </w:r>
      <w:r>
        <w:t xml:space="preserve"> </w:t>
      </w:r>
      <w:r>
        <w:rPr>
          <w:bCs/>
          <w:b/>
        </w:rPr>
        <w:t xml:space="preserve">melanotán II</w:t>
      </w:r>
      <w:r>
        <w:t xml:space="preserve">, cuatro de los ocho resultados de PubMed se refieren al melanotán I (la posterior afamelanotida); el único registro resultó no ser fiable. En el de la</w:t>
      </w:r>
      <w:r>
        <w:t xml:space="preserve"> </w:t>
      </w:r>
      <w:r>
        <w:rPr>
          <w:bCs/>
          <w:b/>
        </w:rPr>
        <w:t xml:space="preserve">afamelanotida</w:t>
      </w:r>
      <w:r>
        <w:t xml:space="preserve">, faltan en el recuento los estudios antiguos con los nombres de melanotán I o NDP-MSH. En el de la</w:t>
      </w:r>
      <w:r>
        <w:t xml:space="preserve"> </w:t>
      </w:r>
      <w:r>
        <w:rPr>
          <w:bCs/>
          <w:b/>
        </w:rPr>
        <w:t xml:space="preserve">oxitocina</w:t>
      </w:r>
      <w:r>
        <w:t xml:space="preserve">, solo está autorizado el uso como infusión o inyección en obstetricia, no el espray nasal. Las cifras de la</w:t>
      </w:r>
      <w:r>
        <w:t xml:space="preserve"> </w:t>
      </w:r>
      <w:r>
        <w:rPr>
          <w:bCs/>
          <w:b/>
        </w:rPr>
        <w:t xml:space="preserve">gonadorelina</w:t>
      </w:r>
      <w:r>
        <w:t xml:space="preserve"> </w:t>
      </w:r>
      <w:r>
        <w:t xml:space="preserve">son inservibles: la búsqueda en el registro alcanzó su límite máximo de 1000 resultados porque el registro incluye el término genérico «Gonadotropin-Releasing Hormone»; casi todos los resultados se refieren a análogos de la GnRH, por ejemplo en el cáncer de próstata, y solo unos diez a la hormona idéntica a la endógena. La cifra de PubMed es demasiado baja porque la mayoría de los estudios escriben «GnRH» o «LHRH».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Bremelanotida (PT-141)</w:t>
            </w:r>
          </w:p>
        </w:tc>
        <w:tc>
          <w:tcPr/>
          <w:p>
            <w:pPr>
              <w:pStyle w:val="Compact"/>
              <w:jc w:val="left"/>
            </w:pPr>
            <w:r>
              <w:t xml:space="preserve">RECONNECT, 1267 mujeres: solo una pequeña ventaja frente a placebo (PMID 31599840)</w:t>
            </w:r>
          </w:p>
        </w:tc>
        <w:tc>
          <w:tcPr/>
          <w:p>
            <w:pPr>
              <w:pStyle w:val="Compact"/>
              <w:jc w:val="left"/>
            </w:pPr>
            <w:r>
              <w:t xml:space="preserve">Náuseas en torno al 40 %, subida breve de la presión arterial</w:t>
            </w:r>
          </w:p>
        </w:tc>
      </w:tr>
      <w:tr>
        <w:tc>
          <w:tcPr/>
          <w:p>
            <w:pPr>
              <w:pStyle w:val="Compact"/>
              <w:jc w:val="left"/>
            </w:pPr>
            <w:r>
              <w:t xml:space="preserve">Melanotán II</w:t>
            </w:r>
          </w:p>
        </w:tc>
        <w:tc>
          <w:tcPr/>
          <w:p>
            <w:pPr>
              <w:pStyle w:val="Compact"/>
              <w:jc w:val="left"/>
            </w:pPr>
            <w:r>
              <w:t xml:space="preserve">Pequeños estudios cruzados: erecciones en 17 de 20 hombres, náuseas frecuentes (PMID 11035391)</w:t>
            </w:r>
          </w:p>
        </w:tc>
        <w:tc>
          <w:tcPr/>
          <w:p>
            <w:pPr>
              <w:pStyle w:val="Compact"/>
              <w:jc w:val="left"/>
            </w:pPr>
            <w:r>
              <w:t xml:space="preserve">Cambios en los lunares, casos clínicos de melanoma, priapismo</w:t>
            </w:r>
          </w:p>
        </w:tc>
      </w:tr>
      <w:tr>
        <w:tc>
          <w:tcPr/>
          <w:p>
            <w:pPr>
              <w:pStyle w:val="Compact"/>
              <w:jc w:val="left"/>
            </w:pPr>
            <w:r>
              <w:t xml:space="preserve">Afamelanotida</w:t>
            </w:r>
          </w:p>
        </w:tc>
        <w:tc>
          <w:tcPr/>
          <w:p>
            <w:pPr>
              <w:pStyle w:val="Compact"/>
              <w:jc w:val="left"/>
            </w:pPr>
            <w:r>
              <w:t xml:space="preserve">Dos ECA: mayor tiempo sin dolor a la luz del sol en la EPP (PMID 26132941)</w:t>
            </w:r>
          </w:p>
        </w:tc>
        <w:tc>
          <w:tcPr/>
          <w:p>
            <w:pPr>
              <w:pStyle w:val="Compact"/>
              <w:jc w:val="left"/>
            </w:pPr>
            <w:r>
              <w:t xml:space="preserve">Náuseas, cefalea; necesidad de controles cutáneos</w:t>
            </w:r>
          </w:p>
        </w:tc>
      </w:tr>
      <w:tr>
        <w:tc>
          <w:tcPr/>
          <w:p>
            <w:pPr>
              <w:pStyle w:val="Compact"/>
              <w:jc w:val="left"/>
            </w:pPr>
            <w:r>
              <w:t xml:space="preserve">Kisspeptina</w:t>
            </w:r>
          </w:p>
        </w:tc>
        <w:tc>
          <w:tcPr/>
          <w:p>
            <w:pPr>
              <w:pStyle w:val="Compact"/>
              <w:jc w:val="left"/>
            </w:pPr>
            <w:r>
              <w:t xml:space="preserve">60 mujeres con riesgo de OHSS: maduración ovocitaria en el 95 %, ningún OHSS grave (PMID 26192876)</w:t>
            </w:r>
          </w:p>
        </w:tc>
        <w:tc>
          <w:tcPr/>
          <w:p>
            <w:pPr>
              <w:pStyle w:val="Compact"/>
              <w:jc w:val="left"/>
            </w:pPr>
            <w:r>
              <w:t xml:space="preserve">Habituación hasta la supresión del eje hormonal</w:t>
            </w:r>
          </w:p>
        </w:tc>
      </w:tr>
      <w:tr>
        <w:tc>
          <w:tcPr/>
          <w:p>
            <w:pPr>
              <w:pStyle w:val="Compact"/>
              <w:jc w:val="left"/>
            </w:pPr>
            <w:r>
              <w:t xml:space="preserve">Oxitocina (espray nasal)</w:t>
            </w:r>
          </w:p>
        </w:tc>
        <w:tc>
          <w:tcPr/>
          <w:p>
            <w:pPr>
              <w:pStyle w:val="Compact"/>
              <w:jc w:val="left"/>
            </w:pPr>
            <w:r>
              <w:t xml:space="preserve">SOARS-B, 290 niños con autismo: sin diferencia frente a placebo (PMID 34644471)</w:t>
            </w:r>
          </w:p>
        </w:tc>
        <w:tc>
          <w:tcPr/>
          <w:p>
            <w:pPr>
              <w:pStyle w:val="Compact"/>
              <w:jc w:val="left"/>
            </w:pPr>
            <w:r>
              <w:t xml:space="preserve">Retención de agua en dosis altas, desencadenamiento de contracciones</w:t>
            </w:r>
          </w:p>
        </w:tc>
      </w:tr>
      <w:tr>
        <w:tc>
          <w:tcPr/>
          <w:p>
            <w:pPr>
              <w:pStyle w:val="Compact"/>
              <w:jc w:val="left"/>
            </w:pPr>
            <w:r>
              <w:t xml:space="preserve">Gonadorelina</w:t>
            </w:r>
          </w:p>
        </w:tc>
        <w:tc>
          <w:tcPr/>
          <w:p>
            <w:pPr>
              <w:pStyle w:val="Compact"/>
              <w:jc w:val="left"/>
            </w:pPr>
            <w:r>
              <w:t xml:space="preserve">Administración pulsátil: ovulación en el 91 % y el 96 % de 109 mujeres (PMID 2122733)</w:t>
            </w:r>
          </w:p>
        </w:tc>
        <w:tc>
          <w:tcPr/>
          <w:p>
            <w:pPr>
              <w:pStyle w:val="Compact"/>
              <w:jc w:val="left"/>
            </w:pPr>
            <w:r>
              <w:t xml:space="preserve">con un ritmo incorrecto, supresión del eje hormonal</w:t>
            </w:r>
          </w:p>
        </w:tc>
      </w:tr>
    </w:tbl>
    <w:bookmarkEnd w:id="2529"/>
    <w:bookmarkStart w:id="2530" w:name="f.-colágeno-nutrición-y-cosmética"/>
    <w:p>
      <w:pPr>
        <w:pStyle w:val="Heading3"/>
      </w:pPr>
      <w:r>
        <w:t xml:space="preserve">F. Colágeno, nutrición y cosmética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Péptidos de colágeno</w:t>
            </w:r>
          </w:p>
        </w:tc>
        <w:tc>
          <w:tcPr/>
          <w:p>
            <w:pPr>
              <w:pStyle w:val="Compact"/>
              <w:jc w:val="left"/>
            </w:pPr>
            <w:r>
              <w:t xml:space="preserve">B</w:t>
            </w:r>
          </w:p>
        </w:tc>
        <w:tc>
          <w:tcPr/>
          <w:p>
            <w:pPr>
              <w:pStyle w:val="Compact"/>
              <w:jc w:val="left"/>
            </w:pPr>
            <w:r>
              <w:t xml:space="preserve">alimento / complemento alimenticio</w:t>
            </w:r>
          </w:p>
        </w:tc>
        <w:tc>
          <w:tcPr/>
          <w:p>
            <w:pPr>
              <w:pStyle w:val="Compact"/>
              <w:jc w:val="left"/>
            </w:pPr>
            <w:r>
              <w:t xml:space="preserve">101 / 237 (nota)</w:t>
            </w:r>
          </w:p>
        </w:tc>
      </w:tr>
      <w:tr>
        <w:tc>
          <w:tcPr/>
          <w:p>
            <w:pPr>
              <w:pStyle w:val="Compact"/>
              <w:jc w:val="left"/>
            </w:pPr>
            <w:r>
              <w:t xml:space="preserve">Lactotripéptidos</w:t>
            </w:r>
          </w:p>
        </w:tc>
        <w:tc>
          <w:tcPr/>
          <w:p>
            <w:pPr>
              <w:pStyle w:val="Compact"/>
              <w:jc w:val="left"/>
            </w:pPr>
            <w:r>
              <w:t xml:space="preserve">B</w:t>
            </w:r>
          </w:p>
        </w:tc>
        <w:tc>
          <w:tcPr/>
          <w:p>
            <w:pPr>
              <w:pStyle w:val="Compact"/>
              <w:jc w:val="left"/>
            </w:pPr>
            <w:r>
              <w:t xml:space="preserve">alimento / complemento alimenticio</w:t>
            </w:r>
          </w:p>
        </w:tc>
        <w:tc>
          <w:tcPr/>
          <w:p>
            <w:pPr>
              <w:pStyle w:val="Compact"/>
              <w:jc w:val="left"/>
            </w:pPr>
            <w:r>
              <w:t xml:space="preserve">21 / 0</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complemento alimenticio / complemento alimenticio</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 cosmético</w:t>
            </w:r>
          </w:p>
        </w:tc>
        <w:tc>
          <w:tcPr/>
          <w:p>
            <w:pPr>
              <w:pStyle w:val="Compact"/>
              <w:jc w:val="left"/>
            </w:pPr>
            <w:r>
              <w:t xml:space="preserve">1 / 24 (nota)</w:t>
            </w:r>
          </w:p>
        </w:tc>
      </w:tr>
      <w:tr>
        <w:tc>
          <w:tcPr/>
          <w:p>
            <w:pPr>
              <w:pStyle w:val="Compact"/>
              <w:jc w:val="left"/>
            </w:pPr>
            <w:r>
              <w:t xml:space="preserve">Palmitoil pentapéptido-4</w:t>
            </w:r>
          </w:p>
        </w:tc>
        <w:tc>
          <w:tcPr/>
          <w:p>
            <w:pPr>
              <w:pStyle w:val="Compact"/>
              <w:jc w:val="left"/>
            </w:pPr>
            <w:r>
              <w:t xml:space="preserve">B (débil)</w:t>
            </w:r>
          </w:p>
        </w:tc>
        <w:tc>
          <w:tcPr/>
          <w:p>
            <w:pPr>
              <w:pStyle w:val="Compact"/>
              <w:jc w:val="left"/>
            </w:pPr>
            <w:r>
              <w:t xml:space="preserve">cosmético / cosmético</w:t>
            </w:r>
          </w:p>
        </w:tc>
        <w:tc>
          <w:tcPr/>
          <w:p>
            <w:pPr>
              <w:pStyle w:val="Compact"/>
              <w:jc w:val="left"/>
            </w:pPr>
            <w:r>
              <w:t xml:space="preserve">1 / 0</w:t>
            </w:r>
          </w:p>
        </w:tc>
      </w:tr>
      <w:tr>
        <w:tc>
          <w:tcPr/>
          <w:p>
            <w:pPr>
              <w:pStyle w:val="Compact"/>
              <w:jc w:val="left"/>
            </w:pPr>
            <w:r>
              <w:t xml:space="preserve">Acetil hexapéptido-8</w:t>
            </w:r>
          </w:p>
        </w:tc>
        <w:tc>
          <w:tcPr/>
          <w:p>
            <w:pPr>
              <w:pStyle w:val="Compact"/>
              <w:jc w:val="left"/>
            </w:pPr>
            <w:r>
              <w:t xml:space="preserve">B (débil)</w:t>
            </w:r>
          </w:p>
        </w:tc>
        <w:tc>
          <w:tcPr/>
          <w:p>
            <w:pPr>
              <w:pStyle w:val="Compact"/>
              <w:jc w:val="left"/>
            </w:pPr>
            <w:r>
              <w:t xml:space="preserve">cosmético / cosmético</w:t>
            </w:r>
          </w:p>
        </w:tc>
        <w:tc>
          <w:tcPr/>
          <w:p>
            <w:pPr>
              <w:pStyle w:val="Compact"/>
              <w:jc w:val="left"/>
            </w:pPr>
            <w:r>
              <w:t xml:space="preserve">3 / 7</w:t>
            </w:r>
          </w:p>
        </w:tc>
      </w:tr>
    </w:tbl>
    <w:p>
      <w:pPr>
        <w:pStyle w:val="BodyText"/>
      </w:pPr>
      <w:r>
        <w:t xml:space="preserve">Notas a la tabla: en el caso de los</w:t>
      </w:r>
      <w:r>
        <w:t xml:space="preserve"> </w:t>
      </w:r>
      <w:r>
        <w:rPr>
          <w:bCs/>
          <w:b/>
        </w:rPr>
        <w:t xml:space="preserve">péptidos de colágeno</w:t>
      </w:r>
      <w:r>
        <w:t xml:space="preserve">, una parte considerable de los resultados del registro se refiere a otros temas, como los implantes de colágeno en odontología o el medicamento antitumoral endostatina. En el del</w:t>
      </w:r>
      <w:r>
        <w:t xml:space="preserve"> </w:t>
      </w:r>
      <w:r>
        <w:rPr>
          <w:bCs/>
          <w:b/>
        </w:rPr>
        <w:t xml:space="preserve">GHK-Cu</w:t>
      </w:r>
      <w:r>
        <w:t xml:space="preserve">, casi todos los resultados del registro se refieren a otros compuestos de cobre, por ejemplo cobre-64 radiactivo para la obtención de imágenes; solo un registro creíble estudia realmente el GHK. Para ninguna sustancia de este grupo está autorizada en la UE una alegación publicitaria relacionada con la salud; para los lactotripéptidos, la Autoridad Europea de Seguridad Alimentaria (EFSA) rechazó la declaración solicitada sobre la presión arterial.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Péptidos de colágeno</w:t>
            </w:r>
          </w:p>
        </w:tc>
        <w:tc>
          <w:tcPr/>
          <w:p>
            <w:pPr>
              <w:pStyle w:val="Compact"/>
              <w:jc w:val="left"/>
            </w:pPr>
            <w:r>
              <w:t xml:space="preserve">Artrosis: efectos pequeños a moderados (PMID 38218227); beneficio cutáneo no confirmado en estudios independientes (PMID 40324552)</w:t>
            </w:r>
          </w:p>
        </w:tc>
        <w:tc>
          <w:tcPr/>
          <w:p>
            <w:pPr>
              <w:pStyle w:val="Compact"/>
              <w:jc w:val="left"/>
            </w:pPr>
            <w:r>
              <w:t xml:space="preserve">Sustitución de medidas eficaces; oxalato en caso de tendencia a cálculos renales</w:t>
            </w:r>
          </w:p>
        </w:tc>
      </w:tr>
      <w:tr>
        <w:tc>
          <w:tcPr/>
          <w:p>
            <w:pPr>
              <w:pStyle w:val="Compact"/>
              <w:jc w:val="left"/>
            </w:pPr>
            <w:r>
              <w:t xml:space="preserve">Lactotripéptidos</w:t>
            </w:r>
          </w:p>
        </w:tc>
        <w:tc>
          <w:tcPr/>
          <w:p>
            <w:pPr>
              <w:pStyle w:val="Compact"/>
              <w:jc w:val="left"/>
            </w:pPr>
            <w:r>
              <w:t xml:space="preserve">Metaanálisis, 30 ECA: sistólica −2,95 mmHg, con sesgo de publicación (PMID 25608938)</w:t>
            </w:r>
          </w:p>
        </w:tc>
        <w:tc>
          <w:tcPr/>
          <w:p>
            <w:pPr>
              <w:pStyle w:val="Compact"/>
              <w:jc w:val="left"/>
            </w:pPr>
            <w:r>
              <w:t xml:space="preserve">Sustitución de un tratamiento antihipertensivo eficaz</w:t>
            </w:r>
          </w:p>
        </w:tc>
      </w:tr>
      <w:tr>
        <w:tc>
          <w:tcPr/>
          <w:p>
            <w:pPr>
              <w:pStyle w:val="Compact"/>
              <w:jc w:val="left"/>
            </w:pPr>
            <w:r>
              <w:t xml:space="preserve">Carnosina</w:t>
            </w:r>
          </w:p>
        </w:tc>
        <w:tc>
          <w:tcPr/>
          <w:p>
            <w:pPr>
              <w:pStyle w:val="Compact"/>
              <w:jc w:val="left"/>
            </w:pPr>
            <w:r>
              <w:t xml:space="preserve">Metaanálisis, 8 ECA: valores de glucemia y HbA1c algo más bajos (PMID 40999397)</w:t>
            </w:r>
          </w:p>
        </w:tc>
        <w:tc>
          <w:tcPr/>
          <w:p>
            <w:pPr>
              <w:pStyle w:val="Compact"/>
              <w:jc w:val="left"/>
            </w:pPr>
            <w:r>
              <w:t xml:space="preserve">ninguno relevante; faltan datos a largo plazo</w:t>
            </w:r>
          </w:p>
        </w:tc>
      </w:tr>
      <w:tr>
        <w:tc>
          <w:tcPr/>
          <w:p>
            <w:pPr>
              <w:pStyle w:val="Compact"/>
              <w:jc w:val="left"/>
            </w:pPr>
            <w:r>
              <w:t xml:space="preserve">GHK-Cu</w:t>
            </w:r>
          </w:p>
        </w:tc>
        <w:tc>
          <w:tcPr/>
          <w:p>
            <w:pPr>
              <w:pStyle w:val="Compact"/>
              <w:jc w:val="left"/>
            </w:pPr>
            <w:r>
              <w:t xml:space="preserve">Úlceras de pie: superficie de la herida, mediana −98,5 % frente a −60,8 % (PMID 17147644)</w:t>
            </w:r>
          </w:p>
        </w:tc>
        <w:tc>
          <w:tcPr/>
          <w:p>
            <w:pPr>
              <w:pStyle w:val="Compact"/>
              <w:jc w:val="left"/>
            </w:pPr>
            <w:r>
              <w:t xml:space="preserve">Inyecciones de producto del mercado gris sin evaluar</w:t>
            </w:r>
          </w:p>
        </w:tc>
      </w:tr>
      <w:tr>
        <w:tc>
          <w:tcPr/>
          <w:p>
            <w:pPr>
              <w:pStyle w:val="Compact"/>
              <w:jc w:val="left"/>
            </w:pPr>
            <w:r>
              <w:t xml:space="preserve">Palmitoil pentapéptido-4</w:t>
            </w:r>
          </w:p>
        </w:tc>
        <w:tc>
          <w:tcPr/>
          <w:p>
            <w:pPr>
              <w:pStyle w:val="Compact"/>
              <w:jc w:val="left"/>
            </w:pPr>
            <w:r>
              <w:t xml:space="preserve">93 mujeres, estudio de hemicara: menos arrugas a las 12 semanas (PMID 18492182)</w:t>
            </w:r>
          </w:p>
        </w:tc>
        <w:tc>
          <w:tcPr/>
          <w:p>
            <w:pPr>
              <w:pStyle w:val="Compact"/>
              <w:jc w:val="left"/>
            </w:pPr>
            <w:r>
              <w:t xml:space="preserve">rara vez irritación cutánea</w:t>
            </w:r>
          </w:p>
        </w:tc>
      </w:tr>
      <w:tr>
        <w:tc>
          <w:tcPr/>
          <w:p>
            <w:pPr>
              <w:pStyle w:val="Compact"/>
              <w:jc w:val="left"/>
            </w:pPr>
            <w:r>
              <w:t xml:space="preserve">Acetil hexapéptido-8</w:t>
            </w:r>
          </w:p>
        </w:tc>
        <w:tc>
          <w:tcPr/>
          <w:p>
            <w:pPr>
              <w:pStyle w:val="Compact"/>
              <w:jc w:val="left"/>
            </w:pPr>
            <w:r>
              <w:t xml:space="preserve">19 mujeres, estudio de hemicara: sin diferencia a las 4 semanas (PMID 38024099)</w:t>
            </w:r>
          </w:p>
        </w:tc>
        <w:tc>
          <w:tcPr/>
          <w:p>
            <w:pPr>
              <w:pStyle w:val="Compact"/>
              <w:jc w:val="left"/>
            </w:pPr>
            <w:r>
              <w:t xml:space="preserve">Inyecciones no autorizadas, caso clínico de infección</w:t>
            </w:r>
          </w:p>
        </w:tc>
      </w:tr>
    </w:tbl>
    <w:bookmarkEnd w:id="2530"/>
    <w:bookmarkStart w:id="2534" w:name="X5caa5799859344c20fe6a3f6965f08b04c8a47e"/>
    <w:p>
      <w:pPr>
        <w:pStyle w:val="Heading3"/>
      </w:pPr>
      <w:r>
        <w:t xml:space="preserve">Análisis: ¿qué tan bien estudiados están los péptidos en conjunto?</w:t>
      </w:r>
    </w:p>
    <w:bookmarkStart w:id="2531" w:name="distribución-de-los-niveles-de-evidencia"/>
    <w:p>
      <w:pPr>
        <w:pStyle w:val="Heading4"/>
      </w:pPr>
      <w:r>
        <w:t xml:space="preserve">Distribución de los niveles de evidencia</w:t>
      </w:r>
    </w:p>
    <w:p>
      <w:pPr>
        <w:pStyle w:val="FirstParagraph"/>
      </w:pPr>
      <w:r>
        <w:t xml:space="preserve">Las 58 entradas de este libro –56 péptidos y dos sustancias de comparación que no son péptidos (orforglipron e ibutamoreno)– se distribuyen así: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 de evidencia</w:t>
            </w:r>
          </w:p>
        </w:tc>
        <w:tc>
          <w:tcPr/>
          <w:p>
            <w:pPr>
              <w:pStyle w:val="Compact"/>
              <w:jc w:val="left"/>
            </w:pPr>
            <w:r>
              <w:t xml:space="preserve">Número</w:t>
            </w:r>
          </w:p>
        </w:tc>
        <w:tc>
          <w:tcPr/>
          <w:p>
            <w:pPr>
              <w:pStyle w:val="Compact"/>
              <w:jc w:val="left"/>
            </w:pPr>
            <w:r>
              <w:t xml:space="preserve">Proporción</w:t>
            </w:r>
          </w:p>
        </w:tc>
        <w:tc>
          <w:tcPr/>
          <w:p>
            <w:pPr>
              <w:pStyle w:val="Compact"/>
              <w:jc w:val="left"/>
            </w:pPr>
            <w:r>
              <w:t xml:space="preserve">Ejemplos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24 %</w:t>
            </w:r>
          </w:p>
        </w:tc>
        <w:tc>
          <w:tcPr/>
          <w:p>
            <w:pPr>
              <w:pStyle w:val="Compact"/>
              <w:jc w:val="left"/>
            </w:pPr>
            <w:r>
              <w:t xml:space="preserve">Semaglutida, tirzepatida, tesamorelina, afamelanotida</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43 %</w:t>
            </w:r>
          </w:p>
        </w:tc>
        <w:tc>
          <w:tcPr/>
          <w:p>
            <w:pPr>
              <w:pStyle w:val="Compact"/>
              <w:jc w:val="left"/>
            </w:pPr>
            <w:r>
              <w:t xml:space="preserve">Retatrutida, timosina alfa 1, glutatión, péptidos de colágeno</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21 %</w:t>
            </w:r>
          </w:p>
        </w:tc>
        <w:tc>
          <w:tcPr/>
          <w:p>
            <w:pPr>
              <w:pStyle w:val="Compact"/>
              <w:jc w:val="left"/>
            </w:pPr>
            <w:r>
              <w:t xml:space="preserve">BPC-157, CJC-1295, Semax, melanotán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12 %</w:t>
            </w:r>
          </w:p>
        </w:tc>
        <w:tc>
          <w:tcPr/>
          <w:p>
            <w:pPr>
              <w:pStyle w:val="Compact"/>
              <w:jc w:val="left"/>
            </w:pPr>
            <w:r>
              <w:t xml:space="preserve">AOD-9604, KPV, Dihexa, MOTS-c, IGF-1 LR3</w:t>
            </w:r>
          </w:p>
        </w:tc>
      </w:tr>
    </w:tbl>
    <w:p>
      <w:pPr>
        <w:pStyle w:val="BodyText"/>
      </w:pPr>
      <w:r>
        <w:t xml:space="preserve">Nota: el TB-500 se incluye en el recuento con el nivel B correspondiente a la timosina beta 4; para el fragmento TB-500 por sí solo rige el nivel D.</w:t>
      </w:r>
    </w:p>
    <w:p>
      <w:pPr>
        <w:pStyle w:val="BodyText"/>
      </w:pPr>
      <w:r>
        <w:t xml:space="preserve">Tres patrones:</w:t>
      </w:r>
    </w:p>
    <w:p>
      <w:pPr>
        <w:numPr>
          <w:ilvl w:val="0"/>
          <w:numId w:val="1321"/>
        </w:numPr>
        <w:pStyle w:val="Compact"/>
      </w:pPr>
      <w:r>
        <w:rPr>
          <w:bCs/>
          <w:b/>
        </w:rPr>
        <w:t xml:space="preserve">El nivel A lo alcanzan casi exclusivamente principios activos que han pasado por un programa de autorización regular de un fabricante farmacéutico.</w:t>
      </w:r>
      <w:r>
        <w:t xml:space="preserve"> </w:t>
      </w:r>
      <w:r>
        <w:t xml:space="preserve">Nueve de las 14 entradas con nivel A proceden del grupo A (metabolismo y peso). Las demás son la tesamorelina, la macimorelina y la mecasermina, del eje de la hormona del crecimiento, así como la bremelanotida y la afamelanotida. Ninguna de las sustancias descritas en el grupo B (curación) y el grupo D (cerebro y longevidad) alcanza el nivel A.</w:t>
      </w:r>
    </w:p>
    <w:p>
      <w:pPr>
        <w:numPr>
          <w:ilvl w:val="0"/>
          <w:numId w:val="1321"/>
        </w:numPr>
        <w:pStyle w:val="Compact"/>
      </w:pPr>
      <w:r>
        <w:rPr>
          <w:bCs/>
          <w:b/>
        </w:rPr>
        <w:t xml:space="preserve">El nivel B significa a menudo «evaluado y no confirmado».</w:t>
      </w:r>
      <w:r>
        <w:t xml:space="preserve"> </w:t>
      </w:r>
      <w:r>
        <w:t xml:space="preserve">En muchas de las 25 entradas, el mayor estudio aleatorizado no alcanzó su objetivo principal: la timosina alfa 1 en la sepsis, el LL-37 en las úlceras de pierna, la ipamorelina tras cirugía intestinal, la elamipretida en la miopatía, la oxitocina en el autismo y el glutatión contra el daño nervioso por quimioterapia.</w:t>
      </w:r>
    </w:p>
    <w:p>
      <w:pPr>
        <w:numPr>
          <w:ilvl w:val="0"/>
          <w:numId w:val="1321"/>
        </w:numPr>
        <w:pStyle w:val="Compact"/>
      </w:pPr>
      <w:r>
        <w:rPr>
          <w:bCs/>
          <w:b/>
        </w:rPr>
        <w:t xml:space="preserve">Un tercio tiene nivel C o D.</w:t>
      </w:r>
      <w:r>
        <w:t xml:space="preserve"> </w:t>
      </w:r>
      <w:r>
        <w:t xml:space="preserve">19 de las 58 entradas se basan en estudios en humanos pequeños y no controlados o solo en experimentos con animales y de laboratorio, entre ellas muchas de las sustancias más promocionadas en internet.</w:t>
      </w:r>
    </w:p>
    <w:p>
      <w:pPr>
        <w:pStyle w:val="FirstParagraph"/>
      </w:pPr>
      <w:r>
        <w:t xml:space="preserve">Por grupos:</w:t>
      </w:r>
    </w:p>
    <w:p>
      <w:pPr>
        <w:numPr>
          <w:ilvl w:val="0"/>
          <w:numId w:val="1322"/>
        </w:numPr>
        <w:pStyle w:val="Compact"/>
      </w:pPr>
      <w:r>
        <w:t xml:space="preserve">A. Metabolismo y peso (15 entradas): 9 × A, 5 × B, 1 × D</w:t>
      </w:r>
    </w:p>
    <w:p>
      <w:pPr>
        <w:numPr>
          <w:ilvl w:val="0"/>
          <w:numId w:val="1322"/>
        </w:numPr>
        <w:pStyle w:val="Compact"/>
      </w:pPr>
      <w:r>
        <w:t xml:space="preserve">B. Curación y sistema inmunitario (8): 5 × B, 2 × C, 1 × D</w:t>
      </w:r>
    </w:p>
    <w:p>
      <w:pPr>
        <w:numPr>
          <w:ilvl w:val="0"/>
          <w:numId w:val="1322"/>
        </w:numPr>
        <w:pStyle w:val="Compact"/>
      </w:pPr>
      <w:r>
        <w:t xml:space="preserve">C. Eje de la hormona del crecimiento (11): 3 × A, 4 × B, 3 × C, 1 × D</w:t>
      </w:r>
    </w:p>
    <w:p>
      <w:pPr>
        <w:numPr>
          <w:ilvl w:val="0"/>
          <w:numId w:val="1322"/>
        </w:numPr>
        <w:pStyle w:val="Compact"/>
      </w:pPr>
      <w:r>
        <w:t xml:space="preserve">D. Cerebro y longevidad (12): 3 × B, 5 × C, 4 × D</w:t>
      </w:r>
    </w:p>
    <w:p>
      <w:pPr>
        <w:numPr>
          <w:ilvl w:val="0"/>
          <w:numId w:val="1322"/>
        </w:numPr>
        <w:pStyle w:val="Compact"/>
      </w:pPr>
      <w:r>
        <w:t xml:space="preserve">E. Hormonas y pigmentación (6): 2 × A, 3 × B, 1 × C</w:t>
      </w:r>
    </w:p>
    <w:p>
      <w:pPr>
        <w:numPr>
          <w:ilvl w:val="0"/>
          <w:numId w:val="1322"/>
        </w:numPr>
        <w:pStyle w:val="Compact"/>
      </w:pPr>
      <w:r>
        <w:t xml:space="preserve">F. Colágeno y cosmética (6): 5 × B, 1 × C</w:t>
      </w:r>
    </w:p>
    <w:p>
      <w:pPr>
        <w:pStyle w:val="FirstParagraph"/>
      </w:pPr>
      <w:r>
        <w:t xml:space="preserve">El grupo D tiene los datos más débiles: cuatro de sus doce péptidos nunca se administraron en un estudio publicado en humanos, y otros cinco solo en estudios pequeños, en su mayoría no aleatorizados.</w:t>
      </w:r>
    </w:p>
    <w:bookmarkEnd w:id="2531"/>
    <w:bookmarkStart w:id="2532" w:name="autorizado-o-no"/>
    <w:p>
      <w:pPr>
        <w:pStyle w:val="Heading4"/>
      </w:pPr>
      <w:r>
        <w:t xml:space="preserve">¿Autorizado o no?</w:t>
      </w:r>
    </w:p>
    <w:p>
      <w:pPr>
        <w:pStyle w:val="FirstParagraph"/>
      </w:pPr>
      <w:r>
        <w:t xml:space="preserve">En este libro, «autorizado» significa que una agencia del medicamento ha evaluado la eficacia, la seguridad y la calidad de fabricación para un uso concreto. Según esto, las 58 entradas pueden dividirse en cinco grupos (situación en octubre de 2026, compruébese la versión actual):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Estado</w:t>
            </w:r>
          </w:p>
        </w:tc>
        <w:tc>
          <w:tcPr/>
          <w:p>
            <w:pPr>
              <w:pStyle w:val="Compact"/>
              <w:jc w:val="left"/>
            </w:pPr>
            <w:r>
              <w:t xml:space="preserve">Número</w:t>
            </w:r>
          </w:p>
        </w:tc>
        <w:tc>
          <w:tcPr/>
          <w:p>
            <w:pPr>
              <w:pStyle w:val="Compact"/>
              <w:jc w:val="left"/>
            </w:pPr>
            <w:r>
              <w:t xml:space="preserve">Péptidos</w:t>
            </w:r>
          </w:p>
        </w:tc>
      </w:tr>
      <w:tr>
        <w:tc>
          <w:tcPr/>
          <w:p>
            <w:pPr>
              <w:pStyle w:val="Compact"/>
              <w:jc w:val="left"/>
            </w:pPr>
            <w:r>
              <w:t xml:space="preserve">Autorizados como medicamento en la UE y/o en EE. UU.</w:t>
            </w:r>
          </w:p>
        </w:tc>
        <w:tc>
          <w:tcPr/>
          <w:p>
            <w:pPr>
              <w:pStyle w:val="Compact"/>
              <w:jc w:val="left"/>
            </w:pPr>
            <w:r>
              <w:t xml:space="preserve">14</w:t>
            </w:r>
          </w:p>
        </w:tc>
        <w:tc>
          <w:tcPr/>
          <w:p>
            <w:pPr>
              <w:pStyle w:val="Compact"/>
              <w:jc w:val="left"/>
            </w:pPr>
            <w:r>
              <w:t xml:space="preserve">Exenatida, liraglutida, dulaglutida, semaglutida, tirzepatida, setmelanotida, pramlintida, tesamorelina, macimorelina, mecasermina, afamelanotida, bremelanotida, SS-31, oxitocina (solo obstetricia)</w:t>
            </w:r>
          </w:p>
        </w:tc>
      </w:tr>
      <w:tr>
        <w:tc>
          <w:tcPr/>
          <w:p>
            <w:pPr>
              <w:pStyle w:val="Compact"/>
              <w:jc w:val="left"/>
            </w:pPr>
            <w:r>
              <w:t xml:space="preserve">Autorizados solo a nivel nacional en algunos Estados de la UE o solo fuera de la UE y EE. UU.</w:t>
            </w:r>
          </w:p>
        </w:tc>
        <w:tc>
          <w:tcPr/>
          <w:p>
            <w:pPr>
              <w:pStyle w:val="Compact"/>
              <w:jc w:val="left"/>
            </w:pPr>
            <w:r>
              <w:t xml:space="preserve">8</w:t>
            </w:r>
          </w:p>
        </w:tc>
        <w:tc>
          <w:tcPr/>
          <w:p>
            <w:pPr>
              <w:pStyle w:val="Compact"/>
              <w:jc w:val="left"/>
            </w:pPr>
            <w:r>
              <w:t xml:space="preserve">Cerebrolisina, gonadorelina, mazdutida (China), timosina alfa 1 (China, entre otros), timalina, Semax, Selank (Rusia), GHRP-2 (Japón, agente diagnóstico)</w:t>
            </w:r>
          </w:p>
        </w:tc>
      </w:tr>
      <w:tr>
        <w:tc>
          <w:tcPr/>
          <w:p>
            <w:pPr>
              <w:pStyle w:val="Compact"/>
              <w:jc w:val="left"/>
            </w:pPr>
            <w:r>
              <w:t xml:space="preserve">Autorizados antes en EE. UU., hoy ya no comercializados</w:t>
            </w:r>
          </w:p>
        </w:tc>
        <w:tc>
          <w:tcPr/>
          <w:p>
            <w:pPr>
              <w:pStyle w:val="Compact"/>
              <w:jc w:val="left"/>
            </w:pPr>
            <w:r>
              <w:t xml:space="preserve">1</w:t>
            </w:r>
          </w:p>
        </w:tc>
        <w:tc>
          <w:tcPr/>
          <w:p>
            <w:pPr>
              <w:pStyle w:val="Compact"/>
              <w:jc w:val="left"/>
            </w:pPr>
            <w:r>
              <w:t xml:space="preserve">Sermorelina</w:t>
            </w:r>
          </w:p>
        </w:tc>
      </w:tr>
      <w:tr>
        <w:tc>
          <w:tcPr/>
          <w:p>
            <w:pPr>
              <w:pStyle w:val="Compact"/>
              <w:jc w:val="left"/>
            </w:pPr>
            <w:r>
              <w:t xml:space="preserve">Permitidos como alimento, complemento alimenticio o cosmético, sin autorización como medicamento</w:t>
            </w:r>
          </w:p>
        </w:tc>
        <w:tc>
          <w:tcPr/>
          <w:p>
            <w:pPr>
              <w:pStyle w:val="Compact"/>
              <w:jc w:val="left"/>
            </w:pPr>
            <w:r>
              <w:t xml:space="preserve">7</w:t>
            </w:r>
          </w:p>
        </w:tc>
        <w:tc>
          <w:tcPr/>
          <w:p>
            <w:pPr>
              <w:pStyle w:val="Compact"/>
              <w:jc w:val="left"/>
            </w:pPr>
            <w:r>
              <w:t xml:space="preserve">Péptidos de colágeno, lactotripéptidos, carnosina, glutatión, GHK-Cu, palmitoil pentapéptido-4, acetil hexapéptido-8</w:t>
            </w:r>
          </w:p>
        </w:tc>
      </w:tr>
      <w:tr>
        <w:tc>
          <w:tcPr/>
          <w:p>
            <w:pPr>
              <w:pStyle w:val="Compact"/>
              <w:jc w:val="left"/>
            </w:pPr>
            <w:r>
              <w:t xml:space="preserve">No autorizados en ninguna parte</w:t>
            </w:r>
          </w:p>
        </w:tc>
        <w:tc>
          <w:tcPr/>
          <w:p>
            <w:pPr>
              <w:pStyle w:val="Compact"/>
              <w:jc w:val="left"/>
            </w:pPr>
            <w:r>
              <w:t xml:space="preserve">28</w:t>
            </w:r>
          </w:p>
        </w:tc>
        <w:tc>
          <w:tcPr/>
          <w:p>
            <w:pPr>
              <w:pStyle w:val="Compact"/>
              <w:jc w:val="left"/>
            </w:pPr>
            <w:r>
              <w:t xml:space="preserve">entre ellos retatrutida, CagriSema, BPC-157, TB-500, CJC-1295, ipamorelina, Epitalon, MOTS-c, melanotán II, IGF-1 LR3, orforglipron (solicitud presentada) e ibutamoreno</w:t>
            </w:r>
          </w:p>
        </w:tc>
      </w:tr>
    </w:tbl>
    <w:p>
      <w:pPr>
        <w:pStyle w:val="BodyText"/>
      </w:pPr>
      <w:r>
        <w:t xml:space="preserve">Solo alrededor de una cuarta parte de las entradas está autorizada como medicamento en la UE o en EE. UU., y por lo general para usos muy delimitados: la afamelanotida para una intolerancia rara a la luz (protoporfiria eritropoyética, EPP), no para broncearse; la elamipretida solo para el síndrome de Barth; la oxitocina solo para la obstetricia, no como espray nasal; la tesamorelina solo para un trastorno de la distribución de la grasa en el VIH. Por eso, ante la afirmación «autorizado» conviene preguntar siempre: ¿dónde, para qué y en qué forma?</w:t>
      </w:r>
    </w:p>
    <w:p>
      <w:pPr>
        <w:pStyle w:val="BodyText"/>
      </w:pPr>
      <w:r>
        <w:t xml:space="preserve">Las 28 entradas no autorizadas en ninguna parte se dividen en dos grupos. La retatrutida, la survodutida, CagriSema, la amicretina, la maridebart cafraglutida y el orforglipron están en desarrollo regular con estudios de fase 3; para ellos, una autorización es probable, pero no segura (valoración). En cambio, sustancias como el BPC-157, el TB-500, el CJC-1295, el AOD-9604, el Epitalon, el MOTS-c, el Dihexa o el IGF-1 LR3 no tienen una vía de autorización reconocible y se venden sobre todo como «research peptides». Las ofertas del mercado gris del primer grupo no pueden equipararse a los medicamentos evaluados.</w:t>
      </w:r>
    </w:p>
    <w:bookmarkEnd w:id="2532"/>
    <w:bookmarkStart w:id="2533" w:name="estatus-antidopaje-según-la-wada"/>
    <w:p>
      <w:pPr>
        <w:pStyle w:val="Heading4"/>
      </w:pPr>
      <w:r>
        <w:t xml:space="preserve">Estatus antidopaje según la WADA</w:t>
      </w:r>
    </w:p>
    <w:p>
      <w:pPr>
        <w:pStyle w:val="FirstParagraph"/>
      </w:pPr>
      <w:r>
        <w:t xml:space="preserve">Para el deporte de competición cuenta la lista de prohibiciones de la Agencia Mundial Antidopaje (WADA). Las clases más importantes:</w:t>
      </w:r>
    </w:p>
    <w:p>
      <w:pPr>
        <w:numPr>
          <w:ilvl w:val="0"/>
          <w:numId w:val="1323"/>
        </w:numPr>
        <w:pStyle w:val="Compact"/>
      </w:pPr>
      <w:r>
        <w:rPr>
          <w:bCs/>
          <w:b/>
        </w:rPr>
        <w:t xml:space="preserve">S0</w:t>
      </w:r>
      <w:r>
        <w:t xml:space="preserve"> </w:t>
      </w:r>
      <w:r>
        <w:t xml:space="preserve">– sustancias no aprobadas: todas las sustancias sin autorización como medicamento para uso humano, también sin mención nominal.</w:t>
      </w:r>
    </w:p>
    <w:p>
      <w:pPr>
        <w:numPr>
          <w:ilvl w:val="0"/>
          <w:numId w:val="1323"/>
        </w:numPr>
        <w:pStyle w:val="Compact"/>
      </w:pPr>
      <w:r>
        <w:rPr>
          <w:bCs/>
          <w:b/>
        </w:rPr>
        <w:t xml:space="preserve">S2</w:t>
      </w:r>
      <w:r>
        <w:t xml:space="preserve"> </w:t>
      </w:r>
      <w:r>
        <w:t xml:space="preserve">– hormonas peptídicas, factores de crecimiento, sustancias afines, entre ellas la hormona del crecimiento, sus factores liberadores y fragmentos, el IGF-1, la timosina beta 4 y, en los hombres, los factores liberadores de la hormona luteinizante (LH).</w:t>
      </w:r>
    </w:p>
    <w:p>
      <w:pPr>
        <w:numPr>
          <w:ilvl w:val="0"/>
          <w:numId w:val="1323"/>
        </w:numPr>
        <w:pStyle w:val="Compact"/>
      </w:pPr>
      <w:r>
        <w:rPr>
          <w:bCs/>
          <w:b/>
        </w:rPr>
        <w:t xml:space="preserve">S4</w:t>
      </w:r>
      <w:r>
        <w:t xml:space="preserve"> </w:t>
      </w:r>
      <w:r>
        <w:t xml:space="preserve">– moduladores hormonales y metabólicos, entre ellos los activadores de la enzima AMPK.</w:t>
      </w:r>
    </w:p>
    <w:p>
      <w:pPr>
        <w:numPr>
          <w:ilvl w:val="0"/>
          <w:numId w:val="1323"/>
        </w:numPr>
        <w:pStyle w:val="Compact"/>
      </w:pPr>
      <w:r>
        <w:rPr>
          <w:bCs/>
          <w:b/>
        </w:rPr>
        <w:t xml:space="preserve">M2</w:t>
      </w:r>
      <w:r>
        <w:t xml:space="preserve"> </w:t>
      </w:r>
      <w:r>
        <w:t xml:space="preserve">– métodos prohibidos, entre ellos las infusiones de más de 100 ml en un plazo de doce horas.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Péptidos</w:t>
            </w:r>
          </w:p>
        </w:tc>
        <w:tc>
          <w:tcPr/>
          <w:p>
            <w:pPr>
              <w:pStyle w:val="Compact"/>
              <w:jc w:val="left"/>
            </w:pPr>
            <w:r>
              <w:t xml:space="preserve">Estatus WADA</w:t>
            </w:r>
          </w:p>
        </w:tc>
      </w:tr>
      <w:tr>
        <w:tc>
          <w:tcPr/>
          <w:p>
            <w:pPr>
              <w:pStyle w:val="Compact"/>
              <w:jc w:val="left"/>
            </w:pPr>
            <w:r>
              <w:t xml:space="preserve">AOD-9604, TB-500 / timosina beta 4, ARA-290, sermorelina, tesamorelina, CJC-1295, ipamorelina, GHRP-2, GHRP-6, hexarelina, macimorelina, mecasermina, IGF-1 LR3, ibutamoreno</w:t>
            </w:r>
          </w:p>
        </w:tc>
        <w:tc>
          <w:tcPr/>
          <w:p>
            <w:pPr>
              <w:pStyle w:val="Compact"/>
              <w:jc w:val="left"/>
            </w:pPr>
            <w:r>
              <w:t xml:space="preserve">prohibidos, S2</w:t>
            </w:r>
          </w:p>
        </w:tc>
      </w:tr>
      <w:tr>
        <w:tc>
          <w:tcPr/>
          <w:p>
            <w:pPr>
              <w:pStyle w:val="Compact"/>
              <w:jc w:val="left"/>
            </w:pPr>
            <w:r>
              <w:t xml:space="preserve">Gonadorelina; kisspeptina</w:t>
            </w:r>
          </w:p>
        </w:tc>
        <w:tc>
          <w:tcPr/>
          <w:p>
            <w:pPr>
              <w:pStyle w:val="Compact"/>
              <w:jc w:val="left"/>
            </w:pPr>
            <w:r>
              <w:t xml:space="preserve">prohibidas para los hombres, S2; la kisspeptina, como principio activo no autorizado, además S0</w:t>
            </w:r>
          </w:p>
        </w:tc>
      </w:tr>
      <w:tr>
        <w:tc>
          <w:tcPr/>
          <w:p>
            <w:pPr>
              <w:pStyle w:val="Compact"/>
              <w:jc w:val="left"/>
            </w:pPr>
            <w:r>
              <w:t xml:space="preserve">MOTS-c</w:t>
            </w:r>
          </w:p>
        </w:tc>
        <w:tc>
          <w:tcPr/>
          <w:p>
            <w:pPr>
              <w:pStyle w:val="Compact"/>
              <w:jc w:val="left"/>
            </w:pPr>
            <w:r>
              <w:t xml:space="preserve">prohibido, S4 (activador de la AMPK)</w:t>
            </w:r>
          </w:p>
        </w:tc>
      </w:tr>
      <w:tr>
        <w:tc>
          <w:tcPr/>
          <w:p>
            <w:pPr>
              <w:pStyle w:val="Compact"/>
              <w:jc w:val="left"/>
            </w:pPr>
            <w:r>
              <w:t xml:space="preserve">Retatrutida, survodutida, CagriSema, amicretina, maridebart cafraglutida, BPC-157, melanotán II</w:t>
            </w:r>
          </w:p>
        </w:tc>
        <w:tc>
          <w:tcPr/>
          <w:p>
            <w:pPr>
              <w:pStyle w:val="Compact"/>
              <w:jc w:val="left"/>
            </w:pPr>
            <w:r>
              <w:t xml:space="preserve">prohibidos, S0</w:t>
            </w:r>
          </w:p>
        </w:tc>
      </w:tr>
      <w:tr>
        <w:tc>
          <w:tcPr/>
          <w:p>
            <w:pPr>
              <w:pStyle w:val="Compact"/>
              <w:jc w:val="left"/>
            </w:pPr>
            <w:r>
              <w:t xml:space="preserve">KPV, LL-37, Dihexa, Epitalon, Pinealon, humanina, FOXO4-DRI, orforglipron (hasta su autorización)</w:t>
            </w:r>
          </w:p>
        </w:tc>
        <w:tc>
          <w:tcPr/>
          <w:p>
            <w:pPr>
              <w:pStyle w:val="Compact"/>
              <w:jc w:val="left"/>
            </w:pPr>
            <w:r>
              <w:t xml:space="preserve">no mencionados nominalmente; como sustancias no aprobadas, probablemente S0</w:t>
            </w:r>
          </w:p>
        </w:tc>
      </w:tr>
      <w:tr>
        <w:tc>
          <w:tcPr/>
          <w:p>
            <w:pPr>
              <w:pStyle w:val="Compact"/>
              <w:jc w:val="left"/>
            </w:pPr>
            <w:r>
              <w:t xml:space="preserve">Mazdutida</w:t>
            </w:r>
          </w:p>
        </w:tc>
        <w:tc>
          <w:tcPr/>
          <w:p>
            <w:pPr>
              <w:pStyle w:val="Compact"/>
              <w:jc w:val="left"/>
            </w:pPr>
            <w:r>
              <w:t xml:space="preserve">no mencionada nominalmente; estatus S0 incierto debido a la autorización en China</w:t>
            </w:r>
          </w:p>
        </w:tc>
      </w:tr>
      <w:tr>
        <w:tc>
          <w:tcPr/>
          <w:p>
            <w:pPr>
              <w:pStyle w:val="Compact"/>
              <w:jc w:val="left"/>
            </w:pPr>
            <w:r>
              <w:t xml:space="preserve">GHK-Cu</w:t>
            </w:r>
          </w:p>
        </w:tc>
        <w:tc>
          <w:tcPr/>
          <w:p>
            <w:pPr>
              <w:pStyle w:val="Compact"/>
              <w:jc w:val="left"/>
            </w:pPr>
            <w:r>
              <w:t xml:space="preserve">como cosmético, no prohibido; la inyección, posiblemente S0</w:t>
            </w:r>
          </w:p>
        </w:tc>
      </w:tr>
      <w:tr>
        <w:tc>
          <w:tcPr/>
          <w:p>
            <w:pPr>
              <w:pStyle w:val="Compact"/>
              <w:jc w:val="left"/>
            </w:pPr>
            <w:r>
              <w:t xml:space="preserve">Glutatión</w:t>
            </w:r>
          </w:p>
        </w:tc>
        <w:tc>
          <w:tcPr/>
          <w:p>
            <w:pPr>
              <w:pStyle w:val="Compact"/>
              <w:jc w:val="left"/>
            </w:pPr>
            <w:r>
              <w:t xml:space="preserve">la sustancia no está prohibida; las infusiones de más de 100 ml en doce horas están prohibidas (M2)</w:t>
            </w:r>
          </w:p>
        </w:tc>
      </w:tr>
      <w:tr>
        <w:tc>
          <w:tcPr/>
          <w:p>
            <w:pPr>
              <w:pStyle w:val="Compact"/>
              <w:jc w:val="left"/>
            </w:pPr>
            <w:r>
              <w:t xml:space="preserve">Semax, Selank, DSIP, SS-31, bremelanotida</w:t>
            </w:r>
          </w:p>
        </w:tc>
        <w:tc>
          <w:tcPr/>
          <w:p>
            <w:pPr>
              <w:pStyle w:val="Compact"/>
              <w:jc w:val="left"/>
            </w:pPr>
            <w:r>
              <w:t xml:space="preserve">no mencionados nominalmente; clasificación no inequívoca</w:t>
            </w:r>
          </w:p>
        </w:tc>
      </w:tr>
      <w:tr>
        <w:tc>
          <w:tcPr/>
          <w:p>
            <w:pPr>
              <w:pStyle w:val="Compact"/>
              <w:jc w:val="left"/>
            </w:pPr>
            <w:r>
              <w:t xml:space="preserve">Exenatida, liraglutida, dulaglutida, semaglutida, tirzepatida, pramlintida, setmelanotida, timosina alfa 1, larazotida, timalina, cerebrolisina, afamelanotida, oxitocina, péptidos de colágeno, lactotripéptidos, carnosina, palmitoil pentapéptido-4, acetil hexapéptido-8</w:t>
            </w:r>
          </w:p>
        </w:tc>
        <w:tc>
          <w:tcPr/>
          <w:p>
            <w:pPr>
              <w:pStyle w:val="Compact"/>
              <w:jc w:val="left"/>
            </w:pPr>
            <w:r>
              <w:t xml:space="preserve">no figuran en la lista</w:t>
            </w:r>
          </w:p>
        </w:tc>
      </w:tr>
    </w:tbl>
    <w:p>
      <w:pPr>
        <w:pStyle w:val="BodyText"/>
      </w:pPr>
      <w:r>
        <w:t xml:space="preserve">La lista no es exhaustiva: S0 abarca cualquier sustancia sin autorización, y S2 también las «sustancias afines» con un efecto similar. Por tanto, no estar mencionado nominalmente no significa estar permitido. Precisamente las sustancias del eje de la hormona del crecimiento populares en los deportes de fuerza, así como el BPC-157 y el TB-500, están expresamente prohibidas. En caso de duda, las agencias nacionales antidopaje ofrecen información.</w:t>
      </w:r>
    </w:p>
    <w:bookmarkEnd w:id="2533"/>
    <w:bookmarkEnd w:id="2534"/>
    <w:bookmarkStart w:id="2535" w:name="lo-que-muestra-la-visión-general"/>
    <w:p>
      <w:pPr>
        <w:pStyle w:val="Heading3"/>
      </w:pPr>
      <w:r>
        <w:t xml:space="preserve">Lo que muestra la visión general</w:t>
      </w:r>
    </w:p>
    <w:p>
      <w:pPr>
        <w:pStyle w:val="FirstParagraph"/>
      </w:pPr>
      <w:r>
        <w:t xml:space="preserve">Los péptidos bien estudiados son casi exclusivamente medicamentos autorizados procedentes de grandes estudios registrados de antemano. La mayoría de los péptidos populares en internet tienen nivel de evidencia C o D, no están autorizados en ninguna parte y con frecuencia están prohibidos en el deporte. Entre ambos extremos se sitúan sustancias que se han estudiado seriamente en humanos, pero cuyos estudios no han confirmado el beneficio esperado. Los dos capítulos siguientes profundizan en ello para los medicamentos GLP-1 y para los péptidos de internet más populares.</w:t>
      </w:r>
    </w:p>
    <w:bookmarkEnd w:id="2535"/>
    <w:bookmarkEnd w:id="2536"/>
    <w:bookmarkStart w:id="2578" w:name="glp-1-y-compañía-comparación-directa"/>
    <w:p>
      <w:pPr>
        <w:pStyle w:val="Heading2"/>
      </w:pPr>
      <w:r>
        <w:t xml:space="preserve">GLP-1 y compañía: comparación directa</w:t>
      </w:r>
    </w:p>
    <w:p>
      <w:pPr>
        <w:pStyle w:val="FirstParagraph"/>
      </w:pPr>
      <w:r>
        <w:t xml:space="preserve">Ningún otro grupo de este libro está tan bien estudiado como los fármacos incretínicos: agonistas del receptor de GLP-1 como la liraglutida y la semaglutida, el agonista doble tirzepatida y una serie de sucesores que actúan además sobre el receptor de glucagón o de amilina. Para ellos existen programas de autorización con decenas de miles de participantes, grandes estudios cardiovasculares y, cada vez más, también estudios de comparación directa. Este capítulo presenta en paralelo los resultados más importantes. Todas las cifras proceden de los capítulos de la Parte II, grupo A, y de los estudios citados en ellos; allí encontrarás también las limitaciones de cada estudio.</w:t>
      </w:r>
    </w:p>
    <w:p>
      <w:pPr>
        <w:pStyle w:val="BodyText"/>
      </w:pPr>
      <w:r>
        <w:t xml:space="preserve">Este capítulo no es una ayuda para decidir un tratamiento. Qué medicamento es adecuado en cada caso depende de las enfermedades concomitantes, la tolerancia, la autorización, la cobertura de costes y la disponibilidad, y corresponde a los profesionales médicos. Lo determinante es la ficha técnica correspondiente y el acompañamiento médico.</w:t>
      </w:r>
    </w:p>
    <w:bookmarkStart w:id="2537" w:name="X1c95a2d603a6f86ff2367a105e20f2b2c9b0262"/>
    <w:p>
      <w:pPr>
        <w:pStyle w:val="Heading3"/>
      </w:pPr>
      <w:r>
        <w:t xml:space="preserve">Antes de nada: por qué no se pueden poner estudios simplemente uno al lado del otro</w:t>
      </w:r>
    </w:p>
    <w:p>
      <w:pPr>
        <w:pStyle w:val="FirstParagraph"/>
      </w:pPr>
      <w:r>
        <w:t xml:space="preserve">Las tablas de este capítulo invitan a comparar cifras de estudios distintos, por ejemplo un 20,9 % de pérdida de peso con tirzepatida frente a un 14,9 % con semaglutida. Estas comparaciones cruzadas («cross-trial comparisons») solo son admisibles de forma limitada. Los motivos:</w:t>
      </w:r>
    </w:p>
    <w:p>
      <w:pPr>
        <w:numPr>
          <w:ilvl w:val="0"/>
          <w:numId w:val="1324"/>
        </w:numPr>
        <w:pStyle w:val="Compact"/>
      </w:pPr>
      <w:r>
        <w:rPr>
          <w:bCs/>
          <w:b/>
        </w:rPr>
        <w:t xml:space="preserve">Participantes distintos:</w:t>
      </w:r>
      <w:r>
        <w:t xml:space="preserve"> </w:t>
      </w:r>
      <w:r>
        <w:t xml:space="preserve">las personas con diabetes tipo 2 pierden claramente menos peso con todos los fármacos incretínicos que las personas sin diabetes. Los estudios en China o Japón incluyen a personas con un peso inicial menor que los estudios en Norteamérica y Europa.</w:t>
      </w:r>
    </w:p>
    <w:p>
      <w:pPr>
        <w:numPr>
          <w:ilvl w:val="0"/>
          <w:numId w:val="1324"/>
        </w:numPr>
        <w:pStyle w:val="Compact"/>
      </w:pPr>
      <w:r>
        <w:rPr>
          <w:bCs/>
          <w:b/>
        </w:rPr>
        <w:t xml:space="preserve">Duración distinta:</w:t>
      </w:r>
      <w:r>
        <w:t xml:space="preserve"> </w:t>
      </w:r>
      <w:r>
        <w:t xml:space="preserve">una pérdida de peso a las 48 semanas no es lo mismo que a las 80 semanas; muchas curvas se aplanan solo tarde.</w:t>
      </w:r>
    </w:p>
    <w:p>
      <w:pPr>
        <w:numPr>
          <w:ilvl w:val="0"/>
          <w:numId w:val="1324"/>
        </w:numPr>
        <w:pStyle w:val="Compact"/>
      </w:pPr>
      <w:r>
        <w:rPr>
          <w:bCs/>
          <w:b/>
        </w:rPr>
        <w:t xml:space="preserve">Análisis distinto:</w:t>
      </w:r>
      <w:r>
        <w:t xml:space="preserve"> </w:t>
      </w:r>
      <w:r>
        <w:t xml:space="preserve">algunos estudios analizan a todos los participantes, aunque hayan abandonado el tratamiento (el llamado estimador de estrategia de tratamiento o «treatment policy»). Otros calculan como si todos hubieran tomado el medicamento según lo previsto. La segunda variante ofrece cifras más favorables.</w:t>
      </w:r>
    </w:p>
    <w:p>
      <w:pPr>
        <w:numPr>
          <w:ilvl w:val="0"/>
          <w:numId w:val="1324"/>
        </w:numPr>
        <w:pStyle w:val="Compact"/>
      </w:pPr>
      <w:r>
        <w:rPr>
          <w:bCs/>
          <w:b/>
        </w:rPr>
        <w:t xml:space="preserve">Grupos placebo distintos:</w:t>
      </w:r>
      <w:r>
        <w:t xml:space="preserve"> </w:t>
      </w:r>
      <w:r>
        <w:t xml:space="preserve">con placebo, los participantes perdieron, según el estudio, entre nada y más del 5 % de su peso, en función de la intensidad del asesoramiento nutricional y de actividad física que lo acompañaba.</w:t>
      </w:r>
    </w:p>
    <w:p>
      <w:pPr>
        <w:numPr>
          <w:ilvl w:val="0"/>
          <w:numId w:val="1324"/>
        </w:numPr>
        <w:pStyle w:val="Compact"/>
      </w:pPr>
      <w:r>
        <w:rPr>
          <w:bCs/>
          <w:b/>
        </w:rPr>
        <w:t xml:space="preserve">Fases distintas:</w:t>
      </w:r>
      <w:r>
        <w:t xml:space="preserve"> </w:t>
      </w:r>
      <w:r>
        <w:t xml:space="preserve">los resultados de pequeños estudios de fase 2 suelen ser más favorables que los posteriores grandes estudios de fase 3.</w:t>
      </w:r>
    </w:p>
    <w:p>
      <w:pPr>
        <w:pStyle w:val="FirstParagraph"/>
      </w:pPr>
      <w:r>
        <w:t xml:space="preserve">Una comparación solo es sólida si dos principios activos se asignaron al azar en el</w:t>
      </w:r>
      <w:r>
        <w:t xml:space="preserve"> </w:t>
      </w:r>
      <w:r>
        <w:rPr>
          <w:iCs/>
          <w:i/>
        </w:rPr>
        <w:t xml:space="preserve">mismo</w:t>
      </w:r>
      <w:r>
        <w:t xml:space="preserve"> </w:t>
      </w:r>
      <w:r>
        <w:t xml:space="preserve">estudio. Estas comparaciones directas se recogen al final de este capítulo. Las demás tablas muestran órdenes de magnitud, no una clasificación.</w:t>
      </w:r>
    </w:p>
    <w:bookmarkEnd w:id="2537"/>
    <w:bookmarkStart w:id="2544" w:name="Xcb3a1e9fdf6ddaa73f5083a635e1f0336f9b086"/>
    <w:p>
      <w:pPr>
        <w:pStyle w:val="Heading3"/>
      </w:pPr>
      <w:r>
        <w:t xml:space="preserve">Pérdida de peso en los estudios de autorización</w:t>
      </w:r>
    </w:p>
    <w:p>
      <w:pPr>
        <w:pStyle w:val="FirstParagraph"/>
      </w:pPr>
      <w:r>
        <w:t xml:space="preserve">La siguiente tabla muestra el estudio controlado con placebo más importante en cada caso en adultos con sobrepeso u obesidad</w:t>
      </w:r>
      <w:r>
        <w:t xml:space="preserve"> </w:t>
      </w:r>
      <w:r>
        <w:rPr>
          <w:iCs/>
          <w:i/>
        </w:rPr>
        <w:t xml:space="preserve">sin</w:t>
      </w:r>
      <w:r>
        <w:t xml:space="preserve"> </w:t>
      </w:r>
      <w:r>
        <w:t xml:space="preserve">diabetes. Se indica la variación media del peso corporal con la dosis más alta estudiada frente a placebo. La exenatida, la dulaglutida y la pramlintida no están autorizadas para la reducción de peso y por eso no figuran.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Pérdida de peso frente a placebo</w:t>
            </w:r>
          </w:p>
        </w:tc>
      </w:tr>
      <w:tr>
        <w:tc>
          <w:tcPr/>
          <w:p>
            <w:pPr>
              <w:pStyle w:val="Compact"/>
              <w:jc w:val="left"/>
            </w:pPr>
            <w:r>
              <w:t xml:space="preserve">Liraglutida 3,0 mg</w:t>
            </w:r>
          </w:p>
        </w:tc>
        <w:tc>
          <w:tcPr/>
          <w:p>
            <w:pPr>
              <w:pStyle w:val="Compact"/>
              <w:jc w:val="left"/>
            </w:pPr>
            <w:r>
              <w:t xml:space="preserve">SCALE (Pi-Sunyer 2015), PMID 26132939</w:t>
            </w:r>
          </w:p>
        </w:tc>
        <w:tc>
          <w:tcPr/>
          <w:p>
            <w:pPr>
              <w:pStyle w:val="Compact"/>
              <w:jc w:val="left"/>
            </w:pPr>
            <w:r>
              <w:t xml:space="preserve">56 semanas</w:t>
            </w:r>
          </w:p>
        </w:tc>
        <w:tc>
          <w:tcPr/>
          <w:p>
            <w:pPr>
              <w:pStyle w:val="Compact"/>
              <w:jc w:val="left"/>
            </w:pPr>
            <w:r>
              <w:t xml:space="preserve">−8,4 kg frente a −2,8 kg</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68 semanas</w:t>
            </w:r>
          </w:p>
        </w:tc>
        <w:tc>
          <w:tcPr/>
          <w:p>
            <w:pPr>
              <w:pStyle w:val="Compact"/>
              <w:jc w:val="left"/>
            </w:pPr>
            <w:r>
              <w:t xml:space="preserve">−14,9 % frente a −2,4 %</w:t>
            </w:r>
          </w:p>
        </w:tc>
      </w:tr>
      <w:tr>
        <w:tc>
          <w:tcPr/>
          <w:p>
            <w:pPr>
              <w:pStyle w:val="Compact"/>
              <w:jc w:val="left"/>
            </w:pPr>
            <w:r>
              <w:t xml:space="preserve">Semaglutida 7,2 mg</w:t>
            </w:r>
          </w:p>
        </w:tc>
        <w:tc>
          <w:tcPr/>
          <w:p>
            <w:pPr>
              <w:pStyle w:val="Compact"/>
              <w:jc w:val="left"/>
            </w:pPr>
            <w:r>
              <w:t xml:space="preserve">STEP UP (Wharton 2025), PMID 40961952</w:t>
            </w:r>
          </w:p>
        </w:tc>
        <w:tc>
          <w:tcPr/>
          <w:p>
            <w:pPr>
              <w:pStyle w:val="Compact"/>
              <w:jc w:val="left"/>
            </w:pPr>
            <w:r>
              <w:t xml:space="preserve">72 semanas</w:t>
            </w:r>
          </w:p>
        </w:tc>
        <w:tc>
          <w:tcPr/>
          <w:p>
            <w:pPr>
              <w:pStyle w:val="Compact"/>
              <w:jc w:val="left"/>
            </w:pPr>
            <w:r>
              <w:t xml:space="preserve">−18,7 % frente a −3,9 %</w:t>
            </w:r>
          </w:p>
        </w:tc>
      </w:tr>
      <w:tr>
        <w:tc>
          <w:tcPr/>
          <w:p>
            <w:pPr>
              <w:pStyle w:val="Compact"/>
              <w:jc w:val="left"/>
            </w:pPr>
            <w:r>
              <w:t xml:space="preserve">Semaglutida en comprimido 50 mg</w:t>
            </w:r>
          </w:p>
        </w:tc>
        <w:tc>
          <w:tcPr/>
          <w:p>
            <w:pPr>
              <w:pStyle w:val="Compact"/>
              <w:jc w:val="left"/>
            </w:pPr>
            <w:r>
              <w:t xml:space="preserve">OASIS 1 (Knop 2023), PMID 37385278</w:t>
            </w:r>
          </w:p>
        </w:tc>
        <w:tc>
          <w:tcPr/>
          <w:p>
            <w:pPr>
              <w:pStyle w:val="Compact"/>
              <w:jc w:val="left"/>
            </w:pPr>
            <w:r>
              <w:t xml:space="preserve">68 semanas</w:t>
            </w:r>
          </w:p>
        </w:tc>
        <w:tc>
          <w:tcPr/>
          <w:p>
            <w:pPr>
              <w:pStyle w:val="Compact"/>
              <w:jc w:val="left"/>
            </w:pPr>
            <w:r>
              <w:t xml:space="preserve">−15,1 % frente a −2,4 %</w:t>
            </w:r>
          </w:p>
        </w:tc>
      </w:tr>
      <w:tr>
        <w:tc>
          <w:tcPr/>
          <w:p>
            <w:pPr>
              <w:pStyle w:val="Compact"/>
              <w:jc w:val="left"/>
            </w:pPr>
            <w:r>
              <w:t xml:space="preserve">Tirzepatida 15 mg</w:t>
            </w:r>
          </w:p>
        </w:tc>
        <w:tc>
          <w:tcPr/>
          <w:p>
            <w:pPr>
              <w:pStyle w:val="Compact"/>
              <w:jc w:val="left"/>
            </w:pPr>
            <w:r>
              <w:t xml:space="preserve">SURMOUNT-1 (Jastreboff 2022), PMID 35658024</w:t>
            </w:r>
          </w:p>
        </w:tc>
        <w:tc>
          <w:tcPr/>
          <w:p>
            <w:pPr>
              <w:pStyle w:val="Compact"/>
              <w:jc w:val="left"/>
            </w:pPr>
            <w:r>
              <w:t xml:space="preserve">72 semanas</w:t>
            </w:r>
          </w:p>
        </w:tc>
        <w:tc>
          <w:tcPr/>
          <w:p>
            <w:pPr>
              <w:pStyle w:val="Compact"/>
              <w:jc w:val="left"/>
            </w:pPr>
            <w:r>
              <w:t xml:space="preserve">−20,9 % frente a −3,1 %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semanas</w:t>
            </w:r>
          </w:p>
        </w:tc>
        <w:tc>
          <w:tcPr/>
          <w:p>
            <w:pPr>
              <w:pStyle w:val="Compact"/>
              <w:jc w:val="left"/>
            </w:pPr>
            <w:r>
              <w:t xml:space="preserve">−20,4 % frente a −3,0 %</w:t>
            </w:r>
          </w:p>
        </w:tc>
      </w:tr>
      <w:tr>
        <w:tc>
          <w:tcPr/>
          <w:p>
            <w:pPr>
              <w:pStyle w:val="Compact"/>
              <w:jc w:val="left"/>
            </w:pPr>
            <w:r>
              <w:t xml:space="preserve">Retatrutida 12 mg</w:t>
            </w:r>
          </w:p>
        </w:tc>
        <w:tc>
          <w:tcPr/>
          <w:p>
            <w:pPr>
              <w:pStyle w:val="Compact"/>
              <w:jc w:val="left"/>
            </w:pPr>
            <w:r>
              <w:t xml:space="preserve">TRIUMPH-1 (Jastreboff 2026), PMID 42814954</w:t>
            </w:r>
          </w:p>
        </w:tc>
        <w:tc>
          <w:tcPr/>
          <w:p>
            <w:pPr>
              <w:pStyle w:val="Compact"/>
              <w:jc w:val="left"/>
            </w:pPr>
            <w:r>
              <w:t xml:space="preserve">80 semanas</w:t>
            </w:r>
          </w:p>
        </w:tc>
        <w:tc>
          <w:tcPr/>
          <w:p>
            <w:pPr>
              <w:pStyle w:val="Compact"/>
              <w:jc w:val="left"/>
            </w:pPr>
            <w:r>
              <w:t xml:space="preserve">−25,0 % frente a −3,9 %</w:t>
            </w:r>
          </w:p>
        </w:tc>
      </w:tr>
      <w:tr>
        <w:tc>
          <w:tcPr/>
          <w:p>
            <w:pPr>
              <w:pStyle w:val="Compact"/>
              <w:jc w:val="left"/>
            </w:pPr>
            <w:r>
              <w:t xml:space="preserve">Survodutida 6,0 mg</w:t>
            </w:r>
          </w:p>
        </w:tc>
        <w:tc>
          <w:tcPr/>
          <w:p>
            <w:pPr>
              <w:pStyle w:val="Compact"/>
              <w:jc w:val="left"/>
            </w:pPr>
            <w:r>
              <w:t xml:space="preserve">SYNCHRONIZE-1 (le Roux 2026), PMID 42253238</w:t>
            </w:r>
          </w:p>
        </w:tc>
        <w:tc>
          <w:tcPr/>
          <w:p>
            <w:pPr>
              <w:pStyle w:val="Compact"/>
              <w:jc w:val="left"/>
            </w:pPr>
            <w:r>
              <w:t xml:space="preserve">76 semanas</w:t>
            </w:r>
          </w:p>
        </w:tc>
        <w:tc>
          <w:tcPr/>
          <w:p>
            <w:pPr>
              <w:pStyle w:val="Compact"/>
              <w:jc w:val="left"/>
            </w:pPr>
            <w:r>
              <w:t xml:space="preserve">−13,0 % frente a −5,4 %</w:t>
            </w:r>
          </w:p>
        </w:tc>
      </w:tr>
      <w:tr>
        <w:tc>
          <w:tcPr/>
          <w:p>
            <w:pPr>
              <w:pStyle w:val="Compact"/>
              <w:jc w:val="left"/>
            </w:pPr>
            <w:r>
              <w:t xml:space="preserve">Mazdutida 6 mg</w:t>
            </w:r>
          </w:p>
        </w:tc>
        <w:tc>
          <w:tcPr/>
          <w:p>
            <w:pPr>
              <w:pStyle w:val="Compact"/>
              <w:jc w:val="left"/>
            </w:pPr>
            <w:r>
              <w:t xml:space="preserve">GLORY-1 (Ji 2025), PMID 40421736</w:t>
            </w:r>
          </w:p>
        </w:tc>
        <w:tc>
          <w:tcPr/>
          <w:p>
            <w:pPr>
              <w:pStyle w:val="Compact"/>
              <w:jc w:val="left"/>
            </w:pPr>
            <w:r>
              <w:t xml:space="preserve">48 semanas</w:t>
            </w:r>
          </w:p>
        </w:tc>
        <w:tc>
          <w:tcPr/>
          <w:p>
            <w:pPr>
              <w:pStyle w:val="Compact"/>
              <w:jc w:val="left"/>
            </w:pPr>
            <w:r>
              <w:t xml:space="preserve">−14,0 % frente a +0,3 %</w:t>
            </w:r>
          </w:p>
        </w:tc>
      </w:tr>
      <w:tr>
        <w:tc>
          <w:tcPr/>
          <w:p>
            <w:pPr>
              <w:pStyle w:val="Compact"/>
              <w:jc w:val="left"/>
            </w:pPr>
            <w:r>
              <w:t xml:space="preserve">Maridebart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−12,3 a −16,2 % frente a −2,5 %</w:t>
            </w:r>
          </w:p>
        </w:tc>
      </w:tr>
      <w:tr>
        <w:tc>
          <w:tcPr/>
          <w:p>
            <w:pPr>
              <w:pStyle w:val="Compact"/>
              <w:jc w:val="left"/>
            </w:pPr>
            <w:r>
              <w:t xml:space="preserve">Amicretina (inyección)</w:t>
            </w:r>
          </w:p>
        </w:tc>
        <w:tc>
          <w:tcPr/>
          <w:p>
            <w:pPr>
              <w:pStyle w:val="Compact"/>
              <w:jc w:val="left"/>
            </w:pPr>
            <w:r>
              <w:t xml:space="preserve">Fase 1b/2a (Dahl 2025), PMID 40550231</w:t>
            </w:r>
          </w:p>
        </w:tc>
        <w:tc>
          <w:tcPr/>
          <w:p>
            <w:pPr>
              <w:pStyle w:val="Compact"/>
              <w:jc w:val="left"/>
            </w:pPr>
            <w:r>
              <w:t xml:space="preserve">36 semanas</w:t>
            </w:r>
          </w:p>
        </w:tc>
        <w:tc>
          <w:tcPr/>
          <w:p>
            <w:pPr>
              <w:pStyle w:val="Compact"/>
              <w:jc w:val="left"/>
            </w:pPr>
            <w:r>
              <w:t xml:space="preserve">hasta −24,3 % frente a −1,1 %</w:t>
            </w:r>
          </w:p>
        </w:tc>
      </w:tr>
      <w:tr>
        <w:tc>
          <w:tcPr/>
          <w:p>
            <w:pPr>
              <w:pStyle w:val="Compact"/>
              <w:jc w:val="left"/>
            </w:pPr>
            <w:r>
              <w:t xml:space="preserve">Orforglipron 36 mg (comprimido, no es un péptido)</w:t>
            </w:r>
          </w:p>
        </w:tc>
        <w:tc>
          <w:tcPr/>
          <w:p>
            <w:pPr>
              <w:pStyle w:val="Compact"/>
              <w:jc w:val="left"/>
            </w:pPr>
            <w:r>
              <w:t xml:space="preserve">ATTAIN-1 (Wharton 2025), PMID 40960239</w:t>
            </w:r>
          </w:p>
        </w:tc>
        <w:tc>
          <w:tcPr/>
          <w:p>
            <w:pPr>
              <w:pStyle w:val="Compact"/>
              <w:jc w:val="left"/>
            </w:pPr>
            <w:r>
              <w:t xml:space="preserve">72 semanas</w:t>
            </w:r>
          </w:p>
        </w:tc>
        <w:tc>
          <w:tcPr/>
          <w:p>
            <w:pPr>
              <w:pStyle w:val="Compact"/>
              <w:jc w:val="left"/>
            </w:pPr>
            <w:r>
              <w:t xml:space="preserve">−11,2 % frente a −2,1 %</w:t>
            </w:r>
          </w:p>
        </w:tc>
      </w:tr>
    </w:tbl>
    <w:p>
      <w:pPr>
        <w:pStyle w:val="BodyText"/>
      </w:pPr>
      <w:r>
        <w:t xml:space="preserve">Para situar cada fila:</w:t>
      </w:r>
    </w:p>
    <w:p>
      <w:pPr>
        <w:numPr>
          <w:ilvl w:val="0"/>
          <w:numId w:val="1325"/>
        </w:numPr>
        <w:pStyle w:val="Compact"/>
      </w:pPr>
      <w:r>
        <w:rPr>
          <w:bCs/>
          <w:b/>
        </w:rPr>
        <w:t xml:space="preserve">La liraglutida</w:t>
      </w:r>
      <w:r>
        <w:t xml:space="preserve"> </w:t>
      </w:r>
      <w:r>
        <w:t xml:space="preserve">es el único principio activo cuyo estudio de autorización da como resultado principal la pérdida en kilogramos; con un peso inicial de 106,2 kg, eso equivale aproximadamente a un 8 %. En el estudio de comparación directa STEP 8 fue un −6,4 % (véase más abajo).</w:t>
      </w:r>
    </w:p>
    <w:p>
      <w:pPr>
        <w:numPr>
          <w:ilvl w:val="0"/>
          <w:numId w:val="1325"/>
        </w:numPr>
        <w:pStyle w:val="Compact"/>
      </w:pPr>
      <w:r>
        <w:rPr>
          <w:bCs/>
          <w:b/>
        </w:rPr>
        <w:t xml:space="preserve">La retatrutida, CagriSema, la survodutida, la maridebart cafraglutida y la amicretina</w:t>
      </w:r>
      <w:r>
        <w:t xml:space="preserve"> </w:t>
      </w:r>
      <w:r>
        <w:t xml:space="preserve">no están autorizadas (situación en octubre de 2026). Para la maridebart cafraglutida y la amicretina solo hay datos de fase 2; el estudio de amicretina incluyó a 125 personas, y el valor corresponde a la dosis más alta de un estudio de búsqueda de dosis.</w:t>
      </w:r>
    </w:p>
    <w:p>
      <w:pPr>
        <w:numPr>
          <w:ilvl w:val="0"/>
          <w:numId w:val="1325"/>
        </w:numPr>
        <w:pStyle w:val="Compact"/>
      </w:pPr>
      <w:r>
        <w:rPr>
          <w:bCs/>
          <w:b/>
        </w:rPr>
        <w:t xml:space="preserve">La mazdutida</w:t>
      </w:r>
      <w:r>
        <w:t xml:space="preserve"> </w:t>
      </w:r>
      <w:r>
        <w:t xml:space="preserve">solo está autorizada en China. GLORY-1 incluyó, según criterios chinos, a personas a partir de un IMC de 28 (o de 24 con enfermedad concomitante); el peso inicial medio era de 87,2 kg. En GLORY-2, con una dosis más alta, se obtuvo tras 60 semanas un −16,65 % frente a un −1,50 %</w:t>
      </w:r>
      <w:r>
        <w:rPr>
          <w:rStyle w:val="FootnoteReference"/>
        </w:rPr>
        <w:footnoteReference w:id="2538"/>
      </w:r>
      <w:r>
        <w:t xml:space="preserve">.</w:t>
      </w:r>
    </w:p>
    <w:p>
      <w:pPr>
        <w:numPr>
          <w:ilvl w:val="0"/>
          <w:numId w:val="1325"/>
        </w:numPr>
        <w:pStyle w:val="Compact"/>
      </w:pPr>
      <w:r>
        <w:rPr>
          <w:bCs/>
          <w:b/>
        </w:rPr>
        <w:t xml:space="preserve">La survodutida</w:t>
      </w:r>
      <w:r>
        <w:t xml:space="preserve"> </w:t>
      </w:r>
      <w:r>
        <w:t xml:space="preserve">llama la atención por la elevada pérdida con placebo, del 5,4 %; el análisis principal tuvo en cuenta expresamente también los abandonos y las escaladas de dosis prolongadas.</w:t>
      </w:r>
    </w:p>
    <w:p>
      <w:pPr>
        <w:pStyle w:val="FirstParagraph"/>
      </w:pPr>
      <w:r>
        <w:t xml:space="preserve">Llama la atención una secuencia escalonada: los agonistas puros de GLP-1 alcanzan de media entre el 8 y el 15 %, la dosis más alta de semaglutida casi el 19 %, las combinaciones con GIP o amilina en torno al 20 %, y el agonista triple retatrutida el 25 %. Este orden está respaldado por las comparaciones directas SURMOUNT-5, STEP 8 y REDEFINE 5; para la retatrutida, la comparación directa con tirzepatida aún está pendiente</w:t>
      </w:r>
      <w:r>
        <w:rPr>
          <w:rStyle w:val="FootnoteReference"/>
        </w:rPr>
        <w:footnoteReference w:id="2539"/>
      </w:r>
      <w:r>
        <w:t xml:space="preserve">.</w:t>
      </w:r>
    </w:p>
    <w:bookmarkStart w:id="2540" w:name="Xbd99dc9ed15c1a07e98eaf06535802a47ec9318"/>
    <w:p>
      <w:pPr>
        <w:pStyle w:val="Heading4"/>
      </w:pPr>
      <w:r>
        <w:t xml:space="preserve">Con diabetes tipo 2, la pérdida de peso es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Pérdida de peso frente a placebo</w:t>
            </w:r>
          </w:p>
        </w:tc>
      </w:tr>
      <w:tr>
        <w:tc>
          <w:tcPr/>
          <w:p>
            <w:pPr>
              <w:pStyle w:val="Compact"/>
              <w:jc w:val="left"/>
            </w:pPr>
            <w:r>
              <w:t xml:space="preserve">Liraglutida 3,0 mg</w:t>
            </w:r>
          </w:p>
        </w:tc>
        <w:tc>
          <w:tcPr/>
          <w:p>
            <w:pPr>
              <w:pStyle w:val="Compact"/>
              <w:jc w:val="left"/>
            </w:pPr>
            <w:r>
              <w:t xml:space="preserve">SCALE Diabetes (Davies 2015), PMID 26284720</w:t>
            </w:r>
          </w:p>
        </w:tc>
        <w:tc>
          <w:tcPr/>
          <w:p>
            <w:pPr>
              <w:pStyle w:val="Compact"/>
              <w:jc w:val="left"/>
            </w:pPr>
            <w:r>
              <w:t xml:space="preserve">56 semanas</w:t>
            </w:r>
          </w:p>
        </w:tc>
        <w:tc>
          <w:tcPr/>
          <w:p>
            <w:pPr>
              <w:pStyle w:val="Compact"/>
              <w:jc w:val="left"/>
            </w:pPr>
            <w:r>
              <w:t xml:space="preserve">−6,0 % frente a −2,0 %</w:t>
            </w:r>
          </w:p>
        </w:tc>
      </w:tr>
      <w:tr>
        <w:tc>
          <w:tcPr/>
          <w:p>
            <w:pPr>
              <w:pStyle w:val="Compact"/>
              <w:jc w:val="left"/>
            </w:pPr>
            <w:r>
              <w:t xml:space="preserve">Semaglutida 2,4 mg</w:t>
            </w:r>
          </w:p>
        </w:tc>
        <w:tc>
          <w:tcPr/>
          <w:p>
            <w:pPr>
              <w:pStyle w:val="Compact"/>
              <w:jc w:val="left"/>
            </w:pPr>
            <w:r>
              <w:t xml:space="preserve">STEP 2 (Davies 2021), PMID 33667417</w:t>
            </w:r>
          </w:p>
        </w:tc>
        <w:tc>
          <w:tcPr/>
          <w:p>
            <w:pPr>
              <w:pStyle w:val="Compact"/>
              <w:jc w:val="left"/>
            </w:pPr>
            <w:r>
              <w:t xml:space="preserve">68 semanas</w:t>
            </w:r>
          </w:p>
        </w:tc>
        <w:tc>
          <w:tcPr/>
          <w:p>
            <w:pPr>
              <w:pStyle w:val="Compact"/>
              <w:jc w:val="left"/>
            </w:pPr>
            <w:r>
              <w:t xml:space="preserve">−9,6 % frente a −3,4 %</w:t>
            </w:r>
          </w:p>
        </w:tc>
      </w:tr>
      <w:tr>
        <w:tc>
          <w:tcPr/>
          <w:p>
            <w:pPr>
              <w:pStyle w:val="Compact"/>
              <w:jc w:val="left"/>
            </w:pPr>
            <w:r>
              <w:t xml:space="preserve">Tirzepatida 10/15 mg</w:t>
            </w:r>
          </w:p>
        </w:tc>
        <w:tc>
          <w:tcPr/>
          <w:p>
            <w:pPr>
              <w:pStyle w:val="Compact"/>
              <w:jc w:val="left"/>
            </w:pPr>
            <w:r>
              <w:t xml:space="preserve">SURMOUNT-2 (Garvey 2023), PMID 37385275</w:t>
            </w:r>
          </w:p>
        </w:tc>
        <w:tc>
          <w:tcPr/>
          <w:p>
            <w:pPr>
              <w:pStyle w:val="Compact"/>
              <w:jc w:val="left"/>
            </w:pPr>
            <w:r>
              <w:t xml:space="preserve">72 semanas</w:t>
            </w:r>
          </w:p>
        </w:tc>
        <w:tc>
          <w:tcPr/>
          <w:p>
            <w:pPr>
              <w:pStyle w:val="Compact"/>
              <w:jc w:val="left"/>
            </w:pPr>
            <w:r>
              <w:t xml:space="preserve">−12,8 / −14,7 % frente a −3,2 %</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semanas</w:t>
            </w:r>
          </w:p>
        </w:tc>
        <w:tc>
          <w:tcPr/>
          <w:p>
            <w:pPr>
              <w:pStyle w:val="Compact"/>
              <w:jc w:val="left"/>
            </w:pPr>
            <w:r>
              <w:t xml:space="preserve">−13,7 % frente a −3,4 %</w:t>
            </w:r>
          </w:p>
        </w:tc>
      </w:tr>
      <w:tr>
        <w:tc>
          <w:tcPr/>
          <w:p>
            <w:pPr>
              <w:pStyle w:val="Compact"/>
              <w:jc w:val="left"/>
            </w:pPr>
            <w:r>
              <w:t xml:space="preserve">Retatrutida 12 mg</w:t>
            </w:r>
          </w:p>
        </w:tc>
        <w:tc>
          <w:tcPr/>
          <w:p>
            <w:pPr>
              <w:pStyle w:val="Compact"/>
              <w:jc w:val="left"/>
            </w:pPr>
            <w:r>
              <w:t xml:space="preserve">TRIUMPH-2 (Bellido 2026), PMID 42810372</w:t>
            </w:r>
          </w:p>
        </w:tc>
        <w:tc>
          <w:tcPr/>
          <w:p>
            <w:pPr>
              <w:pStyle w:val="Compact"/>
              <w:jc w:val="left"/>
            </w:pPr>
            <w:r>
              <w:t xml:space="preserve">80 semanas</w:t>
            </w:r>
          </w:p>
        </w:tc>
        <w:tc>
          <w:tcPr/>
          <w:p>
            <w:pPr>
              <w:pStyle w:val="Compact"/>
              <w:jc w:val="left"/>
            </w:pPr>
            <w:r>
              <w:t xml:space="preserve">−18,8 % frente a −5,1 %</w:t>
            </w:r>
          </w:p>
        </w:tc>
      </w:tr>
      <w:tr>
        <w:tc>
          <w:tcPr/>
          <w:p>
            <w:pPr>
              <w:pStyle w:val="Compact"/>
              <w:jc w:val="left"/>
            </w:pPr>
            <w:r>
              <w:t xml:space="preserve">Survodutida</w:t>
            </w:r>
          </w:p>
        </w:tc>
        <w:tc>
          <w:tcPr/>
          <w:p>
            <w:pPr>
              <w:pStyle w:val="Compact"/>
              <w:jc w:val="left"/>
            </w:pPr>
            <w:r>
              <w:t xml:space="preserve">SYNCHRONIZE-2 (Wharton 2026), PMID 42820639</w:t>
            </w:r>
          </w:p>
        </w:tc>
        <w:tc>
          <w:tcPr/>
          <w:p>
            <w:pPr>
              <w:pStyle w:val="Compact"/>
              <w:jc w:val="left"/>
            </w:pPr>
            <w:r>
              <w:t xml:space="preserve">76 semanas</w:t>
            </w:r>
          </w:p>
        </w:tc>
        <w:tc>
          <w:tcPr/>
          <w:p>
            <w:pPr>
              <w:pStyle w:val="Compact"/>
              <w:jc w:val="left"/>
            </w:pPr>
            <w:r>
              <w:t xml:space="preserve">−8,2 / −9,8 % frente a −3,9 %</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semanas</w:t>
            </w:r>
          </w:p>
        </w:tc>
        <w:tc>
          <w:tcPr/>
          <w:p>
            <w:pPr>
              <w:pStyle w:val="Compact"/>
              <w:jc w:val="left"/>
            </w:pPr>
            <w:r>
              <w:t xml:space="preserve">−5,1 a −9,6 % frente a −2,5 %</w:t>
            </w:r>
          </w:p>
        </w:tc>
      </w:tr>
    </w:tbl>
    <w:p>
      <w:pPr>
        <w:pStyle w:val="BodyText"/>
      </w:pPr>
      <w:r>
        <w:t xml:space="preserve">Con todos los principios activos, el valor con diabetes es claramente inferior al obtenido sin ella, por lo general entre una cuarta y una tercera parte. Este patrón es tan constante que comparar un estudio en diabetes con un estudio de obesidad sin diabetes siempre induce a error.</w:t>
      </w:r>
    </w:p>
    <w:bookmarkEnd w:id="2540"/>
    <w:bookmarkStart w:id="2543" w:name="tras-la-suspensión"/>
    <w:p>
      <w:pPr>
        <w:pStyle w:val="Heading4"/>
      </w:pPr>
      <w:r>
        <w:t xml:space="preserve">Tras la suspensión</w:t>
      </w:r>
    </w:p>
    <w:p>
      <w:pPr>
        <w:pStyle w:val="FirstParagraph"/>
      </w:pPr>
      <w:r>
        <w:t xml:space="preserve">Dos estudios han investigado específicamente qué ocurre tras suspender el tratamiento. En STEP 4, todos los participantes recibieron primero 20 semanas de semaglutida; después, el grupo que pasó a placebo recuperó un 6,9 % en 48 semanas, mientras que el grupo con semaglutida perdió otro 7,9 %</w:t>
      </w:r>
      <w:r>
        <w:rPr>
          <w:rStyle w:val="FootnoteReference"/>
        </w:rPr>
        <w:footnoteReference w:id="2541"/>
      </w:r>
      <w:r>
        <w:t xml:space="preserve">. En SURMOUNT-4, el grupo placebo recuperó, tras 36 semanas de tirzepatida, un 14,0 % en las 52 semanas siguientes</w:t>
      </w:r>
      <w:r>
        <w:rPr>
          <w:rStyle w:val="FootnoteReference"/>
        </w:rPr>
        <w:footnoteReference w:id="2542"/>
      </w:r>
      <w:r>
        <w:t xml:space="preserve">. Para ambos principios activos se cumple: el efecto solo se mantiene mientras dura el tratamiento. Para los principios activos más recientes todavía no hay datos publicados al respecto.</w:t>
      </w:r>
    </w:p>
    <w:bookmarkEnd w:id="2543"/>
    <w:bookmarkEnd w:id="2544"/>
    <w:bookmarkStart w:id="2546" w:name="glucemia-hba1c"/>
    <w:p>
      <w:pPr>
        <w:pStyle w:val="Heading3"/>
      </w:pPr>
      <w:r>
        <w:t xml:space="preserve">Glucemia: HbA1c</w:t>
      </w:r>
    </w:p>
    <w:p>
      <w:pPr>
        <w:pStyle w:val="FirstParagraph"/>
      </w:pPr>
      <w:r>
        <w:t xml:space="preserve">El valor de HbA1c («azúcar a largo plazo») indica qué proporción del pigmento rojo de la sangre está cargada de azúcar y refleja la glucemia media de los últimos dos a tres meses. Una reducción de un punto porcentual se considera clínicamente relevante. Cuánto baja el valor depende mucho del valor inicial: quien empieza con un 9 % puede perder más que alguien con un 7,5 %.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Variación de HbA1c (puntos porcentuales)</w:t>
            </w:r>
          </w:p>
        </w:tc>
      </w:tr>
      <w:tr>
        <w:tc>
          <w:tcPr/>
          <w:p>
            <w:pPr>
              <w:pStyle w:val="Compact"/>
              <w:jc w:val="left"/>
            </w:pPr>
            <w:r>
              <w:t xml:space="preserve">Exenatida dos veces al día</w:t>
            </w:r>
          </w:p>
        </w:tc>
        <w:tc>
          <w:tcPr/>
          <w:p>
            <w:pPr>
              <w:pStyle w:val="Compact"/>
              <w:jc w:val="left"/>
            </w:pPr>
            <w:r>
              <w:t xml:space="preserve">DeFronzo 2005, PMID 15855572</w:t>
            </w:r>
          </w:p>
        </w:tc>
        <w:tc>
          <w:tcPr/>
          <w:p>
            <w:pPr>
              <w:pStyle w:val="Compact"/>
              <w:jc w:val="left"/>
            </w:pPr>
            <w:r>
              <w:t xml:space="preserve">30 semanas</w:t>
            </w:r>
          </w:p>
        </w:tc>
        <w:tc>
          <w:tcPr/>
          <w:p>
            <w:pPr>
              <w:pStyle w:val="Compact"/>
              <w:jc w:val="left"/>
            </w:pPr>
            <w:r>
              <w:t xml:space="preserve">−0,78 frente a +0,08 (placebo)</w:t>
            </w:r>
          </w:p>
        </w:tc>
      </w:tr>
      <w:tr>
        <w:tc>
          <w:tcPr/>
          <w:p>
            <w:pPr>
              <w:pStyle w:val="Compact"/>
              <w:jc w:val="left"/>
            </w:pPr>
            <w:r>
              <w:t xml:space="preserve">Pramlintida</w:t>
            </w:r>
          </w:p>
        </w:tc>
        <w:tc>
          <w:tcPr/>
          <w:p>
            <w:pPr>
              <w:pStyle w:val="Compact"/>
              <w:jc w:val="left"/>
            </w:pPr>
            <w:r>
              <w:t xml:space="preserve">Hollander 2003, PMID 12610038</w:t>
            </w:r>
          </w:p>
        </w:tc>
        <w:tc>
          <w:tcPr/>
          <w:p>
            <w:pPr>
              <w:pStyle w:val="Compact"/>
              <w:jc w:val="left"/>
            </w:pPr>
            <w:r>
              <w:t xml:space="preserve">52 semanas</w:t>
            </w:r>
          </w:p>
        </w:tc>
        <w:tc>
          <w:tcPr/>
          <w:p>
            <w:pPr>
              <w:pStyle w:val="Compact"/>
              <w:jc w:val="left"/>
            </w:pPr>
            <w:r>
              <w:t xml:space="preserve">−0,62 (añadida a la insulina)</w:t>
            </w:r>
          </w:p>
        </w:tc>
      </w:tr>
      <w:tr>
        <w:tc>
          <w:tcPr/>
          <w:p>
            <w:pPr>
              <w:pStyle w:val="Compact"/>
              <w:jc w:val="left"/>
            </w:pPr>
            <w:r>
              <w:t xml:space="preserve">Liraglutida 1,8 mg</w:t>
            </w:r>
          </w:p>
        </w:tc>
        <w:tc>
          <w:tcPr/>
          <w:p>
            <w:pPr>
              <w:pStyle w:val="Compact"/>
              <w:jc w:val="left"/>
            </w:pPr>
            <w:r>
              <w:t xml:space="preserve">LEAD-3 (Garber 2009), PMID 18819705</w:t>
            </w:r>
          </w:p>
        </w:tc>
        <w:tc>
          <w:tcPr/>
          <w:p>
            <w:pPr>
              <w:pStyle w:val="Compact"/>
              <w:jc w:val="left"/>
            </w:pPr>
            <w:r>
              <w:t xml:space="preserve">52 semanas</w:t>
            </w:r>
          </w:p>
        </w:tc>
        <w:tc>
          <w:tcPr/>
          <w:p>
            <w:pPr>
              <w:pStyle w:val="Compact"/>
              <w:jc w:val="left"/>
            </w:pPr>
            <w:r>
              <w:t xml:space="preserve">−1,14 frente a −0,51 (glimepirida)</w:t>
            </w:r>
          </w:p>
        </w:tc>
      </w:tr>
      <w:tr>
        <w:tc>
          <w:tcPr/>
          <w:p>
            <w:pPr>
              <w:pStyle w:val="Compact"/>
              <w:jc w:val="left"/>
            </w:pPr>
            <w:r>
              <w:t xml:space="preserve">Dulaglutida 4,5 mg</w:t>
            </w:r>
          </w:p>
        </w:tc>
        <w:tc>
          <w:tcPr/>
          <w:p>
            <w:pPr>
              <w:pStyle w:val="Compact"/>
              <w:jc w:val="left"/>
            </w:pPr>
            <w:r>
              <w:t xml:space="preserve">AWARD-11 (Frias 2021), PMID 33397768</w:t>
            </w:r>
          </w:p>
        </w:tc>
        <w:tc>
          <w:tcPr/>
          <w:p>
            <w:pPr>
              <w:pStyle w:val="Compact"/>
              <w:jc w:val="left"/>
            </w:pPr>
            <w:r>
              <w:t xml:space="preserve">36 semanas</w:t>
            </w:r>
          </w:p>
        </w:tc>
        <w:tc>
          <w:tcPr/>
          <w:p>
            <w:pPr>
              <w:pStyle w:val="Compact"/>
              <w:jc w:val="left"/>
            </w:pPr>
            <w:r>
              <w:t xml:space="preserve">−1,77 frente a −1,54 (1,5 mg)</w:t>
            </w:r>
          </w:p>
        </w:tc>
      </w:tr>
      <w:tr>
        <w:tc>
          <w:tcPr/>
          <w:p>
            <w:pPr>
              <w:pStyle w:val="Compact"/>
              <w:jc w:val="left"/>
            </w:pPr>
            <w:r>
              <w:t xml:space="preserve">Semaglutida 1,0 mg</w:t>
            </w:r>
          </w:p>
        </w:tc>
        <w:tc>
          <w:tcPr/>
          <w:p>
            <w:pPr>
              <w:pStyle w:val="Compact"/>
              <w:jc w:val="left"/>
            </w:pPr>
            <w:r>
              <w:t xml:space="preserve">SUSTAIN 1 (Sorli 2017), PMID 28110911</w:t>
            </w:r>
          </w:p>
        </w:tc>
        <w:tc>
          <w:tcPr/>
          <w:p>
            <w:pPr>
              <w:pStyle w:val="Compact"/>
              <w:jc w:val="left"/>
            </w:pPr>
            <w:r>
              <w:t xml:space="preserve">30 semanas</w:t>
            </w:r>
          </w:p>
        </w:tc>
        <w:tc>
          <w:tcPr/>
          <w:p>
            <w:pPr>
              <w:pStyle w:val="Compact"/>
              <w:jc w:val="left"/>
            </w:pPr>
            <w:r>
              <w:t xml:space="preserve">−1,55 frente a −0,02 (placebo)</w:t>
            </w:r>
          </w:p>
        </w:tc>
      </w:tr>
      <w:tr>
        <w:tc>
          <w:tcPr/>
          <w:p>
            <w:pPr>
              <w:pStyle w:val="Compact"/>
              <w:jc w:val="left"/>
            </w:pPr>
            <w:r>
              <w:t xml:space="preserve">Semaglutida 2,0 mg</w:t>
            </w:r>
          </w:p>
        </w:tc>
        <w:tc>
          <w:tcPr/>
          <w:p>
            <w:pPr>
              <w:pStyle w:val="Compact"/>
              <w:jc w:val="left"/>
            </w:pPr>
            <w:r>
              <w:t xml:space="preserve">SUSTAIN FORTE (Frías 2021), PMID 34293304</w:t>
            </w:r>
          </w:p>
        </w:tc>
        <w:tc>
          <w:tcPr/>
          <w:p>
            <w:pPr>
              <w:pStyle w:val="Compact"/>
              <w:jc w:val="left"/>
            </w:pPr>
            <w:r>
              <w:t xml:space="preserve">40 semanas</w:t>
            </w:r>
          </w:p>
        </w:tc>
        <w:tc>
          <w:tcPr/>
          <w:p>
            <w:pPr>
              <w:pStyle w:val="Compact"/>
              <w:jc w:val="left"/>
            </w:pPr>
            <w:r>
              <w:t xml:space="preserve">−2,2 frente a −1,9 (1,0 mg)</w:t>
            </w:r>
          </w:p>
        </w:tc>
      </w:tr>
      <w:tr>
        <w:tc>
          <w:tcPr/>
          <w:p>
            <w:pPr>
              <w:pStyle w:val="Compact"/>
              <w:jc w:val="left"/>
            </w:pPr>
            <w:r>
              <w:t xml:space="preserve">Tirzepatida 5–15 mg</w:t>
            </w:r>
          </w:p>
        </w:tc>
        <w:tc>
          <w:tcPr/>
          <w:p>
            <w:pPr>
              <w:pStyle w:val="Compact"/>
              <w:jc w:val="left"/>
            </w:pPr>
            <w:r>
              <w:t xml:space="preserve">SURPASS-1 (Rosenstock 2021), PMID 34186022</w:t>
            </w:r>
          </w:p>
        </w:tc>
        <w:tc>
          <w:tcPr/>
          <w:p>
            <w:pPr>
              <w:pStyle w:val="Compact"/>
              <w:jc w:val="left"/>
            </w:pPr>
            <w:r>
              <w:t xml:space="preserve">40 semanas</w:t>
            </w:r>
          </w:p>
        </w:tc>
        <w:tc>
          <w:tcPr/>
          <w:p>
            <w:pPr>
              <w:pStyle w:val="Compact"/>
              <w:jc w:val="left"/>
            </w:pPr>
            <w:r>
              <w:t xml:space="preserve">−1,87 a −2,07 frente a +0,04 (placebo)</w:t>
            </w:r>
          </w:p>
        </w:tc>
      </w:tr>
      <w:tr>
        <w:tc>
          <w:tcPr/>
          <w:p>
            <w:pPr>
              <w:pStyle w:val="Compact"/>
              <w:jc w:val="left"/>
            </w:pPr>
            <w:r>
              <w:t xml:space="preserve">Retatrutida</w:t>
            </w:r>
          </w:p>
        </w:tc>
        <w:tc>
          <w:tcPr/>
          <w:p>
            <w:pPr>
              <w:pStyle w:val="Compact"/>
              <w:jc w:val="left"/>
            </w:pPr>
            <w:r>
              <w:t xml:space="preserve">TRANSCEND-T2D-1 (Bajaj 2026), PMID 42250575</w:t>
            </w:r>
          </w:p>
        </w:tc>
        <w:tc>
          <w:tcPr/>
          <w:p>
            <w:pPr>
              <w:pStyle w:val="Compact"/>
              <w:jc w:val="left"/>
            </w:pPr>
            <w:r>
              <w:t xml:space="preserve">40 semanas</w:t>
            </w:r>
          </w:p>
        </w:tc>
        <w:tc>
          <w:tcPr/>
          <w:p>
            <w:pPr>
              <w:pStyle w:val="Compact"/>
              <w:jc w:val="left"/>
            </w:pPr>
            <w:r>
              <w:t xml:space="preserve">−1,69 a −1,94 frente a −0,81 (placebo)</w:t>
            </w:r>
          </w:p>
        </w:tc>
      </w:tr>
      <w:tr>
        <w:tc>
          <w:tcPr/>
          <w:p>
            <w:pPr>
              <w:pStyle w:val="Compact"/>
              <w:jc w:val="left"/>
            </w:pPr>
            <w:r>
              <w:t xml:space="preserve">Mazdutida</w:t>
            </w:r>
          </w:p>
        </w:tc>
        <w:tc>
          <w:tcPr/>
          <w:p>
            <w:pPr>
              <w:pStyle w:val="Compact"/>
              <w:jc w:val="left"/>
            </w:pPr>
            <w:r>
              <w:t xml:space="preserve">DREAMS-1 (Zhu 2026), PMID 41407859</w:t>
            </w:r>
          </w:p>
        </w:tc>
        <w:tc>
          <w:tcPr/>
          <w:p>
            <w:pPr>
              <w:pStyle w:val="Compact"/>
              <w:jc w:val="left"/>
            </w:pPr>
            <w:r>
              <w:t xml:space="preserve">24 semanas</w:t>
            </w:r>
          </w:p>
        </w:tc>
        <w:tc>
          <w:tcPr/>
          <w:p>
            <w:pPr>
              <w:pStyle w:val="Compact"/>
              <w:jc w:val="left"/>
            </w:pPr>
            <w:r>
              <w:t xml:space="preserve">−1,57 / −2,15 frente a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semanas</w:t>
            </w:r>
          </w:p>
        </w:tc>
        <w:tc>
          <w:tcPr/>
          <w:p>
            <w:pPr>
              <w:pStyle w:val="Compact"/>
              <w:jc w:val="left"/>
            </w:pPr>
            <w:r>
              <w:t xml:space="preserve">−1,8 frente a −0,1 (placebo)</w:t>
            </w:r>
          </w:p>
        </w:tc>
      </w:tr>
      <w:tr>
        <w:tc>
          <w:tcPr/>
          <w:p>
            <w:pPr>
              <w:pStyle w:val="Compact"/>
              <w:jc w:val="left"/>
            </w:pPr>
            <w:r>
              <w:t xml:space="preserve">Maridebart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 a −1,6 frente a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semanas</w:t>
            </w:r>
          </w:p>
        </w:tc>
        <w:tc>
          <w:tcPr/>
          <w:p>
            <w:pPr>
              <w:pStyle w:val="Compact"/>
              <w:jc w:val="left"/>
            </w:pPr>
            <w:r>
              <w:t xml:space="preserve">−1,24 a −1,48 frente a −0,41 (placebo)</w:t>
            </w:r>
          </w:p>
        </w:tc>
      </w:tr>
    </w:tbl>
    <w:p>
      <w:pPr>
        <w:pStyle w:val="BodyText"/>
      </w:pPr>
      <w:r>
        <w:t xml:space="preserve">Los principios activos más antiguos, exenatida y pramlintida, reducen la HbA1c menos de un punto porcentual; los agonistas de GLP-1 semanales, alrededor de 1,5 puntos; la tirzepatida y los agonistas múltiples más recientes, en torno a 2 puntos. En la glucemia, las diferencias entre los principios activos más recientes son menores que en el peso. Lo muestra con especial claridad REIMAGINE 2: allí, CagriSema redujo la HbA1c solo 0,16 puntos porcentuales más que la semaglutida 2,4 mg sola (−1,91 frente a −1,75; Buse 2026, PMID 42251859). Por tanto, la adición de amilina actúa sobre todo sobre el peso.</w:t>
      </w:r>
    </w:p>
    <w:p>
      <w:pPr>
        <w:pStyle w:val="BodyText"/>
      </w:pPr>
      <w:r>
        <w:t xml:space="preserve">Una diferencia importante se refiere a la hipoglucemia. Como el GLP-1 solo potencia la secreción de insulina cuando la glucemia está elevada, las hipoglucemias con estos medicamentos en monoterapia son raras. Se vuelven más frecuentes cuando se toman al mismo tiempo insulina o sulfonilureas. Con la pramlintida, que solo se utiliza como complemento de la insulina prandial, la hipoglucemia grave es el riesgo más importante</w:t>
      </w:r>
      <w:r>
        <w:rPr>
          <w:rStyle w:val="FootnoteReference"/>
        </w:rPr>
        <w:footnoteReference w:id="2545"/>
      </w:r>
      <w:r>
        <w:t xml:space="preserve">.</w:t>
      </w:r>
    </w:p>
    <w:bookmarkEnd w:id="2546"/>
    <w:bookmarkStart w:id="2554" w:name="estudios-de-resultados-cardiovasculares"/>
    <w:p>
      <w:pPr>
        <w:pStyle w:val="Heading3"/>
      </w:pPr>
      <w:r>
        <w:t xml:space="preserve">Estudios de resultados cardiovasculares</w:t>
      </w:r>
    </w:p>
    <w:p>
      <w:pPr>
        <w:pStyle w:val="FirstParagraph"/>
      </w:pPr>
      <w:r>
        <w:t xml:space="preserve">Los estudios de resultados no miden valores de laboratorio, sino acontecimientos que importan a los pacientes: muerte cardiovascular, infarto de miocardio e ictus, agrupados como «MACE» (major adverse cardiovascular events). El hazard ratio (HR) indica cuán alto fue el riesgo en comparación con el grupo de control; 0,80 significa un riesgo relativo un 20 %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 (principio activo)</w:t>
            </w:r>
          </w:p>
        </w:tc>
        <w:tc>
          <w:tcPr/>
          <w:p>
            <w:pPr>
              <w:pStyle w:val="Compact"/>
              <w:jc w:val="left"/>
            </w:pPr>
            <w:r>
              <w:t xml:space="preserve">Participantes</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LEADER (liraglutida; Marso 2016), PMID 27295427</w:t>
            </w:r>
          </w:p>
        </w:tc>
        <w:tc>
          <w:tcPr/>
          <w:p>
            <w:pPr>
              <w:pStyle w:val="Compact"/>
              <w:jc w:val="left"/>
            </w:pPr>
            <w:r>
              <w:t xml:space="preserve">9340 con diabetes tipo 2 y riesgo alto</w:t>
            </w:r>
          </w:p>
        </w:tc>
        <w:tc>
          <w:tcPr/>
          <w:p>
            <w:pPr>
              <w:pStyle w:val="Compact"/>
              <w:jc w:val="left"/>
            </w:pPr>
            <w:r>
              <w:t xml:space="preserve">mediana 3,8 años</w:t>
            </w:r>
          </w:p>
        </w:tc>
        <w:tc>
          <w:tcPr/>
          <w:p>
            <w:pPr>
              <w:pStyle w:val="Compact"/>
              <w:jc w:val="left"/>
            </w:pPr>
            <w:r>
              <w:t xml:space="preserve">13,0 % frente a 14,9 %; HR 0,87</w:t>
            </w:r>
          </w:p>
        </w:tc>
      </w:tr>
      <w:tr>
        <w:tc>
          <w:tcPr/>
          <w:p>
            <w:pPr>
              <w:pStyle w:val="Compact"/>
              <w:jc w:val="left"/>
            </w:pPr>
            <w:r>
              <w:t xml:space="preserve">SUSTAIN 6 (semaglutida; Marso 2016), PMID 27633186</w:t>
            </w:r>
          </w:p>
        </w:tc>
        <w:tc>
          <w:tcPr/>
          <w:p>
            <w:pPr>
              <w:pStyle w:val="Compact"/>
              <w:jc w:val="left"/>
            </w:pPr>
            <w:r>
              <w:t xml:space="preserve">3297 con diabetes tipo 2 y riesgo alto</w:t>
            </w:r>
          </w:p>
        </w:tc>
        <w:tc>
          <w:tcPr/>
          <w:p>
            <w:pPr>
              <w:pStyle w:val="Compact"/>
              <w:jc w:val="left"/>
            </w:pPr>
            <w:r>
              <w:t xml:space="preserve">104 semanas</w:t>
            </w:r>
          </w:p>
        </w:tc>
        <w:tc>
          <w:tcPr/>
          <w:p>
            <w:pPr>
              <w:pStyle w:val="Compact"/>
              <w:jc w:val="left"/>
            </w:pPr>
            <w:r>
              <w:t xml:space="preserve">6,6 % frente a 8,9 %; HR 0,74</w:t>
            </w:r>
          </w:p>
        </w:tc>
      </w:tr>
      <w:tr>
        <w:tc>
          <w:tcPr/>
          <w:p>
            <w:pPr>
              <w:pStyle w:val="Compact"/>
              <w:jc w:val="left"/>
            </w:pPr>
            <w:r>
              <w:t xml:space="preserve">PIONEER 6 (semaglutida en comprimido; Husain 2019), PMID 31185157</w:t>
            </w:r>
          </w:p>
        </w:tc>
        <w:tc>
          <w:tcPr/>
          <w:p>
            <w:pPr>
              <w:pStyle w:val="Compact"/>
              <w:jc w:val="left"/>
            </w:pPr>
            <w:r>
              <w:t xml:space="preserve">3183 con diabetes tipo 2 y riesgo alto</w:t>
            </w:r>
          </w:p>
        </w:tc>
        <w:tc>
          <w:tcPr/>
          <w:p>
            <w:pPr>
              <w:pStyle w:val="Compact"/>
              <w:jc w:val="left"/>
            </w:pPr>
            <w:r>
              <w:t xml:space="preserve">mediana 15,9 meses</w:t>
            </w:r>
          </w:p>
        </w:tc>
        <w:tc>
          <w:tcPr/>
          <w:p>
            <w:pPr>
              <w:pStyle w:val="Compact"/>
              <w:jc w:val="left"/>
            </w:pPr>
            <w:r>
              <w:t xml:space="preserve">3,8 % frente a 4,8 %; HR 0,79, solo se demostró la no inferioridad</w:t>
            </w:r>
          </w:p>
        </w:tc>
      </w:tr>
      <w:tr>
        <w:tc>
          <w:tcPr/>
          <w:p>
            <w:pPr>
              <w:pStyle w:val="Compact"/>
              <w:jc w:val="left"/>
            </w:pPr>
            <w:r>
              <w:t xml:space="preserve">SOUL (semaglutida en comprimido; McGuire 2025), PMID 40162642</w:t>
            </w:r>
          </w:p>
        </w:tc>
        <w:tc>
          <w:tcPr/>
          <w:p>
            <w:pPr>
              <w:pStyle w:val="Compact"/>
              <w:jc w:val="left"/>
            </w:pPr>
            <w:r>
              <w:t xml:space="preserve">9650 con diabetes tipo 2 y enfermedad vascular o renal</w:t>
            </w:r>
          </w:p>
        </w:tc>
        <w:tc>
          <w:tcPr/>
          <w:p>
            <w:pPr>
              <w:pStyle w:val="Compact"/>
              <w:jc w:val="left"/>
            </w:pPr>
            <w:r>
              <w:t xml:space="preserve">mediana 49,5 meses</w:t>
            </w:r>
          </w:p>
        </w:tc>
        <w:tc>
          <w:tcPr/>
          <w:p>
            <w:pPr>
              <w:pStyle w:val="Compact"/>
              <w:jc w:val="left"/>
            </w:pPr>
            <w:r>
              <w:t xml:space="preserve">12,0 % frente a 13,8 %; HR 0,86</w:t>
            </w:r>
          </w:p>
        </w:tc>
      </w:tr>
      <w:tr>
        <w:tc>
          <w:tcPr/>
          <w:p>
            <w:pPr>
              <w:pStyle w:val="Compact"/>
              <w:jc w:val="left"/>
            </w:pPr>
            <w:r>
              <w:t xml:space="preserve">SELECT (semaglutida 2,4 mg; Lincoff 2023), PMID 37952131</w:t>
            </w:r>
          </w:p>
        </w:tc>
        <w:tc>
          <w:tcPr/>
          <w:p>
            <w:pPr>
              <w:pStyle w:val="Compact"/>
              <w:jc w:val="left"/>
            </w:pPr>
            <w:r>
              <w:t xml:space="preserve">17.604 con sobrepeso y enfermedad cardiovascular, sin diabetes</w:t>
            </w:r>
          </w:p>
        </w:tc>
        <w:tc>
          <w:tcPr/>
          <w:p>
            <w:pPr>
              <w:pStyle w:val="Compact"/>
              <w:jc w:val="left"/>
            </w:pPr>
            <w:r>
              <w:t xml:space="preserve">media 39,8 meses</w:t>
            </w:r>
          </w:p>
        </w:tc>
        <w:tc>
          <w:tcPr/>
          <w:p>
            <w:pPr>
              <w:pStyle w:val="Compact"/>
              <w:jc w:val="left"/>
            </w:pPr>
            <w:r>
              <w:t xml:space="preserve">6,5 % frente a 8,0 %; HR 0,80</w:t>
            </w:r>
          </w:p>
        </w:tc>
      </w:tr>
      <w:tr>
        <w:tc>
          <w:tcPr/>
          <w:p>
            <w:pPr>
              <w:pStyle w:val="Compact"/>
              <w:jc w:val="left"/>
            </w:pPr>
            <w:r>
              <w:t xml:space="preserve">REWIND (dulaglutida; Gerstein 2019), PMID 31189511</w:t>
            </w:r>
          </w:p>
        </w:tc>
        <w:tc>
          <w:tcPr/>
          <w:p>
            <w:pPr>
              <w:pStyle w:val="Compact"/>
              <w:jc w:val="left"/>
            </w:pPr>
            <w:r>
              <w:t xml:space="preserve">9901 con diabetes tipo 2, con o sin enfermedad cardiovascular previa</w:t>
            </w:r>
          </w:p>
        </w:tc>
        <w:tc>
          <w:tcPr/>
          <w:p>
            <w:pPr>
              <w:pStyle w:val="Compact"/>
              <w:jc w:val="left"/>
            </w:pPr>
            <w:r>
              <w:t xml:space="preserve">mediana 5,4 años</w:t>
            </w:r>
          </w:p>
        </w:tc>
        <w:tc>
          <w:tcPr/>
          <w:p>
            <w:pPr>
              <w:pStyle w:val="Compact"/>
              <w:jc w:val="left"/>
            </w:pPr>
            <w:r>
              <w:t xml:space="preserve">12,0 % frente a 13,4 %; HR 0,88</w:t>
            </w:r>
          </w:p>
        </w:tc>
      </w:tr>
      <w:tr>
        <w:tc>
          <w:tcPr/>
          <w:p>
            <w:pPr>
              <w:pStyle w:val="Compact"/>
              <w:jc w:val="left"/>
            </w:pPr>
            <w:r>
              <w:t xml:space="preserve">EXSCEL (exenatida semanal; Holman 2017), PMID 28910237</w:t>
            </w:r>
          </w:p>
        </w:tc>
        <w:tc>
          <w:tcPr/>
          <w:p>
            <w:pPr>
              <w:pStyle w:val="Compact"/>
              <w:jc w:val="left"/>
            </w:pPr>
            <w:r>
              <w:t xml:space="preserve">14.752 con diabetes tipo 2</w:t>
            </w:r>
          </w:p>
        </w:tc>
        <w:tc>
          <w:tcPr/>
          <w:p>
            <w:pPr>
              <w:pStyle w:val="Compact"/>
              <w:jc w:val="left"/>
            </w:pPr>
            <w:r>
              <w:t xml:space="preserve">mediana 3,2 años</w:t>
            </w:r>
          </w:p>
        </w:tc>
        <w:tc>
          <w:tcPr/>
          <w:p>
            <w:pPr>
              <w:pStyle w:val="Compact"/>
              <w:jc w:val="left"/>
            </w:pPr>
            <w:r>
              <w:t xml:space="preserve">11,4 % frente a 12,2 %; HR 0,91, superioridad no alcanzada por poco</w:t>
            </w:r>
          </w:p>
        </w:tc>
      </w:tr>
      <w:tr>
        <w:tc>
          <w:tcPr/>
          <w:p>
            <w:pPr>
              <w:pStyle w:val="Compact"/>
              <w:jc w:val="left"/>
            </w:pPr>
            <w:r>
              <w:t xml:space="preserve">SURPASS-CVOT (tirzepatida frente a dulaglutida; Nicholls 2025), PMID 41406444</w:t>
            </w:r>
          </w:p>
        </w:tc>
        <w:tc>
          <w:tcPr/>
          <w:p>
            <w:pPr>
              <w:pStyle w:val="Compact"/>
              <w:jc w:val="left"/>
            </w:pPr>
            <w:r>
              <w:t xml:space="preserve">13.165 con diabetes tipo 2 y enfermedad vascular</w:t>
            </w:r>
          </w:p>
        </w:tc>
        <w:tc>
          <w:tcPr/>
          <w:p>
            <w:pPr>
              <w:pStyle w:val="Compact"/>
              <w:jc w:val="left"/>
            </w:pPr>
            <w:r>
              <w:t xml:space="preserve">varios años</w:t>
            </w:r>
          </w:p>
        </w:tc>
        <w:tc>
          <w:tcPr/>
          <w:p>
            <w:pPr>
              <w:pStyle w:val="Compact"/>
              <w:jc w:val="left"/>
            </w:pPr>
            <w:r>
              <w:t xml:space="preserve">12,2 % frente a 13,1 %; HR 0,92, no inferior</w:t>
            </w:r>
          </w:p>
        </w:tc>
      </w:tr>
      <w:tr>
        <w:tc>
          <w:tcPr/>
          <w:p>
            <w:pPr>
              <w:pStyle w:val="Compact"/>
              <w:jc w:val="left"/>
            </w:pPr>
            <w:r>
              <w:t xml:space="preserve">ACHIEVE-4 (orforglipron frente a insulina glargina; Klein 2026), PMID 42815506</w:t>
            </w:r>
          </w:p>
        </w:tc>
        <w:tc>
          <w:tcPr/>
          <w:p>
            <w:pPr>
              <w:pStyle w:val="Compact"/>
              <w:jc w:val="left"/>
            </w:pPr>
            <w:r>
              <w:t xml:space="preserve">2749 con diabetes tipo 2 y riesgo alto</w:t>
            </w:r>
          </w:p>
        </w:tc>
        <w:tc>
          <w:tcPr/>
          <w:p>
            <w:pPr>
              <w:pStyle w:val="Compact"/>
              <w:jc w:val="left"/>
            </w:pPr>
            <w:r>
              <w:t xml:space="preserve">mediana 2 años</w:t>
            </w:r>
          </w:p>
        </w:tc>
        <w:tc>
          <w:tcPr/>
          <w:p>
            <w:pPr>
              <w:pStyle w:val="Compact"/>
              <w:jc w:val="left"/>
            </w:pPr>
            <w:r>
              <w:t xml:space="preserve">4,2 % frente a 5,0 % (MACE-4), no inferior</w:t>
            </w:r>
          </w:p>
        </w:tc>
      </w:tr>
    </w:tbl>
    <w:p>
      <w:pPr>
        <w:pStyle w:val="BodyText"/>
      </w:pPr>
      <w:r>
        <w:t xml:space="preserve">Lo que muestra esta tabla:</w:t>
      </w:r>
    </w:p>
    <w:p>
      <w:pPr>
        <w:numPr>
          <w:ilvl w:val="0"/>
          <w:numId w:val="1326"/>
        </w:numPr>
        <w:pStyle w:val="Compact"/>
      </w:pPr>
      <w:r>
        <w:rPr>
          <w:bCs/>
          <w:b/>
        </w:rPr>
        <w:t xml:space="preserve">La clase reduce el riesgo.</w:t>
      </w:r>
      <w:r>
        <w:t xml:space="preserve"> </w:t>
      </w:r>
      <w:r>
        <w:t xml:space="preserve">Un metaanálisis de siete estudios de resultados controlados con placebo, con un total de 56.004 participantes, encontró para los agonistas del receptor de GLP-1 en la diabetes tipo 2 un 12 % menos de acontecimientos cardiovasculares graves (HR 0,88), un 12 % menos de muertes por cualquier causa y un 9 % menos de ingresos hospitalarios por insuficiencia cardiaca, sin diferencias relevantes entre los subgrupos</w:t>
      </w:r>
      <w:r>
        <w:rPr>
          <w:rStyle w:val="FootnoteReference"/>
        </w:rPr>
        <w:footnoteReference w:id="2547"/>
      </w:r>
      <w:r>
        <w:t xml:space="preserve">. En este metaanálisis se incluyeron también dos principios activos que no se tratan en este libro.</w:t>
      </w:r>
    </w:p>
    <w:p>
      <w:pPr>
        <w:numPr>
          <w:ilvl w:val="0"/>
          <w:numId w:val="1326"/>
        </w:numPr>
        <w:pStyle w:val="Compact"/>
      </w:pPr>
      <w:r>
        <w:rPr>
          <w:bCs/>
          <w:b/>
        </w:rPr>
        <w:t xml:space="preserve">Las diferencias entre los principios activos son inciertas.</w:t>
      </w:r>
      <w:r>
        <w:t xml:space="preserve"> </w:t>
      </w:r>
      <w:r>
        <w:t xml:space="preserve">La exenatida se situó en EXSCEL en el extremo más débil; se discuten la propia molécula, la elevada tasa de abandonos y el diseño pragmático del estudio. Un implante de bomba de exenatida (FREEDOM-CVO) solo cumplió el criterio de seguridad (HR 1,21; Ruff 2022, PMID 34873344).</w:t>
      </w:r>
    </w:p>
    <w:p>
      <w:pPr>
        <w:numPr>
          <w:ilvl w:val="0"/>
          <w:numId w:val="1326"/>
        </w:numPr>
        <w:pStyle w:val="Compact"/>
      </w:pPr>
      <w:r>
        <w:rPr>
          <w:bCs/>
          <w:b/>
        </w:rPr>
        <w:t xml:space="preserve">SELECT es un caso especial.</w:t>
      </w:r>
      <w:r>
        <w:t xml:space="preserve"> </w:t>
      </w:r>
      <w:r>
        <w:t xml:space="preserve">En este resumen es el único gran estudio de resultados realizado exclusivamente en personas</w:t>
      </w:r>
      <w:r>
        <w:t xml:space="preserve"> </w:t>
      </w:r>
      <w:r>
        <w:rPr>
          <w:iCs/>
          <w:i/>
        </w:rPr>
        <w:t xml:space="preserve">sin</w:t>
      </w:r>
      <w:r>
        <w:t xml:space="preserve"> </w:t>
      </w:r>
      <w:r>
        <w:t xml:space="preserve">diabetes. En cifras absolutas, a lo largo de algo más de tres años, aproximadamente 1,5 de cada cien personas tratadas tuvieron un acontecimiento grave menos.</w:t>
      </w:r>
    </w:p>
    <w:p>
      <w:pPr>
        <w:numPr>
          <w:ilvl w:val="0"/>
          <w:numId w:val="1326"/>
        </w:numPr>
        <w:pStyle w:val="Compact"/>
      </w:pPr>
      <w:r>
        <w:rPr>
          <w:bCs/>
          <w:b/>
        </w:rPr>
        <w:t xml:space="preserve">La tirzepatida se evaluó frente a un medicamento eficaz.</w:t>
      </w:r>
      <w:r>
        <w:t xml:space="preserve"> </w:t>
      </w:r>
      <w:r>
        <w:t xml:space="preserve">SURPASS-CVOT no comparó la tirzepatida con placebo, sino con dulaglutida, que en REWIND había reducido por sí misma el riesgo. La tirzepatida no fue inferior; la superioridad formal no se alcanzó por poco. Cuán grande sería el beneficio frente a la ausencia de tratamiento solo puede estimarse a partir de ello mediante cálculos de modelización.</w:t>
      </w:r>
    </w:p>
    <w:p>
      <w:pPr>
        <w:numPr>
          <w:ilvl w:val="0"/>
          <w:numId w:val="1326"/>
        </w:numPr>
        <w:pStyle w:val="Compact"/>
      </w:pPr>
      <w:r>
        <w:rPr>
          <w:bCs/>
          <w:b/>
        </w:rPr>
        <w:t xml:space="preserve">Insuficiencia cardiaca:</w:t>
      </w:r>
      <w:r>
        <w:t xml:space="preserve"> </w:t>
      </w:r>
      <w:r>
        <w:t xml:space="preserve">en la insuficiencia cardiaca con fracción de eyección conservada y obesidad, la tirzepatida redujo en SUMMIT, con 731 personas, la variable combinada de muerte cardiovascular o empeoramiento de la insuficiencia cardiaca (9,9 % frente a 15,3 %; HR 0,62; Packer 2025, PMID 39555826). La diferencia se debió a menos episodios de empeoramiento; las muertes fueron raras. En STEP-HFpEF, la semaglutida mejoró los síntomas y la distancia recorrida a pie</w:t>
      </w:r>
      <w:r>
        <w:rPr>
          <w:rStyle w:val="FootnoteReference"/>
        </w:rPr>
        <w:footnoteReference w:id="2548"/>
      </w:r>
      <w:r>
        <w:t xml:space="preserve">, pero no estaba diseñado para variables duras.</w:t>
      </w:r>
    </w:p>
    <w:p>
      <w:pPr>
        <w:pStyle w:val="FirstParagraph"/>
      </w:pPr>
      <w:r>
        <w:rPr>
          <w:bCs/>
          <w:b/>
        </w:rPr>
        <w:t xml:space="preserve">Todavía pendiente (estudios registrados):</w:t>
      </w:r>
      <w:r>
        <w:t xml:space="preserve"> </w:t>
      </w:r>
      <w:r>
        <w:t xml:space="preserve">para los principios activos más recientes faltan datos de resultados. Los estudios en curso son SURMOUNT-MMO sobre tirzepatida en obesidad sin diabetes</w:t>
      </w:r>
      <w:r>
        <w:rPr>
          <w:rStyle w:val="FootnoteReference"/>
        </w:rPr>
        <w:footnoteReference w:id="2549"/>
      </w:r>
      <w:r>
        <w:t xml:space="preserve">, TRIUMPH-Outcomes sobre retatrutida</w:t>
      </w:r>
      <w:r>
        <w:rPr>
          <w:rStyle w:val="FootnoteReference"/>
        </w:rPr>
        <w:footnoteReference w:id="2550"/>
      </w:r>
      <w:r>
        <w:t xml:space="preserve">, REDEFINE 3 sobre CagriSema</w:t>
      </w:r>
      <w:r>
        <w:rPr>
          <w:rStyle w:val="FootnoteReference"/>
        </w:rPr>
        <w:footnoteReference w:id="2551"/>
      </w:r>
      <w:r>
        <w:t xml:space="preserve">, un estudio sobre maridebart cafraglutida</w:t>
      </w:r>
      <w:r>
        <w:rPr>
          <w:rStyle w:val="FootnoteReference"/>
        </w:rPr>
        <w:footnoteReference w:id="2552"/>
      </w:r>
      <w:r>
        <w:t xml:space="preserve"> </w:t>
      </w:r>
      <w:r>
        <w:t xml:space="preserve">y otro sobre orforglipron</w:t>
      </w:r>
      <w:r>
        <w:rPr>
          <w:rStyle w:val="FootnoteReference"/>
        </w:rPr>
        <w:footnoteReference w:id="2553"/>
      </w:r>
      <w:r>
        <w:t xml:space="preserve">. Hasta que estén disponibles estos resultados, sigue abierto si una mayor pérdida de peso conduce también a menos infartos e ictus. Es una expectativa plausible, pero no un resultado.</w:t>
      </w:r>
    </w:p>
    <w:bookmarkEnd w:id="2554"/>
    <w:bookmarkStart w:id="2562" w:name="riñón-e-hígado"/>
    <w:p>
      <w:pPr>
        <w:pStyle w:val="Heading3"/>
      </w:pPr>
      <w:r>
        <w:t xml:space="preserve">Riñón e hígado</w:t>
      </w:r>
    </w:p>
    <w:p>
      <w:pPr>
        <w:pStyle w:val="FirstParagraph"/>
      </w:pPr>
      <w:r>
        <w:rPr>
          <w:bCs/>
          <w:b/>
        </w:rPr>
        <w:t xml:space="preserve">Riñón:</w:t>
      </w:r>
      <w:r>
        <w:t xml:space="preserve"> </w:t>
      </w:r>
      <w:r>
        <w:t xml:space="preserve">entre los estudios comentados en este libro, solo FLOW tiene un acontecimiento renal como variable principal. En 3533 personas con diabetes tipo 2 y enfermedad renal crónica, la semaglutida 1,0 mg redujo un 24 % los acontecimientos renales graves y la muerte de causa renal o cardiovascular (331 frente a 410 acontecimientos; HR 0,76). El estudio se interrumpió de forma anticipada por eficacia; la mortalidad total fue un 20 % menor</w:t>
      </w:r>
      <w:r>
        <w:rPr>
          <w:rStyle w:val="FootnoteReference"/>
        </w:rPr>
        <w:footnoteReference w:id="2555"/>
      </w:r>
      <w:r>
        <w:t xml:space="preserve">. En los estudios de resultados más antiguos, en cambio, el beneficio renal se debía sobre todo a una menor cantidad de proteínas en la orina: en LEADER HR 0,78</w:t>
      </w:r>
      <w:r>
        <w:rPr>
          <w:rStyle w:val="FootnoteReference"/>
        </w:rPr>
        <w:footnoteReference w:id="2556"/>
      </w:r>
      <w:r>
        <w:t xml:space="preserve">, en REWIND HR 0,85</w:t>
      </w:r>
      <w:r>
        <w:rPr>
          <w:rStyle w:val="FootnoteReference"/>
        </w:rPr>
        <w:footnoteReference w:id="2557"/>
      </w:r>
      <w:r>
        <w:t xml:space="preserve">, en el conjunto de los siete estudios HR 0,83</w:t>
      </w:r>
      <w:r>
        <w:rPr>
          <w:rStyle w:val="FootnoteReference"/>
        </w:rPr>
        <w:footnoteReference w:id="2558"/>
      </w:r>
      <w:r>
        <w:t xml:space="preserve">. En SOUL, las variables secundarias confirmatorias, entre ellas los acontecimientos renales, no difirieron significativamente</w:t>
      </w:r>
      <w:r>
        <w:rPr>
          <w:rStyle w:val="FootnoteReference"/>
        </w:rPr>
        <w:footnoteReference w:id="2559"/>
      </w:r>
      <w:r>
        <w:t xml:space="preserve">. En la enfermedad renal moderada a grave, la función renal se conservó mejor con dulaglutida que con insulina glargina (AWARD-7, Tuttle 2018, PMID 29910024). Para la tirzepatida y los principios activos más recientes todavía no hay estudios con acontecimientos renales como variable principal.</w:t>
      </w:r>
    </w:p>
    <w:p>
      <w:pPr>
        <w:pStyle w:val="BodyText"/>
      </w:pPr>
      <w:r>
        <w:rPr>
          <w:bCs/>
          <w:b/>
        </w:rPr>
        <w:t xml:space="preserve">Hígado:</w:t>
      </w:r>
      <w:r>
        <w:t xml:space="preserve"> </w:t>
      </w:r>
      <w:r>
        <w:t xml:space="preserve">en el hígado graso inflamatorio MASH (antes NASH) existen estudios con biopsias para tres principios activos: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Resolución de la MASH sin empeoramiento de la fibrosis</w:t>
            </w:r>
          </w:p>
        </w:tc>
      </w:tr>
      <w:tr>
        <w:tc>
          <w:tcPr/>
          <w:p>
            <w:pPr>
              <w:pStyle w:val="Compact"/>
              <w:jc w:val="left"/>
            </w:pPr>
            <w:r>
              <w:t xml:space="preserve">Semaglutida 2,4 mg</w:t>
            </w:r>
          </w:p>
        </w:tc>
        <w:tc>
          <w:tcPr/>
          <w:p>
            <w:pPr>
              <w:pStyle w:val="Compact"/>
              <w:jc w:val="left"/>
            </w:pPr>
            <w:r>
              <w:t xml:space="preserve">ESSENCE, fase 3 (Sanyal 2025), PMID 40305708</w:t>
            </w:r>
          </w:p>
        </w:tc>
        <w:tc>
          <w:tcPr/>
          <w:p>
            <w:pPr>
              <w:pStyle w:val="Compact"/>
              <w:jc w:val="left"/>
            </w:pPr>
            <w:r>
              <w:t xml:space="preserve">72 semanas (análisis intermedio, 800 personas)</w:t>
            </w:r>
          </w:p>
        </w:tc>
        <w:tc>
          <w:tcPr/>
          <w:p>
            <w:pPr>
              <w:pStyle w:val="Compact"/>
              <w:jc w:val="left"/>
            </w:pPr>
            <w:r>
              <w:t xml:space="preserve">62,9 % frente a 34,3 %; menos fibrosis 36,8 % frente a 22,4 %</w:t>
            </w:r>
          </w:p>
        </w:tc>
      </w:tr>
      <w:tr>
        <w:tc>
          <w:tcPr/>
          <w:p>
            <w:pPr>
              <w:pStyle w:val="Compact"/>
              <w:jc w:val="left"/>
            </w:pPr>
            <w:r>
              <w:t xml:space="preserve">Tirzepatida</w:t>
            </w:r>
          </w:p>
        </w:tc>
        <w:tc>
          <w:tcPr/>
          <w:p>
            <w:pPr>
              <w:pStyle w:val="Compact"/>
              <w:jc w:val="left"/>
            </w:pPr>
            <w:r>
              <w:t xml:space="preserve">SYNERGY-NASH, fase 2 (Loomba 2024), PMID 38856224</w:t>
            </w:r>
          </w:p>
        </w:tc>
        <w:tc>
          <w:tcPr/>
          <w:p>
            <w:pPr>
              <w:pStyle w:val="Compact"/>
              <w:jc w:val="left"/>
            </w:pPr>
            <w:r>
              <w:t xml:space="preserve">52 semanas, 190 personas</w:t>
            </w:r>
          </w:p>
        </w:tc>
        <w:tc>
          <w:tcPr/>
          <w:p>
            <w:pPr>
              <w:pStyle w:val="Compact"/>
              <w:jc w:val="left"/>
            </w:pPr>
            <w:r>
              <w:t xml:space="preserve">44–62 % frente a 10 %; menos fibrosis 51–55 % frente a 30 %</w:t>
            </w:r>
          </w:p>
        </w:tc>
      </w:tr>
      <w:tr>
        <w:tc>
          <w:tcPr/>
          <w:p>
            <w:pPr>
              <w:pStyle w:val="Compact"/>
              <w:jc w:val="left"/>
            </w:pPr>
            <w:r>
              <w:t xml:space="preserve">Survodutida</w:t>
            </w:r>
          </w:p>
        </w:tc>
        <w:tc>
          <w:tcPr/>
          <w:p>
            <w:pPr>
              <w:pStyle w:val="Compact"/>
              <w:jc w:val="left"/>
            </w:pPr>
            <w:r>
              <w:t xml:space="preserve">Fase 2 (Sanyal 2024), PMID 38847460</w:t>
            </w:r>
          </w:p>
        </w:tc>
        <w:tc>
          <w:tcPr/>
          <w:p>
            <w:pPr>
              <w:pStyle w:val="Compact"/>
              <w:jc w:val="left"/>
            </w:pPr>
            <w:r>
              <w:t xml:space="preserve">48 semanas, 293 personas</w:t>
            </w:r>
          </w:p>
        </w:tc>
        <w:tc>
          <w:tcPr/>
          <w:p>
            <w:pPr>
              <w:pStyle w:val="Compact"/>
              <w:jc w:val="left"/>
            </w:pPr>
            <w:r>
              <w:t xml:space="preserve">mejoría de la MASH 43–62 % frente a 14 %</w:t>
            </w:r>
          </w:p>
        </w:tc>
      </w:tr>
    </w:tbl>
    <w:p>
      <w:pPr>
        <w:pStyle w:val="BodyText"/>
      </w:pPr>
      <w:r>
        <w:t xml:space="preserve">Solo ESSENCE es un estudio de fase 3; si el tratamiento también previene la cirrosis, la insuficiencia hepática y las muertes es lo que debe mostrar su segunda parte, a lo largo de 240 semanas. Para la survodutida están en curso los estudios de fase 3 LIVERAGE</w:t>
      </w:r>
      <w:r>
        <w:rPr>
          <w:rStyle w:val="FootnoteReference"/>
        </w:rPr>
        <w:footnoteReference w:id="2560"/>
      </w:r>
      <w:r>
        <w:t xml:space="preserve"> </w:t>
      </w:r>
      <w:r>
        <w:t xml:space="preserve">y LIVERAGE-Cirrhosis</w:t>
      </w:r>
      <w:r>
        <w:rPr>
          <w:rStyle w:val="FootnoteReference"/>
        </w:rPr>
        <w:footnoteReference w:id="2561"/>
      </w:r>
      <w:r>
        <w:t xml:space="preserve">. Los porcentajes más altos de los estudios de fase 2 no son directamente comparables con ESSENCE debido a los grupos pequeños y a la menor duración.</w:t>
      </w:r>
    </w:p>
    <w:bookmarkEnd w:id="2562"/>
    <w:bookmarkStart w:id="2573" w:name="efectos-adversos-y-tasas-de-abandono"/>
    <w:p>
      <w:pPr>
        <w:pStyle w:val="Heading3"/>
      </w:pPr>
      <w:r>
        <w:t xml:space="preserve">Efectos adversos y tasas de abandono</w:t>
      </w:r>
    </w:p>
    <w:p>
      <w:pPr>
        <w:pStyle w:val="FirstParagraph"/>
      </w:pPr>
      <w:r>
        <w:t xml:space="preserve">El perfil de efectos adversos es similar en toda la clase: náuseas, diarrea, vómitos y estreñimiento, sobre todo durante el aumento progresivo de la dosis, en su mayoría leves a moderados y transitorios. Son el motivo más frecuente de abandono del tratamiento. Las tasas dependen mucho de la dosis y del ritmo de escalada, y solo son comparables a grandes rasgos entre estudios.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Molestias gastrointestinales</w:t>
            </w:r>
          </w:p>
        </w:tc>
        <w:tc>
          <w:tcPr/>
          <w:p>
            <w:pPr>
              <w:pStyle w:val="Compact"/>
              <w:jc w:val="left"/>
            </w:pPr>
            <w:r>
              <w:t xml:space="preserve">Abandono por efectos adversos</w:t>
            </w:r>
          </w:p>
        </w:tc>
      </w:tr>
      <w:tr>
        <w:tc>
          <w:tcPr/>
          <w:p>
            <w:pPr>
              <w:pStyle w:val="Compact"/>
              <w:jc w:val="left"/>
            </w:pPr>
            <w:r>
              <w:t xml:space="preserve">Exenatida dos veces al día</w:t>
            </w:r>
          </w:p>
        </w:tc>
        <w:tc>
          <w:tcPr/>
          <w:p>
            <w:pPr>
              <w:pStyle w:val="Compact"/>
              <w:jc w:val="left"/>
            </w:pPr>
            <w:r>
              <w:t xml:space="preserve">Heine 2005, PMID 16230722</w:t>
            </w:r>
          </w:p>
        </w:tc>
        <w:tc>
          <w:tcPr/>
          <w:p>
            <w:pPr>
              <w:pStyle w:val="Compact"/>
              <w:jc w:val="left"/>
            </w:pPr>
            <w:r>
              <w:t xml:space="preserve">náuseas 57,1 %</w:t>
            </w:r>
          </w:p>
        </w:tc>
        <w:tc>
          <w:tcPr/>
          <w:p>
            <w:pPr>
              <w:pStyle w:val="Compact"/>
              <w:jc w:val="left"/>
            </w:pPr>
            <w:r>
              <w:t xml:space="preserve">sin dato en el resumen</w:t>
            </w:r>
          </w:p>
        </w:tc>
      </w:tr>
      <w:tr>
        <w:tc>
          <w:tcPr/>
          <w:p>
            <w:pPr>
              <w:pStyle w:val="Compact"/>
              <w:jc w:val="left"/>
            </w:pPr>
            <w:r>
              <w:t xml:space="preserve">Dulaglutida</w:t>
            </w:r>
          </w:p>
        </w:tc>
        <w:tc>
          <w:tcPr/>
          <w:p>
            <w:pPr>
              <w:pStyle w:val="Compact"/>
              <w:jc w:val="left"/>
            </w:pPr>
            <w:r>
              <w:t xml:space="preserve">REWIND (Gerstein 2019), PMID 31189511</w:t>
            </w:r>
          </w:p>
        </w:tc>
        <w:tc>
          <w:tcPr/>
          <w:p>
            <w:pPr>
              <w:pStyle w:val="Compact"/>
              <w:jc w:val="left"/>
            </w:pPr>
            <w:r>
              <w:t xml:space="preserve">47,4 % frente a 34,1 %</w:t>
            </w:r>
          </w:p>
        </w:tc>
        <w:tc>
          <w:tcPr/>
          <w:p>
            <w:pPr>
              <w:pStyle w:val="Compact"/>
              <w:jc w:val="left"/>
            </w:pPr>
            <w:r>
              <w:t xml:space="preserve">sin dato en el resumen</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lo más frecuente, náuseas y diarrea</w:t>
            </w:r>
          </w:p>
        </w:tc>
        <w:tc>
          <w:tcPr/>
          <w:p>
            <w:pPr>
              <w:pStyle w:val="Compact"/>
              <w:jc w:val="left"/>
            </w:pPr>
            <w:r>
              <w:t xml:space="preserve">por molestias gastrointestinales 4,5 % frente a 0,8 %</w:t>
            </w:r>
          </w:p>
        </w:tc>
      </w:tr>
      <w:tr>
        <w:tc>
          <w:tcPr/>
          <w:p>
            <w:pPr>
              <w:pStyle w:val="Compact"/>
              <w:jc w:val="left"/>
            </w:pPr>
            <w:r>
              <w:t xml:space="preserve">Semaglutida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 frente a 8,2 % (en algo más de tres años)</w:t>
            </w:r>
          </w:p>
        </w:tc>
      </w:tr>
      <w:tr>
        <w:tc>
          <w:tcPr/>
          <w:p>
            <w:pPr>
              <w:pStyle w:val="Compact"/>
              <w:jc w:val="left"/>
            </w:pPr>
            <w:r>
              <w:t xml:space="preserve">Tirzepatida</w:t>
            </w:r>
          </w:p>
        </w:tc>
        <w:tc>
          <w:tcPr/>
          <w:p>
            <w:pPr>
              <w:pStyle w:val="Compact"/>
              <w:jc w:val="left"/>
            </w:pPr>
            <w:r>
              <w:t xml:space="preserve">SURMOUNT-1 (Jastreboff 2022), PMID 35658024</w:t>
            </w:r>
          </w:p>
        </w:tc>
        <w:tc>
          <w:tcPr/>
          <w:p>
            <w:pPr>
              <w:pStyle w:val="Compact"/>
              <w:jc w:val="left"/>
            </w:pPr>
            <w:r>
              <w:t xml:space="preserve">las más frecuentes, sobre todo durante la escalada</w:t>
            </w:r>
          </w:p>
        </w:tc>
        <w:tc>
          <w:tcPr/>
          <w:p>
            <w:pPr>
              <w:pStyle w:val="Compact"/>
              <w:jc w:val="left"/>
            </w:pPr>
            <w:r>
              <w:t xml:space="preserve">4,3–7,1 % frente a 2,6 %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 frente a 39,9 %</w:t>
            </w:r>
          </w:p>
        </w:tc>
        <w:tc>
          <w:tcPr/>
          <w:p>
            <w:pPr>
              <w:pStyle w:val="Compact"/>
              <w:jc w:val="left"/>
            </w:pPr>
            <w:r>
              <w:t xml:space="preserve">sin dato en el resumen</w:t>
            </w:r>
          </w:p>
        </w:tc>
      </w:tr>
      <w:tr>
        <w:tc>
          <w:tcPr/>
          <w:p>
            <w:pPr>
              <w:pStyle w:val="Compact"/>
              <w:jc w:val="left"/>
            </w:pPr>
            <w:r>
              <w:t xml:space="preserve">Retatrutida</w:t>
            </w:r>
          </w:p>
        </w:tc>
        <w:tc>
          <w:tcPr/>
          <w:p>
            <w:pPr>
              <w:pStyle w:val="Compact"/>
              <w:jc w:val="left"/>
            </w:pPr>
            <w:r>
              <w:t xml:space="preserve">TRIUMPH-2 (Bellido 2026), PMID 42810372</w:t>
            </w:r>
          </w:p>
        </w:tc>
        <w:tc>
          <w:tcPr/>
          <w:p>
            <w:pPr>
              <w:pStyle w:val="Compact"/>
              <w:jc w:val="left"/>
            </w:pPr>
            <w:r>
              <w:t xml:space="preserve">diarrea 27–34 %, náuseas 14–28 % (placebo 13 % y 8 %, respectivamente)</w:t>
            </w:r>
          </w:p>
        </w:tc>
        <w:tc>
          <w:tcPr/>
          <w:p>
            <w:pPr>
              <w:pStyle w:val="Compact"/>
              <w:jc w:val="left"/>
            </w:pPr>
            <w:r>
              <w:t xml:space="preserve">4–12 % frente a 5 % (incl. muertes)</w:t>
            </w:r>
          </w:p>
        </w:tc>
      </w:tr>
      <w:tr>
        <w:tc>
          <w:tcPr/>
          <w:p>
            <w:pPr>
              <w:pStyle w:val="Compact"/>
              <w:jc w:val="left"/>
            </w:pPr>
            <w:r>
              <w:t xml:space="preserve">Survodutida</w:t>
            </w:r>
          </w:p>
        </w:tc>
        <w:tc>
          <w:tcPr/>
          <w:p>
            <w:pPr>
              <w:pStyle w:val="Compact"/>
              <w:jc w:val="left"/>
            </w:pPr>
            <w:r>
              <w:t xml:space="preserve">SYNCHRONIZE-1 (le Roux 2026), PMID 42253238</w:t>
            </w:r>
          </w:p>
        </w:tc>
        <w:tc>
          <w:tcPr/>
          <w:p>
            <w:pPr>
              <w:pStyle w:val="Compact"/>
              <w:jc w:val="left"/>
            </w:pPr>
            <w:r>
              <w:t xml:space="preserve">80,9 / 89,7 % frente a 47,9 %</w:t>
            </w:r>
          </w:p>
        </w:tc>
        <w:tc>
          <w:tcPr/>
          <w:p>
            <w:pPr>
              <w:pStyle w:val="Compact"/>
              <w:jc w:val="left"/>
            </w:pPr>
            <w:r>
              <w:t xml:space="preserve">sin dato en el resumen</w:t>
            </w:r>
          </w:p>
        </w:tc>
      </w:tr>
      <w:tr>
        <w:tc>
          <w:tcPr/>
          <w:p>
            <w:pPr>
              <w:pStyle w:val="Compact"/>
              <w:jc w:val="left"/>
            </w:pPr>
            <w:r>
              <w:t xml:space="preserve">Mazdutida</w:t>
            </w:r>
          </w:p>
        </w:tc>
        <w:tc>
          <w:tcPr/>
          <w:p>
            <w:pPr>
              <w:pStyle w:val="Compact"/>
              <w:jc w:val="left"/>
            </w:pPr>
            <w:r>
              <w:t xml:space="preserve">GLORY-1 (Ji 2025), PMID 40421736</w:t>
            </w:r>
          </w:p>
        </w:tc>
        <w:tc>
          <w:tcPr/>
          <w:p>
            <w:pPr>
              <w:pStyle w:val="Compact"/>
              <w:jc w:val="left"/>
            </w:pPr>
            <w:r>
              <w:t xml:space="preserve">efecto adverso más frecuente</w:t>
            </w:r>
          </w:p>
        </w:tc>
        <w:tc>
          <w:tcPr/>
          <w:p>
            <w:pPr>
              <w:pStyle w:val="Compact"/>
              <w:jc w:val="left"/>
            </w:pPr>
            <w:r>
              <w:t xml:space="preserve">0,5–1,5 % frente a 1,0 %</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efecto adverso más frecuente</w:t>
            </w:r>
          </w:p>
        </w:tc>
        <w:tc>
          <w:tcPr/>
          <w:p>
            <w:pPr>
              <w:pStyle w:val="Compact"/>
              <w:jc w:val="left"/>
            </w:pPr>
            <w:r>
              <w:t xml:space="preserve">5,3–10,3 % frente a 2,7 %</w:t>
            </w:r>
          </w:p>
        </w:tc>
      </w:tr>
    </w:tbl>
    <w:p>
      <w:pPr>
        <w:pStyle w:val="BodyText"/>
      </w:pPr>
      <w:r>
        <w:t xml:space="preserve">Algunas observaciones:</w:t>
      </w:r>
    </w:p>
    <w:p>
      <w:pPr>
        <w:numPr>
          <w:ilvl w:val="0"/>
          <w:numId w:val="1327"/>
        </w:numPr>
        <w:pStyle w:val="Compact"/>
      </w:pPr>
      <w:r>
        <w:rPr>
          <w:bCs/>
          <w:b/>
        </w:rPr>
        <w:t xml:space="preserve">Los preparados semanales suelen tolerarse mejor que las formas más antiguas.</w:t>
      </w:r>
      <w:r>
        <w:t xml:space="preserve"> </w:t>
      </w:r>
      <w:r>
        <w:t xml:space="preserve">En DURATION-6, un 9 % tuvo náuseas con exenatida semanal y un 21 % con liraglutida diaria</w:t>
      </w:r>
      <w:r>
        <w:rPr>
          <w:rStyle w:val="FootnoteReference"/>
        </w:rPr>
        <w:footnoteReference w:id="2563"/>
      </w:r>
      <w:r>
        <w:t xml:space="preserve">. En STEP 8, un 27,6 % terminó antes de tiempo el tratamiento con liraglutida, por el motivo que fuera, frente a un 13,5 % con semaglutida; las molestias gastrointestinales fueron igual de frecuentes en ambos grupos (82,7 % frente a 84,1 %)</w:t>
      </w:r>
      <w:r>
        <w:rPr>
          <w:rStyle w:val="FootnoteReference"/>
        </w:rPr>
        <w:footnoteReference w:id="2564"/>
      </w:r>
      <w:r>
        <w:t xml:space="preserve">.</w:t>
      </w:r>
    </w:p>
    <w:p>
      <w:pPr>
        <w:numPr>
          <w:ilvl w:val="0"/>
          <w:numId w:val="1327"/>
        </w:numPr>
        <w:pStyle w:val="Compact"/>
      </w:pPr>
      <w:r>
        <w:rPr>
          <w:bCs/>
          <w:b/>
        </w:rPr>
        <w:t xml:space="preserve">Una mayor eficacia no va necesariamente acompañada de más molestias.</w:t>
      </w:r>
      <w:r>
        <w:t xml:space="preserve"> </w:t>
      </w:r>
      <w:r>
        <w:t xml:space="preserve">En SURPASS-2, las náuseas (17–22 % frente a 18 %) y los vómitos (6–10 % frente a 8 %) fueron igual de frecuentes con tirzepatida y semaglutida; los acontecimientos adversos graves aparecieron con tirzepatida en el 5–7 % frente al 3 %</w:t>
      </w:r>
      <w:r>
        <w:rPr>
          <w:rStyle w:val="FootnoteReference"/>
        </w:rPr>
        <w:footnoteReference w:id="2565"/>
      </w:r>
      <w:r>
        <w:t xml:space="preserve">. En REDEFINE 5, el 53 % con CagriSema y el 51 % con semaglutida tuvieron molestias gastrointestinales</w:t>
      </w:r>
      <w:r>
        <w:rPr>
          <w:rStyle w:val="FootnoteReference"/>
        </w:rPr>
        <w:footnoteReference w:id="2566"/>
      </w:r>
      <w:r>
        <w:t xml:space="preserve">.</w:t>
      </w:r>
    </w:p>
    <w:p>
      <w:pPr>
        <w:numPr>
          <w:ilvl w:val="0"/>
          <w:numId w:val="1327"/>
        </w:numPr>
        <w:pStyle w:val="Compact"/>
      </w:pPr>
      <w:r>
        <w:rPr>
          <w:bCs/>
          <w:b/>
        </w:rPr>
        <w:t xml:space="preserve">Con los agonistas múltiples, los abandonos aumentan con dosis altas.</w:t>
      </w:r>
      <w:r>
        <w:t xml:space="preserve"> </w:t>
      </w:r>
      <w:r>
        <w:t xml:space="preserve">Con retatrutida aparecieron además alteraciones de la sensibilidad cutánea (disestesia) en el 4–7 % frente al 1 % con placebo, una señal nueva para esta clase. En un estudio estadounidense de fase 2 con mazdutida, con la dosis más alta abandonó el 20 % por efectos adversos</w:t>
      </w:r>
      <w:r>
        <w:rPr>
          <w:rStyle w:val="FootnoteReference"/>
        </w:rPr>
        <w:footnoteReference w:id="2567"/>
      </w:r>
      <w:r>
        <w:t xml:space="preserve">.</w:t>
      </w:r>
    </w:p>
    <w:p>
      <w:pPr>
        <w:numPr>
          <w:ilvl w:val="0"/>
          <w:numId w:val="1327"/>
        </w:numPr>
        <w:pStyle w:val="Compact"/>
      </w:pPr>
      <w:r>
        <w:rPr>
          <w:bCs/>
          <w:b/>
        </w:rPr>
        <w:t xml:space="preserve">Los estudios a largo plazo muestran tasas de abandono más altas que los estudios cortos.</w:t>
      </w:r>
      <w:r>
        <w:t xml:space="preserve"> </w:t>
      </w:r>
      <w:r>
        <w:t xml:space="preserve">El 16,6 % de SELECT a lo largo de más de tres años es una referencia más realista para el tratamiento continuado que los valores de los estudios de autorización de 68 o 72 semanas.</w:t>
      </w:r>
    </w:p>
    <w:p>
      <w:pPr>
        <w:pStyle w:val="FirstParagraph"/>
      </w:pPr>
      <w:r>
        <w:rPr>
          <w:bCs/>
          <w:b/>
        </w:rPr>
        <w:t xml:space="preserve">Riesgos de clase que afectan a todos los principios activos:</w:t>
      </w:r>
    </w:p>
    <w:p>
      <w:pPr>
        <w:numPr>
          <w:ilvl w:val="0"/>
          <w:numId w:val="1328"/>
        </w:numPr>
        <w:pStyle w:val="Compact"/>
      </w:pPr>
      <w:r>
        <w:rPr>
          <w:bCs/>
          <w:b/>
        </w:rPr>
        <w:t xml:space="preserve">Vesícula biliar:</w:t>
      </w:r>
      <w:r>
        <w:t xml:space="preserve"> </w:t>
      </w:r>
      <w:r>
        <w:t xml:space="preserve">un metaanálisis de 76 estudios aleatorizados con 103.371 participantes encontró un riesgo un 37 % mayor de enfermedades de la vesícula y las vías biliares; en los estudios de pérdida de peso, un riesgo más del doble (riesgo relativo 2,29; He 2022, PMID 35344001).</w:t>
      </w:r>
    </w:p>
    <w:p>
      <w:pPr>
        <w:numPr>
          <w:ilvl w:val="0"/>
          <w:numId w:val="1328"/>
        </w:numPr>
        <w:pStyle w:val="Compact"/>
      </w:pPr>
      <w:r>
        <w:rPr>
          <w:bCs/>
          <w:b/>
        </w:rPr>
        <w:t xml:space="preserve">Páncreas:</w:t>
      </w:r>
      <w:r>
        <w:t xml:space="preserve"> </w:t>
      </w:r>
      <w:r>
        <w:t xml:space="preserve">en el metaanálisis de los estudios de resultados, ningún aumento del riesgo de pancreatitis o cáncer de páncreas</w:t>
      </w:r>
      <w:r>
        <w:rPr>
          <w:rStyle w:val="FootnoteReference"/>
        </w:rPr>
        <w:footnoteReference w:id="2568"/>
      </w:r>
      <w:r>
        <w:t xml:space="preserve">; en datos de aseguradoras, una señal con el uso para perder peso</w:t>
      </w:r>
      <w:r>
        <w:rPr>
          <w:rStyle w:val="FootnoteReference"/>
        </w:rPr>
        <w:footnoteReference w:id="2569"/>
      </w:r>
      <w:r>
        <w:t xml:space="preserve">.</w:t>
      </w:r>
    </w:p>
    <w:p>
      <w:pPr>
        <w:numPr>
          <w:ilvl w:val="0"/>
          <w:numId w:val="1328"/>
        </w:numPr>
        <w:pStyle w:val="Compact"/>
      </w:pPr>
      <w:r>
        <w:rPr>
          <w:bCs/>
          <w:b/>
        </w:rPr>
        <w:t xml:space="preserve">Tiroides:</w:t>
      </w:r>
      <w:r>
        <w:t xml:space="preserve"> </w:t>
      </w:r>
      <w:r>
        <w:t xml:space="preserve">tumores de células C en roedores; en humanos, una señal en metaanálisis y estudios observacionales</w:t>
      </w:r>
      <w:r>
        <w:rPr>
          <w:rStyle w:val="FootnoteReference"/>
        </w:rPr>
        <w:footnoteReference w:id="2570"/>
      </w:r>
      <w:r>
        <w:t xml:space="preserve">, cuya relevancia es controvertida.</w:t>
      </w:r>
    </w:p>
    <w:p>
      <w:pPr>
        <w:numPr>
          <w:ilvl w:val="0"/>
          <w:numId w:val="1328"/>
        </w:numPr>
        <w:pStyle w:val="Compact"/>
      </w:pPr>
      <w:r>
        <w:rPr>
          <w:bCs/>
          <w:b/>
        </w:rPr>
        <w:t xml:space="preserve">Ojos:</w:t>
      </w:r>
      <w:r>
        <w:t xml:space="preserve"> </w:t>
      </w:r>
      <w:r>
        <w:t xml:space="preserve">empeoramiento de una retinopatía diabética preexistente en SUSTAIN 6 (HR 1,76; Marso 2016, PMID 27633186); señal rara de un trastorno circulatorio del nervio óptico (NAION) en estudios observacionales</w:t>
      </w:r>
      <w:r>
        <w:rPr>
          <w:rStyle w:val="FootnoteReference"/>
        </w:rPr>
        <w:footnoteReference w:id="2571"/>
      </w:r>
      <w:r>
        <w:t xml:space="preserve">.</w:t>
      </w:r>
    </w:p>
    <w:p>
      <w:pPr>
        <w:numPr>
          <w:ilvl w:val="0"/>
          <w:numId w:val="1328"/>
        </w:numPr>
        <w:pStyle w:val="Compact"/>
      </w:pPr>
      <w:r>
        <w:rPr>
          <w:bCs/>
          <w:b/>
        </w:rPr>
        <w:t xml:space="preserve">Masa muscular:</w:t>
      </w:r>
      <w:r>
        <w:t xml:space="preserve"> </w:t>
      </w:r>
      <w:r>
        <w:t xml:space="preserve">aproximadamente una cuarta parte del peso perdido es masa libre de grasa, en la misma proporción que con otras pérdidas de peso</w:t>
      </w:r>
      <w:r>
        <w:rPr>
          <w:rStyle w:val="FootnoteReference"/>
        </w:rPr>
        <w:footnoteReference w:id="2572"/>
      </w:r>
      <w:r>
        <w:t xml:space="preserve">.</w:t>
      </w:r>
    </w:p>
    <w:bookmarkEnd w:id="2573"/>
    <w:bookmarkStart w:id="2576" w:name="estudios-de-comparación-directa"/>
    <w:p>
      <w:pPr>
        <w:pStyle w:val="Heading3"/>
      </w:pPr>
      <w:r>
        <w:t xml:space="preserve">Estudios de comparación directa</w:t>
      </w:r>
    </w:p>
    <w:p>
      <w:pPr>
        <w:pStyle w:val="FirstParagraph"/>
      </w:pPr>
      <w:r>
        <w:t xml:space="preserve">La siguiente tabla recoge estudios aleatorizados en los que dos principios activos de la clase se enfrentaron directamente. Solo aquí las diferencias entre los principios activos están demostradas con rigor metodológico. Muchos de estos estudios fueron abiertos (no enmascarados) y financiados por el fabricante del principio activo más reciente, y no siempre se utilizó la dosis autorizada más alta del comparador.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Comparación</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SURMOUNT-5 (Aronne 2025), PMID 40353578</w:t>
            </w:r>
          </w:p>
        </w:tc>
        <w:tc>
          <w:tcPr/>
          <w:p>
            <w:pPr>
              <w:pStyle w:val="Compact"/>
              <w:jc w:val="left"/>
            </w:pPr>
            <w:r>
              <w:t xml:space="preserve">Tirzepatida frente a semaglutida 2,4 mg, obesidad, abierto</w:t>
            </w:r>
          </w:p>
        </w:tc>
        <w:tc>
          <w:tcPr/>
          <w:p>
            <w:pPr>
              <w:pStyle w:val="Compact"/>
              <w:jc w:val="left"/>
            </w:pPr>
            <w:r>
              <w:t xml:space="preserve">72 semanas</w:t>
            </w:r>
          </w:p>
        </w:tc>
        <w:tc>
          <w:tcPr/>
          <w:p>
            <w:pPr>
              <w:pStyle w:val="Compact"/>
              <w:jc w:val="left"/>
            </w:pPr>
            <w:r>
              <w:t xml:space="preserve">peso −20,2 % frente a −13,7 %</w:t>
            </w:r>
          </w:p>
        </w:tc>
      </w:tr>
      <w:tr>
        <w:tc>
          <w:tcPr/>
          <w:p>
            <w:pPr>
              <w:pStyle w:val="Compact"/>
              <w:jc w:val="left"/>
            </w:pPr>
            <w:r>
              <w:t xml:space="preserve">STEP 8 (Rubino 2022), PMID 35015037</w:t>
            </w:r>
          </w:p>
        </w:tc>
        <w:tc>
          <w:tcPr/>
          <w:p>
            <w:pPr>
              <w:pStyle w:val="Compact"/>
              <w:jc w:val="left"/>
            </w:pPr>
            <w:r>
              <w:t xml:space="preserve">Semaglutida 2,4 mg frente a liraglutida 3,0 mg, obesidad</w:t>
            </w:r>
          </w:p>
        </w:tc>
        <w:tc>
          <w:tcPr/>
          <w:p>
            <w:pPr>
              <w:pStyle w:val="Compact"/>
              <w:jc w:val="left"/>
            </w:pPr>
            <w:r>
              <w:t xml:space="preserve">68 semanas</w:t>
            </w:r>
          </w:p>
        </w:tc>
        <w:tc>
          <w:tcPr/>
          <w:p>
            <w:pPr>
              <w:pStyle w:val="Compact"/>
              <w:jc w:val="left"/>
            </w:pPr>
            <w:r>
              <w:t xml:space="preserve">peso −15,8 % frente a −6,4 %</w:t>
            </w:r>
          </w:p>
        </w:tc>
      </w:tr>
      <w:tr>
        <w:tc>
          <w:tcPr/>
          <w:p>
            <w:pPr>
              <w:pStyle w:val="Compact"/>
              <w:jc w:val="left"/>
            </w:pPr>
            <w:r>
              <w:t xml:space="preserve">REDEFINE 5 (Yamauchi 2026), PMID 42009015</w:t>
            </w:r>
          </w:p>
        </w:tc>
        <w:tc>
          <w:tcPr/>
          <w:p>
            <w:pPr>
              <w:pStyle w:val="Compact"/>
              <w:jc w:val="left"/>
            </w:pPr>
            <w:r>
              <w:t xml:space="preserve">CagriSema frente a semaglutida 2,4 mg, Japón y Taiwán, enmascarado</w:t>
            </w:r>
          </w:p>
        </w:tc>
        <w:tc>
          <w:tcPr/>
          <w:p>
            <w:pPr>
              <w:pStyle w:val="Compact"/>
              <w:jc w:val="left"/>
            </w:pPr>
            <w:r>
              <w:t xml:space="preserve">68 semanas</w:t>
            </w:r>
          </w:p>
        </w:tc>
        <w:tc>
          <w:tcPr/>
          <w:p>
            <w:pPr>
              <w:pStyle w:val="Compact"/>
              <w:jc w:val="left"/>
            </w:pPr>
            <w:r>
              <w:t xml:space="preserve">peso −18,4 % frente a −11,9 %</w:t>
            </w:r>
          </w:p>
        </w:tc>
      </w:tr>
      <w:tr>
        <w:tc>
          <w:tcPr/>
          <w:p>
            <w:pPr>
              <w:pStyle w:val="Compact"/>
              <w:jc w:val="left"/>
            </w:pPr>
            <w:r>
              <w:t xml:space="preserve">SURPASS-2 (Frías 2021), PMID 34170647</w:t>
            </w:r>
          </w:p>
        </w:tc>
        <w:tc>
          <w:tcPr/>
          <w:p>
            <w:pPr>
              <w:pStyle w:val="Compact"/>
              <w:jc w:val="left"/>
            </w:pPr>
            <w:r>
              <w:t xml:space="preserve">Tirzepatida frente a semaglutida 1 mg, diabetes tipo 2, abierto</w:t>
            </w:r>
          </w:p>
        </w:tc>
        <w:tc>
          <w:tcPr/>
          <w:p>
            <w:pPr>
              <w:pStyle w:val="Compact"/>
              <w:jc w:val="left"/>
            </w:pPr>
            <w:r>
              <w:t xml:space="preserve">40 semanas</w:t>
            </w:r>
          </w:p>
        </w:tc>
        <w:tc>
          <w:tcPr/>
          <w:p>
            <w:pPr>
              <w:pStyle w:val="Compact"/>
              <w:jc w:val="left"/>
            </w:pPr>
            <w:r>
              <w:t xml:space="preserve">HbA1c −2,01 a −2,30 frente a −1,86; peso adicional −1,9 a −5,5 kg</w:t>
            </w:r>
          </w:p>
        </w:tc>
      </w:tr>
      <w:tr>
        <w:tc>
          <w:tcPr/>
          <w:p>
            <w:pPr>
              <w:pStyle w:val="Compact"/>
              <w:jc w:val="left"/>
            </w:pPr>
            <w:r>
              <w:t xml:space="preserve">REIMAGINE 2 (Buse 2026), PMID 42251859</w:t>
            </w:r>
          </w:p>
        </w:tc>
        <w:tc>
          <w:tcPr/>
          <w:p>
            <w:pPr>
              <w:pStyle w:val="Compact"/>
              <w:jc w:val="left"/>
            </w:pPr>
            <w:r>
              <w:t xml:space="preserve">CagriSema frente a semaglutida 2,4 mg, diabetes tipo 2</w:t>
            </w:r>
          </w:p>
        </w:tc>
        <w:tc>
          <w:tcPr/>
          <w:p>
            <w:pPr>
              <w:pStyle w:val="Compact"/>
              <w:jc w:val="left"/>
            </w:pPr>
            <w:r>
              <w:t xml:space="preserve">68 semanas</w:t>
            </w:r>
          </w:p>
        </w:tc>
        <w:tc>
          <w:tcPr/>
          <w:p>
            <w:pPr>
              <w:pStyle w:val="Compact"/>
              <w:jc w:val="left"/>
            </w:pPr>
            <w:r>
              <w:t xml:space="preserve">HbA1c −1,91 frente a −1,75</w:t>
            </w:r>
          </w:p>
        </w:tc>
      </w:tr>
      <w:tr>
        <w:tc>
          <w:tcPr/>
          <w:p>
            <w:pPr>
              <w:pStyle w:val="Compact"/>
              <w:jc w:val="left"/>
            </w:pPr>
            <w:r>
              <w:t xml:space="preserve">ACHIEVE-3 (Rosenstock 2026), PMID 41765029</w:t>
            </w:r>
          </w:p>
        </w:tc>
        <w:tc>
          <w:tcPr/>
          <w:p>
            <w:pPr>
              <w:pStyle w:val="Compact"/>
              <w:jc w:val="left"/>
            </w:pPr>
            <w:r>
              <w:t xml:space="preserve">Orforglipron frente a semaglutida en comprimido, abierto</w:t>
            </w:r>
          </w:p>
        </w:tc>
        <w:tc>
          <w:tcPr/>
          <w:p>
            <w:pPr>
              <w:pStyle w:val="Compact"/>
              <w:jc w:val="left"/>
            </w:pPr>
            <w:r>
              <w:t xml:space="preserve">52 semanas</w:t>
            </w:r>
          </w:p>
        </w:tc>
        <w:tc>
          <w:tcPr/>
          <w:p>
            <w:pPr>
              <w:pStyle w:val="Compact"/>
              <w:jc w:val="left"/>
            </w:pPr>
            <w:r>
              <w:t xml:space="preserve">HbA1c −1,91 frente a −1,47 (dosis más alta en cada caso)</w:t>
            </w:r>
          </w:p>
        </w:tc>
      </w:tr>
      <w:tr>
        <w:tc>
          <w:tcPr/>
          <w:p>
            <w:pPr>
              <w:pStyle w:val="Compact"/>
              <w:jc w:val="left"/>
            </w:pPr>
            <w:r>
              <w:t xml:space="preserve">SUSTAIN 7 (Pratley 2018), PMID 29397376</w:t>
            </w:r>
          </w:p>
        </w:tc>
        <w:tc>
          <w:tcPr/>
          <w:p>
            <w:pPr>
              <w:pStyle w:val="Compact"/>
              <w:jc w:val="left"/>
            </w:pPr>
            <w:r>
              <w:t xml:space="preserve">Semaglutida frente a dulaglutida</w:t>
            </w:r>
          </w:p>
        </w:tc>
        <w:tc>
          <w:tcPr/>
          <w:p>
            <w:pPr>
              <w:pStyle w:val="Compact"/>
              <w:jc w:val="left"/>
            </w:pPr>
            <w:r>
              <w:t xml:space="preserve">40 semanas</w:t>
            </w:r>
          </w:p>
        </w:tc>
        <w:tc>
          <w:tcPr/>
          <w:p>
            <w:pPr>
              <w:pStyle w:val="Compact"/>
              <w:jc w:val="left"/>
            </w:pPr>
            <w:r>
              <w:t xml:space="preserve">HbA1c −1,8 frente a −1,4; peso −6,5 frente a −3,0 kg</w:t>
            </w:r>
          </w:p>
        </w:tc>
      </w:tr>
      <w:tr>
        <w:tc>
          <w:tcPr/>
          <w:p>
            <w:pPr>
              <w:pStyle w:val="Compact"/>
              <w:jc w:val="left"/>
            </w:pPr>
            <w:r>
              <w:t xml:space="preserve">SUSTAIN 10 (Capehorn 2020), PMID 31539622</w:t>
            </w:r>
          </w:p>
        </w:tc>
        <w:tc>
          <w:tcPr/>
          <w:p>
            <w:pPr>
              <w:pStyle w:val="Compact"/>
              <w:jc w:val="left"/>
            </w:pPr>
            <w:r>
              <w:t xml:space="preserve">Semaglutida 1,0 mg frente a liraglutida 1,2 mg</w:t>
            </w:r>
          </w:p>
        </w:tc>
        <w:tc>
          <w:tcPr/>
          <w:p>
            <w:pPr>
              <w:pStyle w:val="Compact"/>
              <w:jc w:val="left"/>
            </w:pPr>
            <w:r>
              <w:t xml:space="preserve">30 semanas</w:t>
            </w:r>
          </w:p>
        </w:tc>
        <w:tc>
          <w:tcPr/>
          <w:p>
            <w:pPr>
              <w:pStyle w:val="Compact"/>
              <w:jc w:val="left"/>
            </w:pPr>
            <w:r>
              <w:t xml:space="preserve">HbA1c −1,7 frente a −1,0; peso −5,8 frente a −1,9 kg</w:t>
            </w:r>
          </w:p>
        </w:tc>
      </w:tr>
      <w:tr>
        <w:tc>
          <w:tcPr/>
          <w:p>
            <w:pPr>
              <w:pStyle w:val="Compact"/>
              <w:jc w:val="left"/>
            </w:pPr>
            <w:r>
              <w:t xml:space="preserve">SUSTAIN 3 (Ahmann 2018), PMID 29246950</w:t>
            </w:r>
          </w:p>
        </w:tc>
        <w:tc>
          <w:tcPr/>
          <w:p>
            <w:pPr>
              <w:pStyle w:val="Compact"/>
              <w:jc w:val="left"/>
            </w:pPr>
            <w:r>
              <w:t xml:space="preserve">Semaglutida frente a exenatida semanal, abierto</w:t>
            </w:r>
          </w:p>
        </w:tc>
        <w:tc>
          <w:tcPr/>
          <w:p>
            <w:pPr>
              <w:pStyle w:val="Compact"/>
              <w:jc w:val="left"/>
            </w:pPr>
            <w:r>
              <w:t xml:space="preserve">56 semanas</w:t>
            </w:r>
          </w:p>
        </w:tc>
        <w:tc>
          <w:tcPr/>
          <w:p>
            <w:pPr>
              <w:pStyle w:val="Compact"/>
              <w:jc w:val="left"/>
            </w:pPr>
            <w:r>
              <w:t xml:space="preserve">HbA1c −1,5 frente a −0,9; peso −5,6 frente a −1,9 kg</w:t>
            </w:r>
          </w:p>
        </w:tc>
      </w:tr>
      <w:tr>
        <w:tc>
          <w:tcPr/>
          <w:p>
            <w:pPr>
              <w:pStyle w:val="Compact"/>
              <w:jc w:val="left"/>
            </w:pPr>
            <w:r>
              <w:t xml:space="preserve">PIONEER 4 (Pratley 2019), PMID 31186120</w:t>
            </w:r>
          </w:p>
        </w:tc>
        <w:tc>
          <w:tcPr/>
          <w:p>
            <w:pPr>
              <w:pStyle w:val="Compact"/>
              <w:jc w:val="left"/>
            </w:pPr>
            <w:r>
              <w:t xml:space="preserve">Semaglutida en comprimido frente a liraglutida inyectable</w:t>
            </w:r>
          </w:p>
        </w:tc>
        <w:tc>
          <w:tcPr/>
          <w:p>
            <w:pPr>
              <w:pStyle w:val="Compact"/>
              <w:jc w:val="left"/>
            </w:pPr>
            <w:r>
              <w:t xml:space="preserve">26 semanas (estudio de 52)</w:t>
            </w:r>
          </w:p>
        </w:tc>
        <w:tc>
          <w:tcPr/>
          <w:p>
            <w:pPr>
              <w:pStyle w:val="Compact"/>
              <w:jc w:val="left"/>
            </w:pPr>
            <w:r>
              <w:t xml:space="preserve">HbA1c −1,2 frente a −1,1 (no inferior)</w:t>
            </w:r>
          </w:p>
        </w:tc>
      </w:tr>
      <w:tr>
        <w:tc>
          <w:tcPr/>
          <w:p>
            <w:pPr>
              <w:pStyle w:val="Compact"/>
              <w:jc w:val="left"/>
            </w:pPr>
            <w:r>
              <w:t xml:space="preserve">AWARD-6 (Dungan 2014), PMID 25018121</w:t>
            </w:r>
          </w:p>
        </w:tc>
        <w:tc>
          <w:tcPr/>
          <w:p>
            <w:pPr>
              <w:pStyle w:val="Compact"/>
              <w:jc w:val="left"/>
            </w:pPr>
            <w:r>
              <w:t xml:space="preserve">Dulaglutida frente a liraglutida 1,8 mg, abierto</w:t>
            </w:r>
          </w:p>
        </w:tc>
        <w:tc>
          <w:tcPr/>
          <w:p>
            <w:pPr>
              <w:pStyle w:val="Compact"/>
              <w:jc w:val="left"/>
            </w:pPr>
            <w:r>
              <w:t xml:space="preserve">26 semanas</w:t>
            </w:r>
          </w:p>
        </w:tc>
        <w:tc>
          <w:tcPr/>
          <w:p>
            <w:pPr>
              <w:pStyle w:val="Compact"/>
              <w:jc w:val="left"/>
            </w:pPr>
            <w:r>
              <w:t xml:space="preserve">HbA1c −1,42 frente a −1,36, equivalente</w:t>
            </w:r>
          </w:p>
        </w:tc>
      </w:tr>
      <w:tr>
        <w:tc>
          <w:tcPr/>
          <w:p>
            <w:pPr>
              <w:pStyle w:val="Compact"/>
              <w:jc w:val="left"/>
            </w:pPr>
            <w:r>
              <w:t xml:space="preserve">DURATION-6 (Buse 2013), PMID 23141817</w:t>
            </w:r>
          </w:p>
        </w:tc>
        <w:tc>
          <w:tcPr/>
          <w:p>
            <w:pPr>
              <w:pStyle w:val="Compact"/>
              <w:jc w:val="left"/>
            </w:pPr>
            <w:r>
              <w:t xml:space="preserve">Exenatida semanal frente a liraglutida, abierto</w:t>
            </w:r>
          </w:p>
        </w:tc>
        <w:tc>
          <w:tcPr/>
          <w:p>
            <w:pPr>
              <w:pStyle w:val="Compact"/>
              <w:jc w:val="left"/>
            </w:pPr>
            <w:r>
              <w:t xml:space="preserve">26 semanas</w:t>
            </w:r>
          </w:p>
        </w:tc>
        <w:tc>
          <w:tcPr/>
          <w:p>
            <w:pPr>
              <w:pStyle w:val="Compact"/>
              <w:jc w:val="left"/>
            </w:pPr>
            <w:r>
              <w:t xml:space="preserve">HbA1c −1,28 frente a −1,48; no inferioridad no alcanzada</w:t>
            </w:r>
          </w:p>
        </w:tc>
      </w:tr>
      <w:tr>
        <w:tc>
          <w:tcPr/>
          <w:p>
            <w:pPr>
              <w:pStyle w:val="Compact"/>
              <w:jc w:val="left"/>
            </w:pPr>
            <w:r>
              <w:t xml:space="preserve">DREAMS-2 (Guo 2026), PMID 41407860</w:t>
            </w:r>
          </w:p>
        </w:tc>
        <w:tc>
          <w:tcPr/>
          <w:p>
            <w:pPr>
              <w:pStyle w:val="Compact"/>
              <w:jc w:val="left"/>
            </w:pPr>
            <w:r>
              <w:t xml:space="preserve">Mazdutida frente a dulaglutida 1,5 mg, China</w:t>
            </w:r>
          </w:p>
        </w:tc>
        <w:tc>
          <w:tcPr/>
          <w:p>
            <w:pPr>
              <w:pStyle w:val="Compact"/>
              <w:jc w:val="left"/>
            </w:pPr>
            <w:r>
              <w:t xml:space="preserve">28 semanas</w:t>
            </w:r>
          </w:p>
        </w:tc>
        <w:tc>
          <w:tcPr/>
          <w:p>
            <w:pPr>
              <w:pStyle w:val="Compact"/>
              <w:jc w:val="left"/>
            </w:pPr>
            <w:r>
              <w:t xml:space="preserve">HbA1c adicional −0,24 / −0,30</w:t>
            </w:r>
          </w:p>
        </w:tc>
      </w:tr>
      <w:tr>
        <w:tc>
          <w:tcPr/>
          <w:p>
            <w:pPr>
              <w:pStyle w:val="Compact"/>
              <w:jc w:val="left"/>
            </w:pPr>
            <w:r>
              <w:t xml:space="preserve">SURPASS-CVOT (Nicholls 2025), PMID 41406444</w:t>
            </w:r>
          </w:p>
        </w:tc>
        <w:tc>
          <w:tcPr/>
          <w:p>
            <w:pPr>
              <w:pStyle w:val="Compact"/>
              <w:jc w:val="left"/>
            </w:pPr>
            <w:r>
              <w:t xml:space="preserve">Tirzepatida frente a dulaglutida, acontecimientos cardiovasculares</w:t>
            </w:r>
          </w:p>
        </w:tc>
        <w:tc>
          <w:tcPr/>
          <w:p>
            <w:pPr>
              <w:pStyle w:val="Compact"/>
              <w:jc w:val="left"/>
            </w:pPr>
            <w:r>
              <w:t xml:space="preserve">varios años</w:t>
            </w:r>
          </w:p>
        </w:tc>
        <w:tc>
          <w:tcPr/>
          <w:p>
            <w:pPr>
              <w:pStyle w:val="Compact"/>
              <w:jc w:val="left"/>
            </w:pPr>
            <w:r>
              <w:t xml:space="preserve">HR 0,92, no inferior</w:t>
            </w:r>
          </w:p>
        </w:tc>
      </w:tr>
    </w:tbl>
    <w:p>
      <w:pPr>
        <w:pStyle w:val="BodyText"/>
      </w:pPr>
      <w:r>
        <w:rPr>
          <w:bCs/>
          <w:b/>
        </w:rPr>
        <w:t xml:space="preserve">Lo que muestran las comparaciones directas:</w:t>
      </w:r>
    </w:p>
    <w:p>
      <w:pPr>
        <w:numPr>
          <w:ilvl w:val="0"/>
          <w:numId w:val="1329"/>
        </w:numPr>
        <w:pStyle w:val="Compact"/>
      </w:pPr>
      <w:r>
        <w:rPr>
          <w:bCs/>
          <w:b/>
        </w:rPr>
        <w:t xml:space="preserve">En el peso, el orden es claro.</w:t>
      </w:r>
      <w:r>
        <w:t xml:space="preserve"> </w:t>
      </w:r>
      <w:r>
        <w:t xml:space="preserve">La semaglutida 2,4 mg superó a la liraglutida 3,0 mg en 9,4 puntos porcentuales (STEP 8), la tirzepatida superó a la semaglutida 2,4 mg en 6,5 puntos porcentuales (SURMOUNT-5) y CagriSema superó a la semaglutida 2,4 mg en Asia oriental también en 6,5 puntos porcentuales (REDEFINE 5). En SURMOUNT-5, con tirzepatida más participantes alcanzaron cada uno de los umbrales del 10, 15, 20 y 25 %, y el perímetro de cintura se redujo 18,4 cm frente a 13,0 cm.</w:t>
      </w:r>
    </w:p>
    <w:p>
      <w:pPr>
        <w:numPr>
          <w:ilvl w:val="0"/>
          <w:numId w:val="1329"/>
        </w:numPr>
        <w:pStyle w:val="Compact"/>
      </w:pPr>
      <w:r>
        <w:rPr>
          <w:bCs/>
          <w:b/>
        </w:rPr>
        <w:t xml:space="preserve">En la glucemia, las distancias son menores.</w:t>
      </w:r>
      <w:r>
        <w:t xml:space="preserve"> </w:t>
      </w:r>
      <w:r>
        <w:t xml:space="preserve">Entre los agonistas de GLP-1 semanales suele haber solo décimas de punto; la tirzepatida redujo la HbA1c en SURPASS-2 entre 0,15 y 0,45 puntos porcentuales más que la semaglutida 1 mg.</w:t>
      </w:r>
    </w:p>
    <w:p>
      <w:pPr>
        <w:numPr>
          <w:ilvl w:val="0"/>
          <w:numId w:val="1329"/>
        </w:numPr>
        <w:pStyle w:val="Compact"/>
      </w:pPr>
      <w:r>
        <w:rPr>
          <w:bCs/>
          <w:b/>
        </w:rPr>
        <w:t xml:space="preserve">En variables duras solo hay hasta ahora una comparación directa.</w:t>
      </w:r>
      <w:r>
        <w:t xml:space="preserve"> </w:t>
      </w:r>
      <w:r>
        <w:t xml:space="preserve">SURPASS-CVOT mostró que la tirzepatida no es inferior a la dulaglutida; no se demostró superioridad.</w:t>
      </w:r>
    </w:p>
    <w:p>
      <w:pPr>
        <w:numPr>
          <w:ilvl w:val="0"/>
          <w:numId w:val="1329"/>
        </w:numPr>
        <w:pStyle w:val="Compact"/>
      </w:pPr>
      <w:r>
        <w:rPr>
          <w:bCs/>
          <w:b/>
        </w:rPr>
        <w:t xml:space="preserve">Las limitaciones son considerables.</w:t>
      </w:r>
      <w:r>
        <w:t xml:space="preserve"> </w:t>
      </w:r>
      <w:r>
        <w:t xml:space="preserve">SURMOUNT-5 y SURPASS-2 fueron abiertos y financiados por el fabricante de la tirzepatida; SURPASS-2 utilizó la semaglutida solo en la dosis de 1 mg. REDEFINE 5 se realizó exclusivamente en Japón y Taiwán. No obstante, las diferencias en SURMOUNT-5 son tan grandes que difícilmente pueden explicarse solo por estas debilidades.</w:t>
      </w:r>
    </w:p>
    <w:p>
      <w:pPr>
        <w:pStyle w:val="FirstParagraph"/>
      </w:pPr>
      <w:r>
        <w:rPr>
          <w:bCs/>
          <w:b/>
        </w:rPr>
        <w:t xml:space="preserve">Todavía pendiente (estudios registrados):</w:t>
      </w:r>
      <w:r>
        <w:t xml:space="preserve"> </w:t>
      </w:r>
      <w:r>
        <w:t xml:space="preserve">la comparación directa de retatrutida con tirzepatida en 800 adultos con obesidad</w:t>
      </w:r>
      <w:r>
        <w:rPr>
          <w:rStyle w:val="FootnoteReference"/>
        </w:rPr>
        <w:footnoteReference w:id="2574"/>
      </w:r>
      <w:r>
        <w:t xml:space="preserve"> </w:t>
      </w:r>
      <w:r>
        <w:t xml:space="preserve">debería concluir a finales de 2026. El estudio comparativo de CagriSema frente a tirzepatida en obesidad (REDEFINE 4, NCT06131437) figura como finalizado en el registro; al cierre de la redacción no se disponía de una publicación revisada por pares. La mazdutida se está evaluando en China frente a semaglutida</w:t>
      </w:r>
      <w:r>
        <w:rPr>
          <w:rStyle w:val="FootnoteReference"/>
        </w:rPr>
        <w:footnoteReference w:id="2575"/>
      </w:r>
      <w:r>
        <w:t xml:space="preserve">.</w:t>
      </w:r>
    </w:p>
    <w:bookmarkEnd w:id="2576"/>
    <w:bookmarkStart w:id="2577" w:name="conclusión-58"/>
    <w:p>
      <w:pPr>
        <w:pStyle w:val="Heading3"/>
      </w:pPr>
      <w:r>
        <w:t xml:space="preserve">Conclusión</w:t>
      </w:r>
    </w:p>
    <w:p>
      <w:pPr>
        <w:pStyle w:val="FirstParagraph"/>
      </w:pPr>
      <w:r>
        <w:t xml:space="preserve">Los fármacos incretínicos forman una clara secuencia escalonada: en la pérdida de peso, los valores medios de los estudios de autorización van desde alrededor del 8 % (liraglutida), pasando por casi el 15 % (semaglutida 2,4 mg) y alrededor del 20 % (tirzepatida, CagriSema), hasta el 25 % (retatrutida), y las comparaciones directas confirman este orden para los pares comparados hasta ahora. Para el corazón y el riñón, el beneficio solo está demostrado hasta ahora en estudios controlados con placebo para los agonistas de GLP-1 más antiguos y la semaglutida; si los sucesores más potentes aportan más en este terreno sigue abierto. Los efectos adversos son similares en toda la clase y afectan sobre todo al tubo digestivo; las tasas de abandono aumentan con la dosis y la duración del tratamiento. Las comparaciones cruzadas entre estudios individuales siguen siendo una orientación aproximada: para elegir un medicamento en cada caso, lo determinante son la ficha técnica y el asesoramiento médico.</w:t>
      </w:r>
    </w:p>
    <w:bookmarkEnd w:id="2577"/>
    <w:bookmarkEnd w:id="2578"/>
    <w:bookmarkStart w:id="2601" w:name="promesas-frente-a-pruebas"/>
    <w:p>
      <w:pPr>
        <w:pStyle w:val="Heading2"/>
      </w:pPr>
      <w:r>
        <w:t xml:space="preserve">Promesas frente a pruebas</w:t>
      </w:r>
    </w:p>
    <w:p>
      <w:pPr>
        <w:pStyle w:val="FirstParagraph"/>
      </w:pPr>
      <w:r>
        <w:t xml:space="preserve">Quien busca péptidos en internet se topa enseguida con tiendas, vídeos y foros en los que ciertas sustancias se describen con grandes palabras: supuestamente reparan tendones, frenan el envejecimiento, derriten la grasa o agudizan la memoria. Este capítulo contrasta estas promesas publicitarias típicas con lo que los estudios en humanos han demostrado realmente.</w:t>
      </w:r>
    </w:p>
    <w:p>
      <w:pPr>
        <w:pStyle w:val="BodyText"/>
      </w:pPr>
      <w:r>
        <w:t xml:space="preserve">Se han seleccionado los péptidos más promocionados en 2026 en internet en alemán y en inglés. Las promesas están formuladas de manera general y resumen afirmaciones recurrentes; no proceden de un proveedor concreto. La columna «Lo que muestran los estudios en humanos» se basa en los capítulos de la Parte II, en los que se comentan con detalle las fuentes. Los experimentos con animales y los resultados de laboratorio se identifican expresamente como tales.</w:t>
      </w:r>
    </w:p>
    <w:p>
      <w:pPr>
        <w:pStyle w:val="BodyText"/>
      </w:pPr>
      <w:r>
        <w:t xml:space="preserve">Una observación previa: que un beneficio no esté demostrado no significa automáticamente que una sustancia sea ineficaz. Significa que nadie lo sabe, tampoco los proveedores que la venden. Del mismo modo, que no se hayan publicado efectos adversos no significa, en sustancias apenas estudiadas, que sean seguras, sino solo que nadie los ha buscado de forma sistemática.</w:t>
      </w:r>
    </w:p>
    <w:bookmarkStart w:id="2579" w:name="los-péptidos-más-populares-a-examen"/>
    <w:p>
      <w:pPr>
        <w:pStyle w:val="Heading3"/>
      </w:pPr>
      <w:r>
        <w:t xml:space="preserve">Los péptidos más populares, a examen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Promesa publicitaria típica</w:t>
            </w:r>
          </w:p>
        </w:tc>
        <w:tc>
          <w:tcPr/>
          <w:p>
            <w:pPr>
              <w:pStyle w:val="Compact"/>
              <w:jc w:val="left"/>
            </w:pPr>
            <w:r>
              <w:t xml:space="preserve">Lo que muestran los estudios en humanos</w:t>
            </w:r>
          </w:p>
        </w:tc>
        <w:tc>
          <w:tcPr/>
          <w:p>
            <w:pPr>
              <w:pStyle w:val="Compact"/>
              <w:jc w:val="left"/>
            </w:pPr>
            <w:r>
              <w:t xml:space="preserve">Evidencia</w:t>
            </w:r>
          </w:p>
        </w:tc>
      </w:tr>
      <w:tr>
        <w:tc>
          <w:tcPr/>
          <w:p>
            <w:pPr>
              <w:pStyle w:val="Compact"/>
              <w:jc w:val="left"/>
            </w:pPr>
            <w:r>
              <w:t xml:space="preserve">BPC-157</w:t>
            </w:r>
          </w:p>
        </w:tc>
        <w:tc>
          <w:tcPr/>
          <w:p>
            <w:pPr>
              <w:pStyle w:val="Compact"/>
              <w:jc w:val="left"/>
            </w:pPr>
            <w:r>
              <w:t xml:space="preserve">Acelera la curación de tendones, ligamentos, músculos e intestino</w:t>
            </w:r>
          </w:p>
        </w:tc>
        <w:tc>
          <w:tcPr/>
          <w:p>
            <w:pPr>
              <w:pStyle w:val="Compact"/>
              <w:jc w:val="left"/>
            </w:pPr>
            <w:r>
              <w:t xml:space="preserve">Tres investigaciones no controladas con un total de 30 personas (rodilla, vejiga urinaria, tolerabilidad); según una revisión sistemática, valor probatorio muy bajo (Poolton 2026, PMID 42885452). Los numerosos resultados positivos proceden de experimentos con animales, en su mayoría de un único grupo de investigación.</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Repara tejidos, tendones y músculos, aporta movilidad</w:t>
            </w:r>
          </w:p>
        </w:tc>
        <w:tc>
          <w:tcPr/>
          <w:p>
            <w:pPr>
              <w:pStyle w:val="Compact"/>
              <w:jc w:val="left"/>
            </w:pPr>
            <w:r>
              <w:t xml:space="preserve">TB-500 nunca se ha evaluado en un estudio en humanos publicado. La proteína completa timosina beta 4 no redujo de forma significativa el tamaño global del infarto tras un infarto de miocardio (Zhang 2025, PMID 41229390). Los productos del mercado gris no contenían de forma sistemática lo declarado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Aumenta la hormona del crecimiento para ganar músculo, perder grasa y dormir mejor</w:t>
            </w:r>
          </w:p>
        </w:tc>
        <w:tc>
          <w:tcPr/>
          <w:p>
            <w:pPr>
              <w:pStyle w:val="Compact"/>
              <w:jc w:val="left"/>
            </w:pPr>
            <w:r>
              <w:t xml:space="preserve">En personas sanas, la hormona del crecimiento y el IGF-1 aumentaron durante unos seis a once días tras una inyección única (Teichman 2006, PMID 16352683). Nunca se ha investigado si de ello se deriva un beneficio. Para la variante más vendida, sin «DAC», no hay ningún estudio en humanos.</w:t>
            </w:r>
          </w:p>
        </w:tc>
        <w:tc>
          <w:tcPr/>
          <w:p>
            <w:pPr>
              <w:pStyle w:val="Compact"/>
              <w:jc w:val="left"/>
            </w:pPr>
            <w:r>
              <w:t xml:space="preserve">C</w:t>
            </w:r>
          </w:p>
        </w:tc>
      </w:tr>
      <w:tr>
        <w:tc>
          <w:tcPr/>
          <w:p>
            <w:pPr>
              <w:pStyle w:val="Compact"/>
              <w:jc w:val="left"/>
            </w:pPr>
            <w:r>
              <w:t xml:space="preserve">Ipamorelina</w:t>
            </w:r>
          </w:p>
        </w:tc>
        <w:tc>
          <w:tcPr/>
          <w:p>
            <w:pPr>
              <w:pStyle w:val="Compact"/>
              <w:jc w:val="left"/>
            </w:pPr>
            <w:r>
              <w:t xml:space="preserve">Potenciador suave de la hormona del crecimiento sin efectos adversos</w:t>
            </w:r>
          </w:p>
        </w:tc>
        <w:tc>
          <w:tcPr/>
          <w:p>
            <w:pPr>
              <w:pStyle w:val="Compact"/>
              <w:jc w:val="left"/>
            </w:pPr>
            <w:r>
              <w:t xml:space="preserve">Único estudio de eficacia publicado: 117 personas tras cirugía intestinal, sin beneficio significativo (Beck 2014, PMID 25331030). Sobre músculo, grasa, sueño o envejecimiento, ningún estudio en humanos.</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Alarga los telómeros y hace retroceder el reloj biológico</w:t>
            </w:r>
          </w:p>
        </w:tc>
        <w:tc>
          <w:tcPr/>
          <w:p>
            <w:pPr>
              <w:pStyle w:val="Compact"/>
              <w:jc w:val="left"/>
            </w:pPr>
            <w:r>
              <w:t xml:space="preserve">Alargamiento de los telómeros solo en cultivos celulares (Khavinson 2003, PMID 12937682). En ratones, sin aumento de la esperanza de vida media (Anisimov 2003, PMID 14501183). Ningún estudio aleatorizado en humanos de tamaño suficiente.</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«Ejercicio en jeringa»: más resistencia, menos grasa, mejor acción de la insulina</w:t>
            </w:r>
          </w:p>
        </w:tc>
        <w:tc>
          <w:tcPr/>
          <w:p>
            <w:pPr>
              <w:pStyle w:val="Compact"/>
              <w:jc w:val="left"/>
            </w:pPr>
            <w:r>
              <w:t xml:space="preserve">Estos efectos se observaron en ratones (Lee 2015, PMID 25738459). En humanos solo hay mediciones de los niveles endógenos, ningún estudio publicado con administración de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Aumenta la concentración, la memoria y el rendimiento</w:t>
            </w:r>
          </w:p>
        </w:tc>
        <w:tc>
          <w:tcPr/>
          <w:p>
            <w:pPr>
              <w:pStyle w:val="Compact"/>
              <w:jc w:val="left"/>
            </w:pPr>
            <w:r>
              <w:t xml:space="preserve">Estudios rusos pequeños, en su mayoría no aleatorizados, en el ictus, por ejemplo un estudio con 110 personas (Gusev 2018, PMID 29798983). Para personas sanas, ningún dato concluyente.</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Alivia la ansiedad sin cansancio ni dependencia</w:t>
            </w:r>
          </w:p>
        </w:tc>
        <w:tc>
          <w:tcPr/>
          <w:p>
            <w:pPr>
              <w:pStyle w:val="Compact"/>
              <w:jc w:val="left"/>
            </w:pPr>
            <w:r>
              <w:t xml:space="preserve">Tres pequeños estudios rusos sin grupo placebo, entre ellos 62 personas en comparación con una benzodiazepina (Zozulia 2008, PMID 18454096). No existen estudios sobre la concentración en personas sanas.</w:t>
            </w:r>
          </w:p>
        </w:tc>
        <w:tc>
          <w:tcPr/>
          <w:p>
            <w:pPr>
              <w:pStyle w:val="Compact"/>
              <w:jc w:val="left"/>
            </w:pPr>
            <w:r>
              <w:t xml:space="preserve">C</w:t>
            </w:r>
          </w:p>
        </w:tc>
      </w:tr>
      <w:tr>
        <w:tc>
          <w:tcPr/>
          <w:p>
            <w:pPr>
              <w:pStyle w:val="Compact"/>
              <w:jc w:val="left"/>
            </w:pPr>
            <w:r>
              <w:t xml:space="preserve">Melanotán II</w:t>
            </w:r>
          </w:p>
        </w:tc>
        <w:tc>
          <w:tcPr/>
          <w:p>
            <w:pPr>
              <w:pStyle w:val="Compact"/>
              <w:jc w:val="left"/>
            </w:pPr>
            <w:r>
              <w:t xml:space="preserve">Bronceado sin quemaduras, más deseo sexual</w:t>
            </w:r>
          </w:p>
        </w:tc>
        <w:tc>
          <w:tcPr/>
          <w:p>
            <w:pPr>
              <w:pStyle w:val="Compact"/>
              <w:jc w:val="left"/>
            </w:pPr>
            <w:r>
              <w:t xml:space="preserve">Pequeños estudios piloto de los años noventa con unas dos docenas de personas, con náuseas frecuentes (Wessells 2000, PMID 11035391). Casos clínicos de nuevos lunares, melanomas y priapismo. Viales de tiendas en línea contenían de 4,32 a 8,84 mg en lugar de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Reafirma la piel, forma colágeno, favorece el crecimiento del cabello</w:t>
            </w:r>
          </w:p>
        </w:tc>
        <w:tc>
          <w:tcPr/>
          <w:p>
            <w:pPr>
              <w:pStyle w:val="Compact"/>
              <w:jc w:val="left"/>
            </w:pPr>
            <w:r>
              <w:t xml:space="preserve">Un estudio aleatorizado antiguo en úlceras de pie diabético con resultado positivo (Mulder 1994, PMID 17147644). Un pequeño estudio cutáneo tras tratamiento láser no encontró diferencias medibles (Miller 2006, PMID 16847171). Sobre inyecciones, ningún dato.</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Fragmento quemagrasas de la hormona del crecimiento</w:t>
            </w:r>
          </w:p>
        </w:tc>
        <w:tc>
          <w:tcPr/>
          <w:p>
            <w:pPr>
              <w:pStyle w:val="Compact"/>
              <w:jc w:val="left"/>
            </w:pPr>
            <w:r>
              <w:t xml:space="preserve">En ratones, menor aumento de peso (Heffernan 2001, PMID 11673763). Se realizaron estudios en humanos, pero nunca se publicaron en revistas con revisión por pares; el desarrollo se abandonó.</w:t>
            </w:r>
          </w:p>
        </w:tc>
        <w:tc>
          <w:tcPr/>
          <w:p>
            <w:pPr>
              <w:pStyle w:val="Compact"/>
              <w:jc w:val="left"/>
            </w:pPr>
            <w:r>
              <w:t xml:space="preserve">D</w:t>
            </w:r>
          </w:p>
        </w:tc>
      </w:tr>
      <w:tr>
        <w:tc>
          <w:tcPr/>
          <w:p>
            <w:pPr>
              <w:pStyle w:val="Compact"/>
              <w:jc w:val="left"/>
            </w:pPr>
            <w:r>
              <w:t xml:space="preserve">Péptidos de colágeno</w:t>
            </w:r>
          </w:p>
        </w:tc>
        <w:tc>
          <w:tcPr/>
          <w:p>
            <w:pPr>
              <w:pStyle w:val="Compact"/>
              <w:jc w:val="left"/>
            </w:pPr>
            <w:r>
              <w:t xml:space="preserve">Piel más firme, articulaciones sanas, más músculo</w:t>
            </w:r>
          </w:p>
        </w:tc>
        <w:tc>
          <w:tcPr/>
          <w:p>
            <w:pPr>
              <w:pStyle w:val="Compact"/>
              <w:jc w:val="left"/>
            </w:pPr>
            <w:r>
              <w:t xml:space="preserve">Artrosis: en 35 estudios aleatorizados, efectos pequeños a moderados (PMID 38218227). Piel: sin financiación de la industria, ningún efecto (Myung 2025, PMID 40324552). Músculo: la proteína de suero funcionó mejor que el colágeno (Oikawa 2020, PMID 31919527).</w:t>
            </w:r>
          </w:p>
        </w:tc>
        <w:tc>
          <w:tcPr/>
          <w:p>
            <w:pPr>
              <w:pStyle w:val="Compact"/>
              <w:jc w:val="left"/>
            </w:pPr>
            <w:r>
              <w:t xml:space="preserve">B</w:t>
            </w:r>
          </w:p>
        </w:tc>
      </w:tr>
      <w:tr>
        <w:tc>
          <w:tcPr/>
          <w:p>
            <w:pPr>
              <w:pStyle w:val="Compact"/>
              <w:jc w:val="left"/>
            </w:pPr>
            <w:r>
              <w:t xml:space="preserve">Glutatión</w:t>
            </w:r>
          </w:p>
        </w:tc>
        <w:tc>
          <w:tcPr/>
          <w:p>
            <w:pPr>
              <w:pStyle w:val="Compact"/>
              <w:jc w:val="left"/>
            </w:pPr>
            <w:r>
              <w:t xml:space="preserve">Desintoxica, aclara la piel, refuerza el sistema inmunitario</w:t>
            </w:r>
          </w:p>
        </w:tc>
        <w:tc>
          <w:tcPr/>
          <w:p>
            <w:pPr>
              <w:pStyle w:val="Compact"/>
              <w:jc w:val="left"/>
            </w:pPr>
            <w:r>
              <w:t xml:space="preserve">En cápsulas aumentó los niveles en sangre a los seis meses (Richie 2015, PMID 24791752). En infusión no protegió de lesiones nerviosas a 185 pacientes con cáncer (Leal 2014, PMID 24619793). Infusiones para aclarar la piel: ningún beneficio demostrado; según una revisión, no justificables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Forma nuevas sinapsis, más potente que los factores de crecimiento endógenos</w:t>
            </w:r>
          </w:p>
        </w:tc>
        <w:tc>
          <w:tcPr/>
          <w:p>
            <w:pPr>
              <w:pStyle w:val="Compact"/>
              <w:jc w:val="left"/>
            </w:pPr>
            <w:r>
              <w:t xml:space="preserve">Nunca se ha estudiado en humanos; efectos solo en ratas y ratones, y un trabajo clave al respecto se retractó en 2025 (PMID 25187433). El principio activo emparentado fosgonimetón no alcanzó ninguno de sus objetivos principales ni secundarios en 287 personas con alzhéimer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más potente y de acción más prolongada para el crecimiento muscular</w:t>
            </w:r>
          </w:p>
        </w:tc>
        <w:tc>
          <w:tcPr/>
          <w:p>
            <w:pPr>
              <w:pStyle w:val="Compact"/>
              <w:jc w:val="left"/>
            </w:pPr>
            <w:r>
              <w:t xml:space="preserve">Ni un solo estudio en humanos. Un vial del mercado negro contenía una variante de laboratorio que nunca se concibió para inyección (PMID 20675162).</w:t>
            </w:r>
          </w:p>
        </w:tc>
        <w:tc>
          <w:tcPr/>
          <w:p>
            <w:pPr>
              <w:pStyle w:val="Compact"/>
              <w:jc w:val="left"/>
            </w:pPr>
            <w:r>
              <w:t xml:space="preserve">D</w:t>
            </w:r>
          </w:p>
        </w:tc>
      </w:tr>
      <w:tr>
        <w:tc>
          <w:tcPr/>
          <w:p>
            <w:pPr>
              <w:pStyle w:val="Compact"/>
              <w:jc w:val="left"/>
            </w:pPr>
            <w:r>
              <w:t xml:space="preserve">Retatrutida del mercado gris</w:t>
            </w:r>
          </w:p>
        </w:tc>
        <w:tc>
          <w:tcPr/>
          <w:p>
            <w:pPr>
              <w:pStyle w:val="Compact"/>
              <w:jc w:val="left"/>
            </w:pPr>
            <w:r>
              <w:t xml:space="preserve">El adelgazante más potente, ya disponible hoy</w:t>
            </w:r>
          </w:p>
        </w:tc>
        <w:tc>
          <w:tcPr/>
          <w:p>
            <w:pPr>
              <w:pStyle w:val="Compact"/>
              <w:jc w:val="left"/>
            </w:pPr>
            <w:r>
              <w:t xml:space="preserve">El medicamento está bien estudiado: en TRIUMPH-1, −25,0 % de peso a las 80 semanas con la dosis más alta (Jastreboff 2026, PMID 42814954). Esto no vale para la mercancía del mercado gris: no autorizada, con contenido y pureza sin verificar (Rubin 2026, PMID 42853576).</w:t>
            </w:r>
          </w:p>
        </w:tc>
        <w:tc>
          <w:tcPr/>
          <w:p>
            <w:pPr>
              <w:pStyle w:val="Compact"/>
              <w:jc w:val="left"/>
            </w:pPr>
            <w:r>
              <w:t xml:space="preserve">B (medicamento)</w:t>
            </w:r>
          </w:p>
        </w:tc>
      </w:tr>
    </w:tbl>
    <w:p>
      <w:pPr>
        <w:pStyle w:val="BodyText"/>
      </w:pPr>
      <w:r>
        <w:t xml:space="preserve">Nota sobre la tabla: el nivel de evidencia se refiere al uso promocionado o a la sustancia tal como se vende. Para TB-500 corresponde el nivel D; para la proteína completa timosina beta 4, el nivel B. En la retatrutida, el nivel B se refiere al medicamento evaluado en estudios; para los productos del mercado gris, cuyo contenido nadie conoce, no se puede indicar ningún nivel de evidencia.</w:t>
      </w:r>
    </w:p>
    <w:p>
      <w:pPr>
        <w:pStyle w:val="BodyText"/>
      </w:pPr>
      <w:r>
        <w:t xml:space="preserve">El panorama general: de las 16 sustancias, ninguna tiene el nivel de evidencia A. Cinco tienen el nivel D, es decir, no se han estudiado en absoluto en humanos. En las sustancias de nivel B (ipamorelina, colágeno, glutatión), los mejores estudios no han confirmado las promesas publicitarias o solo han encontrado efectos pequeños. La única excepción es la retatrutida, cuyo potente efecto está demostrado, pero no para el producto que se vende en el mercado gris.</w:t>
      </w:r>
    </w:p>
    <w:bookmarkEnd w:id="2579"/>
    <w:bookmarkStart w:id="2593" w:name="seis-patrones-detrás-de-las-promesas"/>
    <w:p>
      <w:pPr>
        <w:pStyle w:val="Heading3"/>
      </w:pPr>
      <w:r>
        <w:t xml:space="preserve">Seis patrones detrás de las promesas</w:t>
      </w:r>
    </w:p>
    <w:p>
      <w:pPr>
        <w:pStyle w:val="FirstParagraph"/>
      </w:pPr>
      <w:r>
        <w:t xml:space="preserve">Quien lee la tabla fila por fila reconoce patrones recurrentes. Ayudan a valorar también afirmaciones sobre péptidos que no aparecen en este libro.</w:t>
      </w:r>
    </w:p>
    <w:bookmarkStart w:id="2581" w:name="del-animal-al-ser-humano"/>
    <w:p>
      <w:pPr>
        <w:pStyle w:val="Heading4"/>
      </w:pPr>
      <w:r>
        <w:t xml:space="preserve">1. Del animal al ser humano</w:t>
      </w:r>
    </w:p>
    <w:p>
      <w:pPr>
        <w:pStyle w:val="FirstParagraph"/>
      </w:pPr>
      <w:r>
        <w:t xml:space="preserve">Casi todas las promesas sobre BPC-157, TB-500, MOTS-c, Dihexa, AOD-9604 y epitalon se basan en experimentos con ratas, ratones o cultivos celulares. Estos estudios son importantes para comprender los mecanismos de acción. No predicen si una sustancia actúa igual en el ser humano: una gran parte de los principios activos que tienen éxito en la experimentación animal fracasan en los estudios en humanos. Un ejemplo actual de este libro es el péptido de la memoria Dihexa. En ratas favoreció el aprendizaje y la formación de sinapsis; el principio activo emparentado fosgonimetón, que debía actuar a través del mismo sistema de factores de crecimiento, no alcanzó ninguno de sus objetivos principales ni secundarios en un estudio con 287 personas con alzhéimer</w:t>
      </w:r>
      <w:r>
        <w:rPr>
          <w:rStyle w:val="FootnoteReference"/>
        </w:rPr>
        <w:footnoteReference w:id="2580"/>
      </w:r>
      <w:r>
        <w:t xml:space="preserve">.</w:t>
      </w:r>
    </w:p>
    <w:p>
      <w:pPr>
        <w:pStyle w:val="BodyText"/>
      </w:pPr>
      <w:r>
        <w:t xml:space="preserve">En el caso de BPC-157 se añade un segundo problema: los estudios positivos en animales proceden en su mayoría de un único grupo de investigación y apenas se han repetido de forma independiente.</w:t>
      </w:r>
    </w:p>
    <w:bookmarkEnd w:id="2581"/>
    <w:bookmarkStart w:id="2583" w:name="Xff55f50600b8639ef7d151553bb4b3891abbdf2"/>
    <w:p>
      <w:pPr>
        <w:pStyle w:val="Heading4"/>
      </w:pPr>
      <w:r>
        <w:t xml:space="preserve">2. Un valor medido no es todavía un beneficio</w:t>
      </w:r>
    </w:p>
    <w:p>
      <w:pPr>
        <w:pStyle w:val="FirstParagraph"/>
      </w:pPr>
      <w:r>
        <w:t xml:space="preserve">CJC-1295 aumenta la hormona del crecimiento, el epitalon activa la telomerasa en cultivos celulares, las cápsulas de glutatión aumentan el nivel de glutatión en sangre. Se trata de valores sustitutivos («variables subrogadas», véase la Parte I). Si de ello se deriva algo que importe a las personas (más fuerza muscular, una vida más larga, menos enfermedades) es otra cuestión, que requiere sus propios estudios. En el caso de la hormona del crecimiento, el ejemplo del ibutamoreno muestra lo grande que puede ser la brecha: en 65 personas mayores sanas, la masa libre de grasa aumentó 1,1 kg en un año, pero la fuerza y la función física no mejoraron</w:t>
      </w:r>
      <w:r>
        <w:rPr>
          <w:rStyle w:val="FootnoteReference"/>
        </w:rPr>
        <w:footnoteReference w:id="2582"/>
      </w:r>
      <w:r>
        <w:t xml:space="preserve">.</w:t>
      </w:r>
    </w:p>
    <w:bookmarkEnd w:id="2583"/>
    <w:bookmarkStart w:id="2585" w:name="confusión-de-sustancias"/>
    <w:p>
      <w:pPr>
        <w:pStyle w:val="Heading4"/>
      </w:pPr>
      <w:r>
        <w:t xml:space="preserve">3. Confusión de sustancias</w:t>
      </w:r>
    </w:p>
    <w:p>
      <w:pPr>
        <w:pStyle w:val="FirstParagraph"/>
      </w:pPr>
      <w:r>
        <w:t xml:space="preserve">Varias promesas se basan en estudios con una sustancia distinta de la que se vende:</w:t>
      </w:r>
    </w:p>
    <w:p>
      <w:pPr>
        <w:numPr>
          <w:ilvl w:val="0"/>
          <w:numId w:val="1330"/>
        </w:numPr>
        <w:pStyle w:val="Compact"/>
      </w:pPr>
      <w:r>
        <w:rPr>
          <w:bCs/>
          <w:b/>
        </w:rPr>
        <w:t xml:space="preserve">TB-500</w:t>
      </w:r>
      <w:r>
        <w:t xml:space="preserve"> </w:t>
      </w:r>
      <w:r>
        <w:t xml:space="preserve">es un fragmento modificado. Los estudios en humanos se refieren a la proteína completa timosina beta 4, y además apenas a tendones, ligamentos o músculos.</w:t>
      </w:r>
    </w:p>
    <w:p>
      <w:pPr>
        <w:numPr>
          <w:ilvl w:val="0"/>
          <w:numId w:val="1330"/>
        </w:numPr>
        <w:pStyle w:val="Compact"/>
      </w:pPr>
      <w:r>
        <w:rPr>
          <w:bCs/>
          <w:b/>
        </w:rPr>
        <w:t xml:space="preserve">El epitalon</w:t>
      </w:r>
      <w:r>
        <w:t xml:space="preserve"> </w:t>
      </w:r>
      <w:r>
        <w:t xml:space="preserve">es un tetrapéptido sintético. El estudio sobre una vida más larga, citado a menudo, se refería al extracto bovino epitalamina, no era aleatorizado y nunca se repitió de forma independiente.</w:t>
      </w:r>
    </w:p>
    <w:p>
      <w:pPr>
        <w:numPr>
          <w:ilvl w:val="0"/>
          <w:numId w:val="1330"/>
        </w:numPr>
        <w:pStyle w:val="Compact"/>
      </w:pPr>
      <w:r>
        <w:rPr>
          <w:bCs/>
          <w:b/>
        </w:rPr>
        <w:t xml:space="preserve">CJC-1295</w:t>
      </w:r>
      <w:r>
        <w:t xml:space="preserve"> </w:t>
      </w:r>
      <w:r>
        <w:t xml:space="preserve">se vende mayoritariamente sin el grupo «DAC», que fue el utilizado en los estudios en humanos.</w:t>
      </w:r>
    </w:p>
    <w:p>
      <w:pPr>
        <w:numPr>
          <w:ilvl w:val="0"/>
          <w:numId w:val="1330"/>
        </w:numPr>
        <w:pStyle w:val="Compact"/>
      </w:pPr>
      <w:r>
        <w:rPr>
          <w:bCs/>
          <w:b/>
        </w:rPr>
        <w:t xml:space="preserve">La retatrutida</w:t>
      </w:r>
      <w:r>
        <w:t xml:space="preserve"> </w:t>
      </w:r>
      <w:r>
        <w:t xml:space="preserve">del mercado gris no es el medicamento de los estudios. Los análisis de laboratorio de otros péptidos del mercado gris muestran que los viales a menudo contienen menos principio activo, más o uno distinto del declarado; en el caso de la ipamorelina y CJC-1295, los laboratorios encontraron moléculas modificadas no declaradas</w:t>
      </w:r>
      <w:r>
        <w:rPr>
          <w:rStyle w:val="FootnoteReference"/>
        </w:rPr>
        <w:footnoteReference w:id="2584"/>
      </w:r>
      <w:r>
        <w:t xml:space="preserve">.</w:t>
      </w:r>
    </w:p>
    <w:bookmarkEnd w:id="2585"/>
    <w:bookmarkStart w:id="2589" w:name="los-estudios-negativos-no-se-mencionan"/>
    <w:p>
      <w:pPr>
        <w:pStyle w:val="Heading4"/>
      </w:pPr>
      <w:r>
        <w:t xml:space="preserve">4. Los estudios negativos no se mencionan</w:t>
      </w:r>
    </w:p>
    <w:p>
      <w:pPr>
        <w:pStyle w:val="FirstParagraph"/>
      </w:pPr>
      <w:r>
        <w:t xml:space="preserve">Para varios péptidos sí existen estudios aleatorizados, solo que no encontraron ningún beneficio. La ipamorelina no acortó de forma significativa el tiempo hasta la primera comida tras una cirugía intestinal</w:t>
      </w:r>
      <w:r>
        <w:rPr>
          <w:rStyle w:val="FootnoteReference"/>
        </w:rPr>
        <w:footnoteReference w:id="2586"/>
      </w:r>
      <w:r>
        <w:t xml:space="preserve">. Las infusiones de glutatión no protegieron de las lesiones nerviosas por quimioterapia</w:t>
      </w:r>
      <w:r>
        <w:rPr>
          <w:rStyle w:val="FootnoteReference"/>
        </w:rPr>
        <w:footnoteReference w:id="2587"/>
      </w:r>
      <w:r>
        <w:t xml:space="preserve">. En el colágeno, el beneficio cutáneo desapareció en cuanto solo se consideraron estudios con financiación independiente</w:t>
      </w:r>
      <w:r>
        <w:rPr>
          <w:rStyle w:val="FootnoteReference"/>
        </w:rPr>
        <w:footnoteReference w:id="2588"/>
      </w:r>
      <w:r>
        <w:t xml:space="preserve">. Estos resultados prácticamente nunca aparecen en los textos publicitarios. Una presentación seria menciona estudios positivos</w:t>
      </w:r>
      <w:r>
        <w:t xml:space="preserve"> </w:t>
      </w:r>
      <w:r>
        <w:rPr>
          <w:iCs/>
          <w:i/>
        </w:rPr>
        <w:t xml:space="preserve">y</w:t>
      </w:r>
      <w:r>
        <w:t xml:space="preserve"> </w:t>
      </w:r>
      <w:r>
        <w:t xml:space="preserve">negativos.</w:t>
      </w:r>
    </w:p>
    <w:bookmarkEnd w:id="2589"/>
    <w:bookmarkStart w:id="2590" w:name="estudios-pequeños-de-un-entorno-reducido"/>
    <w:p>
      <w:pPr>
        <w:pStyle w:val="Heading4"/>
      </w:pPr>
      <w:r>
        <w:t xml:space="preserve">5. Estudios pequeños de un entorno reducido</w:t>
      </w:r>
    </w:p>
    <w:p>
      <w:pPr>
        <w:pStyle w:val="FirstParagraph"/>
      </w:pPr>
      <w:r>
        <w:t xml:space="preserve">Semax, Selank, epitalon y pinealon se estudiaron casi exclusivamente en Rusia, en su mayoría por sus propios desarrolladores, en grupos pequeños y a menudo sin comparación con placebo. Eso no hace que los resultados sean automáticamente falsos. Pero significa que nunca se evaluaron en las condiciones que hoy se exigen para una autorización: registro previo, enmascaramiento, tamaño suficiente y confirmación por grupos independientes.</w:t>
      </w:r>
    </w:p>
    <w:bookmarkEnd w:id="2590"/>
    <w:bookmarkStart w:id="2592" w:name="X3607291ffbd046fa7fce6e9d5587fc0946271cd"/>
    <w:p>
      <w:pPr>
        <w:pStyle w:val="Heading4"/>
      </w:pPr>
      <w:r>
        <w:t xml:space="preserve">6. «Sin efectos adversos» suele significar «no estudiado»</w:t>
      </w:r>
    </w:p>
    <w:p>
      <w:pPr>
        <w:pStyle w:val="FirstParagraph"/>
      </w:pPr>
      <w:r>
        <w:t xml:space="preserve">La afirmación de que un péptido es «bien tolerado» o «sin efectos adversos» se basa, en el caso de BPC-157, en un total de 30 personas. Con tan pocos participantes solo pueden detectarse problemas frecuentes y de aparición inmediata; un efecto adverso que afecte a una de cada mil personas pasaría inadvertido. En las sustancias que refuerzan las señales de crecimiento (liberadores de hormona del crecimiento, IGF-1 LR3, péptidos que favorecen la formación de nuevos vasos) existe además una preocupación teórica, pero no evaluada, por el crecimiento tumoral. En el caso del melanotán II, varios casos clínicos describen lunares nuevos y alterados y melanomas; una relación causal no está demostrada, pero tampoco descartada. A ello se suman los riesgos de los propios productos: en viales de melanotán II del mercado gris se encontró menos principio activo del declarado e impurezas desconocidas</w:t>
      </w:r>
      <w:r>
        <w:rPr>
          <w:rStyle w:val="FootnoteReference"/>
        </w:rPr>
        <w:footnoteReference w:id="2591"/>
      </w:r>
      <w:r>
        <w:t xml:space="preserve">. Más información en la Parte IV.</w:t>
      </w:r>
    </w:p>
    <w:bookmarkEnd w:id="2592"/>
    <w:bookmarkEnd w:id="2593"/>
    <w:bookmarkStart w:id="2599" w:name="Xb3f89458265fec279f24bd86f2c01d5b10f1e2f"/>
    <w:p>
      <w:pPr>
        <w:pStyle w:val="Heading3"/>
      </w:pPr>
      <w:r>
        <w:t xml:space="preserve">Cómo distinguir las afirmaciones serias de las que no lo son</w:t>
      </w:r>
    </w:p>
    <w:p>
      <w:pPr>
        <w:pStyle w:val="FirstParagraph"/>
      </w:pPr>
      <w:r>
        <w:t xml:space="preserve">La siguiente lista de comprobación ayuda a valorar afirmaciones sobre péptidos en tiendas, vídeos, foros o revistas. No sustituye el asesoramiento profesional, pero agudiza la mirada sobre cuánto hay detrás de una afirmación.</w:t>
      </w:r>
    </w:p>
    <w:bookmarkStart w:id="2594" w:name="preguntas-sobre-la-fuente"/>
    <w:p>
      <w:pPr>
        <w:pStyle w:val="Heading4"/>
      </w:pPr>
      <w:r>
        <w:t xml:space="preserve">Preguntas sobre la fuente</w:t>
      </w:r>
    </w:p>
    <w:p>
      <w:pPr>
        <w:numPr>
          <w:ilvl w:val="0"/>
          <w:numId w:val="1331"/>
        </w:numPr>
        <w:pStyle w:val="Compact"/>
      </w:pPr>
      <w:r>
        <w:rPr>
          <w:bCs/>
          <w:b/>
        </w:rPr>
        <w:t xml:space="preserve">¿Quién habla?</w:t>
      </w:r>
      <w:r>
        <w:t xml:space="preserve"> </w:t>
      </w:r>
      <w:r>
        <w:t xml:space="preserve">¿La persona o la página vende la propia sustancia, ofrece cursos, asesoramiento o códigos de descuento? Un interés económico no hace falsa una afirmación, pero es un motivo para mirar con más atención.</w:t>
      </w:r>
    </w:p>
    <w:p>
      <w:pPr>
        <w:numPr>
          <w:ilvl w:val="0"/>
          <w:numId w:val="1331"/>
        </w:numPr>
        <w:pStyle w:val="Compact"/>
      </w:pPr>
      <w:r>
        <w:rPr>
          <w:bCs/>
          <w:b/>
        </w:rPr>
        <w:t xml:space="preserve">¿Se citan estudios y se pueden encontrar?</w:t>
      </w:r>
      <w:r>
        <w:t xml:space="preserve"> </w:t>
      </w:r>
      <w:r>
        <w:t xml:space="preserve">Las afirmaciones serias indican una fuente verificable: un PMID, un DOI o un número de registro (NCT). Puedes introducir cualquier PMID gratuitamente en PubMed y leer tú mismo el resumen. Expresiones como «los estudios demuestran» sin una referencia concreta son una señal de alarma.</w:t>
      </w:r>
    </w:p>
    <w:p>
      <w:pPr>
        <w:numPr>
          <w:ilvl w:val="0"/>
          <w:numId w:val="1331"/>
        </w:numPr>
        <w:pStyle w:val="Compact"/>
      </w:pPr>
      <w:r>
        <w:rPr>
          <w:bCs/>
          <w:b/>
        </w:rPr>
        <w:t xml:space="preserve">¿Encaja el estudio citado con la afirmación?</w:t>
      </w:r>
      <w:r>
        <w:t xml:space="preserve"> </w:t>
      </w:r>
      <w:r>
        <w:t xml:space="preserve">Comprueba si el estudio investigó realmente la sustancia que se vende, el uso promocionado y a seres humanos, o si se trataba de una molécula emparentada, otra enfermedad o ratas.</w:t>
      </w:r>
    </w:p>
    <w:bookmarkEnd w:id="2594"/>
    <w:bookmarkStart w:id="2595" w:name="preguntas-sobre-el-estudio"/>
    <w:p>
      <w:pPr>
        <w:pStyle w:val="Heading4"/>
      </w:pPr>
      <w:r>
        <w:t xml:space="preserve">Preguntas sobre el estudio</w:t>
      </w:r>
    </w:p>
    <w:p>
      <w:pPr>
        <w:numPr>
          <w:ilvl w:val="0"/>
          <w:numId w:val="1332"/>
        </w:numPr>
        <w:pStyle w:val="Compact"/>
      </w:pPr>
      <w:r>
        <w:rPr>
          <w:bCs/>
          <w:b/>
        </w:rPr>
        <w:t xml:space="preserve">¿Humanos, animales o cultivo celular?</w:t>
      </w:r>
      <w:r>
        <w:t xml:space="preserve"> </w:t>
      </w:r>
      <w:r>
        <w:t xml:space="preserve">Si en el resumen pone «rats», «mice», «in vitro» o «cell culture», no dice nada sobre el efecto en el ser humano.</w:t>
      </w:r>
    </w:p>
    <w:p>
      <w:pPr>
        <w:numPr>
          <w:ilvl w:val="0"/>
          <w:numId w:val="1332"/>
        </w:numPr>
        <w:pStyle w:val="Compact"/>
      </w:pPr>
      <w:r>
        <w:rPr>
          <w:bCs/>
          <w:b/>
        </w:rPr>
        <w:t xml:space="preserve">¿Hubo un grupo de comparación?</w:t>
      </w:r>
      <w:r>
        <w:t xml:space="preserve"> </w:t>
      </w:r>
      <w:r>
        <w:t xml:space="preserve">Sin un grupo placebo o de control no puede distinguirse si una mejoría se debe a la sustancia, al paso del tiempo, a otros tratamientos o a las expectativas. Precisamente en el dolor, el estado de ánimo o el sueño, el efecto placebo es grande.</w:t>
      </w:r>
    </w:p>
    <w:p>
      <w:pPr>
        <w:numPr>
          <w:ilvl w:val="0"/>
          <w:numId w:val="1332"/>
        </w:numPr>
        <w:pStyle w:val="Compact"/>
      </w:pPr>
      <w:r>
        <w:rPr>
          <w:bCs/>
          <w:b/>
        </w:rPr>
        <w:t xml:space="preserve">¿Cuántos participantes?</w:t>
      </w:r>
      <w:r>
        <w:t xml:space="preserve"> </w:t>
      </w:r>
      <w:r>
        <w:t xml:space="preserve">Los estudios con 10 o 20 personas pueden aportar indicios, pero no demostrar un beneficio ni detectar efectos adversos raros.</w:t>
      </w:r>
    </w:p>
    <w:p>
      <w:pPr>
        <w:numPr>
          <w:ilvl w:val="0"/>
          <w:numId w:val="1332"/>
        </w:numPr>
        <w:pStyle w:val="Compact"/>
      </w:pPr>
      <w:r>
        <w:rPr>
          <w:bCs/>
          <w:b/>
        </w:rPr>
        <w:t xml:space="preserve">¿Qué se midió?</w:t>
      </w:r>
      <w:r>
        <w:t xml:space="preserve"> </w:t>
      </w:r>
      <w:r>
        <w:t xml:space="preserve">Un valor de laboratorio que sube no es un beneficio perceptible. Pregúntate: ¿se midió lo que importa a los afectados (dolor, función, acontecimientos de enfermedad, calidad de vida)?</w:t>
      </w:r>
    </w:p>
    <w:p>
      <w:pPr>
        <w:numPr>
          <w:ilvl w:val="0"/>
          <w:numId w:val="1332"/>
        </w:numPr>
        <w:pStyle w:val="Compact"/>
      </w:pPr>
      <w:r>
        <w:rPr>
          <w:bCs/>
          <w:b/>
        </w:rPr>
        <w:t xml:space="preserve">¿Se registró el estudio previamente?</w:t>
      </w:r>
      <w:r>
        <w:t xml:space="preserve"> </w:t>
      </w:r>
      <w:r>
        <w:t xml:space="preserve">Un registro en ClinicalTrials.gov o en el registro de la UE antes de iniciar el estudio impide que los objetivos se elijan a posteriori a conveniencia.</w:t>
      </w:r>
    </w:p>
    <w:p>
      <w:pPr>
        <w:numPr>
          <w:ilvl w:val="0"/>
          <w:numId w:val="1332"/>
        </w:numPr>
        <w:pStyle w:val="Compact"/>
      </w:pPr>
      <w:r>
        <w:rPr>
          <w:bCs/>
          <w:b/>
        </w:rPr>
        <w:t xml:space="preserve">¿Se repitió el resultado?</w:t>
      </w:r>
      <w:r>
        <w:t xml:space="preserve"> </w:t>
      </w:r>
      <w:r>
        <w:t xml:space="preserve">Un único resultado positivo de un único grupo de investigación es un comienzo, no una prueba.</w:t>
      </w:r>
    </w:p>
    <w:bookmarkEnd w:id="2595"/>
    <w:bookmarkStart w:id="2596" w:name="señales-de-alarma-en-el-lenguaje"/>
    <w:p>
      <w:pPr>
        <w:pStyle w:val="Heading4"/>
      </w:pPr>
      <w:r>
        <w:t xml:space="preserve">Señales de alarma en el lenguaje</w:t>
      </w:r>
    </w:p>
    <w:p>
      <w:pPr>
        <w:numPr>
          <w:ilvl w:val="0"/>
          <w:numId w:val="1333"/>
        </w:numPr>
        <w:pStyle w:val="Compact"/>
      </w:pPr>
      <w:r>
        <w:t xml:space="preserve">Promesas que abarcan a la vez muchas dolencias muy distintas («para articulaciones, intestino, piel, cerebro y sistema inmunitario»).</w:t>
      </w:r>
    </w:p>
    <w:p>
      <w:pPr>
        <w:numPr>
          <w:ilvl w:val="0"/>
          <w:numId w:val="1333"/>
        </w:numPr>
        <w:pStyle w:val="Compact"/>
      </w:pPr>
      <w:r>
        <w:t xml:space="preserve">Términos como «remedio milagroso», «consejo secreto», «lo que los médicos no te cuentan» o «silenciado por la industria farmacéutica».</w:t>
      </w:r>
    </w:p>
    <w:p>
      <w:pPr>
        <w:numPr>
          <w:ilvl w:val="0"/>
          <w:numId w:val="1333"/>
        </w:numPr>
        <w:pStyle w:val="Compact"/>
      </w:pPr>
      <w:r>
        <w:t xml:space="preserve">La afirmación «sin efectos adversos» para una sustancia apenas estudiada en humanos.</w:t>
      </w:r>
    </w:p>
    <w:p>
      <w:pPr>
        <w:numPr>
          <w:ilvl w:val="0"/>
          <w:numId w:val="1333"/>
        </w:numPr>
        <w:pStyle w:val="Compact"/>
      </w:pPr>
      <w:r>
        <w:t xml:space="preserve">Testimonios e imágenes de antes y después en lugar de datos de estudios.</w:t>
      </w:r>
    </w:p>
    <w:p>
      <w:pPr>
        <w:numPr>
          <w:ilvl w:val="0"/>
          <w:numId w:val="1333"/>
        </w:numPr>
        <w:pStyle w:val="Compact"/>
      </w:pPr>
      <w:r>
        <w:t xml:space="preserve">La indicación «solo para fines de investigación» o «no apto para consumo humano» en un producto que al mismo tiempo se promociona con efectos en humanos. Esta contradicción demuestra que el proveedor quiere eludir la normativa sobre medicamentos (véase la Parte I).</w:t>
      </w:r>
    </w:p>
    <w:p>
      <w:pPr>
        <w:numPr>
          <w:ilvl w:val="0"/>
          <w:numId w:val="1333"/>
        </w:numPr>
        <w:pStyle w:val="Compact"/>
      </w:pPr>
      <w:r>
        <w:t xml:space="preserve">Propuestas de dosis, curas o paquetes combinados de varios péptidos para sustancias sin autorización. Para tales esquemas no hay base en estudios.</w:t>
      </w:r>
    </w:p>
    <w:bookmarkEnd w:id="2596"/>
    <w:bookmarkStart w:id="2597" w:name="signos-de-una-presentación-seria"/>
    <w:p>
      <w:pPr>
        <w:pStyle w:val="Heading4"/>
      </w:pPr>
      <w:r>
        <w:t xml:space="preserve">Signos de una presentación seria</w:t>
      </w:r>
    </w:p>
    <w:p>
      <w:pPr>
        <w:numPr>
          <w:ilvl w:val="0"/>
          <w:numId w:val="1334"/>
        </w:numPr>
        <w:pStyle w:val="Compact"/>
      </w:pPr>
      <w:r>
        <w:t xml:space="preserve">Los resultados con animales y de laboratorio se identifican expresamente como tales.</w:t>
      </w:r>
    </w:p>
    <w:p>
      <w:pPr>
        <w:numPr>
          <w:ilvl w:val="0"/>
          <w:numId w:val="1334"/>
        </w:numPr>
        <w:pStyle w:val="Compact"/>
      </w:pPr>
      <w:r>
        <w:t xml:space="preserve">Se mencionan los estudios negativos y contradictorios, no solo los positivos.</w:t>
      </w:r>
    </w:p>
    <w:p>
      <w:pPr>
        <w:numPr>
          <w:ilvl w:val="0"/>
          <w:numId w:val="1334"/>
        </w:numPr>
        <w:pStyle w:val="Compact"/>
      </w:pPr>
      <w:r>
        <w:t xml:space="preserve">La incertidumbre se reconoce abiertamente («Los datos no bastan para valorar…»).</w:t>
      </w:r>
    </w:p>
    <w:p>
      <w:pPr>
        <w:numPr>
          <w:ilvl w:val="0"/>
          <w:numId w:val="1334"/>
        </w:numPr>
        <w:pStyle w:val="Compact"/>
      </w:pPr>
      <w:r>
        <w:t xml:space="preserve">Se mencionan la situación jurídica y el estatus antidopaje.</w:t>
      </w:r>
    </w:p>
    <w:p>
      <w:pPr>
        <w:numPr>
          <w:ilvl w:val="0"/>
          <w:numId w:val="1334"/>
        </w:numPr>
        <w:pStyle w:val="Compact"/>
      </w:pPr>
      <w:r>
        <w:t xml:space="preserve">Hay una indicación clara de que los medicamentos corresponden a los profesionales médicos y de que los productos del mercado gris no están controlados.</w:t>
      </w:r>
    </w:p>
    <w:bookmarkEnd w:id="2597"/>
    <w:bookmarkStart w:id="2598" w:name="tres-preguntas-para-el-día-a-día"/>
    <w:p>
      <w:pPr>
        <w:pStyle w:val="Heading4"/>
      </w:pPr>
      <w:r>
        <w:t xml:space="preserve">Tres preguntas para el día a día</w:t>
      </w:r>
    </w:p>
    <w:p>
      <w:pPr>
        <w:pStyle w:val="FirstParagraph"/>
      </w:pPr>
      <w:r>
        <w:t xml:space="preserve">Si tienes poco tiempo, a menudo bastan tres preguntas:</w:t>
      </w:r>
    </w:p>
    <w:p>
      <w:pPr>
        <w:numPr>
          <w:ilvl w:val="0"/>
          <w:numId w:val="1335"/>
        </w:numPr>
        <w:pStyle w:val="Compact"/>
      </w:pPr>
      <w:r>
        <w:t xml:space="preserve">¿Está la sustancia autorizada como medicamento en la UE o en EE. UU. exactamente para este uso?</w:t>
      </w:r>
    </w:p>
    <w:p>
      <w:pPr>
        <w:numPr>
          <w:ilvl w:val="0"/>
          <w:numId w:val="1335"/>
        </w:numPr>
        <w:pStyle w:val="Compact"/>
      </w:pPr>
      <w:r>
        <w:t xml:space="preserve">¿Existe al menos un estudio aleatorizado y controlado con placebo en humanos que haya demostrado el beneficio afirmado?</w:t>
      </w:r>
    </w:p>
    <w:p>
      <w:pPr>
        <w:numPr>
          <w:ilvl w:val="0"/>
          <w:numId w:val="1335"/>
        </w:numPr>
        <w:pStyle w:val="Compact"/>
      </w:pPr>
      <w:r>
        <w:t xml:space="preserve">¿Procede el producto de la farmacia, o de una fuente cuyo contenido nadie controla?</w:t>
      </w:r>
    </w:p>
    <w:p>
      <w:pPr>
        <w:pStyle w:val="FirstParagraph"/>
      </w:pPr>
      <w:r>
        <w:t xml:space="preserve">Si la respuesta a las tres preguntas es «no», la promesa se basa en la esperanza, no en pruebas.</w:t>
      </w:r>
    </w:p>
    <w:bookmarkEnd w:id="2598"/>
    <w:bookmarkEnd w:id="2599"/>
    <w:bookmarkStart w:id="2600" w:name="conclusión-59"/>
    <w:p>
      <w:pPr>
        <w:pStyle w:val="Heading3"/>
      </w:pPr>
      <w:r>
        <w:t xml:space="preserve">Conclusión</w:t>
      </w:r>
    </w:p>
    <w:p>
      <w:pPr>
        <w:pStyle w:val="FirstParagraph"/>
      </w:pPr>
      <w:r>
        <w:t xml:space="preserve">Los péptidos más populares en internet son, casi sin excepción, los peor estudiados. Sus promesas se basan mayoritariamente en experimentos con animales, en valores sustitutivos o en estudios con otra sustancia; donde existen estudios aleatorizados en humanos, en su mayoría no han confirmado el beneficio promocionado. Eso no significa que ninguna de estas sustancias pueda tener nunca un beneficio, pero en ninguna los datos bastan para demostrarlo. Quien oiga una afirmación sobre un péptido debería preguntar por la fuente, revisar el estudio y tener presente la diferencia entre un medicamento evaluado y un vial del mercado gris.</w:t>
      </w:r>
    </w:p>
    <w:bookmarkEnd w:id="2600"/>
    <w:bookmarkEnd w:id="2601"/>
    <w:bookmarkEnd w:id="2602"/>
    <w:bookmarkStart w:id="2823" w:name="parte-iv-riesgos"/>
    <w:p>
      <w:pPr>
        <w:pStyle w:val="Heading1"/>
      </w:pPr>
      <w:r>
        <w:t xml:space="preserve">Parte IV – Riesgos</w:t>
      </w:r>
    </w:p>
    <w:p>
      <w:pPr>
        <w:pStyle w:val="FirstParagraph"/>
      </w:pPr>
      <w:r>
        <w:t xml:space="preserve">En la Parte II, cada péptido tiene su propio apartado «Riesgos y efectos adversos». Esta parte no repite esos apartados. Los pone uno al lado del otro y se pregunta, de forma transversal a todos los principios activos: ¿qué órganos se ven afectados? ¿Qué señales de alarma aparecen en varios péptidos? ¿Hasta qué punto es sólido lo que se sabe? Quien busque detalles sobre una sustancia concreta encontrará en cada punto una referencia al capítulo correspondiente.</w:t>
      </w:r>
    </w:p>
    <w:p>
      <w:pPr>
        <w:pStyle w:val="BodyText"/>
      </w:pPr>
      <w:r>
        <w:t xml:space="preserve">Antes de empezar, merece la pena echar un breve vistazo a cómo se valoran los riesgos. Tres distinciones recorren todos los capítulos siguientes.</w:t>
      </w:r>
    </w:p>
    <w:p>
      <w:pPr>
        <w:pStyle w:val="BodyText"/>
      </w:pPr>
      <w:r>
        <w:rPr>
          <w:bCs/>
          <w:b/>
        </w:rPr>
        <w:t xml:space="preserve">Demostrado, observado o teórico.</w:t>
      </w:r>
      <w:r>
        <w:t xml:space="preserve"> </w:t>
      </w:r>
      <w:r>
        <w:t xml:space="preserve">Un riesgo está mejor demostrado cuando en estudios aleatorizados (ECA) apareció con más frecuencia con el principio activo que con placebo. Los estudios observacionales con datos de aseguradoras o de registros abarcan, en cambio, a muchísimas personas y acontecimientos raros, pero no pueden separar con seguridad la causa de la circunstancia concomitante. Las bases de datos de notificación de efectos adversos solo muestran señales: lo que es conocido y muy debatido se notifica con más frecuencia. Por último, los riesgos teóricos se derivan del mecanismo de acción, de experimentos con animales o de cultivos celulares. No son una prueba de daño, pero en sustancias que nunca se han estudiado sistemáticamente en humanos son a menudo la única información disponible.</w:t>
      </w:r>
    </w:p>
    <w:p>
      <w:pPr>
        <w:pStyle w:val="BodyText"/>
      </w:pPr>
      <w:r>
        <w:rPr>
          <w:bCs/>
          <w:b/>
        </w:rPr>
        <w:t xml:space="preserve">La falta de datos no es seguridad.</w:t>
      </w:r>
      <w:r>
        <w:t xml:space="preserve"> </w:t>
      </w:r>
      <w:r>
        <w:t xml:space="preserve">Si en tres pequeñas investigaciones con un total de 30 personas no se observaron efectos adversos relacionados con el tratamiento (como en el caso de BPC-157, Poolton 2026, PMID 42885452), eso solo significa que no aparecieron problemas muy frecuentes y de aparición inmediata. Un efecto adverso que afecte a una de cada mil personas no puede detectarlo un estudio tan pequeño. En muchos péptidos de los grupos B, C y D, esta es la situación de partida.</w:t>
      </w:r>
    </w:p>
    <w:p>
      <w:pPr>
        <w:pStyle w:val="BodyText"/>
      </w:pPr>
      <w:r>
        <w:rPr>
          <w:bCs/>
          <w:b/>
        </w:rPr>
        <w:t xml:space="preserve">Riesgo relativo y absoluto.</w:t>
      </w:r>
      <w:r>
        <w:t xml:space="preserve"> </w:t>
      </w:r>
      <w:r>
        <w:t xml:space="preserve">Los titulares suelen dar cifras relativas: «tres veces más frecuente». Pero lo decisivo para la propia valoración es cuántas personas se ven realmente afectadas. Un ejemplo de esta parte: en un estudio de registros danés-noruego, un determinado trastorno circulatorio del nervio óptico fue casi tres veces más frecuente con semaglutida que con un medicamento de comparación (hazard ratio 2,81). En cifras absolutas, eso supuso alrededor de 1,4 casos adicionales por cada 10.000 años-persona</w:t>
      </w:r>
      <w:r>
        <w:rPr>
          <w:rStyle w:val="FootnoteReference"/>
        </w:rPr>
        <w:footnoteReference w:id="2603"/>
      </w:r>
      <w:r>
        <w:t xml:space="preserve">. Ambas cosas son ciertas, y ambas forman parte de la información.</w:t>
      </w:r>
    </w:p>
    <w:p>
      <w:pPr>
        <w:pStyle w:val="BodyText"/>
      </w:pPr>
      <w:r>
        <w:t xml:space="preserve">Por último, cuenta la relación entre beneficio y riesgo. Un medicamento contra la diabetes tipo 2 que en grandes estudios reduce los infartos y los ictus puede tener efectos adversos raros que no serían aceptables en un producto bronceador o en un «péptido de longevidad» sin beneficio demostrado. Quien utiliza un medicamento autorizado con acompañamiento médico y una indicación clara está en una situación completamente distinta de la de alguien que se inyecta un polvo no controlado comprado en internet. Cómo se leen los estudios lo explica la Parte I en el capítulo «Cómo leer correctamente los estudios».</w:t>
      </w:r>
    </w:p>
    <w:p>
      <w:pPr>
        <w:pStyle w:val="BodyText"/>
      </w:pPr>
      <w:r>
        <w:t xml:space="preserve">La Parte IV está estructurada así: este capítulo ordena los efectos adversos por sistemas orgánicos. A continuación siguen capítulos sobre el riesgo de cáncer y las señales de crecimiento, sobre las reacciones inmunitarias, sobre los análisis de laboratorio de productos del mercado gris y sobre las interacciones y los grupos de personas especialmente vulnerables.</w:t>
      </w:r>
    </w:p>
    <w:bookmarkStart w:id="2661" w:name="efectos-adversos-por-sistemas-orgánicos"/>
    <w:p>
      <w:pPr>
        <w:pStyle w:val="Heading2"/>
      </w:pPr>
      <w:r>
        <w:t xml:space="preserve">Efectos adversos por sistemas orgánicos</w:t>
      </w:r>
    </w:p>
    <w:p>
      <w:pPr>
        <w:pStyle w:val="FirstParagraph"/>
      </w:pPr>
      <w:r>
        <w:t xml:space="preserve">El siguiente resumen recoge qué sistemas orgánicos se ven afectados con más frecuencia por qué péptidos. La columna «Frecuencia/pruebas» indica un orden de magnitud típico de uno de los estudios comentados en este capítulo o en el capítulo del péptido indicado. Las cifras proceden de estudios y poblaciones distintos y, por eso, solo son comparables a grandes rasgos.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Sistema orgánico</w:t>
            </w:r>
          </w:p>
        </w:tc>
        <w:tc>
          <w:tcPr/>
          <w:p>
            <w:pPr>
              <w:pStyle w:val="Compact"/>
              <w:jc w:val="left"/>
            </w:pPr>
            <w:r>
              <w:t xml:space="preserve">Péptidos afectados</w:t>
            </w:r>
          </w:p>
        </w:tc>
        <w:tc>
          <w:tcPr/>
          <w:p>
            <w:pPr>
              <w:pStyle w:val="Compact"/>
              <w:jc w:val="left"/>
            </w:pPr>
            <w:r>
              <w:t xml:space="preserve">Frecuencia/pruebas</w:t>
            </w:r>
          </w:p>
        </w:tc>
        <w:tc>
          <w:tcPr/>
          <w:p>
            <w:pPr>
              <w:pStyle w:val="Compact"/>
              <w:jc w:val="left"/>
            </w:pPr>
            <w:r>
              <w:t xml:space="preserve">Capítulo</w:t>
            </w:r>
          </w:p>
        </w:tc>
      </w:tr>
      <w:tr>
        <w:tc>
          <w:tcPr/>
          <w:p>
            <w:pPr>
              <w:pStyle w:val="Compact"/>
              <w:jc w:val="left"/>
            </w:pPr>
            <w:r>
              <w:t xml:space="preserve">Aparato digestivo</w:t>
            </w:r>
          </w:p>
        </w:tc>
        <w:tc>
          <w:tcPr/>
          <w:p>
            <w:pPr>
              <w:pStyle w:val="Compact"/>
              <w:jc w:val="left"/>
            </w:pPr>
            <w:r>
              <w:t xml:space="preserve">todos los medicamentos GLP-1, pramlintida, bremelanotida, setmelanotida</w:t>
            </w:r>
          </w:p>
        </w:tc>
        <w:tc>
          <w:tcPr/>
          <w:p>
            <w:pPr>
              <w:pStyle w:val="Compact"/>
              <w:jc w:val="left"/>
            </w:pPr>
            <w:r>
              <w:t xml:space="preserve">muy frecuente; CagriSema 79,6 % frente a 39,9 % con placebo (Garvey 2025, PMID 40544433)</w:t>
            </w:r>
          </w:p>
        </w:tc>
        <w:tc>
          <w:tcPr/>
          <w:p>
            <w:pPr>
              <w:pStyle w:val="Compact"/>
              <w:jc w:val="left"/>
            </w:pPr>
            <w:r>
              <w:t xml:space="preserve">Semaglutida, Survodutida, Cagrilintida</w:t>
            </w:r>
          </w:p>
        </w:tc>
      </w:tr>
      <w:tr>
        <w:tc>
          <w:tcPr/>
          <w:p>
            <w:pPr>
              <w:pStyle w:val="Compact"/>
              <w:jc w:val="left"/>
            </w:pPr>
            <w:r>
              <w:t xml:space="preserve">Vesícula biliar</w:t>
            </w:r>
          </w:p>
        </w:tc>
        <w:tc>
          <w:tcPr/>
          <w:p>
            <w:pPr>
              <w:pStyle w:val="Compact"/>
              <w:jc w:val="left"/>
            </w:pPr>
            <w:r>
              <w:t xml:space="preserve">clase GLP-1, sobre todo en la pérdida de peso</w:t>
            </w:r>
          </w:p>
        </w:tc>
        <w:tc>
          <w:tcPr/>
          <w:p>
            <w:pPr>
              <w:pStyle w:val="Compact"/>
              <w:jc w:val="left"/>
            </w:pPr>
            <w:r>
              <w:t xml:space="preserve">riesgo relativo 1,37 (todos los estudios), 2,29 (estudios de pérdida de peso)</w:t>
            </w:r>
          </w:p>
        </w:tc>
        <w:tc>
          <w:tcPr/>
          <w:p>
            <w:pPr>
              <w:pStyle w:val="Compact"/>
              <w:jc w:val="left"/>
            </w:pPr>
            <w:r>
              <w:t xml:space="preserve">Liraglutida, Tirzepatida</w:t>
            </w:r>
          </w:p>
        </w:tc>
      </w:tr>
      <w:tr>
        <w:tc>
          <w:tcPr/>
          <w:p>
            <w:pPr>
              <w:pStyle w:val="Compact"/>
              <w:jc w:val="left"/>
            </w:pPr>
            <w:r>
              <w:t xml:space="preserve">Páncreas</w:t>
            </w:r>
          </w:p>
        </w:tc>
        <w:tc>
          <w:tcPr/>
          <w:p>
            <w:pPr>
              <w:pStyle w:val="Compact"/>
              <w:jc w:val="left"/>
            </w:pPr>
            <w:r>
              <w:t xml:space="preserve">clase GLP-1</w:t>
            </w:r>
          </w:p>
        </w:tc>
        <w:tc>
          <w:tcPr/>
          <w:p>
            <w:pPr>
              <w:pStyle w:val="Compact"/>
              <w:jc w:val="left"/>
            </w:pPr>
            <w:r>
              <w:t xml:space="preserve">señal en metaanálisis, rara en términos absolutos</w:t>
            </w:r>
          </w:p>
        </w:tc>
        <w:tc>
          <w:tcPr/>
          <w:p>
            <w:pPr>
              <w:pStyle w:val="Compact"/>
              <w:jc w:val="left"/>
            </w:pPr>
            <w:r>
              <w:t xml:space="preserve">Exenatida, Semaglutida</w:t>
            </w:r>
          </w:p>
        </w:tc>
      </w:tr>
      <w:tr>
        <w:tc>
          <w:tcPr/>
          <w:p>
            <w:pPr>
              <w:pStyle w:val="Compact"/>
              <w:jc w:val="left"/>
            </w:pPr>
            <w:r>
              <w:t xml:space="preserve">Tiroides</w:t>
            </w:r>
          </w:p>
        </w:tc>
        <w:tc>
          <w:tcPr/>
          <w:p>
            <w:pPr>
              <w:pStyle w:val="Compact"/>
              <w:jc w:val="left"/>
            </w:pPr>
            <w:r>
              <w:t xml:space="preserve">clase GLP-1</w:t>
            </w:r>
          </w:p>
        </w:tc>
        <w:tc>
          <w:tcPr/>
          <w:p>
            <w:pPr>
              <w:pStyle w:val="Compact"/>
              <w:jc w:val="left"/>
            </w:pPr>
            <w:r>
              <w:t xml:space="preserve">hallazgo en animales confirmado, en humanos no concluyente</w:t>
            </w:r>
          </w:p>
        </w:tc>
        <w:tc>
          <w:tcPr/>
          <w:p>
            <w:pPr>
              <w:pStyle w:val="Compact"/>
              <w:jc w:val="left"/>
            </w:pPr>
            <w:r>
              <w:t xml:space="preserve">Liraglutida, capítulo Riesgo de cáncer</w:t>
            </w:r>
          </w:p>
        </w:tc>
      </w:tr>
      <w:tr>
        <w:tc>
          <w:tcPr/>
          <w:p>
            <w:pPr>
              <w:pStyle w:val="Compact"/>
              <w:jc w:val="left"/>
            </w:pPr>
            <w:r>
              <w:t xml:space="preserve">Ojos</w:t>
            </w:r>
          </w:p>
        </w:tc>
        <w:tc>
          <w:tcPr/>
          <w:p>
            <w:pPr>
              <w:pStyle w:val="Compact"/>
              <w:jc w:val="left"/>
            </w:pPr>
            <w:r>
              <w:t xml:space="preserve">semaglutida (NAION, retinopatía)</w:t>
            </w:r>
          </w:p>
        </w:tc>
        <w:tc>
          <w:tcPr/>
          <w:p>
            <w:pPr>
              <w:pStyle w:val="Compact"/>
              <w:jc w:val="left"/>
            </w:pPr>
            <w:r>
              <w:t xml:space="preserve">muy raro; alrededor de 1,4 casos adicionales por cada 10.000 años-persona</w:t>
            </w:r>
          </w:p>
        </w:tc>
        <w:tc>
          <w:tcPr/>
          <w:p>
            <w:pPr>
              <w:pStyle w:val="Compact"/>
              <w:jc w:val="left"/>
            </w:pPr>
            <w:r>
              <w:t xml:space="preserve">Semaglutida</w:t>
            </w:r>
          </w:p>
        </w:tc>
      </w:tr>
      <w:tr>
        <w:tc>
          <w:tcPr/>
          <w:p>
            <w:pPr>
              <w:pStyle w:val="Compact"/>
              <w:jc w:val="left"/>
            </w:pPr>
            <w:r>
              <w:t xml:space="preserve">Sistema cardiovascular, retención de líquidos</w:t>
            </w:r>
          </w:p>
        </w:tc>
        <w:tc>
          <w:tcPr/>
          <w:p>
            <w:pPr>
              <w:pStyle w:val="Compact"/>
              <w:jc w:val="left"/>
            </w:pPr>
            <w:r>
              <w:t xml:space="preserve">liberadores de GH, ibutamoreno, bremelanotida, macimorelina, oxitocina</w:t>
            </w:r>
          </w:p>
        </w:tc>
        <w:tc>
          <w:tcPr/>
          <w:p>
            <w:pPr>
              <w:pStyle w:val="Compact"/>
              <w:jc w:val="left"/>
            </w:pPr>
            <w:r>
              <w:t xml:space="preserve">señal de insuficiencia cardiaca, picos de tensión arterial, prolongación del QT</w:t>
            </w:r>
          </w:p>
        </w:tc>
        <w:tc>
          <w:tcPr/>
          <w:p>
            <w:pPr>
              <w:pStyle w:val="Compact"/>
              <w:jc w:val="left"/>
            </w:pPr>
            <w:r>
              <w:t xml:space="preserve">Ibutamoreno, Bremelanotida, Macimorelina</w:t>
            </w:r>
          </w:p>
        </w:tc>
      </w:tr>
      <w:tr>
        <w:tc>
          <w:tcPr/>
          <w:p>
            <w:pPr>
              <w:pStyle w:val="Compact"/>
              <w:jc w:val="left"/>
            </w:pPr>
            <w:r>
              <w:t xml:space="preserve">Psique</w:t>
            </w:r>
          </w:p>
        </w:tc>
        <w:tc>
          <w:tcPr/>
          <w:p>
            <w:pPr>
              <w:pStyle w:val="Compact"/>
              <w:jc w:val="left"/>
            </w:pPr>
            <w:r>
              <w:t xml:space="preserve">clase GLP-1 (evaluada), setmelanotida, Semax</w:t>
            </w:r>
          </w:p>
        </w:tc>
        <w:tc>
          <w:tcPr/>
          <w:p>
            <w:pPr>
              <w:pStyle w:val="Compact"/>
              <w:jc w:val="left"/>
            </w:pPr>
            <w:r>
              <w:t xml:space="preserve">sin aumento del riesgo en 86 ECA</w:t>
            </w:r>
          </w:p>
        </w:tc>
        <w:tc>
          <w:tcPr/>
          <w:p>
            <w:pPr>
              <w:pStyle w:val="Compact"/>
              <w:jc w:val="left"/>
            </w:pPr>
            <w:r>
              <w:t xml:space="preserve">Semaglutida, Tirzepatida, Setmelanotida</w:t>
            </w:r>
          </w:p>
        </w:tc>
      </w:tr>
      <w:tr>
        <w:tc>
          <w:tcPr/>
          <w:p>
            <w:pPr>
              <w:pStyle w:val="Compact"/>
              <w:jc w:val="left"/>
            </w:pPr>
            <w:r>
              <w:t xml:space="preserve">Piel, pigmento</w:t>
            </w:r>
          </w:p>
        </w:tc>
        <w:tc>
          <w:tcPr/>
          <w:p>
            <w:pPr>
              <w:pStyle w:val="Compact"/>
              <w:jc w:val="left"/>
            </w:pPr>
            <w:r>
              <w:t xml:space="preserve">melanotán II, setmelanotida, afamelanotida, bremelanotida, LL-37</w:t>
            </w:r>
          </w:p>
        </w:tc>
        <w:tc>
          <w:tcPr/>
          <w:p>
            <w:pPr>
              <w:pStyle w:val="Compact"/>
              <w:jc w:val="left"/>
            </w:pPr>
            <w:r>
              <w:t xml:space="preserve">pigmentación con setmelanotida 62 %; casos clínicos de melanoma con melanotán II</w:t>
            </w:r>
          </w:p>
        </w:tc>
        <w:tc>
          <w:tcPr/>
          <w:p>
            <w:pPr>
              <w:pStyle w:val="Compact"/>
              <w:jc w:val="left"/>
            </w:pPr>
            <w:r>
              <w:t xml:space="preserve">Melanotán II, Setmelanotida</w:t>
            </w:r>
          </w:p>
        </w:tc>
      </w:tr>
      <w:tr>
        <w:tc>
          <w:tcPr/>
          <w:p>
            <w:pPr>
              <w:pStyle w:val="Compact"/>
              <w:jc w:val="left"/>
            </w:pPr>
            <w:r>
              <w:t xml:space="preserve">Sistema hormonal</w:t>
            </w:r>
          </w:p>
        </w:tc>
        <w:tc>
          <w:tcPr/>
          <w:p>
            <w:pPr>
              <w:pStyle w:val="Compact"/>
              <w:jc w:val="left"/>
            </w:pPr>
            <w:r>
              <w:t xml:space="preserve">GHRP-2, GHRP-6, hexarelina, kisspeptina, gonadorelina</w:t>
            </w:r>
          </w:p>
        </w:tc>
        <w:tc>
          <w:tcPr/>
          <w:p>
            <w:pPr>
              <w:pStyle w:val="Compact"/>
              <w:jc w:val="left"/>
            </w:pPr>
            <w:r>
              <w:t xml:space="preserve">aumento de cortisol y prolactina; supresión del eje con la administración continua</w:t>
            </w:r>
          </w:p>
        </w:tc>
        <w:tc>
          <w:tcPr/>
          <w:p>
            <w:pPr>
              <w:pStyle w:val="Compact"/>
              <w:jc w:val="left"/>
            </w:pPr>
            <w:r>
              <w:t xml:space="preserve">Grupo C, Kisspeptina</w:t>
            </w:r>
          </w:p>
        </w:tc>
      </w:tr>
      <w:tr>
        <w:tc>
          <w:tcPr/>
          <w:p>
            <w:pPr>
              <w:pStyle w:val="Compact"/>
              <w:jc w:val="left"/>
            </w:pPr>
            <w:r>
              <w:t xml:space="preserve">Glucemia</w:t>
            </w:r>
          </w:p>
        </w:tc>
        <w:tc>
          <w:tcPr/>
          <w:p>
            <w:pPr>
              <w:pStyle w:val="Compact"/>
              <w:jc w:val="left"/>
            </w:pPr>
            <w:r>
              <w:t xml:space="preserve">mecasermina, pramlintida, GLP-1 con insulina/sulfonilurea; eje de la GH</w:t>
            </w:r>
          </w:p>
        </w:tc>
        <w:tc>
          <w:tcPr/>
          <w:p>
            <w:pPr>
              <w:pStyle w:val="Compact"/>
              <w:jc w:val="left"/>
            </w:pPr>
            <w:r>
              <w:t xml:space="preserve">hipoglucemia en el 49 % con mecasermina; glucemia más alta con ibutamoreno</w:t>
            </w:r>
          </w:p>
        </w:tc>
        <w:tc>
          <w:tcPr/>
          <w:p>
            <w:pPr>
              <w:pStyle w:val="Compact"/>
              <w:jc w:val="left"/>
            </w:pPr>
            <w:r>
              <w:t xml:space="preserve">Mecasermina, Pramlintida, Ibutamoreno</w:t>
            </w:r>
          </w:p>
        </w:tc>
      </w:tr>
    </w:tbl>
    <w:bookmarkStart w:id="2613" w:name="aparato-digestivo"/>
    <w:p>
      <w:pPr>
        <w:pStyle w:val="Heading3"/>
      </w:pPr>
      <w:r>
        <w:t xml:space="preserve">Aparato digestivo</w:t>
      </w:r>
    </w:p>
    <w:p>
      <w:pPr>
        <w:pStyle w:val="FirstParagraph"/>
      </w:pPr>
      <w:r>
        <w:t xml:space="preserve">Ningún otro sistema orgánico se ve afectado con tanta frecuencia. Las náuseas, los vómitos, la diarrea y el estreñimiento son los efectos adversos típicos de todos los medicamentos que actúan sobre el receptor de GLP-1, desde la exenatida, más antigua, pasando por la semaglutida y la tirzepatida, hasta los nuevos agonistas múltiples. Una revisión que resumió 60 metaanálisis con un total de 1751 estudios aleatorizados encontró precisamente aquí las señales más seguras: la probabilidad (odds) de náuseas con agonistas del receptor de GLP-1 era unas dos veces y media mayor que en los grupos de comparación (odds ratio 2,47), la de vómitos casi el triple (2,78) y la de diarrea aproximadamente el doble (1,94)</w:t>
      </w:r>
      <w:r>
        <w:rPr>
          <w:rStyle w:val="FootnoteReference"/>
        </w:rPr>
        <w:footnoteReference w:id="2604"/>
      </w:r>
      <w:r>
        <w:t xml:space="preserve">.</w:t>
      </w:r>
    </w:p>
    <w:p>
      <w:pPr>
        <w:pStyle w:val="BodyText"/>
      </w:pPr>
      <w:r>
        <w:t xml:space="preserve">La frecuencia de las molestias depende mucho del principio activo, de la dosis y del ritmo de aumento de la dosis. Un metaanálisis en red de 39 estudios con 33.354 personas con sobrepeso sin diabetes encontró un aumento del riesgo de náuseas para todos los principios activos estudiados, mayor con orforglipron, seguido de exenatida, tirzepatida, semaglutida y liraglutida</w:t>
      </w:r>
      <w:r>
        <w:rPr>
          <w:rStyle w:val="FootnoteReference"/>
        </w:rPr>
        <w:footnoteReference w:id="2605"/>
      </w:r>
      <w:r>
        <w:t xml:space="preserve">. En los principios activos con un componente adicional de glucagón, las tasas son especialmente altas: en el estudio de hígado graso con survodutida, el 66 % tuvo náuseas frente al 23 % con placebo</w:t>
      </w:r>
      <w:r>
        <w:rPr>
          <w:rStyle w:val="FootnoteReference"/>
        </w:rPr>
        <w:footnoteReference w:id="2606"/>
      </w:r>
      <w:r>
        <w:t xml:space="preserve">. Los detalles figuran en los capítulos Survodutida, Mazdutida y Retatrutida.</w:t>
      </w:r>
    </w:p>
    <w:p>
      <w:pPr>
        <w:pStyle w:val="BodyText"/>
      </w:pPr>
      <w:r>
        <w:t xml:space="preserve">También fuera del grupo GLP-1 las náuseas son frecuentes. Con bremelanotida aparecieron en los estudios de fase 3 en el 40,0 % frente al 1,3 % con placebo y fueron el motivo de abandono más frecuente</w:t>
      </w:r>
      <w:r>
        <w:rPr>
          <w:rStyle w:val="FootnoteReference"/>
        </w:rPr>
        <w:footnoteReference w:id="2607"/>
      </w:r>
      <w:r>
        <w:t xml:space="preserve">. Con pramlintida, el 63 % refirió náuseas, frente al 36 % con placebo</w:t>
      </w:r>
      <w:r>
        <w:rPr>
          <w:rStyle w:val="FootnoteReference"/>
        </w:rPr>
        <w:footnoteReference w:id="2608"/>
      </w:r>
      <w:r>
        <w:t xml:space="preserve">. Con setmelanotida fueron el 36 % en un metaanálisis de siete estudios</w:t>
      </w:r>
      <w:r>
        <w:rPr>
          <w:rStyle w:val="FootnoteReference"/>
        </w:rPr>
        <w:footnoteReference w:id="2609"/>
      </w:r>
      <w:r>
        <w:t xml:space="preserve">.</w:t>
      </w:r>
    </w:p>
    <w:p>
      <w:pPr>
        <w:pStyle w:val="BodyText"/>
      </w:pPr>
      <w:r>
        <w:t xml:space="preserve">Más importante que la frecuencia de las náuseas es la cuestión de los acontecimientos gastrointestinales</w:t>
      </w:r>
      <w:r>
        <w:t xml:space="preserve"> </w:t>
      </w:r>
      <w:r>
        <w:rPr>
          <w:bCs/>
          <w:b/>
        </w:rPr>
        <w:t xml:space="preserve">graves</w:t>
      </w:r>
      <w:r>
        <w:t xml:space="preserve">. Un análisis de bases de datos de 2023 había comunicado para los agonistas del receptor de GLP-1 utilizados para perder peso un aumento del riesgo de inflamación del páncreas, obstrucción intestinal y parálisis gástrica</w:t>
      </w:r>
      <w:r>
        <w:rPr>
          <w:rStyle w:val="FootnoteReference"/>
        </w:rPr>
        <w:footnoteReference w:id="2610"/>
      </w:r>
      <w:r>
        <w:t xml:space="preserve">. Un metaanálisis de 55 estudios controlados con placebo con 106.395 participantes no lo confirmó para la mayoría de estos acontecimientos. Estaban aumentados los cálculos biliares (riesgo relativo 1,46; dos casos adicionales por cada 1000 personas tratadas) y probablemente la enfermedad por reflujo (riesgo relativo 2,19; cuatro casos adicionales por cada 1000). Para la obstrucción intestinal, la parálisis gástrica, las úlceras o las hemorragias no se encontró una diferencia clara</w:t>
      </w:r>
      <w:r>
        <w:rPr>
          <w:rStyle w:val="FootnoteReference"/>
        </w:rPr>
        <w:footnoteReference w:id="2611"/>
      </w:r>
      <w:r>
        <w:t xml:space="preserve">. En un estudio de cohortes con datos rutinarios, la tirzepatida y la semaglutida apenas difirieron en cuanto a acontecimientos gastrointestinales graves</w:t>
      </w:r>
      <w:r>
        <w:rPr>
          <w:rStyle w:val="FootnoteReference"/>
        </w:rPr>
        <w:footnoteReference w:id="2612"/>
      </w:r>
      <w:r>
        <w:t xml:space="preserve">.</w:t>
      </w:r>
    </w:p>
    <w:p>
      <w:pPr>
        <w:pStyle w:val="BodyText"/>
      </w:pPr>
      <w:r>
        <w:t xml:space="preserve">En la práctica es importante que los vómitos y la diarrea persistentes pueden provocar pérdida de líquidos. En los estudios, las molestias aparecen sobre todo en la fase de aumento de la dosis; por eso, las fichas técnicas de los medicamentos autorizados prevén un procedimiento progresivo que debe contar con acompañamiento médico. Con productos del mercado gris, cuyo contenido no se conoce, no es posible seguir este esquema de forma fiable (véase el capítulo «Productos del mercado gris»).</w:t>
      </w:r>
    </w:p>
    <w:bookmarkEnd w:id="2613"/>
    <w:bookmarkStart w:id="2617" w:name="vesícula-biliar-y-páncreas"/>
    <w:p>
      <w:pPr>
        <w:pStyle w:val="Heading3"/>
      </w:pPr>
      <w:r>
        <w:t xml:space="preserve">Vesícula biliar y páncreas</w:t>
      </w:r>
    </w:p>
    <w:p>
      <w:pPr>
        <w:pStyle w:val="FirstParagraph"/>
      </w:pPr>
      <w:r>
        <w:t xml:space="preserve">Para la vesícula biliar, el riesgo está ya bien demostrado. Un metaanálisis de 76 estudios aleatorizados con 103.371 participantes encontró con agonistas del receptor de GLP-1 un riesgo relativo un 37 % mayor de enfermedades de la vesícula y las vías biliares. En los estudios de pérdida de peso, el riesgo relativo, de 2,29, fue claramente mayor que en los estudios de diabetes</w:t>
      </w:r>
      <w:r>
        <w:rPr>
          <w:rStyle w:val="FootnoteReference"/>
        </w:rPr>
        <w:footnoteReference w:id="2614"/>
      </w:r>
      <w:r>
        <w:t xml:space="preserve">. Parte del efecto probablemente se debe a la propia pérdida de peso rápida, que, como es sabido, favorece los cálculos biliares. En STEP TEENS, 5 de 133 adolescentes con semaglutida desarrollaron cálculos biliares, y ninguno con placebo</w:t>
      </w:r>
      <w:r>
        <w:rPr>
          <w:rStyle w:val="FootnoteReference"/>
        </w:rPr>
        <w:footnoteReference w:id="2615"/>
      </w:r>
      <w:r>
        <w:t xml:space="preserve">.</w:t>
      </w:r>
    </w:p>
    <w:p>
      <w:pPr>
        <w:pStyle w:val="BodyText"/>
      </w:pPr>
      <w:r>
        <w:t xml:space="preserve">En el caso del páncreas, la situación es menos clara. Un metaanálisis de 62 estudios con 66.232 participantes encontró en conjunto un riesgo ligeramente aumentado de inflamación del páncreas (riesgo relativo 1,44). Cuando los estudios se separaron según si los participantes tomaban además otros medicamentos, la diferencia ya no fue estadísticamente significativa en ninguno de los dos grupos</w:t>
      </w:r>
      <w:r>
        <w:rPr>
          <w:rStyle w:val="FootnoteReference"/>
        </w:rPr>
        <w:footnoteReference w:id="2616"/>
      </w:r>
      <w:r>
        <w:t xml:space="preserve">. La frecuencia absoluta es baja; en los grandes estudios de resultados, la pancreatitis apareció raramente. Las fichas técnicas la recogen como efecto adverso raro. Un dolor intenso y persistente en la parte superior del abdomen, que a menudo se irradia a la espalda, debe ser siempre valorado por un médico con estos medicamentos. Sobre la cuestión del cáncer de páncreas, véase el capítulo siguiente.</w:t>
      </w:r>
    </w:p>
    <w:bookmarkEnd w:id="2617"/>
    <w:bookmarkStart w:id="2619" w:name="tiroides"/>
    <w:p>
      <w:pPr>
        <w:pStyle w:val="Heading3"/>
      </w:pPr>
      <w:r>
        <w:t xml:space="preserve">Tiroides</w:t>
      </w:r>
    </w:p>
    <w:p>
      <w:pPr>
        <w:pStyle w:val="FirstParagraph"/>
      </w:pPr>
      <w:r>
        <w:t xml:space="preserve">La preocupación por la tiroides procede de experimentos con animales: en ratas y ratones, los agonistas del receptor de GLP-1 provocaron hiperplasias y tumores de las células C, que producen la hormona calcitonina. En humanos, los datos no son concluyentes. Un indicio directo de estimulación de las células C sería un aumento de la calcitonina en sangre. En el estudio LEADER, con 9340 participantes, los valores de calcitonina no difirieron entre liraglutida y placebo a los 36 meses, y con liraglutida no apareció ningún carcinoma medular de tiroides</w:t>
      </w:r>
      <w:r>
        <w:rPr>
          <w:rStyle w:val="FootnoteReference"/>
        </w:rPr>
        <w:footnoteReference w:id="2618"/>
      </w:r>
      <w:r>
        <w:t xml:space="preserve">. Cómo debe valorarse la cuestión del cáncer en su conjunto se trata en el capítulo «Riesgo de cáncer y señales de crecimiento». Con independencia de ello, las fichas técnicas establecen una contraindicación en caso de antecedentes personales o familiares de carcinoma medular de tiroides y de síndrome MEN 2.</w:t>
      </w:r>
    </w:p>
    <w:bookmarkEnd w:id="2619"/>
    <w:bookmarkStart w:id="2627" w:name="ojos-retina-y-nervio-óptico"/>
    <w:p>
      <w:pPr>
        <w:pStyle w:val="Heading3"/>
      </w:pPr>
      <w:r>
        <w:t xml:space="preserve">Ojos: retina y nervio óptico</w:t>
      </w:r>
    </w:p>
    <w:p>
      <w:pPr>
        <w:pStyle w:val="FirstParagraph"/>
      </w:pPr>
      <w:r>
        <w:t xml:space="preserve">Aquí hay dos cuestiones distintas.</w:t>
      </w:r>
    </w:p>
    <w:p>
      <w:pPr>
        <w:pStyle w:val="BodyText"/>
      </w:pPr>
      <w:r>
        <w:rPr>
          <w:bCs/>
          <w:b/>
        </w:rPr>
        <w:t xml:space="preserve">Retinopatía diabética.</w:t>
      </w:r>
      <w:r>
        <w:t xml:space="preserve"> </w:t>
      </w:r>
      <w:r>
        <w:t xml:space="preserve">En SUSTAIN 6, un estudio cardiovascular con 3297 personas con diabetes tipo 2, las complicaciones de una retinopatía diabética aparecieron con más frecuencia con semaglutida que con placebo (hazard ratio 1,76)</w:t>
      </w:r>
      <w:r>
        <w:rPr>
          <w:rStyle w:val="FootnoteReference"/>
        </w:rPr>
        <w:footnoteReference w:id="2620"/>
      </w:r>
      <w:r>
        <w:t xml:space="preserve">. Se sospecha que una reducción muy rápida de la glucemia empeora transitoriamente una retinopatía ya existente, un fenómeno conocido también con la insulina. Un metaanálisis de 78 estudios con 73.640 participantes no encontró en conjunto un aumento del riesgo de retinopatía diabética (odds ratio 1,04) ni de enfermedades oculares en general</w:t>
      </w:r>
      <w:r>
        <w:rPr>
          <w:rStyle w:val="FootnoteReference"/>
        </w:rPr>
        <w:footnoteReference w:id="2621"/>
      </w:r>
      <w:r>
        <w:t xml:space="preserve">. Para las personas con retinopatía conocida, el seguimiento oftalmológico sigue siendo, no obstante, aconsejable.</w:t>
      </w:r>
    </w:p>
    <w:p>
      <w:pPr>
        <w:pStyle w:val="BodyText"/>
      </w:pPr>
      <w:r>
        <w:rPr>
          <w:bCs/>
          <w:b/>
        </w:rPr>
        <w:t xml:space="preserve">NAION.</w:t>
      </w:r>
      <w:r>
        <w:t xml:space="preserve"> </w:t>
      </w:r>
      <w:r>
        <w:t xml:space="preserve">La neuropatía óptica isquémica anterior no arterítica es un trastorno circulatorio de la cabeza del nervio óptico que, por lo general sin dolor, provoca una pérdida súbita de visión en un ojo. Desde un primer estudio de una clínica de neurooftalmología</w:t>
      </w:r>
      <w:r>
        <w:rPr>
          <w:rStyle w:val="FootnoteReference"/>
        </w:rPr>
        <w:footnoteReference w:id="2622"/>
      </w:r>
      <w:r>
        <w:t xml:space="preserve"> </w:t>
      </w:r>
      <w:r>
        <w:t xml:space="preserve">se han publicado muchas otras investigaciones, con resultados diferentes:</w:t>
      </w:r>
    </w:p>
    <w:p>
      <w:pPr>
        <w:numPr>
          <w:ilvl w:val="0"/>
          <w:numId w:val="1336"/>
        </w:numPr>
        <w:pStyle w:val="Compact"/>
      </w:pPr>
      <w:r>
        <w:t xml:space="preserve">El estudio de registros danés-noruego encontró un riesgo relativo aumentado (hazard ratio 2,81), en términos absolutos alrededor de 1,4 casos adicionales por cada 10.000 años-persona</w:t>
      </w:r>
      <w:r>
        <w:rPr>
          <w:rStyle w:val="FootnoteReference"/>
        </w:rPr>
        <w:footnoteReference w:id="2623"/>
      </w:r>
      <w:r>
        <w:t xml:space="preserve">.</w:t>
      </w:r>
    </w:p>
    <w:p>
      <w:pPr>
        <w:numPr>
          <w:ilvl w:val="0"/>
          <w:numId w:val="1336"/>
        </w:numPr>
        <w:pStyle w:val="Compact"/>
      </w:pPr>
      <w:r>
        <w:t xml:space="preserve">En una cohorte estadounidense con 159.398 personas con diabetes tipo 2, en dos años enfermaron el 0,04 % con semaglutida o tirzepatida y el 0,02 % en el grupo de comparación (hazard ratio 1,76)</w:t>
      </w:r>
      <w:r>
        <w:rPr>
          <w:rStyle w:val="FootnoteReference"/>
        </w:rPr>
        <w:footnoteReference w:id="2624"/>
      </w:r>
      <w:r>
        <w:t xml:space="preserve">.</w:t>
      </w:r>
    </w:p>
    <w:p>
      <w:pPr>
        <w:numPr>
          <w:ilvl w:val="0"/>
          <w:numId w:val="1336"/>
        </w:numPr>
        <w:pStyle w:val="Compact"/>
      </w:pPr>
      <w:r>
        <w:t xml:space="preserve">Un estudio internacional de bases de datos con casi 300.000 personas no encontró una relación demostrada</w:t>
      </w:r>
      <w:r>
        <w:rPr>
          <w:rStyle w:val="FootnoteReference"/>
        </w:rPr>
        <w:footnoteReference w:id="2625"/>
      </w:r>
      <w:r>
        <w:t xml:space="preserve">.</w:t>
      </w:r>
    </w:p>
    <w:p>
      <w:pPr>
        <w:numPr>
          <w:ilvl w:val="0"/>
          <w:numId w:val="1336"/>
        </w:numPr>
        <w:pStyle w:val="Compact"/>
      </w:pPr>
      <w:r>
        <w:t xml:space="preserve">Un metaanálisis observó la señal solo en estudios observacionales en diabetes, no en estudios aleatorizados ni en obesidad</w:t>
      </w:r>
      <w:r>
        <w:rPr>
          <w:rStyle w:val="FootnoteReference"/>
        </w:rPr>
        <w:footnoteReference w:id="2626"/>
      </w:r>
      <w:r>
        <w:t xml:space="preserve">.</w:t>
      </w:r>
    </w:p>
    <w:p>
      <w:pPr>
        <w:pStyle w:val="FirstParagraph"/>
      </w:pPr>
      <w:r>
        <w:t xml:space="preserve">En resumen: es posible un pequeño aumento del riesgo, y la frecuencia absoluta es muy baja. La Agencia Europea de Medicamentos incluyó en 2025 la NAION en la ficha técnica como efecto adverso muy raro de la semaglutida. Una pérdida súbita de visión es, en cualquier caso, una urgencia. Detalles en el capítulo Semaglutida.</w:t>
      </w:r>
    </w:p>
    <w:bookmarkEnd w:id="2627"/>
    <w:bookmarkStart w:id="2636" w:name="X592ec939504e2c738a1f02e676dfb85a01d1d9f"/>
    <w:p>
      <w:pPr>
        <w:pStyle w:val="Heading3"/>
      </w:pPr>
      <w:r>
        <w:t xml:space="preserve">Sistema cardiovascular y retención de líquidos</w:t>
      </w:r>
    </w:p>
    <w:p>
      <w:pPr>
        <w:pStyle w:val="FirstParagraph"/>
      </w:pPr>
      <w:r>
        <w:t xml:space="preserve">En los medicamentos GLP-1 predomina, según los conocimientos actuales, el beneficio para el corazón y los vasos: en SUSTAIN 6, los acontecimientos cardiovasculares graves fueron menos frecuentes con semaglutida (6,6 % frente a 8,9 %)</w:t>
      </w:r>
      <w:r>
        <w:rPr>
          <w:rStyle w:val="FootnoteReference"/>
        </w:rPr>
        <w:footnoteReference w:id="2628"/>
      </w:r>
      <w:r>
        <w:t xml:space="preserve">. Sin embargo, un ligero aumento de la frecuencia cardiaca en reposo es una característica de la clase y en los nuevos agonistas múltiples está en parte más acentuado. Con retatrutida apareció además en TRIUMPH-2 tensión arterial baja en el 1 al 6 %, frente a menos del 1 % con placebo</w:t>
      </w:r>
      <w:r>
        <w:rPr>
          <w:rStyle w:val="FootnoteReference"/>
        </w:rPr>
        <w:footnoteReference w:id="2629"/>
      </w:r>
      <w:r>
        <w:t xml:space="preserve">. Véanse los capítulos Retatrutida y Survodutida.</w:t>
      </w:r>
    </w:p>
    <w:p>
      <w:pPr>
        <w:pStyle w:val="BodyText"/>
      </w:pPr>
      <w:r>
        <w:t xml:space="preserve">Un patrón muy distinto muestra el</w:t>
      </w:r>
      <w:r>
        <w:t xml:space="preserve"> </w:t>
      </w:r>
      <w:r>
        <w:rPr>
          <w:bCs/>
          <w:b/>
        </w:rPr>
        <w:t xml:space="preserve">eje de la hormona del crecimiento</w:t>
      </w:r>
      <w:r>
        <w:t xml:space="preserve">. La hormona del crecimiento retiene agua en el organismo. En una revisión de estudios con personas mayores sanas, con hormona del crecimiento aparecieron con más frecuencia hinchazón de los tejidos, dolor articular, síndrome del túnel carpiano y aumento de las mamas en los hombres</w:t>
      </w:r>
      <w:r>
        <w:rPr>
          <w:rStyle w:val="FootnoteReference"/>
        </w:rPr>
        <w:footnoteReference w:id="2630"/>
      </w:r>
      <w:r>
        <w:t xml:space="preserve">. Para los liberadores, que estimulan la secreción endógena, cabe esperar un patrón similar. Se hizo más evidente con el ibutamoreno oral: un estudio en personas mayores tras una fractura de cadera se interrumpió de forma anticipada por una señal de insuficiencia cardiaca</w:t>
      </w:r>
      <w:r>
        <w:rPr>
          <w:rStyle w:val="FootnoteReference"/>
        </w:rPr>
        <w:footnoteReference w:id="2631"/>
      </w:r>
      <w:r>
        <w:t xml:space="preserve">. Un corazón ya debilitado tolera mal el líquido adicional.</w:t>
      </w:r>
    </w:p>
    <w:p>
      <w:pPr>
        <w:pStyle w:val="BodyText"/>
      </w:pPr>
      <w:r>
        <w:t xml:space="preserve">Otros hallazgos aislados:</w:t>
      </w:r>
    </w:p>
    <w:p>
      <w:pPr>
        <w:numPr>
          <w:ilvl w:val="0"/>
          <w:numId w:val="1337"/>
        </w:numPr>
        <w:pStyle w:val="Compact"/>
      </w:pPr>
      <w:r>
        <w:rPr>
          <w:bCs/>
          <w:b/>
        </w:rPr>
        <w:t xml:space="preserve">La bremelanotida</w:t>
      </w:r>
      <w:r>
        <w:t xml:space="preserve"> </w:t>
      </w:r>
      <w:r>
        <w:t xml:space="preserve">elevó transitoriamente la tensión arterial sistólica entre 2,4 y 3,2 mmHg tras la administración; los picos duraron por lo general menos de 15 minutos, y al mismo tiempo bajó el pulso</w:t>
      </w:r>
      <w:r>
        <w:rPr>
          <w:rStyle w:val="FootnoteReference"/>
        </w:rPr>
        <w:footnoteReference w:id="2632"/>
      </w:r>
      <w:r>
        <w:t xml:space="preserve">.</w:t>
      </w:r>
    </w:p>
    <w:p>
      <w:pPr>
        <w:numPr>
          <w:ilvl w:val="0"/>
          <w:numId w:val="1337"/>
        </w:numPr>
        <w:pStyle w:val="Compact"/>
      </w:pPr>
      <w:r>
        <w:rPr>
          <w:bCs/>
          <w:b/>
        </w:rPr>
        <w:t xml:space="preserve">La macimorelina</w:t>
      </w:r>
      <w:r>
        <w:t xml:space="preserve">, en una dosis única deliberadamente excesiva, prolongó el intervalo QT del ECG en una media de hasta 9,61 milisegundos</w:t>
      </w:r>
      <w:r>
        <w:rPr>
          <w:rStyle w:val="FootnoteReference"/>
        </w:rPr>
        <w:footnoteReference w:id="2633"/>
      </w:r>
      <w:r>
        <w:t xml:space="preserve">, un dato relevante para las personas que toman otros medicamentos que prolongan el QT.</w:t>
      </w:r>
    </w:p>
    <w:p>
      <w:pPr>
        <w:numPr>
          <w:ilvl w:val="0"/>
          <w:numId w:val="1337"/>
        </w:numPr>
        <w:pStyle w:val="Compact"/>
      </w:pPr>
      <w:r>
        <w:rPr>
          <w:bCs/>
          <w:b/>
        </w:rPr>
        <w:t xml:space="preserve">La oxitocina</w:t>
      </w:r>
      <w:r>
        <w:t xml:space="preserve"> </w:t>
      </w:r>
      <w:r>
        <w:t xml:space="preserve">se parece químicamente a la vasopresina, la hormona que regula el equilibrio hídrico. Se ha descrito un caso de aumento de la presión intracraneal con oxitocina en espray nasal junto con una ingesta de líquidos muy elevada</w:t>
      </w:r>
      <w:r>
        <w:rPr>
          <w:rStyle w:val="FootnoteReference"/>
        </w:rPr>
        <w:footnoteReference w:id="2634"/>
      </w:r>
      <w:r>
        <w:t xml:space="preserve">.</w:t>
      </w:r>
    </w:p>
    <w:p>
      <w:pPr>
        <w:numPr>
          <w:ilvl w:val="0"/>
          <w:numId w:val="1337"/>
        </w:numPr>
        <w:pStyle w:val="Compact"/>
      </w:pPr>
      <w:r>
        <w:rPr>
          <w:bCs/>
          <w:b/>
        </w:rPr>
        <w:t xml:space="preserve">Melanotán II:</w:t>
      </w:r>
      <w:r>
        <w:t xml:space="preserve"> </w:t>
      </w:r>
      <w:r>
        <w:t xml:space="preserve">casos clínicos de destrucción muscular con daño renal</w:t>
      </w:r>
      <w:r>
        <w:rPr>
          <w:rStyle w:val="FootnoteReference"/>
        </w:rPr>
        <w:footnoteReference w:id="2635"/>
      </w:r>
      <w:r>
        <w:t xml:space="preserve"> </w:t>
      </w:r>
      <w:r>
        <w:t xml:space="preserve">y de un infarto renal; véase el capítulo Melanotán II.</w:t>
      </w:r>
    </w:p>
    <w:bookmarkEnd w:id="2636"/>
    <w:bookmarkStart w:id="2641" w:name="psique-y-suicidalidad"/>
    <w:p>
      <w:pPr>
        <w:pStyle w:val="Heading3"/>
      </w:pPr>
      <w:r>
        <w:t xml:space="preserve">Psique y suicidalidad</w:t>
      </w:r>
    </w:p>
    <w:p>
      <w:pPr>
        <w:pStyle w:val="FirstParagraph"/>
      </w:pPr>
      <w:r>
        <w:t xml:space="preserve">En 2023, notificaciones aisladas de pensamientos suicidas con semaglutida y liraglutida desencadenaron revisiones por parte de las autoridades en Europa y en EE. UU. Los datos disponibles son ahora claramente mejores y, en su mayoría, tranquilizadores. Un metaanálisis de 86 estudios aleatorizados con 133.378 participantes no encontró con agonistas del receptor de GLP-1 un aumento del riesgo de enfermedades psíquicas en conjunto (riesgo relativo 0,96), de depresión (0,88), de suicidio (0,90) ni de trastornos de ansiedad (0,92)</w:t>
      </w:r>
      <w:r>
        <w:rPr>
          <w:rStyle w:val="FootnoteReference"/>
        </w:rPr>
        <w:footnoteReference w:id="2637"/>
      </w:r>
      <w:r>
        <w:t xml:space="preserve">. En un estudio de registros escandinavo con 124.517 personas tratadas con agonistas del receptor de GLP-1, el riesgo de suicidio no fue mayor que con otro antidiabético; el límite superior del intervalo de confianza correspondía como máximo a 0,16 muertes adicionales por cada 1000 años-persona</w:t>
      </w:r>
      <w:r>
        <w:rPr>
          <w:rStyle w:val="FootnoteReference"/>
        </w:rPr>
        <w:footnoteReference w:id="2638"/>
      </w:r>
      <w:r>
        <w:t xml:space="preserve">. En los estudios SURMOUNT, el 0,6 % declaró pensamientos suicidas tanto con tirzepatida como con placebo</w:t>
      </w:r>
      <w:r>
        <w:rPr>
          <w:rStyle w:val="FootnoteReference"/>
        </w:rPr>
        <w:footnoteReference w:id="2639"/>
      </w:r>
      <w:r>
        <w:t xml:space="preserve">. También en adolescentes, un metaanálisis no encontró un aumento de la conducta suicida ni de la depresión</w:t>
      </w:r>
      <w:r>
        <w:rPr>
          <w:rStyle w:val="FootnoteReference"/>
        </w:rPr>
        <w:footnoteReference w:id="2640"/>
      </w:r>
      <w:r>
        <w:t xml:space="preserve">.</w:t>
      </w:r>
    </w:p>
    <w:p>
      <w:pPr>
        <w:pStyle w:val="BodyText"/>
      </w:pPr>
      <w:r>
        <w:t xml:space="preserve">Queda una limitación: las personas con enfermedades psíquicas graves fueron excluidas de muchos estudios. Para ellas y para las personas con trastornos de la conducta alimentaria rigen consideraciones propias (véase el capítulo «Interacciones y grupos de riesgo especiales»).</w:t>
      </w:r>
    </w:p>
    <w:p>
      <w:pPr>
        <w:pStyle w:val="BodyText"/>
      </w:pPr>
      <w:r>
        <w:t xml:space="preserve">Otros péptidos actúan de forma más directa sobre el cerebro. La ficha técnica de la setmelanotida contiene advertencias sobre depresión y pensamientos suicidas (capítulo Setmelanotida). Para Semax se ha descrito, en personas aisladas con lesiones cerebrales previas, una alteración del EEG de tipo convulsivo (capítulo Semax). Para la mayoría de los «péptidos nootrópicos» del grupo D simplemente no hay datos sistemáticos sobre efectos adversos psíquicos.</w:t>
      </w:r>
    </w:p>
    <w:bookmarkEnd w:id="2641"/>
    <w:bookmarkStart w:id="2649" w:name="piel-y-pigmento"/>
    <w:p>
      <w:pPr>
        <w:pStyle w:val="Heading3"/>
      </w:pPr>
      <w:r>
        <w:t xml:space="preserve">Piel y pigmento</w:t>
      </w:r>
    </w:p>
    <w:p>
      <w:pPr>
        <w:pStyle w:val="FirstParagraph"/>
      </w:pPr>
      <w:r>
        <w:t xml:space="preserve">Las alteraciones cutáneas más llamativas las causan los péptidos que actúan sobre el</w:t>
      </w:r>
      <w:r>
        <w:t xml:space="preserve"> </w:t>
      </w:r>
      <w:r>
        <w:rPr>
          <w:bCs/>
          <w:b/>
        </w:rPr>
        <w:t xml:space="preserve">receptor de melanocortina 1</w:t>
      </w:r>
      <w:r>
        <w:t xml:space="preserve"> </w:t>
      </w:r>
      <w:r>
        <w:t xml:space="preserve">de las células pigmentarias. Con la setmelanotida, que en realidad debe actuar sobre el receptor de melanocortina 4 del cerebro, la piel se oscureció en un metaanálisis en el 62 % de las personas tratadas</w:t>
      </w:r>
      <w:r>
        <w:rPr>
          <w:rStyle w:val="FootnoteReference"/>
        </w:rPr>
        <w:footnoteReference w:id="2642"/>
      </w:r>
      <w:r>
        <w:t xml:space="preserve">. En un seguimiento de hasta 46 meses, también se oscurecieron los labios y los lunares, y el pelo pelirrojo se volvió castaño; no aparecieron alteraciones cutáneas malignas</w:t>
      </w:r>
      <w:r>
        <w:rPr>
          <w:rStyle w:val="FootnoteReference"/>
        </w:rPr>
        <w:footnoteReference w:id="2643"/>
      </w:r>
      <w:r>
        <w:t xml:space="preserve">. La bremelanotida, administrada hasta 16 días consecutivos, causó manchas oscuras circunscritas en más de un tercio de los participantes</w:t>
      </w:r>
      <w:r>
        <w:rPr>
          <w:rStyle w:val="FootnoteReference"/>
        </w:rPr>
        <w:footnoteReference w:id="2644"/>
      </w:r>
      <w:r>
        <w:t xml:space="preserve">.</w:t>
      </w:r>
    </w:p>
    <w:p>
      <w:pPr>
        <w:pStyle w:val="BodyText"/>
      </w:pPr>
      <w:r>
        <w:t xml:space="preserve">Con el melanotán II, no autorizado, se añaden lunares de nueva aparición, en parte llamativos. Una revisión de todos los casos publicados de lunares de aparición súbita, con 179 afectados, mencionaba el melanotán entre los desencadenantes; el 16 % de todos los casos presentaba al menos un lunar histológicamente anómalo (displásico)</w:t>
      </w:r>
      <w:r>
        <w:rPr>
          <w:rStyle w:val="FootnoteReference"/>
        </w:rPr>
        <w:footnoteReference w:id="2645"/>
      </w:r>
      <w:r>
        <w:t xml:space="preserve">. Si de ello se deriva un mayor riesgo de melanoma se trata en el capítulo siguiente.</w:t>
      </w:r>
    </w:p>
    <w:p>
      <w:pPr>
        <w:pStyle w:val="BodyText"/>
      </w:pPr>
      <w:r>
        <w:t xml:space="preserve">En los medicamentos GLP-1 destacan otros hallazgos cutáneos. Una revisión sistemática menciona las reacciones en el lugar de inyección como más frecuentes con tirzepatida (2 al 7 %) y las alteraciones de la sensibilidad cutánea (disestesia) sobre todo con semaglutida: con las dosis estándar en torno al 5 %, y con las dosis altas para la obesidad hasta el 20 %</w:t>
      </w:r>
      <w:r>
        <w:rPr>
          <w:rStyle w:val="FootnoteReference"/>
        </w:rPr>
        <w:footnoteReference w:id="2646"/>
      </w:r>
      <w:r>
        <w:t xml:space="preserve">. Con retatrutida, la disestesia apareció en TRIUMPH-2 de forma dependiente de la dosis en el 4 al 7 %, frente al 1 % con placebo</w:t>
      </w:r>
      <w:r>
        <w:rPr>
          <w:rStyle w:val="FootnoteReference"/>
        </w:rPr>
        <w:footnoteReference w:id="2647"/>
      </w:r>
      <w:r>
        <w:t xml:space="preserve">. Las reacciones en el lugar de inyección y las alergias se resumen en el capítulo «Reacciones inmunitarias y anticuerpos».</w:t>
      </w:r>
    </w:p>
    <w:p>
      <w:pPr>
        <w:pStyle w:val="BodyText"/>
      </w:pPr>
      <w:r>
        <w:t xml:space="preserve">Un caso especial es el LL-37: tras inyecciones en metástasis cutáneas, en una paciente aparecieron numerosas lesiones cutáneas de aspecto verrugoso, tomadas inicialmente por cáncer, que remitieron tras la suspensión</w:t>
      </w:r>
      <w:r>
        <w:rPr>
          <w:rStyle w:val="FootnoteReference"/>
        </w:rPr>
        <w:footnoteReference w:id="2648"/>
      </w:r>
      <w:r>
        <w:t xml:space="preserve">. Sobre las inyecciones de glutatión para aclarar la piel, las autoridades han advertido en repetidas ocasiones (capítulo Glutatión).</w:t>
      </w:r>
    </w:p>
    <w:bookmarkEnd w:id="2649"/>
    <w:bookmarkStart w:id="2653" w:name="sistema-hormonal"/>
    <w:p>
      <w:pPr>
        <w:pStyle w:val="Heading3"/>
      </w:pPr>
      <w:r>
        <w:t xml:space="preserve">Sistema hormonal</w:t>
      </w:r>
    </w:p>
    <w:p>
      <w:pPr>
        <w:pStyle w:val="FirstParagraph"/>
      </w:pPr>
      <w:r>
        <w:t xml:space="preserve">Muchos péptidos son en sí mismos hormonas o imitan hormonas. Por eso no sorprende que intervengan en circuitos reguladores que van más allá de la diana propiamente dicha.</w:t>
      </w:r>
    </w:p>
    <w:p>
      <w:pPr>
        <w:numPr>
          <w:ilvl w:val="0"/>
          <w:numId w:val="1338"/>
        </w:numPr>
        <w:pStyle w:val="Compact"/>
      </w:pPr>
      <w:r>
        <w:rPr>
          <w:bCs/>
          <w:b/>
        </w:rPr>
        <w:t xml:space="preserve">Hormonas del estrés y prolactina:</w:t>
      </w:r>
      <w:r>
        <w:t xml:space="preserve"> </w:t>
      </w:r>
      <w:r>
        <w:t xml:space="preserve">los miméticos de la grelina GHRP-2, GHRP-6, hexarelina y macimorelina liberan, además de hormona del crecimiento, también ACTH y cortisol, y algunos además prolactina. En el caso del GHRP-2, este efecto es tan fiable que se ha estudiado como prueba del eje suprarrenal</w:t>
      </w:r>
      <w:r>
        <w:rPr>
          <w:rStyle w:val="FootnoteReference"/>
        </w:rPr>
        <w:footnoteReference w:id="2650"/>
      </w:r>
      <w:r>
        <w:t xml:space="preserve">. Qué efecto tiene una estimulación repetida durante meses no se ha estudiado (capítulos GHRP-2, GHRP-6, Hexarelina).</w:t>
      </w:r>
    </w:p>
    <w:p>
      <w:pPr>
        <w:numPr>
          <w:ilvl w:val="0"/>
          <w:numId w:val="1338"/>
        </w:numPr>
        <w:pStyle w:val="Compact"/>
      </w:pPr>
      <w:r>
        <w:rPr>
          <w:bCs/>
          <w:b/>
        </w:rPr>
        <w:t xml:space="preserve">Supresión en lugar de estimulación:</w:t>
      </w:r>
      <w:r>
        <w:t xml:space="preserve"> </w:t>
      </w:r>
      <w:r>
        <w:t xml:space="preserve">las hormonas que el organismo secreta en pulsos suelen tener el efecto contrario cuando se administran de forma continua. Con el análogo de kisspeptina TAK-448, la testosterona de hombres sanos cayó hasta niveles de castración durante una infusión continua de 14 días</w:t>
      </w:r>
      <w:r>
        <w:rPr>
          <w:rStyle w:val="FootnoteReference"/>
        </w:rPr>
        <w:footnoteReference w:id="2651"/>
      </w:r>
      <w:r>
        <w:t xml:space="preserve">. El mismo principio se aplica a la gonadorelina cuando no se administra con el ritmo adecuado (capítulos Kisspeptina, Gonadorelina).</w:t>
      </w:r>
    </w:p>
    <w:p>
      <w:pPr>
        <w:numPr>
          <w:ilvl w:val="0"/>
          <w:numId w:val="1338"/>
        </w:numPr>
        <w:pStyle w:val="Compact"/>
      </w:pPr>
      <w:r>
        <w:rPr>
          <w:bCs/>
          <w:b/>
        </w:rPr>
        <w:t xml:space="preserve">El aumento de las mamas en los hombres</w:t>
      </w:r>
      <w:r>
        <w:t xml:space="preserve"> </w:t>
      </w:r>
      <w:r>
        <w:t xml:space="preserve">es una consecuencia conocida de un aumento del efecto de la hormona del crecimiento</w:t>
      </w:r>
      <w:r>
        <w:rPr>
          <w:rStyle w:val="FootnoteReference"/>
        </w:rPr>
        <w:footnoteReference w:id="2652"/>
      </w:r>
      <w:r>
        <w:t xml:space="preserve">.</w:t>
      </w:r>
    </w:p>
    <w:p>
      <w:pPr>
        <w:numPr>
          <w:ilvl w:val="0"/>
          <w:numId w:val="1338"/>
        </w:numPr>
        <w:pStyle w:val="Compact"/>
      </w:pPr>
      <w:r>
        <w:rPr>
          <w:bCs/>
          <w:b/>
        </w:rPr>
        <w:t xml:space="preserve">Función sexual:</w:t>
      </w:r>
      <w:r>
        <w:t xml:space="preserve"> </w:t>
      </w:r>
      <w:r>
        <w:t xml:space="preserve">los agonistas de la melanocortina pueden desencadenar erecciones espontáneas; con el melanotán II se han descrito casos de priapismo, una erección persistente y dolorosa (capítulos Melanotán II, Setmelanotida).</w:t>
      </w:r>
    </w:p>
    <w:bookmarkEnd w:id="2653"/>
    <w:bookmarkStart w:id="2659" w:name="glucemia"/>
    <w:p>
      <w:pPr>
        <w:pStyle w:val="Heading3"/>
      </w:pPr>
      <w:r>
        <w:t xml:space="preserve">Glucemia</w:t>
      </w:r>
    </w:p>
    <w:p>
      <w:pPr>
        <w:pStyle w:val="FirstParagraph"/>
      </w:pPr>
      <w:r>
        <w:t xml:space="preserve">Los péptidos pueden desplazar la glucemia en ambas direcciones, y ambas son relevantes.</w:t>
      </w:r>
    </w:p>
    <w:p>
      <w:pPr>
        <w:pStyle w:val="BodyText"/>
      </w:pPr>
      <w:r>
        <w:rPr>
          <w:bCs/>
          <w:b/>
        </w:rPr>
        <w:t xml:space="preserve">Hipoglucemia.</w:t>
      </w:r>
      <w:r>
        <w:t xml:space="preserve"> </w:t>
      </w:r>
      <w:r>
        <w:t xml:space="preserve">El mayor riesgo lo tiene la mecasermina, es decir, el IGF-1 como medicamento: en un estudio a largo plazo con 76 niños, la hipoglucemia fue, con un 49 %, el efecto adverso más frecuente</w:t>
      </w:r>
      <w:r>
        <w:rPr>
          <w:rStyle w:val="FootnoteReference"/>
        </w:rPr>
        <w:footnoteReference w:id="2654"/>
      </w:r>
      <w:r>
        <w:t xml:space="preserve">. Para el preparado de laboratorio IGF-1 LR3, un riesgo similar o mayor es biológicamente plausible, pero nunca se ha medido (capítulo IGF-1 LR3). La pramlintida potencia el efecto de la insulina inyectada a la vez; en un estudio, las hipoglucemias graves fueron más frecuentes que con placebo (0,57 frente a 0,30 episodios por paciente-año)</w:t>
      </w:r>
      <w:r>
        <w:rPr>
          <w:rStyle w:val="FootnoteReference"/>
        </w:rPr>
        <w:footnoteReference w:id="2655"/>
      </w:r>
      <w:r>
        <w:t xml:space="preserve">. Los medicamentos GLP-1 por sí solos apenas reducen la glucemia hasta el rango peligroso, porque su efecto está acoplado a la glucemia. Pero en combinación con sulfonilureas o insulina, el riesgo aumenta: con exenatida añadida a metformina y una sulfonilurea aparecieron hipoglucemias leves a moderadas en el 28 % y el 19 %, respectivamente, frente al 13 % con placebo</w:t>
      </w:r>
      <w:r>
        <w:rPr>
          <w:rStyle w:val="FootnoteReference"/>
        </w:rPr>
        <w:footnoteReference w:id="2656"/>
      </w:r>
      <w:r>
        <w:t xml:space="preserve">. Más información en el capítulo «Interacciones y grupos de riesgo especiales».</w:t>
      </w:r>
    </w:p>
    <w:p>
      <w:pPr>
        <w:pStyle w:val="BodyText"/>
      </w:pPr>
      <w:r>
        <w:t xml:space="preserve">Una hipoglucemia grave tras una supuesta «inyección para adelgazar» en una persona sin diabetes es una señal de alarma de una falsificación con insulina. Los casos se describen en la Parte I, en el capítulo «El mercado gris».</w:t>
      </w:r>
    </w:p>
    <w:p>
      <w:pPr>
        <w:pStyle w:val="BodyText"/>
      </w:pPr>
      <w:r>
        <w:rPr>
          <w:bCs/>
          <w:b/>
        </w:rPr>
        <w:t xml:space="preserve">Glucemia más alta.</w:t>
      </w:r>
      <w:r>
        <w:t xml:space="preserve"> </w:t>
      </w:r>
      <w:r>
        <w:t xml:space="preserve">La hormona del crecimiento contrarresta la insulina. Con ibutamoreno, la glucemia en ayunas de personas mayores sanas aumentó de media 0,3 mmol/l, y el peso corporal 2,7 kg frente a 0,8 kg con placebo</w:t>
      </w:r>
      <w:r>
        <w:rPr>
          <w:rStyle w:val="FootnoteReference"/>
        </w:rPr>
        <w:footnoteReference w:id="2657"/>
      </w:r>
      <w:r>
        <w:t xml:space="preserve">. En la revisión sobre la hormona del crecimiento en personas mayores aparecieron con algo más de frecuencia una diabetes nueva y una alteración de la glucemia en ayunas</w:t>
      </w:r>
      <w:r>
        <w:rPr>
          <w:rStyle w:val="FootnoteReference"/>
        </w:rPr>
        <w:footnoteReference w:id="2658"/>
      </w:r>
      <w:r>
        <w:t xml:space="preserve">. Con tesamorelina, la glucemia en ayunas aumentó de forma transitoria en las primeras semanas (capítulo Tesamorelina). Por eso, para las personas con diabetes o con sus fases previas, el eje de la hormona del crecimiento es especialmente delicado.</w:t>
      </w:r>
    </w:p>
    <w:bookmarkEnd w:id="2659"/>
    <w:bookmarkStart w:id="2660" w:name="lo-que-se-desprende-de-la-comparación"/>
    <w:p>
      <w:pPr>
        <w:pStyle w:val="Heading3"/>
      </w:pPr>
      <w:r>
        <w:t xml:space="preserve">Lo que se desprende de la comparación</w:t>
      </w:r>
    </w:p>
    <w:p>
      <w:pPr>
        <w:pStyle w:val="FirstParagraph"/>
      </w:pPr>
      <w:r>
        <w:t xml:space="preserve">En todos los sistemas orgánicos se observan tres patrones.</w:t>
      </w:r>
    </w:p>
    <w:p>
      <w:pPr>
        <w:pStyle w:val="BodyText"/>
      </w:pPr>
      <w:r>
        <w:t xml:space="preserve">Primero: los péptidos mejor estudiados, los medicamentos GLP-1 autorizados, tienen los efectos adversos mejor conocidos. No es porque sean especialmente peligrosos, sino porque cientos de miles de personas han sido observadas en estudios y registros. Las molestias frecuentes afectan al aparato digestivo y suelen ser transitorias; los riesgos más serios, como los cálculos biliares, están demostrados, pero son raros en cifras absolutas; señales como la NAION son muy raras y se siguen investigando.</w:t>
      </w:r>
    </w:p>
    <w:p>
      <w:pPr>
        <w:pStyle w:val="BodyText"/>
      </w:pPr>
      <w:r>
        <w:t xml:space="preserve">Segundo: los péptidos del eje de la hormona del crecimiento comparten un perfil común de retención de líquidos, glucemia más alta y aumento de las hormonas del estrés. Para un uso durante meses o años en personas sanas prácticamente no hay datos.</w:t>
      </w:r>
    </w:p>
    <w:p>
      <w:pPr>
        <w:pStyle w:val="BodyText"/>
      </w:pPr>
      <w:r>
        <w:t xml:space="preserve">Tercero: para la mayoría de los péptidos de los grupos B y D, los riesgos orgánicos ni siquiera pueden describirse, porque nadie los ha buscado sistemáticamente. Allí, el mayor riesgo práctico no está en el principio activo, sino en el producto; más información en el capítulo «Productos del mercado gris».</w:t>
      </w:r>
    </w:p>
    <w:bookmarkEnd w:id="2660"/>
    <w:bookmarkEnd w:id="2661"/>
    <w:bookmarkStart w:id="2702" w:name="X26d6124763bf5b77f659300ce9ef3e1df2a341f"/>
    <w:p>
      <w:pPr>
        <w:pStyle w:val="Heading2"/>
      </w:pPr>
      <w:r>
        <w:t xml:space="preserve">Riesgo de cáncer y señales de crecimiento</w:t>
      </w:r>
    </w:p>
    <w:p>
      <w:pPr>
        <w:pStyle w:val="FirstParagraph"/>
      </w:pPr>
      <w:r>
        <w:t xml:space="preserve">Muchos péptidos se promocionan precisamente porque supuestamente estimulan el crecimiento: de músculos, tendones, vasos sanguíneos, neuronas o cabello. Pero el crecimiento no es selectivo. Las vías de señalización a través de las cuales los tejidos se curan y se renuevan también las utilizan las células cancerosas. Por eso, en casi todos los péptidos «de curación», «antienvejecimiento» o de la hormona del crecimiento surge la misma pregunta: ¿puede favorecer el cáncer?</w:t>
      </w:r>
    </w:p>
    <w:p>
      <w:pPr>
        <w:pStyle w:val="BodyText"/>
      </w:pPr>
      <w:r>
        <w:t xml:space="preserve">Este capítulo resume lo que se sabe al respecto, separado según los cuatro mecanismos que aparecen una y otra vez en la Parte II: el eje hormona del crecimiento-IGF-1, la formación de nuevos vasos sanguíneos, la estimulación de las células pigmentarias y el efecto de los medicamentos GLP-1 sobre la tiroides y el páncreas. Al final figura un resumen de los análisis grandes más recientes sobre medicamentos GLP-1 y cáncer.</w:t>
      </w:r>
    </w:p>
    <w:bookmarkStart w:id="2663" w:name="cómo-valorar-la-cuestión-del-cáncer"/>
    <w:p>
      <w:pPr>
        <w:pStyle w:val="Heading3"/>
      </w:pPr>
      <w:r>
        <w:t xml:space="preserve">Cómo valorar la cuestión del cáncer</w:t>
      </w:r>
    </w:p>
    <w:p>
      <w:pPr>
        <w:pStyle w:val="FirstParagraph"/>
      </w:pPr>
      <w:r>
        <w:t xml:space="preserve">Cuatro puntos ayudan a leer los datos siguientes.</w:t>
      </w:r>
    </w:p>
    <w:p>
      <w:pPr>
        <w:pStyle w:val="BodyText"/>
      </w:pPr>
      <w:r>
        <w:rPr>
          <w:bCs/>
          <w:b/>
        </w:rPr>
        <w:t xml:space="preserve">Desencadenar o favorecer.</w:t>
      </w:r>
      <w:r>
        <w:t xml:space="preserve"> </w:t>
      </w:r>
      <w:r>
        <w:t xml:space="preserve">Una sustancia puede desencadenar un cáncer dañando el material genético. En los péptidos se discute con más frecuencia otra posibilidad: una señal de crecimiento podría hacer crecer más deprisa un tumor ya existente pero aún no detectado, de forma parecida a como el abono hace crecer una planta que ya está en la tierra. Para esta segunda posibilidad basta con que la sustancia estimule la división celular, la supervivencia celular o la formación de nuevos vasos.</w:t>
      </w:r>
    </w:p>
    <w:p>
      <w:pPr>
        <w:pStyle w:val="BodyText"/>
      </w:pPr>
      <w:r>
        <w:rPr>
          <w:bCs/>
          <w:b/>
        </w:rPr>
        <w:t xml:space="preserve">Tiempo.</w:t>
      </w:r>
      <w:r>
        <w:t xml:space="preserve"> </w:t>
      </w:r>
      <w:r>
        <w:t xml:space="preserve">El cáncer se desarrolla a lo largo de años o décadas. La mayoría de los estudios con péptidos duran de semanas a pocos años. Incluso los grandes estudios de autorización difícilmente pueden captar un riesgo que se desarrolla lentamente. Para ello se necesitan registros y estudios observacionales a lo largo de periodos prolongados, que a su vez son propensos a sesgos.</w:t>
      </w:r>
    </w:p>
    <w:p>
      <w:pPr>
        <w:pStyle w:val="BodyText"/>
      </w:pPr>
      <w:r>
        <w:rPr>
          <w:bCs/>
          <w:b/>
        </w:rPr>
        <w:t xml:space="preserve">Sesgo diagnóstico.</w:t>
      </w:r>
      <w:r>
        <w:t xml:space="preserve"> </w:t>
      </w:r>
      <w:r>
        <w:t xml:space="preserve">A quien se explora con más frecuencia por un medicamento también se le encuentran tumores con más frecuencia. Un ejemplo: un metaanálisis encontró en estudios más cortos con GLP-1 algo más de diagnósticos de cáncer colorrectal y supuso como explicación que las molestias gastrointestinales llevaron a realizar más colonoscopias</w:t>
      </w:r>
      <w:r>
        <w:rPr>
          <w:rStyle w:val="FootnoteReference"/>
        </w:rPr>
        <w:footnoteReference w:id="2662"/>
      </w:r>
      <w:r>
        <w:t xml:space="preserve">.</w:t>
      </w:r>
    </w:p>
    <w:p>
      <w:pPr>
        <w:pStyle w:val="BodyText"/>
      </w:pPr>
      <w:r>
        <w:rPr>
          <w:bCs/>
          <w:b/>
        </w:rPr>
        <w:t xml:space="preserve">La dirección opuesta.</w:t>
      </w:r>
      <w:r>
        <w:t xml:space="preserve"> </w:t>
      </w:r>
      <w:r>
        <w:t xml:space="preserve">El sobrepeso aumenta el riesgo de al menos 13 tipos de cáncer. Un medicamento que reduce mucho el peso podría, por tanto, reducir el riesgo de cáncer en conjunto, aunque haya una pequeña señal en un órgano concreto. Ambas cosas solo pueden examinarse por separado.</w:t>
      </w:r>
    </w:p>
    <w:bookmarkEnd w:id="2663"/>
    <w:bookmarkStart w:id="2673" w:name="hormona-del-crecimiento-e-igf-1"/>
    <w:p>
      <w:pPr>
        <w:pStyle w:val="Heading3"/>
      </w:pPr>
      <w:r>
        <w:t xml:space="preserve">Hormona del crecimiento e IGF-1</w:t>
      </w:r>
    </w:p>
    <w:p>
      <w:pPr>
        <w:pStyle w:val="FirstParagraph"/>
      </w:pPr>
      <w:r>
        <w:t xml:space="preserve">La hormona del crecimiento actúa en gran parte a través del IGF-1, el factor de crecimiento insulínico tipo 1. El IGF-1 estimula la división de las células y las protege de la muerte celular programada. Todos los péptidos del grupo C (sermorelina, tesamorelina, CJC-1295, ipamorelina, la familia de los GHRP, mecasermina e IGF-1 LR3), así como el ibutamoreno comentado a modo de comparación, aumentan directa o indirectamente el IGF-1. Las pruebas sobre la cuestión del cáncer proceden de cinco fuentes.</w:t>
      </w:r>
    </w:p>
    <w:p>
      <w:pPr>
        <w:pStyle w:val="BodyText"/>
      </w:pPr>
      <w:r>
        <w:rPr>
          <w:bCs/>
          <w:b/>
        </w:rPr>
        <w:t xml:space="preserve">Niveles de IGF-1 naturalmente más altos.</w:t>
      </w:r>
      <w:r>
        <w:t xml:space="preserve"> </w:t>
      </w:r>
      <w:r>
        <w:t xml:space="preserve">Un metaanálisis de 21 estudios encontró en personas con valores altos de IGF-1 un mayor riesgo de cáncer de próstata (odds ratio 1,49 al comparar un valor de IGF-1 en el percentil 75 con uno en el percentil 25) y de cáncer de mama antes de la menopausia (1,65); los autores calificaron expresamente las asociaciones de «moderadas»</w:t>
      </w:r>
      <w:r>
        <w:rPr>
          <w:rStyle w:val="FootnoteReference"/>
        </w:rPr>
        <w:footnoteReference w:id="2664"/>
      </w:r>
      <w:r>
        <w:t xml:space="preserve">. En el UK Biobank, con 206.263 mujeres, el riesgo de cáncer de mama aumentó un 11 % por cada 5 nmol/l más de IGF-1</w:t>
      </w:r>
      <w:r>
        <w:rPr>
          <w:rStyle w:val="FootnoteReference"/>
        </w:rPr>
        <w:footnoteReference w:id="2665"/>
      </w:r>
      <w:r>
        <w:t xml:space="preserve">; para el cáncer colorrectal, el mismo grupo encontró una asociación similar en casi 400.000 participantes</w:t>
      </w:r>
      <w:r>
        <w:rPr>
          <w:rStyle w:val="FootnoteReference"/>
        </w:rPr>
        <w:footnoteReference w:id="2666"/>
      </w:r>
      <w:r>
        <w:t xml:space="preserve">.</w:t>
      </w:r>
    </w:p>
    <w:p>
      <w:pPr>
        <w:pStyle w:val="BodyText"/>
      </w:pPr>
      <w:r>
        <w:rPr>
          <w:bCs/>
          <w:b/>
        </w:rPr>
        <w:t xml:space="preserve">Análisis genéticos.</w:t>
      </w:r>
      <w:r>
        <w:t xml:space="preserve"> </w:t>
      </w:r>
      <w:r>
        <w:t xml:space="preserve">La llamada aleatorización mendeliana utiliza variantes genéticas que elevan ligeramente el nivel de IGF-1 durante toda la vida como un experimento natural. También aquí, un IGF-1 genéticamente más alto se asoció con algo más de cáncer de mama (odds ratio 1,05 por cada 5 nmol/l)</w:t>
      </w:r>
      <w:r>
        <w:rPr>
          <w:rStyle w:val="FootnoteReference"/>
        </w:rPr>
        <w:footnoteReference w:id="2667"/>
      </w:r>
      <w:r>
        <w:t xml:space="preserve">. Esto indica que la asociación no se debe solo a circunstancias concomitantes.</w:t>
      </w:r>
    </w:p>
    <w:p>
      <w:pPr>
        <w:pStyle w:val="BodyText"/>
      </w:pPr>
      <w:r>
        <w:rPr>
          <w:bCs/>
          <w:b/>
        </w:rPr>
        <w:t xml:space="preserve">Exceso de hormona del crecimiento por enfermedad.</w:t>
      </w:r>
      <w:r>
        <w:t xml:space="preserve"> </w:t>
      </w:r>
      <w:r>
        <w:t xml:space="preserve">En la acromegalia, una sobreproducción de hormona del crecimiento por un tumor de la hipófisis, un metaanálisis de 23 estudios mostró una tasa de cáncer aproximadamente un 50 % mayor (razón estandarizada 1,5), con valores especialmente altos para el cáncer colorrectal y de tiroides. No obstante, los estudios más pequeños y antiguos mostraron valores más altos que los grandes, lo que apunta a sesgos de selección</w:t>
      </w:r>
      <w:r>
        <w:rPr>
          <w:rStyle w:val="FootnoteReference"/>
        </w:rPr>
        <w:footnoteReference w:id="2668"/>
      </w:r>
      <w:r>
        <w:t xml:space="preserve">.</w:t>
      </w:r>
    </w:p>
    <w:p>
      <w:pPr>
        <w:pStyle w:val="BodyText"/>
      </w:pPr>
      <w:r>
        <w:rPr>
          <w:bCs/>
          <w:b/>
        </w:rPr>
        <w:t xml:space="preserve">Déficit de IGF-1 por enfermedad.</w:t>
      </w:r>
      <w:r>
        <w:t xml:space="preserve"> </w:t>
      </w:r>
      <w:r>
        <w:t xml:space="preserve">En personas con síndrome de Laron, que por un defecto genético apenas producen IGF-1, en Ecuador, a lo largo de 22 años de observación, solo se produjo un único caso de cáncer, no mortal; en familiares no afectados, la proporción fue del 17 %</w:t>
      </w:r>
      <w:r>
        <w:rPr>
          <w:rStyle w:val="FootnoteReference"/>
        </w:rPr>
        <w:footnoteReference w:id="2669"/>
      </w:r>
      <w:r>
        <w:t xml:space="preserve">.</w:t>
      </w:r>
    </w:p>
    <w:p>
      <w:pPr>
        <w:pStyle w:val="BodyText"/>
      </w:pPr>
      <w:r>
        <w:rPr>
          <w:bCs/>
          <w:b/>
        </w:rPr>
        <w:t xml:space="preserve">La hormona del crecimiento como medicamento.</w:t>
      </w:r>
      <w:r>
        <w:t xml:space="preserve"> </w:t>
      </w:r>
      <w:r>
        <w:t xml:space="preserve">En 23.984 niños tratados con hormona del crecimiento en ocho países europeos no se encontró, en ausencia de enfermedad previa grave, un riesgo de cáncer claramente aumentado. Llamaron la atención algunos tipos de cáncer concretos (hueso, vejiga) y un aumento de la mortalidad por cáncer con dosis diarias más altas en niños que ya habían tenido cáncer antes</w:t>
      </w:r>
      <w:r>
        <w:rPr>
          <w:rStyle w:val="FootnoteReference"/>
        </w:rPr>
        <w:footnoteReference w:id="2670"/>
      </w:r>
      <w:r>
        <w:t xml:space="preserve">. En 8418 adultos tratados con hipopituitarismo, el riesgo de cáncer no estaba aumentado; la tasa de cáncer incluso estuvo por debajo de la media de la población</w:t>
      </w:r>
      <w:r>
        <w:rPr>
          <w:rStyle w:val="FootnoteReference"/>
        </w:rPr>
        <w:footnoteReference w:id="2671"/>
      </w:r>
      <w:r>
        <w:t xml:space="preserve">.</w:t>
      </w:r>
    </w:p>
    <w:p>
      <w:pPr>
        <w:pStyle w:val="BodyText"/>
      </w:pPr>
      <w:r>
        <w:t xml:space="preserve">¿Qué se deduce de ello? Quien tiene un déficit real y recibe la hormona que le falta no presenta, según los conocimientos actuales, un riesgo de cáncer claramente mayor. Quien, en cambio, eleva durante años un nivel normal entra en el terreno en el que los estudios observacionales y genéticos muestran un riesgo moderadamente mayor. Para exactamente esta situación (adultos sanos que utilizan liberadores para mejorar el rendimiento o para «rejuvenecer») no hay estudios a largo plazo. El ibutamoreno, por ejemplo, elevó el IGF-1 de personas mayores sanas hasta el nivel de adultos jóvenes</w:t>
      </w:r>
      <w:r>
        <w:rPr>
          <w:rStyle w:val="FootnoteReference"/>
        </w:rPr>
        <w:footnoteReference w:id="2672"/>
      </w:r>
      <w:r>
        <w:t xml:space="preserve">; no se comunicó ninguna señal de cáncer, pero el estudio no era ni lo bastante grande ni lo bastante largo para ello.</w:t>
      </w:r>
    </w:p>
    <w:p>
      <w:pPr>
        <w:pStyle w:val="BodyText"/>
      </w:pPr>
      <w:r>
        <w:t xml:space="preserve">Dos casos especiales merecen mención. Con la mecasermina autorizada se notificaron tras su comercialización neoplasias benignas y malignas en niños tratados; las fichas técnicas contienen las advertencias correspondientes y no debe utilizarse en caso de cáncer activo (situación en 2026, compruébese la información actualizada; capítulo Mecasermina). El preparado de laboratorio IGF-1 LR3 se modificó de modo que ya no se une a las proteínas de unión de la sangre que normalmente amortiguan el IGF-1. Por ello actúa con más intensidad y durante más tiempo sobre el receptor, teóricamente justo en la dirección desfavorable. En humanos nunca se ha estudiado (capítulo IGF-1 LR3).</w:t>
      </w:r>
    </w:p>
    <w:bookmarkEnd w:id="2673"/>
    <w:bookmarkStart w:id="2683" w:name="Xde8c5c81385f8d67c774c3ad11e2814ddd098b2"/>
    <w:p>
      <w:pPr>
        <w:pStyle w:val="Heading3"/>
      </w:pPr>
      <w:r>
        <w:t xml:space="preserve">Formación de nuevos vasos y otras señales de crecimiento</w:t>
      </w:r>
    </w:p>
    <w:p>
      <w:pPr>
        <w:pStyle w:val="FirstParagraph"/>
      </w:pPr>
      <w:r>
        <w:t xml:space="preserve">Un tumor que quiera crecer más allá de unos pocos milímetros necesita sus propios vasos sanguíneos. Este proceso se llama angiogénesis. Algunos medicamentos oncológicos autorizados actúan precisamente bloqueando la vía de señalización más importante de la formación de nuevos vasos, el sistema VEGF. A la inversa, las sustancias que favorecen la formación de nuevos vasos son sospechosas de favorecer los tumores.</w:t>
      </w:r>
    </w:p>
    <w:p>
      <w:pPr>
        <w:pStyle w:val="BodyText"/>
      </w:pPr>
      <w:r>
        <w:rPr>
          <w:bCs/>
          <w:b/>
        </w:rPr>
        <w:t xml:space="preserve">BPC-157.</w:t>
      </w:r>
      <w:r>
        <w:t xml:space="preserve"> </w:t>
      </w:r>
      <w:r>
        <w:t xml:space="preserve">En experimentos de laboratorio, BPC-157 aumentó la densidad vascular en membranas de huevo de gallina, aceleró en ratas la irrigación de una pata con riego insuficiente y aumentó en células vasculares humanas la cantidad del receptor 2 de VEGF</w:t>
      </w:r>
      <w:r>
        <w:rPr>
          <w:rStyle w:val="FootnoteReference"/>
        </w:rPr>
        <w:footnoteReference w:id="2674"/>
      </w:r>
      <w:r>
        <w:t xml:space="preserve">. El grupo de trabajo de Zagreb, del que proceden la mayoría de los estudios sobre BPC-157, objeta que BPC-157 regula la formación de vasos en lugar de impulsarla a ciegas, e incluso ha mostrado efectos antitumorales en experimentos con animales y células</w:t>
      </w:r>
      <w:r>
        <w:rPr>
          <w:rStyle w:val="FootnoteReference"/>
        </w:rPr>
        <w:footnoteReference w:id="2675"/>
      </w:r>
      <w:r>
        <w:t xml:space="preserve">. No se han publicado estudios a largo plazo sobre carcinogénesis como los que se exigen para los medicamentos. La cuestión sigue abierta. Véase el capítulo BPC-157.</w:t>
      </w:r>
    </w:p>
    <w:p>
      <w:pPr>
        <w:pStyle w:val="BodyText"/>
      </w:pPr>
      <w:r>
        <w:rPr>
          <w:bCs/>
          <w:b/>
        </w:rPr>
        <w:t xml:space="preserve">TB-500 y timosina beta 4.</w:t>
      </w:r>
      <w:r>
        <w:t xml:space="preserve"> </w:t>
      </w:r>
      <w:r>
        <w:t xml:space="preserve">La timosina beta 4 favorece la migración celular y la formación de nuevos vasos. En muestras de tejido de 138 personas con cáncer de vejiga, una producción elevada de timosina beta 4 se asoció con un estadio avanzado, afectación ganglionar y una supervivencia más corta</w:t>
      </w:r>
      <w:r>
        <w:rPr>
          <w:rStyle w:val="FootnoteReference"/>
        </w:rPr>
        <w:footnoteReference w:id="2676"/>
      </w:r>
      <w:r>
        <w:t xml:space="preserve">. En cultivos de células de cáncer de mama, la timosina beta 4 añadida aumentó el número de células</w:t>
      </w:r>
      <w:r>
        <w:rPr>
          <w:rStyle w:val="FootnoteReference"/>
        </w:rPr>
        <w:footnoteReference w:id="2677"/>
      </w:r>
      <w:r>
        <w:t xml:space="preserve">. Esto no demuestra que el TB-500 administrado desde fuera favorezca el cáncer, pero es un motivo de precaución en personas con cáncer o con un riesgo alto de cáncer. Véase el capítulo TB-500.</w:t>
      </w:r>
    </w:p>
    <w:p>
      <w:pPr>
        <w:pStyle w:val="BodyText"/>
      </w:pPr>
      <w:r>
        <w:rPr>
          <w:bCs/>
          <w:b/>
        </w:rPr>
        <w:t xml:space="preserve">Otros péptidos con señales de crecimiento.</w:t>
      </w:r>
      <w:r>
        <w:t xml:space="preserve"> </w:t>
      </w:r>
      <w:r>
        <w:t xml:space="preserve">En varios péptidos de la Parte II surgen preguntas similares a partir del mecanismo de acción o de datos de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Mecanismo</w:t>
            </w:r>
          </w:p>
        </w:tc>
        <w:tc>
          <w:tcPr/>
          <w:p>
            <w:pPr>
              <w:pStyle w:val="Compact"/>
              <w:jc w:val="left"/>
            </w:pPr>
            <w:r>
              <w:t xml:space="preserve">Tipo de indicio</w:t>
            </w:r>
          </w:p>
        </w:tc>
        <w:tc>
          <w:tcPr/>
          <w:p>
            <w:pPr>
              <w:pStyle w:val="Compact"/>
              <w:jc w:val="left"/>
            </w:pPr>
            <w:r>
              <w:t xml:space="preserve">Capítulo</w:t>
            </w:r>
          </w:p>
        </w:tc>
      </w:tr>
      <w:tr>
        <w:tc>
          <w:tcPr/>
          <w:p>
            <w:pPr>
              <w:pStyle w:val="Compact"/>
              <w:jc w:val="left"/>
            </w:pPr>
            <w:r>
              <w:t xml:space="preserve">Dihexa</w:t>
            </w:r>
          </w:p>
        </w:tc>
        <w:tc>
          <w:tcPr/>
          <w:p>
            <w:pPr>
              <w:pStyle w:val="Compact"/>
              <w:jc w:val="left"/>
            </w:pPr>
            <w:r>
              <w:t xml:space="preserve">refuerza la señal de c-Met, un conocido impulsor del cáncer</w:t>
            </w:r>
          </w:p>
        </w:tc>
        <w:tc>
          <w:tcPr/>
          <w:p>
            <w:pPr>
              <w:pStyle w:val="Compact"/>
              <w:jc w:val="left"/>
            </w:pPr>
            <w:r>
              <w:t xml:space="preserve">solo teórico, sin datos en humanos</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supuestamente activa la telomerasa</w:t>
            </w:r>
          </w:p>
        </w:tc>
        <w:tc>
          <w:tcPr/>
          <w:p>
            <w:pPr>
              <w:pStyle w:val="Compact"/>
              <w:jc w:val="left"/>
            </w:pPr>
            <w:r>
              <w:t xml:space="preserve">cultivo celular: también alargó los telómeros de células de cáncer de mama</w:t>
            </w:r>
          </w:p>
        </w:tc>
        <w:tc>
          <w:tcPr/>
          <w:p>
            <w:pPr>
              <w:pStyle w:val="Compact"/>
              <w:jc w:val="left"/>
            </w:pPr>
            <w:r>
              <w:t xml:space="preserve">Epitalon</w:t>
            </w:r>
          </w:p>
        </w:tc>
      </w:tr>
      <w:tr>
        <w:tc>
          <w:tcPr/>
          <w:p>
            <w:pPr>
              <w:pStyle w:val="Compact"/>
              <w:jc w:val="left"/>
            </w:pPr>
            <w:r>
              <w:t xml:space="preserve">Humanina</w:t>
            </w:r>
          </w:p>
        </w:tc>
        <w:tc>
          <w:tcPr/>
          <w:p>
            <w:pPr>
              <w:pStyle w:val="Compact"/>
              <w:jc w:val="left"/>
            </w:pPr>
            <w:r>
              <w:t xml:space="preserve">protege a las células de la muerte celular</w:t>
            </w:r>
          </w:p>
        </w:tc>
        <w:tc>
          <w:tcPr/>
          <w:p>
            <w:pPr>
              <w:pStyle w:val="Compact"/>
              <w:jc w:val="left"/>
            </w:pPr>
            <w:r>
              <w:t xml:space="preserve">ratones: crecimiento tumoral más rápido, más metástasis</w:t>
            </w:r>
          </w:p>
        </w:tc>
        <w:tc>
          <w:tcPr/>
          <w:p>
            <w:pPr>
              <w:pStyle w:val="Compact"/>
              <w:jc w:val="left"/>
            </w:pPr>
            <w:r>
              <w:t xml:space="preserve">Humanina</w:t>
            </w:r>
          </w:p>
        </w:tc>
      </w:tr>
      <w:tr>
        <w:tc>
          <w:tcPr/>
          <w:p>
            <w:pPr>
              <w:pStyle w:val="Compact"/>
              <w:jc w:val="left"/>
            </w:pPr>
            <w:r>
              <w:t xml:space="preserve">LL-37</w:t>
            </w:r>
          </w:p>
        </w:tc>
        <w:tc>
          <w:tcPr/>
          <w:p>
            <w:pPr>
              <w:pStyle w:val="Compact"/>
              <w:jc w:val="left"/>
            </w:pPr>
            <w:r>
              <w:t xml:space="preserve">señales inflamatorias y de crecimiento</w:t>
            </w:r>
          </w:p>
        </w:tc>
        <w:tc>
          <w:tcPr/>
          <w:p>
            <w:pPr>
              <w:pStyle w:val="Compact"/>
              <w:jc w:val="left"/>
            </w:pPr>
            <w:r>
              <w:t xml:space="preserve">laboratorio: favorecedor o inhibidor según el tipo de cáncer</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formación de nuevos vasos en experimentos con animales</w:t>
            </w:r>
          </w:p>
        </w:tc>
        <w:tc>
          <w:tcPr/>
          <w:p>
            <w:pPr>
              <w:pStyle w:val="Compact"/>
              <w:jc w:val="left"/>
            </w:pPr>
            <w:r>
              <w:t xml:space="preserve">solo teórico</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actúa sobre el receptor de EPO</w:t>
            </w:r>
          </w:p>
        </w:tc>
        <w:tc>
          <w:tcPr/>
          <w:p>
            <w:pPr>
              <w:pStyle w:val="Compact"/>
              <w:jc w:val="left"/>
            </w:pPr>
            <w:r>
              <w:t xml:space="preserve">teórico, por analogía con la EPO</w:t>
            </w:r>
          </w:p>
        </w:tc>
        <w:tc>
          <w:tcPr/>
          <w:p>
            <w:pPr>
              <w:pStyle w:val="Compact"/>
              <w:jc w:val="left"/>
            </w:pPr>
            <w:r>
              <w:t xml:space="preserve">ARA-290</w:t>
            </w:r>
          </w:p>
        </w:tc>
      </w:tr>
    </w:tbl>
    <w:p>
      <w:pPr>
        <w:pStyle w:val="BodyText"/>
      </w:pPr>
      <w:r>
        <w:t xml:space="preserve">Algunos de estos indicios son concretos. En ratones con cáncer de mama triple negativo, la humanina administrada redujo la muerte celular en el tumor, debilitó la quimioterapia y aceleró el crecimiento tumoral y las metástasis pulmonares</w:t>
      </w:r>
      <w:r>
        <w:rPr>
          <w:rStyle w:val="FootnoteReference"/>
        </w:rPr>
        <w:footnoteReference w:id="2678"/>
      </w:r>
      <w:r>
        <w:t xml:space="preserve">. El epitalon alargó en cultivos celulares los telómeros de células sanas a través de la enzima telomerasa, y en células de cáncer de mama a través de otra vía</w:t>
      </w:r>
      <w:r>
        <w:rPr>
          <w:rStyle w:val="FootnoteReference"/>
        </w:rPr>
        <w:footnoteReference w:id="2679"/>
      </w:r>
      <w:r>
        <w:t xml:space="preserve">; en un estudio con ratones, en cambio, el número de tumores espontáneos no aumentó</w:t>
      </w:r>
      <w:r>
        <w:rPr>
          <w:rStyle w:val="FootnoteReference"/>
        </w:rPr>
        <w:footnoteReference w:id="2680"/>
      </w:r>
      <w:r>
        <w:t xml:space="preserve">. Para el LL-37, una revisión describe efectos favorecedores sobre tumores de ovario, pulmón, mama, próstata, páncreas y piel, pero inhibidores sobre el cáncer colorrectal y gástrico</w:t>
      </w:r>
      <w:r>
        <w:rPr>
          <w:rStyle w:val="FootnoteReference"/>
        </w:rPr>
        <w:footnoteReference w:id="2681"/>
      </w:r>
      <w:r>
        <w:t xml:space="preserve">. Para Dihexa se ha descrito la conexión con el sistema c-Met</w:t>
      </w:r>
      <w:r>
        <w:rPr>
          <w:rStyle w:val="FootnoteReference"/>
        </w:rPr>
        <w:footnoteReference w:id="2682"/>
      </w:r>
      <w:r>
        <w:t xml:space="preserve">; no hay investigaciones sobre carcinogénesis.</w:t>
      </w:r>
    </w:p>
    <w:p>
      <w:pPr>
        <w:pStyle w:val="BodyText"/>
      </w:pPr>
      <w:r>
        <w:t xml:space="preserve">Todos estos hallazgos proceden de experimentos con animales, de cultivos celulares o del mecanismo de acción. Ninguno demuestra un riesgo de cáncer en humanos. Pero muestran que «natural», «endógeno» o «regenerativo» no significa automáticamente «inocuo», y que para ninguna de estas sustancias existen los datos a largo plazo con los que podría responderse a la pregunta.</w:t>
      </w:r>
    </w:p>
    <w:bookmarkEnd w:id="2683"/>
    <w:bookmarkStart w:id="2688" w:name="X0dba1c8fbfdbafda938dae5251111240a89a539"/>
    <w:p>
      <w:pPr>
        <w:pStyle w:val="Heading3"/>
      </w:pPr>
      <w:r>
        <w:t xml:space="preserve">Células pigmentarias: melanotán, setmelanotida y afamelanotida</w:t>
      </w:r>
    </w:p>
    <w:p>
      <w:pPr>
        <w:pStyle w:val="FirstParagraph"/>
      </w:pPr>
      <w:r>
        <w:t xml:space="preserve">Los péptidos de melanocortina estimulan las células pigmentarias (melanocitos) de la piel. En la afamelanotida es el efecto buscado, en la setmelanotida y la bremelanotida un efecto adverso y en el melanotán II el verdadero motivo de venta. Como el melanoma se origina en las células pigmentarias, la pregunta por el cáncer de piel es obvia.</w:t>
      </w:r>
    </w:p>
    <w:p>
      <w:pPr>
        <w:pStyle w:val="BodyText"/>
      </w:pPr>
      <w:r>
        <w:t xml:space="preserve">Para el</w:t>
      </w:r>
      <w:r>
        <w:t xml:space="preserve"> </w:t>
      </w:r>
      <w:r>
        <w:rPr>
          <w:bCs/>
          <w:b/>
        </w:rPr>
        <w:t xml:space="preserve">melanotán II</w:t>
      </w:r>
      <w:r>
        <w:t xml:space="preserve">, no autorizado, hay varios casos clínicos de melanomas descubiertos durante el uso o poco después. Una revisión contabilizó cuatro casos en los que los melanomas surgieron de lunares existentes, y subraya al mismo tiempo que falta una prueba concluyente de una relación</w:t>
      </w:r>
      <w:r>
        <w:rPr>
          <w:rStyle w:val="FootnoteReference"/>
        </w:rPr>
        <w:footnoteReference w:id="2684"/>
      </w:r>
      <w:r>
        <w:t xml:space="preserve">. Entre 179 casos publicados de lunares de aparición súbita, de los que una parte se atribuyó al melanotán, cinco se asociaron con un melanoma</w:t>
      </w:r>
      <w:r>
        <w:rPr>
          <w:rStyle w:val="FootnoteReference"/>
        </w:rPr>
        <w:footnoteReference w:id="2685"/>
      </w:r>
      <w:r>
        <w:t xml:space="preserve">. La interpretación es difícil: muchos afectados utilizaban al mismo tiempo cabinas de bronceado o tomaban el sol de forma intensa, lo que aumenta de forma independiente el riesgo de melanoma. Y los casos clínicos no pueden aportar frecuencias. Véase el capítulo Melanotán II.</w:t>
      </w:r>
    </w:p>
    <w:p>
      <w:pPr>
        <w:pStyle w:val="BodyText"/>
      </w:pPr>
      <w:r>
        <w:t xml:space="preserve">Para la</w:t>
      </w:r>
      <w:r>
        <w:t xml:space="preserve"> </w:t>
      </w:r>
      <w:r>
        <w:rPr>
          <w:bCs/>
          <w:b/>
        </w:rPr>
        <w:t xml:space="preserve">afamelanotida</w:t>
      </w:r>
      <w:r>
        <w:t xml:space="preserve"> </w:t>
      </w:r>
      <w:r>
        <w:t xml:space="preserve">autorizada hay datos más sistemáticos. En un estudio con 15 personas tratadas y 103 lunares se observaron con dermatoscopia cambios transitorios que habían remitido al cabo de un año; no se encontraron indicios de malignidad ni lunares nuevos</w:t>
      </w:r>
      <w:r>
        <w:rPr>
          <w:rStyle w:val="FootnoteReference"/>
        </w:rPr>
        <w:footnoteReference w:id="2686"/>
      </w:r>
      <w:r>
        <w:t xml:space="preserve">. Con</w:t>
      </w:r>
      <w:r>
        <w:t xml:space="preserve"> </w:t>
      </w:r>
      <w:r>
        <w:rPr>
          <w:bCs/>
          <w:b/>
        </w:rPr>
        <w:t xml:space="preserve">setmelanotida</w:t>
      </w:r>
      <w:r>
        <w:t xml:space="preserve"> </w:t>
      </w:r>
      <w:r>
        <w:t xml:space="preserve">no aparecieron alteraciones cutáneas malignas en un seguimiento de hasta 46 meses</w:t>
      </w:r>
      <w:r>
        <w:rPr>
          <w:rStyle w:val="FootnoteReference"/>
        </w:rPr>
        <w:footnoteReference w:id="2687"/>
      </w:r>
      <w:r>
        <w:t xml:space="preserve">. Estos datos son tranquilizadores, pero escasos y cortos en relación con el tiempo de desarrollo de un melanoma. Las fichas técnicas prevén controles cutáneos periódicos. No pueden trasladarse al melanotán II: otra sustancia, productos no controlados, a menudo combinados con radiación UV.</w:t>
      </w:r>
    </w:p>
    <w:bookmarkEnd w:id="2688"/>
    <w:bookmarkStart w:id="2695" w:name="glp-1-y-las-células-c-de-la-tiroides"/>
    <w:p>
      <w:pPr>
        <w:pStyle w:val="Heading3"/>
      </w:pPr>
      <w:r>
        <w:t xml:space="preserve">GLP-1 y las células C de la tiroides</w:t>
      </w:r>
    </w:p>
    <w:p>
      <w:pPr>
        <w:pStyle w:val="FirstParagraph"/>
      </w:pPr>
      <w:r>
        <w:t xml:space="preserve">En ratas y ratones, los agonistas del receptor de GLP-1 provocaron en experimentos a largo plazo hiperplasias y tumores de las células C de la tiroides. El mecanismo se conoce bien: las células C de los roedores portan el receptor de GLP-1; su activación aumenta la secreción de calcitonina y la división celular. En humanos y monos, el receptor es claramente más raro en las células C. Monos que recibieron liraglutida durante 20 meses en una concentración más de 60 veces superior a la de los humanos no desarrollaron hiperplasia de células C</w:t>
      </w:r>
      <w:r>
        <w:rPr>
          <w:rStyle w:val="FootnoteReference"/>
        </w:rPr>
        <w:footnoteReference w:id="2689"/>
      </w:r>
      <w:r>
        <w:t xml:space="preserve">.</w:t>
      </w:r>
    </w:p>
    <w:p>
      <w:pPr>
        <w:pStyle w:val="BodyText"/>
      </w:pPr>
      <w:r>
        <w:t xml:space="preserve">Con ello no se descarta por completo un efecto en humanos. En tejido tiroideo humano, una investigación encontró el receptor de GLP-1 en todas las muestras de carcinomas medulares de tiroides y de hiperplasias de células C, en el 18 % de los carcinomas papilares y en una parte de las células C de tiroides sanas</w:t>
      </w:r>
      <w:r>
        <w:rPr>
          <w:rStyle w:val="FootnoteReference"/>
        </w:rPr>
        <w:footnoteReference w:id="2690"/>
      </w:r>
      <w:r>
        <w:t xml:space="preserve">.</w:t>
      </w:r>
    </w:p>
    <w:p>
      <w:pPr>
        <w:pStyle w:val="BodyText"/>
      </w:pPr>
      <w:r>
        <w:t xml:space="preserve">Los estudios en humanos no ofrecen una imagen uniforme:</w:t>
      </w:r>
    </w:p>
    <w:p>
      <w:pPr>
        <w:numPr>
          <w:ilvl w:val="0"/>
          <w:numId w:val="1339"/>
        </w:numPr>
        <w:pStyle w:val="Compact"/>
      </w:pPr>
      <w:r>
        <w:t xml:space="preserve">En el estudio LEADER, la calcitonina no aumentó con liraglutida a lo largo de hasta cinco años, y no aparecieron carcinomas medulares</w:t>
      </w:r>
      <w:r>
        <w:rPr>
          <w:rStyle w:val="FootnoteReference"/>
        </w:rPr>
        <w:footnoteReference w:id="2691"/>
      </w:r>
      <w:r>
        <w:t xml:space="preserve">.</w:t>
      </w:r>
    </w:p>
    <w:p>
      <w:pPr>
        <w:numPr>
          <w:ilvl w:val="0"/>
          <w:numId w:val="1339"/>
        </w:numPr>
        <w:pStyle w:val="Compact"/>
      </w:pPr>
      <w:r>
        <w:t xml:space="preserve">Un estudio francés de casos y controles con 2562 casos encontró, tras uno a tres años de tratamiento, un riesgo aumentado de cáncer de tiroides en conjunto (hazard ratio 1,58) y de carcinoma medular (1,78)</w:t>
      </w:r>
      <w:r>
        <w:rPr>
          <w:rStyle w:val="FootnoteReference"/>
        </w:rPr>
        <w:footnoteReference w:id="2692"/>
      </w:r>
      <w:r>
        <w:t xml:space="preserve">.</w:t>
      </w:r>
    </w:p>
    <w:p>
      <w:pPr>
        <w:numPr>
          <w:ilvl w:val="0"/>
          <w:numId w:val="1339"/>
        </w:numPr>
        <w:pStyle w:val="Compact"/>
      </w:pPr>
      <w:r>
        <w:t xml:space="preserve">Un estudio de cohortes escandinavo con 145.410 personas tratadas con agonistas del receptor de GLP-1 no encontró un aumento del riesgo (hazard ratio 0,93; 1,33 frente a 1,46 casos por cada 10.000 años-persona). Para el raro carcinoma medular, la estimación fue muy incierta (hazard ratio 1,19; intervalo de confianza 0,37 a 3,86)</w:t>
      </w:r>
      <w:r>
        <w:rPr>
          <w:rStyle w:val="FootnoteReference"/>
        </w:rPr>
        <w:footnoteReference w:id="2693"/>
      </w:r>
      <w:r>
        <w:t xml:space="preserve">.</w:t>
      </w:r>
    </w:p>
    <w:p>
      <w:pPr>
        <w:numPr>
          <w:ilvl w:val="0"/>
          <w:numId w:val="1339"/>
        </w:numPr>
        <w:pStyle w:val="Compact"/>
      </w:pPr>
      <w:r>
        <w:t xml:space="preserve">Un metaanálisis de 50 estudios aleatorizados de al menos un año de duración mostró una señal para el cáncer de tiroides (odds ratio 1,55), más clara en los estudios más largos</w:t>
      </w:r>
      <w:r>
        <w:rPr>
          <w:rStyle w:val="FootnoteReference"/>
        </w:rPr>
        <w:footnoteReference w:id="2694"/>
      </w:r>
      <w:r>
        <w:t xml:space="preserve">.</w:t>
      </w:r>
    </w:p>
    <w:p>
      <w:pPr>
        <w:pStyle w:val="FirstParagraph"/>
      </w:pPr>
      <w:r>
        <w:t xml:space="preserve">¿Cómo encaja todo esto? Parte de la señal podría deberse a exploraciones más frecuentes: a quien recibe un seguimiento estrecho por diabetes u obesidad se le hace con más frecuencia una ecografía en la que se descubren pequeños carcinomas papilares inofensivos. Pero no puede descartarse un pequeño riesgo real. Por eso, para las personas con antecedentes personales o familiares de carcinoma medular de tiroides o con síndrome MEN 2 sigue vigente una contraindicación. Véase el capítulo Liraglutida.</w:t>
      </w:r>
    </w:p>
    <w:bookmarkEnd w:id="2695"/>
    <w:bookmarkStart w:id="2699" w:name="páncreas"/>
    <w:p>
      <w:pPr>
        <w:pStyle w:val="Heading3"/>
      </w:pPr>
      <w:r>
        <w:t xml:space="preserve">Páncreas</w:t>
      </w:r>
    </w:p>
    <w:p>
      <w:pPr>
        <w:pStyle w:val="FirstParagraph"/>
      </w:pPr>
      <w:r>
        <w:t xml:space="preserve">Tras las primeras notificaciones de pancreatitis con exenatida y liraglutida, se temió también un aumento del riesgo de cáncer de páncreas. Los datos no lo han confirmado hasta ahora. Un metaanálisis de 62 estudios aleatorizados no encontró un riesgo aumentado de forma demostrada (riesgo relativo 1,30; intervalo de confianza 0,86 a 1,97); en un subgrupo de estudios con medicamentos adicionales estaba aumentado, sin medicamentos adicionales no</w:t>
      </w:r>
      <w:r>
        <w:rPr>
          <w:rStyle w:val="FootnoteReference"/>
        </w:rPr>
        <w:footnoteReference w:id="2696"/>
      </w:r>
      <w:r>
        <w:t xml:space="preserve">. Los autores señalan que muchos estudios sin un solo acontecimiento ni siquiera entraron en el cálculo. En un gran estudio de cohortes estadounidense, el cáncer de páncreas fue incluso menos frecuente con agonistas del receptor de GLP-1 que con insulina (hazard ratio 0,41)</w:t>
      </w:r>
      <w:r>
        <w:rPr>
          <w:rStyle w:val="FootnoteReference"/>
        </w:rPr>
        <w:footnoteReference w:id="2697"/>
      </w:r>
      <w:r>
        <w:t xml:space="preserve">, si bien la insulina se utiliza a menudo en una diabetes de más larga evolución y más grave.</w:t>
      </w:r>
    </w:p>
    <w:p>
      <w:pPr>
        <w:pStyle w:val="BodyText"/>
      </w:pPr>
      <w:r>
        <w:t xml:space="preserve">Para los tumores neuroendocrinos, un grupo raro de tumores que se originan, entre otros lugares, en el páncreas y que en parte portan el receptor de GLP-1, una revisión concluye que los datos disponibles no muestran un aumento general, pero que existen lagunas importantes, por ejemplo en la predisposición hereditaria</w:t>
      </w:r>
      <w:r>
        <w:rPr>
          <w:rStyle w:val="FootnoteReference"/>
        </w:rPr>
        <w:footnoteReference w:id="2698"/>
      </w:r>
      <w:r>
        <w:t xml:space="preserve">.</w:t>
      </w:r>
    </w:p>
    <w:bookmarkEnd w:id="2699"/>
    <w:bookmarkStart w:id="2700" w:name="Xa036031fcd34bf014814a63be1d7938905da024"/>
    <w:p>
      <w:pPr>
        <w:pStyle w:val="Heading3"/>
      </w:pPr>
      <w:r>
        <w:t xml:space="preserve">Lo que muestran los nuevos metaanálisis y las grandes cohortes sobre GLP-1 y cáncer</w:t>
      </w:r>
    </w:p>
    <w:p>
      <w:pPr>
        <w:pStyle w:val="FirstParagraph"/>
      </w:pPr>
      <w:r>
        <w:t xml:space="preserve">Con la amplia difusión de los medicamentos GLP-1 se han publicado desde 2024 varios análisis muy grandes. Ofrecen una imagen mayoritariamente tranquilizadora, aunque poco clara en algunos puntos concretos.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Datos</w:t>
            </w:r>
          </w:p>
        </w:tc>
        <w:tc>
          <w:tcPr/>
          <w:p>
            <w:pPr>
              <w:pStyle w:val="Compact"/>
              <w:jc w:val="left"/>
            </w:pPr>
            <w:r>
              <w:t xml:space="preserve">Resultado para el cáncer en conjunto</w:t>
            </w:r>
          </w:p>
        </w:tc>
        <w:tc>
          <w:tcPr/>
          <w:p>
            <w:pPr>
              <w:pStyle w:val="Compact"/>
              <w:jc w:val="left"/>
            </w:pPr>
            <w:r>
              <w:t xml:space="preserve">Particularidades</w:t>
            </w:r>
          </w:p>
        </w:tc>
      </w:tr>
      <w:tr>
        <w:tc>
          <w:tcPr/>
          <w:p>
            <w:pPr>
              <w:pStyle w:val="Compact"/>
              <w:jc w:val="left"/>
            </w:pPr>
            <w:r>
              <w:t xml:space="preserve">Silverii 2025, PMID 40437949</w:t>
            </w:r>
          </w:p>
        </w:tc>
        <w:tc>
          <w:tcPr/>
          <w:p>
            <w:pPr>
              <w:pStyle w:val="Compact"/>
              <w:jc w:val="left"/>
            </w:pPr>
            <w:r>
              <w:t xml:space="preserve">50 ECA, mín. 52 semanas</w:t>
            </w:r>
          </w:p>
        </w:tc>
        <w:tc>
          <w:tcPr/>
          <w:p>
            <w:pPr>
              <w:pStyle w:val="Compact"/>
              <w:jc w:val="left"/>
            </w:pPr>
            <w:r>
              <w:t xml:space="preserve">sin diferencias (odds ratio 1,05)</w:t>
            </w:r>
          </w:p>
        </w:tc>
        <w:tc>
          <w:tcPr/>
          <w:p>
            <w:pPr>
              <w:pStyle w:val="Compact"/>
              <w:jc w:val="left"/>
            </w:pPr>
            <w:r>
              <w:t xml:space="preserve">tiroides 1,55; útero en obesidad 0,24</w:t>
            </w:r>
          </w:p>
        </w:tc>
      </w:tr>
      <w:tr>
        <w:tc>
          <w:tcPr/>
          <w:p>
            <w:pPr>
              <w:pStyle w:val="Compact"/>
              <w:jc w:val="left"/>
            </w:pPr>
            <w:r>
              <w:t xml:space="preserve">Wang 2024, PMID 38967919</w:t>
            </w:r>
          </w:p>
        </w:tc>
        <w:tc>
          <w:tcPr/>
          <w:p>
            <w:pPr>
              <w:pStyle w:val="Compact"/>
              <w:jc w:val="left"/>
            </w:pPr>
            <w:r>
              <w:t xml:space="preserve">1.651.452 personas con diabetes tipo 2</w:t>
            </w:r>
          </w:p>
        </w:tc>
        <w:tc>
          <w:tcPr/>
          <w:p>
            <w:pPr>
              <w:pStyle w:val="Compact"/>
              <w:jc w:val="left"/>
            </w:pPr>
            <w:r>
              <w:t xml:space="preserve">frente a insulina, menos en 10 de 13 tipos de cáncer</w:t>
            </w:r>
          </w:p>
        </w:tc>
        <w:tc>
          <w:tcPr/>
          <w:p>
            <w:pPr>
              <w:pStyle w:val="Compact"/>
              <w:jc w:val="left"/>
            </w:pPr>
            <w:r>
              <w:t xml:space="preserve">frente a metformina, más cáncer renal (1,54)</w:t>
            </w:r>
          </w:p>
        </w:tc>
      </w:tr>
      <w:tr>
        <w:tc>
          <w:tcPr/>
          <w:p>
            <w:pPr>
              <w:pStyle w:val="Compact"/>
              <w:jc w:val="left"/>
            </w:pPr>
            <w:r>
              <w:t xml:space="preserve">Dai 2025, PMID 40839273</w:t>
            </w:r>
          </w:p>
        </w:tc>
        <w:tc>
          <w:tcPr/>
          <w:p>
            <w:pPr>
              <w:pStyle w:val="Compact"/>
              <w:jc w:val="left"/>
            </w:pPr>
            <w:r>
              <w:t xml:space="preserve">86.632 adultos con obesidad</w:t>
            </w:r>
          </w:p>
        </w:tc>
        <w:tc>
          <w:tcPr/>
          <w:p>
            <w:pPr>
              <w:pStyle w:val="Compact"/>
              <w:jc w:val="left"/>
            </w:pPr>
            <w:r>
              <w:t xml:space="preserve">menos cáncer (hazard ratio 0,83)</w:t>
            </w:r>
          </w:p>
        </w:tc>
        <w:tc>
          <w:tcPr/>
          <w:p>
            <w:pPr>
              <w:pStyle w:val="Compact"/>
              <w:jc w:val="left"/>
            </w:pPr>
            <w:r>
              <w:t xml:space="preserve">cáncer renal aumentado en el límite (1,38)</w:t>
            </w:r>
          </w:p>
        </w:tc>
      </w:tr>
      <w:tr>
        <w:tc>
          <w:tcPr/>
          <w:p>
            <w:pPr>
              <w:pStyle w:val="Compact"/>
              <w:jc w:val="left"/>
            </w:pPr>
            <w:r>
              <w:t xml:space="preserve">Hsu 2026, PMID 42252247</w:t>
            </w:r>
          </w:p>
        </w:tc>
        <w:tc>
          <w:tcPr/>
          <w:p>
            <w:pPr>
              <w:pStyle w:val="Compact"/>
              <w:jc w:val="left"/>
            </w:pPr>
            <w:r>
              <w:t xml:space="preserve">161.798 adultos con obesidad sin diabetes</w:t>
            </w:r>
          </w:p>
        </w:tc>
        <w:tc>
          <w:tcPr/>
          <w:p>
            <w:pPr>
              <w:pStyle w:val="Compact"/>
              <w:jc w:val="left"/>
            </w:pPr>
            <w:r>
              <w:t xml:space="preserve">menos tipos de cáncer relacionados con el sobrepeso (0,59)</w:t>
            </w:r>
          </w:p>
        </w:tc>
        <w:tc>
          <w:tcPr/>
          <w:p>
            <w:pPr>
              <w:pStyle w:val="Compact"/>
              <w:jc w:val="left"/>
            </w:pPr>
            <w:r>
              <w:t xml:space="preserve">seguimiento con una mediana de 2 años</w:t>
            </w:r>
          </w:p>
        </w:tc>
      </w:tr>
    </w:tbl>
    <w:p>
      <w:pPr>
        <w:pStyle w:val="BodyText"/>
      </w:pPr>
      <w:r>
        <w:t xml:space="preserve">¿Cómo deben leerse estas cifras?</w:t>
      </w:r>
    </w:p>
    <w:p>
      <w:pPr>
        <w:numPr>
          <w:ilvl w:val="0"/>
          <w:numId w:val="1340"/>
        </w:numPr>
        <w:pStyle w:val="Compact"/>
      </w:pPr>
      <w:r>
        <w:rPr>
          <w:bCs/>
          <w:b/>
        </w:rPr>
        <w:t xml:space="preserve">Los estudios aleatorizados</w:t>
      </w:r>
      <w:r>
        <w:t xml:space="preserve"> </w:t>
      </w:r>
      <w:r>
        <w:t xml:space="preserve">no muestran en conjunto ninguna influencia sobre el riesgo de cáncer. Es el resultado más fiable, pero los estudios son demasiado cortos para el cáncer.</w:t>
      </w:r>
    </w:p>
    <w:p>
      <w:pPr>
        <w:numPr>
          <w:ilvl w:val="0"/>
          <w:numId w:val="1340"/>
        </w:numPr>
        <w:pStyle w:val="Compact"/>
      </w:pPr>
      <w:r>
        <w:rPr>
          <w:bCs/>
          <w:b/>
        </w:rPr>
        <w:t xml:space="preserve">Los grandes estudios observacionales</w:t>
      </w:r>
      <w:r>
        <w:t xml:space="preserve"> </w:t>
      </w:r>
      <w:r>
        <w:t xml:space="preserve">muestran más bien menos cáncer con medicamentos GLP-1. Esto encaja con la idea de que la pérdida de peso reduce los tipos de cáncer relacionados con el sobrepeso. Pero también puede deberse a que las personas que reciben estos medicamentos difieren en muchos aspectos de los grupos de comparación. Un seguimiento de dos años es muy corto para una afirmación sobre la prevención del cáncer.</w:t>
      </w:r>
    </w:p>
    <w:p>
      <w:pPr>
        <w:numPr>
          <w:ilvl w:val="0"/>
          <w:numId w:val="1340"/>
        </w:numPr>
        <w:pStyle w:val="Compact"/>
      </w:pPr>
      <w:r>
        <w:rPr>
          <w:bCs/>
          <w:b/>
        </w:rPr>
        <w:t xml:space="preserve">El cáncer renal</w:t>
      </w:r>
      <w:r>
        <w:t xml:space="preserve"> </w:t>
      </w:r>
      <w:r>
        <w:t xml:space="preserve">aparece en dos estudios de cohortes como posible señal. Está por ver si se trata de un efecto real.</w:t>
      </w:r>
    </w:p>
    <w:p>
      <w:pPr>
        <w:numPr>
          <w:ilvl w:val="0"/>
          <w:numId w:val="1340"/>
        </w:numPr>
        <w:pStyle w:val="Compact"/>
      </w:pPr>
      <w:r>
        <w:rPr>
          <w:bCs/>
          <w:b/>
        </w:rPr>
        <w:t xml:space="preserve">El cáncer de tiroides</w:t>
      </w:r>
      <w:r>
        <w:t xml:space="preserve"> </w:t>
      </w:r>
      <w:r>
        <w:t xml:space="preserve">sigue siendo la cuestión abierta, como se ha descrito más arriba.</w:t>
      </w:r>
    </w:p>
    <w:p>
      <w:pPr>
        <w:pStyle w:val="FirstParagraph"/>
      </w:pPr>
      <w:r>
        <w:t xml:space="preserve">Si los medicamentos GLP-1 protegen realmente frente al cáncer no puede afirmarse con los datos disponibles. En cuanto a si causan cáncer, según los conocimientos actuales: para la mayoría de los tipos de cáncer, no; para la tiroides y el riñón, no está aclarado de forma definitiva. Para los nuevos agonistas múltiples, como la retatrutida, la survodutida o la mazdutida, todavía hay demasiado pocos años de tratamiento para hacer afirmaciones propias.</w:t>
      </w:r>
    </w:p>
    <w:bookmarkEnd w:id="2700"/>
    <w:bookmarkStart w:id="2701" w:name="lo-más-importante-en-pocas-palabras"/>
    <w:p>
      <w:pPr>
        <w:pStyle w:val="Heading3"/>
      </w:pPr>
      <w:r>
        <w:t xml:space="preserve">Lo más importante en pocas palabras</w:t>
      </w:r>
    </w:p>
    <w:p>
      <w:pPr>
        <w:numPr>
          <w:ilvl w:val="0"/>
          <w:numId w:val="1341"/>
        </w:numPr>
        <w:pStyle w:val="Compact"/>
      </w:pPr>
      <w:r>
        <w:t xml:space="preserve">Los mejores datos sobre el riesgo de cáncer los tienen precisamente los péptidos en los que la preocupación parece menos fundada: los medicamentos GLP-1 autorizados. Para la mayoría de los tipos de cáncer no muestran un aumento del riesgo; la señal tiroidea no está aclarada.</w:t>
      </w:r>
    </w:p>
    <w:p>
      <w:pPr>
        <w:numPr>
          <w:ilvl w:val="0"/>
          <w:numId w:val="1341"/>
        </w:numPr>
        <w:pStyle w:val="Compact"/>
      </w:pPr>
      <w:r>
        <w:t xml:space="preserve">En el eje hormona del crecimiento-IGF-1 está bien demostrada una asociación moderada entre niveles de IGF-1 permanentemente más altos y algunos tipos de cáncer. Faltan estudios en personas sanas que elevan artificialmente el IGF-1 durante años.</w:t>
      </w:r>
    </w:p>
    <w:p>
      <w:pPr>
        <w:numPr>
          <w:ilvl w:val="0"/>
          <w:numId w:val="1341"/>
        </w:numPr>
        <w:pStyle w:val="Compact"/>
      </w:pPr>
      <w:r>
        <w:t xml:space="preserve">Para BPC-157, TB-500, epitalon, humanina, Dihexa y sustancias similares solo hay indicios teóricos y de experimentación animal, en ambas direcciones. No existen datos a largo plazo sobre carcinogénesis.</w:t>
      </w:r>
    </w:p>
    <w:p>
      <w:pPr>
        <w:numPr>
          <w:ilvl w:val="0"/>
          <w:numId w:val="1341"/>
        </w:numPr>
        <w:pStyle w:val="Compact"/>
      </w:pPr>
      <w:r>
        <w:t xml:space="preserve">Con el melanotán II hay casos clínicos de melanoma, pero no datos de frecuencia. Con la afamelanotida autorizada, pequeños estudios no encontraron alteraciones malignas.</w:t>
      </w:r>
    </w:p>
    <w:p>
      <w:pPr>
        <w:numPr>
          <w:ilvl w:val="0"/>
          <w:numId w:val="1341"/>
        </w:numPr>
        <w:pStyle w:val="Compact"/>
      </w:pPr>
      <w:r>
        <w:t xml:space="preserve">Para las personas con un cáncer activo o previo, todos los péptidos que favorecen el crecimiento son especialmente problemáticos sin acompañamiento médico.</w:t>
      </w:r>
    </w:p>
    <w:bookmarkEnd w:id="2701"/>
    <w:bookmarkEnd w:id="2702"/>
    <w:bookmarkStart w:id="2733" w:name="reacciones-inmunitarias-y-anticuerpos"/>
    <w:p>
      <w:pPr>
        <w:pStyle w:val="Heading2"/>
      </w:pPr>
      <w:r>
        <w:t xml:space="preserve">Reacciones inmunitarias y anticuerpos</w:t>
      </w:r>
    </w:p>
    <w:p>
      <w:pPr>
        <w:pStyle w:val="FirstParagraph"/>
      </w:pPr>
      <w:r>
        <w:t xml:space="preserve">El sistema inmunitario tiene la tarea de reconocer lo ajeno. Los péptidos se sitúan aquí en una frontera: muchos imitan mensajeros endógenos, pero están modificados químicamente para que actúen durante más tiempo. Otros proceden de animales, de bacterias o del laboratorio. A ello se suma que la mayoría de los péptidos se inyectan bajo la piel, en un lugar donde un número especialmente elevado de células defensivas espera a los intrusos.</w:t>
      </w:r>
    </w:p>
    <w:p>
      <w:pPr>
        <w:pStyle w:val="BodyText"/>
      </w:pPr>
      <w:r>
        <w:t xml:space="preserve">Las reacciones inmunitarias a los péptidos van desde enrojecimientos inofensivos en el lugar de inyección, pasando por anticuerpos que solo se detectan en el laboratorio, hasta raras reacciones alérgicas potencialmente mortales. Este capítulo ordena estas reacciones, compara los péptidos y muestra qué papel desempeñan las impurezas.</w:t>
      </w:r>
    </w:p>
    <w:bookmarkStart w:id="2704" w:name="Xd16b36527339d24619bfccd12dfe198d88ca7f8"/>
    <w:p>
      <w:pPr>
        <w:pStyle w:val="Heading3"/>
      </w:pPr>
      <w:r>
        <w:t xml:space="preserve">Por qué los péptidos pueden desencadenar una reacción inmunitaria</w:t>
      </w:r>
    </w:p>
    <w:p>
      <w:pPr>
        <w:pStyle w:val="FirstParagraph"/>
      </w:pPr>
      <w:r>
        <w:t xml:space="preserve">Que el sistema inmunitario clasifique un péptido como ajeno depende de varios factores:</w:t>
      </w:r>
    </w:p>
    <w:p>
      <w:pPr>
        <w:numPr>
          <w:ilvl w:val="0"/>
          <w:numId w:val="1342"/>
        </w:numPr>
        <w:pStyle w:val="Compact"/>
      </w:pPr>
      <w:r>
        <w:rPr>
          <w:bCs/>
          <w:b/>
        </w:rPr>
        <w:t xml:space="preserve">Origen y similitud con lo endógeno.</w:t>
      </w:r>
      <w:r>
        <w:t xml:space="preserve"> </w:t>
      </w:r>
      <w:r>
        <w:t xml:space="preserve">La exenatida se desarrolló a partir de un péptido de la saliva de un lagarto y difiere claramente del GLP-1 humano. La liraglutida y la semaglutida, en cambio, imitan en gran medida la hormona humana.</w:t>
      </w:r>
    </w:p>
    <w:p>
      <w:pPr>
        <w:numPr>
          <w:ilvl w:val="0"/>
          <w:numId w:val="1342"/>
        </w:numPr>
        <w:pStyle w:val="Compact"/>
      </w:pPr>
      <w:r>
        <w:rPr>
          <w:bCs/>
          <w:b/>
        </w:rPr>
        <w:t xml:space="preserve">Tamaño y modificaciones.</w:t>
      </w:r>
      <w:r>
        <w:t xml:space="preserve"> </w:t>
      </w:r>
      <w:r>
        <w:t xml:space="preserve">Las moléculas más largas, los ácidos grasos añadidos, los conectores o los componentes de anticuerpos (como en la maridebart cafraglutida) ofrecen más superficie de ataque.</w:t>
      </w:r>
    </w:p>
    <w:p>
      <w:pPr>
        <w:numPr>
          <w:ilvl w:val="0"/>
          <w:numId w:val="1342"/>
        </w:numPr>
        <w:pStyle w:val="Compact"/>
      </w:pPr>
      <w:r>
        <w:rPr>
          <w:bCs/>
          <w:b/>
        </w:rPr>
        <w:t xml:space="preserve">Agregación.</w:t>
      </w:r>
      <w:r>
        <w:t xml:space="preserve"> </w:t>
      </w:r>
      <w:r>
        <w:t xml:space="preserve">Los péptidos pueden asociarse en agregados mayores que el sistema inmunitario reconoce con más facilidad.</w:t>
      </w:r>
    </w:p>
    <w:p>
      <w:pPr>
        <w:numPr>
          <w:ilvl w:val="0"/>
          <w:numId w:val="1342"/>
        </w:numPr>
        <w:pStyle w:val="Compact"/>
      </w:pPr>
      <w:r>
        <w:rPr>
          <w:bCs/>
          <w:b/>
        </w:rPr>
        <w:t xml:space="preserve">Impurezas.</w:t>
      </w:r>
      <w:r>
        <w:t xml:space="preserve"> </w:t>
      </w:r>
      <w:r>
        <w:t xml:space="preserve">Incluso pequeñas cantidades de fragmentos peptídicos fabricados de forma defectuosa o de componentes bacterianos pueden desencadenar una reacción defensiva (más información más abajo).</w:t>
      </w:r>
    </w:p>
    <w:p>
      <w:pPr>
        <w:numPr>
          <w:ilvl w:val="0"/>
          <w:numId w:val="1342"/>
        </w:numPr>
        <w:pStyle w:val="Compact"/>
      </w:pPr>
      <w:r>
        <w:rPr>
          <w:bCs/>
          <w:b/>
        </w:rPr>
        <w:t xml:space="preserve">Frecuencia y duración del uso.</w:t>
      </w:r>
      <w:r>
        <w:t xml:space="preserve"> </w:t>
      </w:r>
      <w:r>
        <w:t xml:space="preserve">Quien se inyecta un péptido de forma repetida durante meses le da al sistema inmunitario muchas oportunidades de reaccionar.</w:t>
      </w:r>
    </w:p>
    <w:p>
      <w:pPr>
        <w:pStyle w:val="FirstParagraph"/>
      </w:pPr>
      <w:r>
        <w:t xml:space="preserve">Para la evaluación de los anticuerpos contra medicamentos (los especialistas hablan de anticuerpos antifármaco, ADA por sus siglas en inglés) se ha consolidado un lenguaje uniforme</w:t>
      </w:r>
      <w:r>
        <w:rPr>
          <w:rStyle w:val="FootnoteReference"/>
        </w:rPr>
        <w:footnoteReference w:id="2703"/>
      </w:r>
      <w:r>
        <w:t xml:space="preserve">. Son importantes cuatro preguntas: ¿cuántas personas tratadas forman anticuerpos? ¿Qué cantidad (el título)? ¿Inhiben los anticuerpos el efecto (anticuerpos neutralizantes)? ¿Y reaccionan también con la hormona endógena (reactividad cruzada)? Este último punto sería el más preocupante: unos anticuerpos que bloquearan no solo el medicamento, sino también la propia hormona, podrían dejar un trastorno permanente.</w:t>
      </w:r>
    </w:p>
    <w:bookmarkEnd w:id="2704"/>
    <w:bookmarkStart w:id="2707" w:name="X957e765686978bc64faddd565fcba26017c3126"/>
    <w:p>
      <w:pPr>
        <w:pStyle w:val="Heading3"/>
      </w:pPr>
      <w:r>
        <w:t xml:space="preserve">Anticuerpos antifármaco: lo que muestran los estudios</w:t>
      </w:r>
    </w:p>
    <w:p>
      <w:pPr>
        <w:pStyle w:val="FirstParagraph"/>
      </w:pPr>
      <w:r>
        <w:t xml:space="preserve">Para los medicamentos GLP-1 autorizados existen investigaciones sistemáticas. Muestran con qué frecuencia tan distinta se forman anticuerpos, y que una frecuencia elevada no implica automáticamente un problema clínico.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Anticuerpos en</w:t>
            </w:r>
          </w:p>
        </w:tc>
        <w:tc>
          <w:tcPr/>
          <w:p>
            <w:pPr>
              <w:pStyle w:val="Compact"/>
              <w:jc w:val="left"/>
            </w:pPr>
            <w:r>
              <w:t xml:space="preserve">Consecuencias</w:t>
            </w:r>
          </w:p>
        </w:tc>
        <w:tc>
          <w:tcPr/>
          <w:p>
            <w:pPr>
              <w:pStyle w:val="Compact"/>
              <w:jc w:val="left"/>
            </w:pPr>
            <w:r>
              <w:t xml:space="preserve">Fuente</w:t>
            </w:r>
          </w:p>
        </w:tc>
      </w:tr>
      <w:tr>
        <w:tc>
          <w:tcPr/>
          <w:p>
            <w:pPr>
              <w:pStyle w:val="Compact"/>
              <w:jc w:val="left"/>
            </w:pPr>
            <w:r>
              <w:t xml:space="preserve">Exenatida</w:t>
            </w:r>
          </w:p>
        </w:tc>
        <w:tc>
          <w:tcPr/>
          <w:p>
            <w:pPr>
              <w:pStyle w:val="Compact"/>
              <w:jc w:val="left"/>
            </w:pPr>
            <w:r>
              <w:t xml:space="preserve">61 % a las 26 semanas (LEAD-6)</w:t>
            </w:r>
          </w:p>
        </w:tc>
        <w:tc>
          <w:tcPr/>
          <w:p>
            <w:pPr>
              <w:pStyle w:val="Compact"/>
              <w:jc w:val="left"/>
            </w:pPr>
            <w:r>
              <w:t xml:space="preserve">títulos altos: menor reducción de la HbA1c</w:t>
            </w:r>
          </w:p>
        </w:tc>
        <w:tc>
          <w:tcPr/>
          <w:p>
            <w:pPr>
              <w:pStyle w:val="Compact"/>
              <w:jc w:val="left"/>
            </w:pPr>
            <w:r>
              <w:t xml:space="preserve">Buse 2011, PMID 21450987</w:t>
            </w:r>
          </w:p>
        </w:tc>
      </w:tr>
      <w:tr>
        <w:tc>
          <w:tcPr/>
          <w:p>
            <w:pPr>
              <w:pStyle w:val="Compact"/>
              <w:jc w:val="left"/>
            </w:pPr>
            <w:r>
              <w:t xml:space="preserve">Liraglutida</w:t>
            </w:r>
          </w:p>
        </w:tc>
        <w:tc>
          <w:tcPr/>
          <w:p>
            <w:pPr>
              <w:pStyle w:val="Compact"/>
              <w:jc w:val="left"/>
            </w:pPr>
            <w:r>
              <w:t xml:space="preserve">8,3 a 8,7 %, títulos bajos</w:t>
            </w:r>
          </w:p>
        </w:tc>
        <w:tc>
          <w:tcPr/>
          <w:p>
            <w:pPr>
              <w:pStyle w:val="Compact"/>
              <w:jc w:val="left"/>
            </w:pPr>
            <w:r>
              <w:t xml:space="preserve">sin atenuación del efecto</w:t>
            </w:r>
          </w:p>
        </w:tc>
        <w:tc>
          <w:tcPr/>
          <w:p>
            <w:pPr>
              <w:pStyle w:val="Compact"/>
              <w:jc w:val="left"/>
            </w:pPr>
            <w:r>
              <w:t xml:space="preserve">Buse 2011, PMID 21450987</w:t>
            </w:r>
          </w:p>
        </w:tc>
      </w:tr>
      <w:tr>
        <w:tc>
          <w:tcPr/>
          <w:p>
            <w:pPr>
              <w:pStyle w:val="Compact"/>
              <w:jc w:val="left"/>
            </w:pPr>
            <w:r>
              <w:t xml:space="preserve">Dulaglutida</w:t>
            </w:r>
          </w:p>
        </w:tc>
        <w:tc>
          <w:tcPr/>
          <w:p>
            <w:pPr>
              <w:pStyle w:val="Compact"/>
              <w:jc w:val="left"/>
            </w:pPr>
            <w:r>
              <w:t xml:space="preserve">1,6 %, neutralizantes 0,9 %</w:t>
            </w:r>
          </w:p>
        </w:tc>
        <w:tc>
          <w:tcPr/>
          <w:p>
            <w:pPr>
              <w:pStyle w:val="Compact"/>
              <w:jc w:val="left"/>
            </w:pPr>
            <w:r>
              <w:t xml:space="preserve">sin hipersensibilidad en los positivos para anticuerpos</w:t>
            </w:r>
          </w:p>
        </w:tc>
        <w:tc>
          <w:tcPr/>
          <w:p>
            <w:pPr>
              <w:pStyle w:val="Compact"/>
              <w:jc w:val="left"/>
            </w:pPr>
            <w:r>
              <w:t xml:space="preserve">Milicevic 2016, PMID 26847401</w:t>
            </w:r>
          </w:p>
        </w:tc>
      </w:tr>
      <w:tr>
        <w:tc>
          <w:tcPr/>
          <w:p>
            <w:pPr>
              <w:pStyle w:val="Compact"/>
              <w:jc w:val="left"/>
            </w:pPr>
            <w:r>
              <w:t xml:space="preserve">Tirzepatida</w:t>
            </w:r>
          </w:p>
        </w:tc>
        <w:tc>
          <w:tcPr/>
          <w:p>
            <w:pPr>
              <w:pStyle w:val="Compact"/>
              <w:jc w:val="left"/>
            </w:pPr>
            <w:r>
              <w:t xml:space="preserve">51,1 %, neutralizantes alrededor del 2 %</w:t>
            </w:r>
          </w:p>
        </w:tc>
        <w:tc>
          <w:tcPr/>
          <w:p>
            <w:pPr>
              <w:pStyle w:val="Compact"/>
              <w:jc w:val="left"/>
            </w:pPr>
            <w:r>
              <w:t xml:space="preserve">sin atenuación del efecto; más reacciones cutáneas y alérgicas</w:t>
            </w:r>
          </w:p>
        </w:tc>
        <w:tc>
          <w:tcPr/>
          <w:p>
            <w:pPr>
              <w:pStyle w:val="Compact"/>
              <w:jc w:val="left"/>
            </w:pPr>
            <w:r>
              <w:t xml:space="preserve">Mullins 2024, PMID 37700637</w:t>
            </w:r>
          </w:p>
        </w:tc>
      </w:tr>
      <w:tr>
        <w:tc>
          <w:tcPr/>
          <w:p>
            <w:pPr>
              <w:pStyle w:val="Compact"/>
              <w:jc w:val="left"/>
            </w:pPr>
            <w:r>
              <w:t xml:space="preserve">Sermorelina</w:t>
            </w:r>
          </w:p>
        </w:tc>
        <w:tc>
          <w:tcPr/>
          <w:p>
            <w:pPr>
              <w:pStyle w:val="Compact"/>
              <w:jc w:val="left"/>
            </w:pPr>
            <w:r>
              <w:t xml:space="preserve">14 de 18 niños</w:t>
            </w:r>
          </w:p>
        </w:tc>
        <w:tc>
          <w:tcPr/>
          <w:p>
            <w:pPr>
              <w:pStyle w:val="Compact"/>
              <w:jc w:val="left"/>
            </w:pPr>
            <w:r>
              <w:t xml:space="preserve">sin consecuencias apreciables</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ninguno en 12 semanas</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La exenatida</w:t>
      </w:r>
      <w:r>
        <w:t xml:space="preserve"> </w:t>
      </w:r>
      <w:r>
        <w:t xml:space="preserve">es el ejemplo paradigmático de un péptido que, por su origen no humano, provoca anticuerpos con frecuencia. En el estudio LEAD-6, a las 26 semanas, 113 de 185 personas tratadas tenían anticuerpos contra la exenatida; los niveles altos de anticuerpos se asociaron con una reducción significativamente menor del azúcar a largo plazo. Tras el cambio a liraglutida, estos anticuerpos no obstaculizaron el efecto posterior</w:t>
      </w:r>
      <w:r>
        <w:rPr>
          <w:rStyle w:val="FootnoteReference"/>
        </w:rPr>
        <w:footnoteReference w:id="2705"/>
      </w:r>
      <w:r>
        <w:t xml:space="preserve">.</w:t>
      </w:r>
    </w:p>
    <w:p>
      <w:pPr>
        <w:pStyle w:val="BodyText"/>
      </w:pPr>
      <w:r>
        <w:rPr>
          <w:bCs/>
          <w:b/>
        </w:rPr>
        <w:t xml:space="preserve">La tirzepatida</w:t>
      </w:r>
      <w:r>
        <w:t xml:space="preserve"> </w:t>
      </w:r>
      <w:r>
        <w:t xml:space="preserve">muestra que también un péptido que imita al humano puede ser reconocido con frecuencia. En siete estudios de fase 3 con 5025 participantes evaluables, el 51,1 % formó anticuerpos durante el tratamiento. Se encontraron anticuerpos neutralizantes contra el efecto sobre el receptor de GIP o de GLP-1 en el 1,9 % y el 2,1 %, respectivamente, y anticuerpos que neutralizaban también las hormonas endógenas en menos del 1 %. Esto no influyó en los niveles en sangre ni en el efecto. No obstante, los participantes positivos para anticuerpos experimentaron con más frecuencia reacciones de hipersensibilidad y reacciones en el lugar de inyección, en su mayoría leves a moderadas</w:t>
      </w:r>
      <w:r>
        <w:rPr>
          <w:rStyle w:val="FootnoteReference"/>
        </w:rPr>
        <w:footnoteReference w:id="2706"/>
      </w:r>
      <w:r>
        <w:t xml:space="preserve">.</w:t>
      </w:r>
    </w:p>
    <w:p>
      <w:pPr>
        <w:pStyle w:val="BodyText"/>
      </w:pPr>
      <w:r>
        <w:t xml:space="preserve">Para los principios activos más recientes (retatrutida, survodutida, mazdutida, cagrilintida, amicretina y la maridebart cafraglutida, basada en anticuerpos) todavía no se han publicado análisis de conjunto comparables. En la maridebart cafraglutida esto es especialmente relevante, porque los medicamentos basados en anticuerpos pueden tener una inmunogenicidad propia (capítulo Maridebart cafraglutida).</w:t>
      </w:r>
    </w:p>
    <w:p>
      <w:pPr>
        <w:pStyle w:val="BodyText"/>
      </w:pPr>
      <w:r>
        <w:t xml:space="preserve">Para la mayoría de los péptidos del mercado gris no hay ningún dato sobre anticuerpos. Esto se aplica a BPC-157, TB-500, CJC-1295, ipamorelina, MOTS-c, humanina, epitalon y muchos otros. En los capítulos sobre MOTS-c, humanina y FOXO4-DRI se señala que los anticuerpos son concebibles con inyecciones repetidas, pero nunca se han estudiado. Quien se inyecta estas sustancias durante meses no puede saber, por tanto, si su organismo forma anticuerpos ni qué efecto tienen.</w:t>
      </w:r>
    </w:p>
    <w:bookmarkEnd w:id="2707"/>
    <w:bookmarkStart w:id="2711" w:name="reacciones-en-el-lugar-de-inyección"/>
    <w:p>
      <w:pPr>
        <w:pStyle w:val="Heading3"/>
      </w:pPr>
      <w:r>
        <w:t xml:space="preserve">Reacciones en el lugar de inyección</w:t>
      </w:r>
    </w:p>
    <w:p>
      <w:pPr>
        <w:pStyle w:val="FirstParagraph"/>
      </w:pPr>
      <w:r>
        <w:t xml:space="preserve">El enrojecimiento, el picor, la hinchazón, los pequeños hematomas o los nódulos palpables en el lugar de inyección son las reacciones inmunitarias y tisulares más frecuentes a los péptidos inyectados. Un metaanálisis de 14 estudios aleatorizados con 4861 participantes encontró con agonistas del receptor de GLP-1 un riesgo de estas reacciones unas tres veces y media mayor que en los grupos de comparación (riesgo relativo 3,55). En la base de datos de notificaciones de EE. UU. destacaron especialmente la exenatida y la dulaglutida por hemorragias en el lugar de inyección</w:t>
      </w:r>
      <w:r>
        <w:rPr>
          <w:rStyle w:val="FootnoteReference"/>
        </w:rPr>
        <w:footnoteReference w:id="2708"/>
      </w:r>
      <w:r>
        <w:t xml:space="preserve">.</w:t>
      </w:r>
    </w:p>
    <w:p>
      <w:pPr>
        <w:pStyle w:val="BodyText"/>
      </w:pPr>
      <w:r>
        <w:t xml:space="preserve">La frecuencia difiere considerablemente entre los péptidos: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Reacciones en el lugar de inyección</w:t>
            </w:r>
          </w:p>
        </w:tc>
        <w:tc>
          <w:tcPr/>
          <w:p>
            <w:pPr>
              <w:pStyle w:val="Compact"/>
              <w:jc w:val="left"/>
            </w:pPr>
            <w:r>
              <w:t xml:space="preserve">Fuente</w:t>
            </w:r>
          </w:p>
        </w:tc>
      </w:tr>
      <w:tr>
        <w:tc>
          <w:tcPr/>
          <w:p>
            <w:pPr>
              <w:pStyle w:val="Compact"/>
              <w:jc w:val="left"/>
            </w:pPr>
            <w:r>
              <w:t xml:space="preserve">Setmelanotida</w:t>
            </w:r>
          </w:p>
        </w:tc>
        <w:tc>
          <w:tcPr/>
          <w:p>
            <w:pPr>
              <w:pStyle w:val="Compact"/>
              <w:jc w:val="left"/>
            </w:pPr>
            <w:r>
              <w:t xml:space="preserve">96 % (metaanálisis, 7 estudios)</w:t>
            </w:r>
          </w:p>
        </w:tc>
        <w:tc>
          <w:tcPr/>
          <w:p>
            <w:pPr>
              <w:pStyle w:val="Compact"/>
              <w:jc w:val="left"/>
            </w:pPr>
            <w:r>
              <w:t xml:space="preserve">Sridharan 2026, PMID 39924461</w:t>
            </w:r>
          </w:p>
        </w:tc>
      </w:tr>
      <w:tr>
        <w:tc>
          <w:tcPr/>
          <w:p>
            <w:pPr>
              <w:pStyle w:val="Compact"/>
              <w:jc w:val="left"/>
            </w:pPr>
            <w:r>
              <w:t xml:space="preserve">Elamipretida (SS-31)</w:t>
            </w:r>
          </w:p>
        </w:tc>
        <w:tc>
          <w:tcPr/>
          <w:p>
            <w:pPr>
              <w:pStyle w:val="Compact"/>
              <w:jc w:val="left"/>
            </w:pPr>
            <w:r>
              <w:t xml:space="preserve">80 %, en su mayoría leves</w:t>
            </w:r>
          </w:p>
        </w:tc>
        <w:tc>
          <w:tcPr/>
          <w:p>
            <w:pPr>
              <w:pStyle w:val="Compact"/>
              <w:jc w:val="left"/>
            </w:pPr>
            <w:r>
              <w:t xml:space="preserve">Karaa 2020, PMID 32096613</w:t>
            </w:r>
          </w:p>
        </w:tc>
      </w:tr>
      <w:tr>
        <w:tc>
          <w:tcPr/>
          <w:p>
            <w:pPr>
              <w:pStyle w:val="Compact"/>
              <w:jc w:val="left"/>
            </w:pPr>
            <w:r>
              <w:t xml:space="preserve">Mecasermina</w:t>
            </w:r>
          </w:p>
        </w:tc>
        <w:tc>
          <w:tcPr/>
          <w:p>
            <w:pPr>
              <w:pStyle w:val="Compact"/>
              <w:jc w:val="left"/>
            </w:pPr>
            <w:r>
              <w:t xml:space="preserve">alteraciones del tejido graso en el 32 %</w:t>
            </w:r>
          </w:p>
        </w:tc>
        <w:tc>
          <w:tcPr/>
          <w:p>
            <w:pPr>
              <w:pStyle w:val="Compact"/>
              <w:jc w:val="left"/>
            </w:pPr>
            <w:r>
              <w:t xml:space="preserve">Chernausek 2007, PMID 17192294</w:t>
            </w:r>
          </w:p>
        </w:tc>
      </w:tr>
      <w:tr>
        <w:tc>
          <w:tcPr/>
          <w:p>
            <w:pPr>
              <w:pStyle w:val="Compact"/>
              <w:jc w:val="left"/>
            </w:pPr>
            <w:r>
              <w:t xml:space="preserve">Tirzepatida</w:t>
            </w:r>
          </w:p>
        </w:tc>
        <w:tc>
          <w:tcPr/>
          <w:p>
            <w:pPr>
              <w:pStyle w:val="Compact"/>
              <w:jc w:val="left"/>
            </w:pPr>
            <w:r>
              <w:t xml:space="preserve">2 a 7 %</w:t>
            </w:r>
          </w:p>
        </w:tc>
        <w:tc>
          <w:tcPr/>
          <w:p>
            <w:pPr>
              <w:pStyle w:val="Compact"/>
              <w:jc w:val="left"/>
            </w:pPr>
            <w:r>
              <w:t xml:space="preserve">Gupta 2026, PMID 42930571</w:t>
            </w:r>
          </w:p>
        </w:tc>
      </w:tr>
      <w:tr>
        <w:tc>
          <w:tcPr/>
          <w:p>
            <w:pPr>
              <w:pStyle w:val="Compact"/>
              <w:jc w:val="left"/>
            </w:pPr>
            <w:r>
              <w:t xml:space="preserve">Bremelanotida</w:t>
            </w:r>
          </w:p>
        </w:tc>
        <w:tc>
          <w:tcPr/>
          <w:p>
            <w:pPr>
              <w:pStyle w:val="Compact"/>
              <w:jc w:val="left"/>
            </w:pPr>
            <w:r>
              <w:t xml:space="preserve">5,4 % frente a 0,5 % con placebo</w:t>
            </w:r>
          </w:p>
        </w:tc>
        <w:tc>
          <w:tcPr/>
          <w:p>
            <w:pPr>
              <w:pStyle w:val="Compact"/>
              <w:jc w:val="left"/>
            </w:pPr>
            <w:r>
              <w:t xml:space="preserve">Clayton 2022, PMID 35147466</w:t>
            </w:r>
          </w:p>
        </w:tc>
      </w:tr>
    </w:tbl>
    <w:p>
      <w:pPr>
        <w:pStyle w:val="BodyText"/>
      </w:pPr>
      <w:r>
        <w:t xml:space="preserve">Con la forma semanal de exenatida se forman a menudo pequeños nódulos, porque las microesferas que liberan lentamente el principio activo se degradan bajo la piel. En el análisis a cinco años de DURATION-1, estas reacciones se hicieron menos frecuentes con el tiempo</w:t>
      </w:r>
      <w:r>
        <w:rPr>
          <w:rStyle w:val="FootnoteReference"/>
        </w:rPr>
        <w:footnoteReference w:id="2709"/>
      </w:r>
      <w:r>
        <w:t xml:space="preserve">. En el caso de la mecasermina se trataba de un engrosamiento del tejido graso en el lugar de inyección (lipohipertrofia).</w:t>
      </w:r>
    </w:p>
    <w:p>
      <w:pPr>
        <w:pStyle w:val="BodyText"/>
      </w:pPr>
      <w:r>
        <w:t xml:space="preserve">Es importante distinguirlas de una</w:t>
      </w:r>
      <w:r>
        <w:t xml:space="preserve"> </w:t>
      </w:r>
      <w:r>
        <w:rPr>
          <w:bCs/>
          <w:b/>
        </w:rPr>
        <w:t xml:space="preserve">infección</w:t>
      </w:r>
      <w:r>
        <w:t xml:space="preserve">. Un enrojecimiento que aumenta a lo largo de días, se calienta, duele, supura o va acompañado de fiebre no es una reacción inofensiva. Tras inyecciones de Argireline en la frente y las sienes, una mujer de 45 años desarrolló nódulos y abscesos; la causa fue la bacteria</w:t>
      </w:r>
      <w:r>
        <w:t xml:space="preserve"> </w:t>
      </w:r>
      <w:r>
        <w:rPr>
          <w:iCs/>
          <w:i/>
        </w:rPr>
        <w:t xml:space="preserve">Mycobacterium abscessus</w:t>
      </w:r>
      <w:r>
        <w:t xml:space="preserve">, difícil de tratar, y el tratamiento duró cinco meses</w:t>
      </w:r>
      <w:r>
        <w:rPr>
          <w:rStyle w:val="FootnoteReference"/>
        </w:rPr>
        <w:footnoteReference w:id="2710"/>
      </w:r>
      <w:r>
        <w:t xml:space="preserve">. Estas infecciones no suelen deberse al péptido, sino a productos o procedimientos no estériles; más información en el capítulo «Productos del mercado gris».</w:t>
      </w:r>
    </w:p>
    <w:bookmarkEnd w:id="2711"/>
    <w:bookmarkStart w:id="2720" w:name="reacciones-alérgicas-y-anafilaxia"/>
    <w:p>
      <w:pPr>
        <w:pStyle w:val="Heading3"/>
      </w:pPr>
      <w:r>
        <w:t xml:space="preserve">Reacciones alérgicas y anafilaxia</w:t>
      </w:r>
    </w:p>
    <w:p>
      <w:pPr>
        <w:pStyle w:val="FirstParagraph"/>
      </w:pPr>
      <w:r>
        <w:t xml:space="preserve">Una anafilaxia es una reacción alérgica grave que afecta a todo el organismo, con erupción cutánea, hinchazón, dificultad respiratoria y colapso circulatorio. Es rara con los medicamentos peptídicos, pero se produce.</w:t>
      </w:r>
    </w:p>
    <w:p>
      <w:pPr>
        <w:pStyle w:val="BodyText"/>
      </w:pPr>
      <w:r>
        <w:t xml:space="preserve">Para los medicamentos GLP-1 hay al respecto grandes estudios de bases de datos. En tres bases de datos de aseguradoras de EE. UU. con 696.089 nuevos usuarios, la frecuencia de anafilaxia osciló, según el principio activo, entre 1,0 (lixisenatida) y 6,0 (exenatida) casos por cada 10.000 años-persona; los autores consideran rara la anafilaxia con medicamentos GLP-1</w:t>
      </w:r>
      <w:r>
        <w:rPr>
          <w:rStyle w:val="FootnoteReference"/>
        </w:rPr>
        <w:footnoteReference w:id="2712"/>
      </w:r>
      <w:r>
        <w:t xml:space="preserve">. Un estudio del Reino Unido y EE. UU. comparó los agonistas del receptor de GLP-1 con otros dos grupos de antidiabéticos. Frente a los inhibidores de la DPP-4, el riesgo no estaba aumentado de forma demostrada (hazard ratio 1,15); frente a los inhibidores de SGLT2, era un 38 % mayor (40,7 frente a 29,4 casos por cada 100.000 años-persona)</w:t>
      </w:r>
      <w:r>
        <w:rPr>
          <w:rStyle w:val="FootnoteReference"/>
        </w:rPr>
        <w:footnoteReference w:id="2713"/>
      </w:r>
      <w:r>
        <w:t xml:space="preserve">. Se trata de un aumento relativo de una reacción muy rara en términos absolutos.</w:t>
      </w:r>
    </w:p>
    <w:p>
      <w:pPr>
        <w:pStyle w:val="BodyText"/>
      </w:pPr>
      <w:r>
        <w:t xml:space="preserve">Casos aislados muestran qué aspecto pueden tener estas reacciones:</w:t>
      </w:r>
    </w:p>
    <w:p>
      <w:pPr>
        <w:numPr>
          <w:ilvl w:val="0"/>
          <w:numId w:val="1343"/>
        </w:numPr>
        <w:pStyle w:val="Compact"/>
      </w:pPr>
      <w:r>
        <w:t xml:space="preserve">Varios casos clínicos describen anafilaxia con la forma semanal de exenatida</w:t>
      </w:r>
      <w:r>
        <w:rPr>
          <w:rStyle w:val="FootnoteReference"/>
        </w:rPr>
        <w:footnoteReference w:id="2714"/>
      </w:r>
      <w:r>
        <w:t xml:space="preserve"> </w:t>
      </w:r>
      <w:r>
        <w:t xml:space="preserve">y una reacción alérgica a la exenatida y a la lixisenatida, pero no a la liraglutida</w:t>
      </w:r>
      <w:r>
        <w:rPr>
          <w:rStyle w:val="FootnoteReference"/>
        </w:rPr>
        <w:footnoteReference w:id="2715"/>
      </w:r>
      <w:r>
        <w:t xml:space="preserve">, un indicio de que los principios activos derivados de lagartos se reconocen de forma distinta que los similares a los humanos.</w:t>
      </w:r>
    </w:p>
    <w:p>
      <w:pPr>
        <w:numPr>
          <w:ilvl w:val="0"/>
          <w:numId w:val="1343"/>
        </w:numPr>
        <w:pStyle w:val="Compact"/>
      </w:pPr>
      <w:r>
        <w:t xml:space="preserve">Con tirzepatida se ha descrito una anafilaxia bifásica, en la que los síntomas reaparecieron tras una mejoría inicial</w:t>
      </w:r>
      <w:r>
        <w:rPr>
          <w:rStyle w:val="FootnoteReference"/>
        </w:rPr>
        <w:footnoteReference w:id="2716"/>
      </w:r>
      <w:r>
        <w:t xml:space="preserve">.</w:t>
      </w:r>
    </w:p>
    <w:p>
      <w:pPr>
        <w:numPr>
          <w:ilvl w:val="0"/>
          <w:numId w:val="1343"/>
        </w:numPr>
        <w:pStyle w:val="Compact"/>
      </w:pPr>
      <w:r>
        <w:t xml:space="preserve">Una mujer de 50 años desarrolló, cuatro horas después de su primera inyección de semaglutida de una farmacia de fórmulas magistrales, una hinchazón masiva de labios, lengua y faringe y tuvo que recibir ventilación mecánica durante cuatro días. Solo después se descubrió que, por error, se había inyectado diez veces la cantidad prevista</w:t>
      </w:r>
      <w:r>
        <w:rPr>
          <w:rStyle w:val="FootnoteReference"/>
        </w:rPr>
        <w:footnoteReference w:id="2717"/>
      </w:r>
      <w:r>
        <w:t xml:space="preserve">.</w:t>
      </w:r>
    </w:p>
    <w:p>
      <w:pPr>
        <w:numPr>
          <w:ilvl w:val="0"/>
          <w:numId w:val="1343"/>
        </w:numPr>
        <w:pStyle w:val="Compact"/>
      </w:pPr>
      <w:r>
        <w:t xml:space="preserve">Tras una infusión de cerebrolisina, un hombre de 85 años desarrolló una anafilaxia potencialmente mortal, confirmada en el laboratorio</w:t>
      </w:r>
      <w:r>
        <w:rPr>
          <w:rStyle w:val="FootnoteReference"/>
        </w:rPr>
        <w:footnoteReference w:id="2718"/>
      </w:r>
      <w:r>
        <w:t xml:space="preserve">. La cerebrolisina es una mezcla de péptidos procedentes de cerebro de cerdo; los extractos animales como este o la timalina aportan, por principio, más proteínas ajenas (capítulos Cerebrolisina, Timalina).</w:t>
      </w:r>
    </w:p>
    <w:p>
      <w:pPr>
        <w:pStyle w:val="FirstParagraph"/>
      </w:pPr>
      <w:r>
        <w:t xml:space="preserve">También con los péptidos cosméticos son posibles las alergias, aunque raras. En un pequeño estudio con una crema que contenía, entre otros ingredientes, palmitoil pentapéptido-4, se produjo una sospecha de reacción alérgica; qué componente fue el responsable quedó sin aclarar</w:t>
      </w:r>
      <w:r>
        <w:rPr>
          <w:rStyle w:val="FootnoteReference"/>
        </w:rPr>
        <w:footnoteReference w:id="2719"/>
      </w:r>
      <w:r>
        <w:t xml:space="preserve">.</w:t>
      </w:r>
    </w:p>
    <w:p>
      <w:pPr>
        <w:pStyle w:val="BodyText"/>
      </w:pPr>
      <w:r>
        <w:t xml:space="preserve">Para los péptidos del mercado gris no hay datos de frecuencia. Sin embargo, el riesgo de una reacción alérgica grave existe allí en especial medida, porque el uso suele producirse sin supervisión médica y, en caso de urgencia, no hay nadie preparado con medicamentos de emergencia. La dificultad respiratoria, la hinchazón de la cara o la faringe y los síntomas circulatorios tras una inyección son siempre una urgencia.</w:t>
      </w:r>
    </w:p>
    <w:bookmarkEnd w:id="2720"/>
    <w:bookmarkStart w:id="2725" w:name="Xeb08edd547340efb307cd0640af64499a0b74ae"/>
    <w:p>
      <w:pPr>
        <w:pStyle w:val="Heading3"/>
      </w:pPr>
      <w:r>
        <w:t xml:space="preserve">Reacciones inflamatorias y autoinmunitarias</w:t>
      </w:r>
    </w:p>
    <w:p>
      <w:pPr>
        <w:pStyle w:val="FirstParagraph"/>
      </w:pPr>
      <w:r>
        <w:t xml:space="preserve">Algunos péptidos forman parte del propio sistema inmunitario. Eso los hace interesantes, pero también arriesgados.</w:t>
      </w:r>
    </w:p>
    <w:p>
      <w:pPr>
        <w:pStyle w:val="BodyText"/>
      </w:pPr>
      <w:r>
        <w:rPr>
          <w:bCs/>
          <w:b/>
        </w:rPr>
        <w:t xml:space="preserve">El LL-37</w:t>
      </w:r>
      <w:r>
        <w:t xml:space="preserve"> </w:t>
      </w:r>
      <w:r>
        <w:t xml:space="preserve">es un péptido defensivo endógeno. En la psoriasis desempeña un papel clave: se une al material genético propio y lo hace visible para determinadas células inmunitarias, que a continuación liberan mensajeros inflamatorios</w:t>
      </w:r>
      <w:r>
        <w:rPr>
          <w:rStyle w:val="FootnoteReference"/>
        </w:rPr>
        <w:footnoteReference w:id="2721"/>
      </w:r>
      <w:r>
        <w:t xml:space="preserve">. En dos tercios de las personas con psoriasis moderada a grave se encontraron linfocitos T que reconocen específicamente el LL-37; allí actúa, por tanto, como un autoantígeno</w:t>
      </w:r>
      <w:r>
        <w:rPr>
          <w:rStyle w:val="FootnoteReference"/>
        </w:rPr>
        <w:footnoteReference w:id="2722"/>
      </w:r>
      <w:r>
        <w:t xml:space="preserve">. Tras inyecciones de LL-37 en metástasis cutáneas, una paciente presentó lesiones cutáneas inflamatorias de aspecto verrugoso</w:t>
      </w:r>
      <w:r>
        <w:rPr>
          <w:rStyle w:val="FootnoteReference"/>
        </w:rPr>
        <w:footnoteReference w:id="2723"/>
      </w:r>
      <w:r>
        <w:t xml:space="preserve">. Para las personas con psoriasis, rosácea u otras enfermedades autoinmunitarias es un indicio que debe tomarse en serio (capítulo LL-37).</w:t>
      </w:r>
    </w:p>
    <w:p>
      <w:pPr>
        <w:pStyle w:val="BodyText"/>
      </w:pPr>
      <w:r>
        <w:rPr>
          <w:bCs/>
          <w:b/>
        </w:rPr>
        <w:t xml:space="preserve">Los péptidos inmunoestimulantes</w:t>
      </w:r>
      <w:r>
        <w:t xml:space="preserve">, como la timosina alfa 1 y la timalina, deben estimular las defensas. Si esto resulta perjudicial en las enfermedades autoinmunitarias o tras un trasplante de órganos no se ha estudiado (capítulos Timosina alfa 1, Timalina).</w:t>
      </w:r>
    </w:p>
    <w:p>
      <w:pPr>
        <w:pStyle w:val="BodyText"/>
      </w:pPr>
      <w:r>
        <w:t xml:space="preserve">En los medicamentos GLP-1, una revisión sistemática describe, además de las reacciones cutáneas leves frecuentes, enfermedades inmunomediadas raras pero potencialmente graves, entre ellas angioedemas, enfermedades autoinmunitarias ampollosas, exantemas medicamentosos e inflamaciones vasculares</w:t>
      </w:r>
      <w:r>
        <w:rPr>
          <w:rStyle w:val="FootnoteReference"/>
        </w:rPr>
        <w:footnoteReference w:id="2724"/>
      </w:r>
      <w:r>
        <w:t xml:space="preserve">. Su frecuencia no puede deducirse de los casos clínicos.</w:t>
      </w:r>
    </w:p>
    <w:bookmarkEnd w:id="2725"/>
    <w:bookmarkStart w:id="2731" w:name="las-impurezas-como-desencadenantes"/>
    <w:p>
      <w:pPr>
        <w:pStyle w:val="Heading3"/>
      </w:pPr>
      <w:r>
        <w:t xml:space="preserve">Las impurezas como desencadenantes</w:t>
      </w:r>
    </w:p>
    <w:p>
      <w:pPr>
        <w:pStyle w:val="FirstParagraph"/>
      </w:pPr>
      <w:r>
        <w:t xml:space="preserve">Una parte de las reacciones inmunitarias no se debe al propio péptido, sino a lo que llega además al vial durante su fabricación.</w:t>
      </w:r>
    </w:p>
    <w:p>
      <w:pPr>
        <w:pStyle w:val="BodyText"/>
      </w:pPr>
      <w:r>
        <w:rPr>
          <w:bCs/>
          <w:b/>
        </w:rPr>
        <w:t xml:space="preserve">Péptidos defectuosos.</w:t>
      </w:r>
      <w:r>
        <w:t xml:space="preserve"> </w:t>
      </w:r>
      <w:r>
        <w:t xml:space="preserve">En la síntesis química se forman moléculas a las que les falta un componente, en las que este aparece duplicado o está modificado químicamente. Estas impurezas pueden contener estructuras nuevas que reconocen los linfocitos T del sistema inmunitario. Por eso, la autoridad de medicamentos de EE. UU. exige, para los productos de imitación de péptidos sintéticos, información sobre cada nueva impureza en comparación con el preparado original</w:t>
      </w:r>
      <w:r>
        <w:rPr>
          <w:rStyle w:val="FootnoteReference"/>
        </w:rPr>
        <w:footnoteReference w:id="2726"/>
      </w:r>
      <w:r>
        <w:t xml:space="preserve">. Cómo es una evaluación de este tipo lo muestra una investigación con productos de imitación del péptido para la osteoporosis teriparatida, en la que las impurezas se evaluaron con métodos informáticos, ensayos de unión y experimentos con células inmunitarias humanas</w:t>
      </w:r>
      <w:r>
        <w:rPr>
          <w:rStyle w:val="FootnoteReference"/>
        </w:rPr>
        <w:footnoteReference w:id="2727"/>
      </w:r>
      <w:r>
        <w:t xml:space="preserve">.</w:t>
      </w:r>
    </w:p>
    <w:p>
      <w:pPr>
        <w:pStyle w:val="BodyText"/>
      </w:pPr>
      <w:r>
        <w:rPr>
          <w:bCs/>
          <w:b/>
        </w:rPr>
        <w:t xml:space="preserve">Productos de imitación de GLP-1.</w:t>
      </w:r>
      <w:r>
        <w:t xml:space="preserve"> </w:t>
      </w:r>
      <w:r>
        <w:t xml:space="preserve">Un análisis cercano al fabricante de 16 productos de imitación de semaglutida inyectables y 8 orales encontró impurezas nuevas, entre ellas moléculas proteicas mayores, y nuevos sitios de reconocimiento para el sistema inmunitario predichos con métodos informáticos; en las imitaciones de liraglutida se observó una mayor tendencia a la agregación</w:t>
      </w:r>
      <w:r>
        <w:rPr>
          <w:rStyle w:val="FootnoteReference"/>
        </w:rPr>
        <w:footnoteReference w:id="2728"/>
      </w:r>
      <w:r>
        <w:t xml:space="preserve">. Si estas diferencias provocan realmente más anticuerpos en humanos no se midió. Que un producto de imitación sintético fabricado con cuidado no sea automáticamente más problemático lo muestra otra investigación: un genérico sintético de liraglutida no estimuló en el laboratorio las células inmunitarias humanas más que el original obtenido por ingeniería genética</w:t>
      </w:r>
      <w:r>
        <w:rPr>
          <w:rStyle w:val="FootnoteReference"/>
        </w:rPr>
        <w:footnoteReference w:id="2729"/>
      </w:r>
      <w:r>
        <w:t xml:space="preserve">. Lo decisivo, por tanto, no es el modo de fabricación, sino el control de calidad.</w:t>
      </w:r>
    </w:p>
    <w:p>
      <w:pPr>
        <w:pStyle w:val="BodyText"/>
      </w:pPr>
      <w:r>
        <w:rPr>
          <w:bCs/>
          <w:b/>
        </w:rPr>
        <w:t xml:space="preserve">Endotoxinas y gérmenes.</w:t>
      </w:r>
      <w:r>
        <w:t xml:space="preserve"> </w:t>
      </w:r>
      <w:r>
        <w:t xml:space="preserve">Las endotoxinas, componentes de la pared celular de las bacterias, activan directamente el sistema inmunitario innato y pueden desencadenar fiebre, escalofríos y reacciones circulatorias. En compras de prueba de semaglutida en farmacias en línea ilegales se detectaron en todas las muestras (Ashraf 2024, PMID 39509151; detalles en la Parte I). Un laboratorio de control detectó en dos preparados peptídicos ilegales para inyección la bacteria</w:t>
      </w:r>
      <w:r>
        <w:t xml:space="preserve"> </w:t>
      </w:r>
      <w:r>
        <w:rPr>
          <w:iCs/>
          <w:i/>
        </w:rPr>
        <w:t xml:space="preserve">Bacillus cereus</w:t>
      </w:r>
      <w:r>
        <w:t xml:space="preserve">, que puede destruir los glóbulos rojos</w:t>
      </w:r>
      <w:r>
        <w:rPr>
          <w:rStyle w:val="FootnoteReference"/>
        </w:rPr>
        <w:footnoteReference w:id="2730"/>
      </w:r>
      <w:r>
        <w:t xml:space="preserve">.</w:t>
      </w:r>
    </w:p>
    <w:p>
      <w:pPr>
        <w:pStyle w:val="BodyText"/>
      </w:pPr>
      <w:r>
        <w:t xml:space="preserve">Para el mercado gris, esto significa: aunque un péptido en sí sea poco inmunógeno, el producto puede serlo. Y como en la mercancía del mercado gris no se controlan ni los perfiles de impurezas ni los límites de endotoxinas, a posteriori apenas es posible atribuir una reacción a un componente concreto.</w:t>
      </w:r>
    </w:p>
    <w:bookmarkEnd w:id="2731"/>
    <w:bookmarkStart w:id="2732" w:name="lo-que-significa-en-la-práctica"/>
    <w:p>
      <w:pPr>
        <w:pStyle w:val="Heading3"/>
      </w:pPr>
      <w:r>
        <w:t xml:space="preserve">Lo que significa en la práctica</w:t>
      </w:r>
    </w:p>
    <w:p>
      <w:pPr>
        <w:numPr>
          <w:ilvl w:val="0"/>
          <w:numId w:val="1344"/>
        </w:numPr>
        <w:pStyle w:val="Compact"/>
      </w:pPr>
      <w:r>
        <w:t xml:space="preserve">Los anticuerpos contra los medicamentos peptídicos son frecuentes, pero en su mayoría no tienen consecuencias. Con la exenatida, los títulos altos pueden atenuar el efecto; con la tirzepatida se asocian a algo más de reacciones cutáneas y de hipersensibilidad.</w:t>
      </w:r>
    </w:p>
    <w:p>
      <w:pPr>
        <w:numPr>
          <w:ilvl w:val="0"/>
          <w:numId w:val="1344"/>
        </w:numPr>
        <w:pStyle w:val="Compact"/>
      </w:pPr>
      <w:r>
        <w:t xml:space="preserve">Las reacciones en el lugar de inyección son la reacción inmunitaria más frecuente, y con algunos péptidos casi la norma. En cambio, un enrojecimiento creciente, calor, pus o fiebre apuntan a una infección.</w:t>
      </w:r>
    </w:p>
    <w:p>
      <w:pPr>
        <w:numPr>
          <w:ilvl w:val="0"/>
          <w:numId w:val="1344"/>
        </w:numPr>
        <w:pStyle w:val="Compact"/>
      </w:pPr>
      <w:r>
        <w:t xml:space="preserve">La anafilaxia es muy rara con los medicamentos GLP-1 autorizados, del orden de unos pocos casos por cada 10.000 años de tratamiento. También hay casos clínicos con tirzepatida, cerebrolisina y con una sobredosis accidental.</w:t>
      </w:r>
    </w:p>
    <w:p>
      <w:pPr>
        <w:numPr>
          <w:ilvl w:val="0"/>
          <w:numId w:val="1344"/>
        </w:numPr>
        <w:pStyle w:val="Compact"/>
      </w:pPr>
      <w:r>
        <w:t xml:space="preserve">Para la mayoría de los péptidos del mercado gris faltan por completo los datos sobre anticuerpos y alergias. Las impurezas y las endotoxinas son allí un riesgo adicional e incalculable.</w:t>
      </w:r>
    </w:p>
    <w:p>
      <w:pPr>
        <w:numPr>
          <w:ilvl w:val="0"/>
          <w:numId w:val="1344"/>
        </w:numPr>
        <w:pStyle w:val="Compact"/>
      </w:pPr>
      <w:r>
        <w:t xml:space="preserve">Quien ya haya tenido una reacción alérgica a un péptido debería indicarlo en cualquier tratamiento médico. Si se toleran principios activos emparentados solo puede aclararse con un médico.</w:t>
      </w:r>
    </w:p>
    <w:bookmarkEnd w:id="2732"/>
    <w:bookmarkEnd w:id="2733"/>
    <w:bookmarkStart w:id="2777" w:name="Xf0ff1ab792ce764b23455b75b5413cbb71314fa"/>
    <w:p>
      <w:pPr>
        <w:pStyle w:val="Heading2"/>
      </w:pPr>
      <w:r>
        <w:t xml:space="preserve">Productos del mercado gris: lo que muestran los análisis de laboratorio</w:t>
      </w:r>
    </w:p>
    <w:p>
      <w:pPr>
        <w:pStyle w:val="FirstParagraph"/>
      </w:pPr>
      <w:r>
        <w:t xml:space="preserve">La Parte I describió en el capítulo «El mercado gris» qué son los «research peptides» y presentó algunos hallazgos llamativos: polvo de semaglutida con una pureza del 7,7 al 14,4 %, viales de melanotán con menos de la mitad de la cantidad declarada, Ozempic falsificado con insulina. Este capítulo va un paso más allá. Se pregunta quién analiza realmente estos productos, qué tipos de defectos se repiten a lo largo de muchas investigaciones, qué no pueden mostrar estos análisis y qué revelan los datos de los centros de información toxicológica sobre las consecuencias de los errores de dosificación con medicamentos GLP-1.</w:t>
      </w:r>
    </w:p>
    <w:bookmarkStart w:id="2735" w:name="X7f53bfc5b8adc6558fdd8aabdf046337c8291d0"/>
    <w:p>
      <w:pPr>
        <w:pStyle w:val="Heading3"/>
      </w:pPr>
      <w:r>
        <w:t xml:space="preserve">Quién analiza los productos del mercado gris</w:t>
      </w:r>
    </w:p>
    <w:p>
      <w:pPr>
        <w:pStyle w:val="FirstParagraph"/>
      </w:pPr>
      <w:r>
        <w:t xml:space="preserve">La mayoría de los datos proceden de tres fuentes.</w:t>
      </w:r>
    </w:p>
    <w:p>
      <w:pPr>
        <w:pStyle w:val="BodyText"/>
      </w:pPr>
      <w:r>
        <w:rPr>
          <w:bCs/>
          <w:b/>
        </w:rPr>
        <w:t xml:space="preserve">Laboratorios oficiales de control de medicamentos.</w:t>
      </w:r>
      <w:r>
        <w:t xml:space="preserve"> </w:t>
      </w:r>
      <w:r>
        <w:t xml:space="preserve">En Europa colaboran en una red coordinada por la Dirección Europea de Calidad del Medicamento. Analizan muestras que incautan las aduanas, la policía o las autoridades sanitarias. Un laboratorio belga desarrolló, por ejemplo, un método de cribado con el que pueden identificarse en una sola pasada 25 péptidos distintos en preparados inyectables desconocidos, entre ellos algunos que todavía no se habían incautado, pero que ya se discutían en foros de internet</w:t>
      </w:r>
      <w:r>
        <w:rPr>
          <w:rStyle w:val="FootnoteReference"/>
        </w:rPr>
        <w:footnoteReference w:id="2734"/>
      </w:r>
      <w:r>
        <w:t xml:space="preserve">.</w:t>
      </w:r>
    </w:p>
    <w:p>
      <w:pPr>
        <w:pStyle w:val="BodyText"/>
      </w:pPr>
      <w:r>
        <w:rPr>
          <w:bCs/>
          <w:b/>
        </w:rPr>
        <w:t xml:space="preserve">Laboratorios antidopaje y forenses.</w:t>
      </w:r>
      <w:r>
        <w:t xml:space="preserve"> </w:t>
      </w:r>
      <w:r>
        <w:t xml:space="preserve">Analizan mercancía incautada del entorno deportivo para mantener actualizados sus métodos de detección. Los hallazgos de Colonia, Noruega y Dinamarca de la Parte I proceden de esta fuente.</w:t>
      </w:r>
    </w:p>
    <w:p>
      <w:pPr>
        <w:pStyle w:val="BodyText"/>
      </w:pPr>
      <w:r>
        <w:rPr>
          <w:bCs/>
          <w:b/>
        </w:rPr>
        <w:t xml:space="preserve">Compras de prueba por grupos de investigación.</w:t>
      </w:r>
      <w:r>
        <w:t xml:space="preserve"> </w:t>
      </w:r>
      <w:r>
        <w:t xml:space="preserve">Compran deliberadamente productos a proveedores en línea y comprueban lo que llega. Estas investigaciones son menos frecuentes, pero son las que más se acercan a la situación de los compradores.</w:t>
      </w:r>
    </w:p>
    <w:p>
      <w:pPr>
        <w:pStyle w:val="BodyText"/>
      </w:pPr>
      <w:r>
        <w:t xml:space="preserve">Se utilizan métodos que responden a preguntas distintas: la espectrometría de masas muestra</w:t>
      </w:r>
      <w:r>
        <w:t xml:space="preserve"> </w:t>
      </w:r>
      <w:r>
        <w:rPr>
          <w:iCs/>
          <w:i/>
        </w:rPr>
        <w:t xml:space="preserve">qué</w:t>
      </w:r>
      <w:r>
        <w:t xml:space="preserve"> </w:t>
      </w:r>
      <w:r>
        <w:t xml:space="preserve">sustancia hay; la cromatografía líquida mide</w:t>
      </w:r>
      <w:r>
        <w:t xml:space="preserve"> </w:t>
      </w:r>
      <w:r>
        <w:rPr>
          <w:iCs/>
          <w:i/>
        </w:rPr>
        <w:t xml:space="preserve">cuánta</w:t>
      </w:r>
      <w:r>
        <w:t xml:space="preserve"> </w:t>
      </w:r>
      <w:r>
        <w:t xml:space="preserve">y</w:t>
      </w:r>
      <w:r>
        <w:t xml:space="preserve"> </w:t>
      </w:r>
      <w:r>
        <w:rPr>
          <w:iCs/>
          <w:i/>
        </w:rPr>
        <w:t xml:space="preserve">con qué pureza</w:t>
      </w:r>
      <w:r>
        <w:t xml:space="preserve">; métodos especiales detectan metales, restos de disolventes, bacterias o endotoxinas. Ningún laboratorio lo comprueba todo de forma rutinaria. Si un informe solo determina la identidad, no dice nada sobre gérmenes, y viceversa.</w:t>
      </w:r>
    </w:p>
    <w:bookmarkEnd w:id="2735"/>
    <w:bookmarkStart w:id="2755" w:name="X44216b30148bbf7cc42bf600e5a36197076ade4"/>
    <w:p>
      <w:pPr>
        <w:pStyle w:val="Heading3"/>
      </w:pPr>
      <w:r>
        <w:t xml:space="preserve">Cuatro tipos de defectos que se repiten una y otra vez</w:t>
      </w:r>
    </w:p>
    <w:p>
      <w:pPr>
        <w:pStyle w:val="FirstParagraph"/>
      </w:pPr>
      <w:r>
        <w:t xml:space="preserve">A lo largo de los distintos análisis, los hallazgos pueden ordenarse en cuatro grupos.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defecto</w:t>
            </w:r>
          </w:p>
        </w:tc>
        <w:tc>
          <w:tcPr/>
          <w:p>
            <w:pPr>
              <w:pStyle w:val="Compact"/>
              <w:jc w:val="left"/>
            </w:pPr>
            <w:r>
              <w:t xml:space="preserve">Ejemplos de análisis</w:t>
            </w:r>
          </w:p>
        </w:tc>
        <w:tc>
          <w:tcPr/>
          <w:p>
            <w:pPr>
              <w:pStyle w:val="Compact"/>
              <w:jc w:val="left"/>
            </w:pPr>
            <w:r>
              <w:t xml:space="preserve">Fuente</w:t>
            </w:r>
          </w:p>
        </w:tc>
      </w:tr>
      <w:tr>
        <w:tc>
          <w:tcPr/>
          <w:p>
            <w:pPr>
              <w:pStyle w:val="Compact"/>
              <w:jc w:val="left"/>
            </w:pPr>
            <w:r>
              <w:t xml:space="preserve">Principio activo erróneo o ausente</w:t>
            </w:r>
          </w:p>
        </w:tc>
        <w:tc>
          <w:tcPr/>
          <w:p>
            <w:pPr>
              <w:pStyle w:val="Compact"/>
              <w:jc w:val="left"/>
            </w:pPr>
            <w:r>
              <w:t xml:space="preserve">9 de 36 muestras incautadas sin péptido ni proteína</w:t>
            </w:r>
          </w:p>
        </w:tc>
        <w:tc>
          <w:tcPr/>
          <w:p>
            <w:pPr>
              <w:pStyle w:val="Compact"/>
              <w:jc w:val="left"/>
            </w:pPr>
            <w:r>
              <w:t xml:space="preserve">Høj 2021, PMID 33686802</w:t>
            </w:r>
          </w:p>
        </w:tc>
      </w:tr>
      <w:tr>
        <w:tc>
          <w:tcPr/>
          <w:p>
            <w:pPr>
              <w:pStyle w:val="Compact"/>
              <w:jc w:val="left"/>
            </w:pPr>
            <w:r>
              <w:t xml:space="preserve">Cantidad errónea</w:t>
            </w:r>
          </w:p>
        </w:tc>
        <w:tc>
          <w:tcPr/>
          <w:p>
            <w:pPr>
              <w:pStyle w:val="Compact"/>
              <w:jc w:val="left"/>
            </w:pPr>
            <w:r>
              <w:t xml:space="preserve">solo el 41 % de 44 productos de internet con la cantidad correcta de principio activo</w:t>
            </w:r>
          </w:p>
        </w:tc>
        <w:tc>
          <w:tcPr/>
          <w:p>
            <w:pPr>
              <w:pStyle w:val="Compact"/>
              <w:jc w:val="left"/>
            </w:pPr>
            <w:r>
              <w:t xml:space="preserve">Van Wagoner 2017, PMID 29183075</w:t>
            </w:r>
          </w:p>
        </w:tc>
      </w:tr>
      <w:tr>
        <w:tc>
          <w:tcPr/>
          <w:p>
            <w:pPr>
              <w:pStyle w:val="Compact"/>
              <w:jc w:val="left"/>
            </w:pPr>
            <w:r>
              <w:t xml:space="preserve">Pureza baja, productos de degradación</w:t>
            </w:r>
          </w:p>
        </w:tc>
        <w:tc>
          <w:tcPr/>
          <w:p>
            <w:pPr>
              <w:pStyle w:val="Compact"/>
              <w:jc w:val="left"/>
            </w:pPr>
            <w:r>
              <w:t xml:space="preserve">pureza del 5 al 75 % en determinados péptidos</w:t>
            </w:r>
          </w:p>
        </w:tc>
        <w:tc>
          <w:tcPr/>
          <w:p>
            <w:pPr>
              <w:pStyle w:val="Compact"/>
              <w:jc w:val="left"/>
            </w:pPr>
            <w:r>
              <w:t xml:space="preserve">Janvier 2018, PMID 30029448</w:t>
            </w:r>
          </w:p>
        </w:tc>
      </w:tr>
      <w:tr>
        <w:tc>
          <w:tcPr/>
          <w:p>
            <w:pPr>
              <w:pStyle w:val="Compact"/>
              <w:jc w:val="left"/>
            </w:pPr>
            <w:r>
              <w:t xml:space="preserve">Sustancias acompañantes peligrosas</w:t>
            </w:r>
          </w:p>
        </w:tc>
        <w:tc>
          <w:tcPr/>
          <w:p>
            <w:pPr>
              <w:pStyle w:val="Compact"/>
              <w:jc w:val="left"/>
            </w:pPr>
            <w:r>
              <w:t xml:space="preserve">arsénico y plomo, en parte hasta diez veces el valor límite</w:t>
            </w:r>
          </w:p>
        </w:tc>
        <w:tc>
          <w:tcPr/>
          <w:p>
            <w:pPr>
              <w:pStyle w:val="Compact"/>
              <w:jc w:val="left"/>
            </w:pPr>
            <w:r>
              <w:t xml:space="preserve">Janvier 2018, PMID 30029448</w:t>
            </w:r>
          </w:p>
        </w:tc>
      </w:tr>
    </w:tbl>
    <w:bookmarkStart w:id="2741" w:name="principio-activo-erróneo-o-ausente"/>
    <w:p>
      <w:pPr>
        <w:pStyle w:val="Heading4"/>
      </w:pPr>
      <w:r>
        <w:t xml:space="preserve">Principio activo erróneo o ausente</w:t>
      </w:r>
    </w:p>
    <w:p>
      <w:pPr>
        <w:pStyle w:val="FirstParagraph"/>
      </w:pPr>
      <w:r>
        <w:t xml:space="preserve">Un laboratorio forense danés recibió en 2019 36 muestras incautadas en las que se sospechaba la presencia de péptidos o proteínas. 15 contenían una sustancia dopante prohibida, 12 una sustancia que no figuraba en la lista danesa de dopaje y 9 no contenían ningún péptido ni proteína</w:t>
      </w:r>
      <w:r>
        <w:rPr>
          <w:rStyle w:val="FootnoteReference"/>
        </w:rPr>
        <w:footnoteReference w:id="2736"/>
      </w:r>
      <w:r>
        <w:t xml:space="preserve">. En una operación aduanera a escala europea, los laboratorios comunicaron, entre los preparados inyectables incautados, hormona del crecimiento, sermorelina, melanotán II y preparados sin ningún principio activo; los envíos eran, de media, demasiado grandes para el consumo propio y probablemente estaban destinados en parte a la reventa</w:t>
      </w:r>
      <w:r>
        <w:rPr>
          <w:rStyle w:val="FootnoteReference"/>
        </w:rPr>
        <w:footnoteReference w:id="2737"/>
      </w:r>
      <w:r>
        <w:t xml:space="preserve">. En un caso belga, un preparado que se suponía que era IGF-1 contenía en su lugar otro factor de crecimiento, el factor de crecimiento epidérmico EGF</w:t>
      </w:r>
      <w:r>
        <w:rPr>
          <w:rStyle w:val="FootnoteReference"/>
        </w:rPr>
        <w:footnoteReference w:id="2738"/>
      </w:r>
      <w:r>
        <w:t xml:space="preserve">.</w:t>
      </w:r>
    </w:p>
    <w:p>
      <w:pPr>
        <w:pStyle w:val="BodyText"/>
      </w:pPr>
      <w:r>
        <w:t xml:space="preserve">Un laboratorio de dopaje equino analizó productos ofrecidos en internet con las denominaciones «TB500», «TB1000» y «SGF1000». El contenido de los productos TB no se correspondía de forma sistemática con las descripciones anteriores. «SGF1000» estaba compuesto mayoritariamente por proteínas del tejido conjuntivo y de la sangre de oveja; los componentes supuestamente promotores del crecimiento estaban extremadamente diluidos</w:t>
      </w:r>
      <w:r>
        <w:rPr>
          <w:rStyle w:val="FootnoteReference"/>
        </w:rPr>
        <w:footnoteReference w:id="2739"/>
      </w:r>
      <w:r>
        <w:t xml:space="preserve">.</w:t>
      </w:r>
    </w:p>
    <w:p>
      <w:pPr>
        <w:pStyle w:val="BodyText"/>
      </w:pPr>
      <w:r>
        <w:t xml:space="preserve">Con qué frecuencia divergen etiqueta y contenido lo muestra una investigación estadounidense que, aunque no se refería a péptidos sino a los llamados SARM, utiliza el mismo canal de distribución: de 44 productos de internet, solo el 52 % contenía siquiera un principio activo del grupo de sustancias promocionado. El 39 % contenía otras sustancias no autorizadas, entre ellas el liberador de hormona del crecimiento ibutamoreno, el 9 % ningún principio activo y el 25 % sustancias no declaradas</w:t>
      </w:r>
      <w:r>
        <w:rPr>
          <w:rStyle w:val="FootnoteReference"/>
        </w:rPr>
        <w:footnoteReference w:id="2740"/>
      </w:r>
      <w:r>
        <w:t xml:space="preserve">.</w:t>
      </w:r>
    </w:p>
    <w:bookmarkEnd w:id="2741"/>
    <w:bookmarkStart w:id="2745" w:name="cantidad-errónea"/>
    <w:p>
      <w:pPr>
        <w:pStyle w:val="Heading4"/>
      </w:pPr>
      <w:r>
        <w:t xml:space="preserve">Cantidad errónea</w:t>
      </w:r>
    </w:p>
    <w:p>
      <w:pPr>
        <w:pStyle w:val="FirstParagraph"/>
      </w:pPr>
      <w:r>
        <w:t xml:space="preserve">Incluso cuando la sustancia correcta está en el vial, la cantidad a menudo no lo está. En el análisis estadounidense mencionado, la cantidad de principio activo medida solo coincidía con lo indicado en la etiqueta en 18 de 44 productos (41 %)</w:t>
      </w:r>
      <w:r>
        <w:rPr>
          <w:rStyle w:val="FootnoteReference"/>
        </w:rPr>
        <w:footnoteReference w:id="2742"/>
      </w:r>
      <w:r>
        <w:t xml:space="preserve">. Un laboratorio de toxicología francés analizó 75 medicamentos del entorno del culturismo incautados en el mercado negro: el 33 % eran de calidad deficiente, es decir, mal dosificados, el 32 % falsificados, es decir, con un contenido distinto del declarado, y solo el 19 % se correspondía plenamente con el original</w:t>
      </w:r>
      <w:r>
        <w:rPr>
          <w:rStyle w:val="FootnoteReference"/>
        </w:rPr>
        <w:footnoteReference w:id="2743"/>
      </w:r>
      <w:r>
        <w:t xml:space="preserve">. Una vigilancia del mercado europeo de cinco años con 324 muestras de 13 países concluyó, a partir de los limitados datos de cantidad, que la mayoría de las muestras contenían cantidades eficaces y algunas incluso estaban sobredosificadas</w:t>
      </w:r>
      <w:r>
        <w:rPr>
          <w:rStyle w:val="FootnoteReference"/>
        </w:rPr>
        <w:footnoteReference w:id="2744"/>
      </w:r>
      <w:r>
        <w:t xml:space="preserve">.</w:t>
      </w:r>
    </w:p>
    <w:p>
      <w:pPr>
        <w:pStyle w:val="BodyText"/>
      </w:pPr>
      <w:r>
        <w:t xml:space="preserve">Ambas cosas son peligrosas: demasiado poco principio activo induce a «redosificar»; demasiado conduce directamente a efectos adversos más intensos. En los medicamentos GLP-1, cuya tolerancia depende mucho de un aumento lento, una cantidad desconocida es especialmente problemática.</w:t>
      </w:r>
    </w:p>
    <w:bookmarkEnd w:id="2745"/>
    <w:bookmarkStart w:id="2750" w:name="X3796a12f2e113ff9847cc5d91886243a25d4c88"/>
    <w:p>
      <w:pPr>
        <w:pStyle w:val="Heading4"/>
      </w:pPr>
      <w:r>
        <w:t xml:space="preserve">Pureza baja, productos de degradación y variantes de diseño</w:t>
      </w:r>
    </w:p>
    <w:p>
      <w:pPr>
        <w:pStyle w:val="FirstParagraph"/>
      </w:pPr>
      <w:r>
        <w:t xml:space="preserve">La investigación sistemática más completa procede de Bélgica. El laboratorio de control compró los diez medicamentos peptídicos más falsificados del mercado belga en tres farmacias en línea presuntamente ilegales y los analizó en busca del principio activo, impurezas peptídicas, pequeñas sustancias orgánicas ajenas, metales y restos de disolventes. La cantidad por vial variaba mucho, y en los péptidos con el aminoácido cisteína la pureza oscilaba entre el 5 y el 75 %</w:t>
      </w:r>
      <w:r>
        <w:rPr>
          <w:rStyle w:val="FootnoteReference"/>
        </w:rPr>
        <w:footnoteReference w:id="2746"/>
      </w:r>
      <w:r>
        <w:t xml:space="preserve">.</w:t>
      </w:r>
    </w:p>
    <w:p>
      <w:pPr>
        <w:pStyle w:val="BodyText"/>
      </w:pPr>
      <w:r>
        <w:t xml:space="preserve">Otros laboratorios encontraron en productos del mercado negro con variantes de IGF-1 numerosas formas peptídicas oxidadas, es decir, modificadas químicamente</w:t>
      </w:r>
      <w:r>
        <w:rPr>
          <w:rStyle w:val="FootnoteReference"/>
        </w:rPr>
        <w:footnoteReference w:id="2747"/>
      </w:r>
      <w:r>
        <w:t xml:space="preserve">, y en una muestra incautada de melanotán II una pureza del 30 %</w:t>
      </w:r>
      <w:r>
        <w:rPr>
          <w:rStyle w:val="FootnoteReference"/>
        </w:rPr>
        <w:footnoteReference w:id="2748"/>
      </w:r>
      <w:r>
        <w:t xml:space="preserve">. En preparados incautados por la aduana danesa se encontraron variantes de GHRP-2, GHRP-6, ipamorelina y un fragmento de GHRH a las que se había antepuesto en cada caso un aminoácido glicina adicional</w:t>
      </w:r>
      <w:r>
        <w:rPr>
          <w:rStyle w:val="FootnoteReference"/>
        </w:rPr>
        <w:footnoteReference w:id="2749"/>
      </w:r>
      <w:r>
        <w:t xml:space="preserve">. Probablemente, estas «variantes de diseño» pretenden eludir los controles antidopaje. Su efecto y su seguridad en humanos son completamente desconocidos.</w:t>
      </w:r>
    </w:p>
    <w:bookmarkEnd w:id="2750"/>
    <w:bookmarkStart w:id="2754" w:name="sustancias-acompañantes-peligrosas"/>
    <w:p>
      <w:pPr>
        <w:pStyle w:val="Heading4"/>
      </w:pPr>
      <w:r>
        <w:t xml:space="preserve">Sustancias acompañantes peligrosas</w:t>
      </w:r>
    </w:p>
    <w:p>
      <w:pPr>
        <w:pStyle w:val="FirstParagraph"/>
      </w:pPr>
      <w:r>
        <w:t xml:space="preserve">En la investigación belga se encontraron los elementos tóxicos arsénico y plomo. Una muestra estaba contaminada con plomo, y varias contenían arsénico en concentraciones de hasta diez veces el valor límite internacional para medicamentos inyectables. El análisis más detallado mostró que el arsénico estaba íntegramente en su forma inorgánica, más tóxica. Los autores señalan que el arsénico es cancerígeno y que el plomo se acumula en el organismo, un riesgo adicional y silencioso con el uso repetido durante meses</w:t>
      </w:r>
      <w:r>
        <w:rPr>
          <w:rStyle w:val="FootnoteReference"/>
        </w:rPr>
        <w:footnoteReference w:id="2751"/>
      </w:r>
      <w:r>
        <w:t xml:space="preserve">.</w:t>
      </w:r>
    </w:p>
    <w:p>
      <w:pPr>
        <w:pStyle w:val="BodyText"/>
      </w:pPr>
      <w:r>
        <w:t xml:space="preserve">A ello se suman gérmenes y componentes bacterianos. El mismo laboratorio detectó en dos preparados peptídicos ilegales para inyección la bacteria</w:t>
      </w:r>
      <w:r>
        <w:t xml:space="preserve"> </w:t>
      </w:r>
      <w:r>
        <w:rPr>
          <w:iCs/>
          <w:i/>
        </w:rPr>
        <w:t xml:space="preserve">Bacillus cereus</w:t>
      </w:r>
      <w:r>
        <w:rPr>
          <w:rStyle w:val="FootnoteReference"/>
        </w:rPr>
        <w:footnoteReference w:id="2752"/>
      </w:r>
      <w:r>
        <w:t xml:space="preserve">. En las compras de prueba de semaglutida de la Parte I se detectaron endotoxinas en todas las muestras</w:t>
      </w:r>
      <w:r>
        <w:rPr>
          <w:rStyle w:val="FootnoteReference"/>
        </w:rPr>
        <w:footnoteReference w:id="2753"/>
      </w:r>
      <w:r>
        <w:t xml:space="preserve">. Por qué esto es relevante para el sistema inmunitario lo describe el capítulo «Reacciones inmunitarias y anticuerpos».</w:t>
      </w:r>
    </w:p>
    <w:bookmarkEnd w:id="2754"/>
    <w:bookmarkEnd w:id="2755"/>
    <w:bookmarkStart w:id="2761" w:name="sustancias-siempre-nuevas"/>
    <w:p>
      <w:pPr>
        <w:pStyle w:val="Heading3"/>
      </w:pPr>
      <w:r>
        <w:t xml:space="preserve">Sustancias siempre nuevas</w:t>
      </w:r>
    </w:p>
    <w:p>
      <w:pPr>
        <w:pStyle w:val="FirstParagraph"/>
      </w:pPr>
      <w:r>
        <w:t xml:space="preserve">El mercado gris reacciona rápidamente a las tendencias. Una vigilancia del mercado europeo con 1104 casos notificados de 16 países entre 2017 y 2019 encontró que el 11 % de las muestras contenía moléculas biológicas, sobre todo «research peptides»; era la segunda categoría más frecuente de todas</w:t>
      </w:r>
      <w:r>
        <w:rPr>
          <w:rStyle w:val="FootnoteReference"/>
        </w:rPr>
        <w:footnoteReference w:id="2756"/>
      </w:r>
      <w:r>
        <w:t xml:space="preserve">. Laboratorios belgas identificaron en preparados incautados el «péptido antienvejecimiento» epitalon</w:t>
      </w:r>
      <w:r>
        <w:rPr>
          <w:rStyle w:val="FootnoteReference"/>
        </w:rPr>
        <w:footnoteReference w:id="2757"/>
      </w:r>
      <w:r>
        <w:t xml:space="preserve">, así como los péptidos nootrópicos Selank y Semax; a continuación, el laboratorio desarrolló un método de detección propio para diez de estos péptidos ofrecidos en internet</w:t>
      </w:r>
      <w:r>
        <w:rPr>
          <w:rStyle w:val="FootnoteReference"/>
        </w:rPr>
        <w:footnoteReference w:id="2758"/>
      </w:r>
      <w:r>
        <w:t xml:space="preserve">. Entretanto se ofrecen también principios activos que todavía se encuentran en ensayos clínicos, como la retatrutida y la amicretina (capítulos Retatrutida, Amicretina).</w:t>
      </w:r>
    </w:p>
    <w:p>
      <w:pPr>
        <w:pStyle w:val="BodyText"/>
      </w:pPr>
      <w:r>
        <w:t xml:space="preserve">Para los laboratorios de control, esto supone una carrera: una sustancia para la que todavía no existe una sustancia de referencia no puede identificarse con seguridad. Para los compradores, significa que de los productos más nuevos es de los que menos se sabe sobre su contenido y su calidad.</w:t>
      </w:r>
    </w:p>
    <w:p>
      <w:pPr>
        <w:pStyle w:val="BodyText"/>
      </w:pPr>
      <w:r>
        <w:t xml:space="preserve">Cada vez más aparecen productos del mercado gris también en formas que parecen más inofensivas que una inyección. Una investigación estadounidense encontró 24 parches y un gel vendidos como complementos alimenticios y promocionados como «GLP-1 natural». Ninguno presentaba un certificado de análisis, muchos hacían publicidad engañosa; según la legislación estadounidense, la venta de estos parches como complemento alimenticio no está permitida</w:t>
      </w:r>
      <w:r>
        <w:rPr>
          <w:rStyle w:val="FootnoteReference"/>
        </w:rPr>
        <w:footnoteReference w:id="2759"/>
      </w:r>
      <w:r>
        <w:t xml:space="preserve">. En la vigilancia del mercado europeo, el 24 % de los preparados para ganar músculo se presentaban como complementos alimenticios; quien los compra a menudo no sabe que está tomando un medicamento no autorizado</w:t>
      </w:r>
      <w:r>
        <w:rPr>
          <w:rStyle w:val="FootnoteReference"/>
        </w:rPr>
        <w:footnoteReference w:id="2760"/>
      </w:r>
      <w:r>
        <w:t xml:space="preserve">.</w:t>
      </w:r>
    </w:p>
    <w:bookmarkEnd w:id="2761"/>
    <w:bookmarkStart w:id="2762" w:name="lo-que-los-análisis-no-muestran"/>
    <w:p>
      <w:pPr>
        <w:pStyle w:val="Heading3"/>
      </w:pPr>
      <w:r>
        <w:t xml:space="preserve">Lo que los análisis no muestran</w:t>
      </w:r>
    </w:p>
    <w:p>
      <w:pPr>
        <w:pStyle w:val="FirstParagraph"/>
      </w:pPr>
      <w:r>
        <w:t xml:space="preserve">Por claros que sean los hallazgos, tienen límites.</w:t>
      </w:r>
    </w:p>
    <w:p>
      <w:pPr>
        <w:numPr>
          <w:ilvl w:val="0"/>
          <w:numId w:val="1345"/>
        </w:numPr>
        <w:pStyle w:val="Compact"/>
      </w:pPr>
      <w:r>
        <w:rPr>
          <w:bCs/>
          <w:b/>
        </w:rPr>
        <w:t xml:space="preserve">No es una muestra representativa.</w:t>
      </w:r>
      <w:r>
        <w:t xml:space="preserve"> </w:t>
      </w:r>
      <w:r>
        <w:t xml:space="preserve">La mercancía incautada es una selección de lo que llama la atención de las aduanas. Las compras de prueba suelen abarcar solo a pocos proveedores. A partir de ello no puede calcularse qué proporción del mercado total representan los productos defectuosos.</w:t>
      </w:r>
    </w:p>
    <w:p>
      <w:pPr>
        <w:numPr>
          <w:ilvl w:val="0"/>
          <w:numId w:val="1345"/>
        </w:numPr>
        <w:pStyle w:val="Compact"/>
      </w:pPr>
      <w:r>
        <w:rPr>
          <w:bCs/>
          <w:b/>
        </w:rPr>
        <w:t xml:space="preserve">Instantáneas.</w:t>
      </w:r>
      <w:r>
        <w:t xml:space="preserve"> </w:t>
      </w:r>
      <w:r>
        <w:t xml:space="preserve">Un proveedor cuya mercancía es correcta hoy puede suministrar mañana otro lote. Los buenos resultados de un análisis no valen para el siguiente vial.</w:t>
      </w:r>
    </w:p>
    <w:p>
      <w:pPr>
        <w:numPr>
          <w:ilvl w:val="0"/>
          <w:numId w:val="1345"/>
        </w:numPr>
        <w:pStyle w:val="Compact"/>
      </w:pPr>
      <w:r>
        <w:rPr>
          <w:bCs/>
          <w:b/>
        </w:rPr>
        <w:t xml:space="preserve">No se comprueba todo.</w:t>
      </w:r>
      <w:r>
        <w:t xml:space="preserve"> </w:t>
      </w:r>
      <w:r>
        <w:t xml:space="preserve">Muchos informes solo determinan la identidad del principio activo. Si un producto con el contenido «correcto» era estéril y estaba libre de endotoxinas queda entonces sin aclarar.</w:t>
      </w:r>
    </w:p>
    <w:p>
      <w:pPr>
        <w:numPr>
          <w:ilvl w:val="0"/>
          <w:numId w:val="1345"/>
        </w:numPr>
        <w:pStyle w:val="Compact"/>
      </w:pPr>
      <w:r>
        <w:rPr>
          <w:bCs/>
          <w:b/>
        </w:rPr>
        <w:t xml:space="preserve">Ninguna afirmación sobre eficacia y seguridad.</w:t>
      </w:r>
      <w:r>
        <w:t xml:space="preserve"> </w:t>
      </w:r>
      <w:r>
        <w:t xml:space="preserve">Incluso un producto puro solo es tan seguro como el propio principio activo. Para la mayoría de los péptidos del mercado gris faltan estudios en humanos al respecto (véase la Parte II).</w:t>
      </w:r>
    </w:p>
    <w:bookmarkEnd w:id="2762"/>
    <w:bookmarkStart w:id="2774" w:name="Xc0401e63df1c40c1522c6d7a37ee8664d176c88"/>
    <w:p>
      <w:pPr>
        <w:pStyle w:val="Heading3"/>
      </w:pPr>
      <w:r>
        <w:t xml:space="preserve">Medicamentos GLP-1: lo que comunican los centros de información toxicológica</w:t>
      </w:r>
    </w:p>
    <w:p>
      <w:pPr>
        <w:pStyle w:val="FirstParagraph"/>
      </w:pPr>
      <w:r>
        <w:t xml:space="preserve">Para los medicamentos GLP-1 existe una fuente de datos adicional que muestra lo que realmente sale mal en el uso: las llamadas a los centros de información toxicológica. En EE. UU. se recopilan en una base de datos nacional. Estos datos no siempre distinguen entre el original, la fórmula magistral y la mercancía del mercado gris, pero muestran el orden de magnitud de los problemas.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Periodo y volumen</w:t>
            </w:r>
          </w:p>
        </w:tc>
        <w:tc>
          <w:tcPr/>
          <w:p>
            <w:pPr>
              <w:pStyle w:val="Compact"/>
              <w:jc w:val="left"/>
            </w:pPr>
            <w:r>
              <w:t xml:space="preserve">Hallazgos más importantes</w:t>
            </w:r>
          </w:p>
        </w:tc>
      </w:tr>
      <w:tr>
        <w:tc>
          <w:tcPr/>
          <w:p>
            <w:pPr>
              <w:pStyle w:val="Compact"/>
              <w:jc w:val="left"/>
            </w:pPr>
            <w:r>
              <w:t xml:space="preserve">Gaw 2024, PMID 38421490</w:t>
            </w:r>
          </w:p>
        </w:tc>
        <w:tc>
          <w:tcPr/>
          <w:p>
            <w:pPr>
              <w:pStyle w:val="Compact"/>
              <w:jc w:val="left"/>
            </w:pPr>
            <w:r>
              <w:t xml:space="preserve">EE. UU., 2017–2022, 5713 casos</w:t>
            </w:r>
          </w:p>
        </w:tc>
        <w:tc>
          <w:tcPr/>
          <w:p>
            <w:pPr>
              <w:pStyle w:val="Compact"/>
              <w:jc w:val="left"/>
            </w:pPr>
            <w:r>
              <w:t xml:space="preserve">79,9 % errores de uso; 6,2 % evoluciones graves, una muerte</w:t>
            </w:r>
          </w:p>
        </w:tc>
      </w:tr>
      <w:tr>
        <w:tc>
          <w:tcPr/>
          <w:p>
            <w:pPr>
              <w:pStyle w:val="Compact"/>
              <w:jc w:val="left"/>
            </w:pPr>
            <w:r>
              <w:t xml:space="preserve">Miller 2026, PMID 41634285</w:t>
            </w:r>
          </w:p>
        </w:tc>
        <w:tc>
          <w:tcPr/>
          <w:p>
            <w:pPr>
              <w:pStyle w:val="Compact"/>
              <w:jc w:val="left"/>
            </w:pPr>
            <w:r>
              <w:t xml:space="preserve">EE. UU., 2012–2023, 10.033 casos</w:t>
            </w:r>
          </w:p>
        </w:tc>
        <w:tc>
          <w:tcPr/>
          <w:p>
            <w:pPr>
              <w:pStyle w:val="Compact"/>
              <w:jc w:val="left"/>
            </w:pPr>
            <w:r>
              <w:t xml:space="preserve">tras la autorización para la obesidad, más casos; proporción con contacto con médico o clínica del 23,0 al 33,5 %</w:t>
            </w:r>
          </w:p>
        </w:tc>
      </w:tr>
      <w:tr>
        <w:tc>
          <w:tcPr/>
          <w:p>
            <w:pPr>
              <w:pStyle w:val="Compact"/>
              <w:jc w:val="left"/>
            </w:pPr>
            <w:r>
              <w:t xml:space="preserve">Senthilkumar 2026, PMID 41784916</w:t>
            </w:r>
          </w:p>
        </w:tc>
        <w:tc>
          <w:tcPr/>
          <w:p>
            <w:pPr>
              <w:pStyle w:val="Compact"/>
              <w:jc w:val="left"/>
            </w:pPr>
            <w:r>
              <w:t xml:space="preserve">EE. UU., 2017–2024, 13.924 casos</w:t>
            </w:r>
          </w:p>
        </w:tc>
        <w:tc>
          <w:tcPr/>
          <w:p>
            <w:pPr>
              <w:pStyle w:val="Compact"/>
              <w:jc w:val="left"/>
            </w:pPr>
            <w:r>
              <w:t xml:space="preserve">91,7 % sin consecuencias o con consecuencias leves; 42 evoluciones graves, dos muertes</w:t>
            </w:r>
          </w:p>
        </w:tc>
      </w:tr>
      <w:tr>
        <w:tc>
          <w:tcPr/>
          <w:p>
            <w:pPr>
              <w:pStyle w:val="Compact"/>
              <w:jc w:val="left"/>
            </w:pPr>
            <w:r>
              <w:t xml:space="preserve">Ho 2025, PMID 40371098</w:t>
            </w:r>
          </w:p>
        </w:tc>
        <w:tc>
          <w:tcPr/>
          <w:p>
            <w:pPr>
              <w:pStyle w:val="Compact"/>
              <w:jc w:val="left"/>
            </w:pPr>
            <w:r>
              <w:t xml:space="preserve">California, 2017–2023, 1047 casos</w:t>
            </w:r>
          </w:p>
        </w:tc>
        <w:tc>
          <w:tcPr/>
          <w:p>
            <w:pPr>
              <w:pStyle w:val="Compact"/>
              <w:jc w:val="left"/>
            </w:pPr>
            <w:r>
              <w:t xml:space="preserve">21,0 % en urgencias, 4,4 % hospitalizados; hipoglucemia en el 3,8 %</w:t>
            </w:r>
          </w:p>
        </w:tc>
      </w:tr>
    </w:tbl>
    <w:p>
      <w:pPr>
        <w:pStyle w:val="BodyText"/>
      </w:pPr>
      <w:r>
        <w:t xml:space="preserve">Llaman la atención varios patrones:</w:t>
      </w:r>
    </w:p>
    <w:p>
      <w:pPr>
        <w:pStyle w:val="BodyText"/>
      </w:pPr>
      <w:r>
        <w:rPr>
          <w:bCs/>
          <w:b/>
        </w:rPr>
        <w:t xml:space="preserve">El número de casos aumentó mucho con la difusión.</w:t>
      </w:r>
      <w:r>
        <w:t xml:space="preserve"> </w:t>
      </w:r>
      <w:r>
        <w:t xml:space="preserve">De 2021 a 2022, la tasa de casos notificados por millón de habitantes aumentó un 80,9 %</w:t>
      </w:r>
      <w:r>
        <w:rPr>
          <w:rStyle w:val="FootnoteReference"/>
        </w:rPr>
        <w:footnoteReference w:id="2763"/>
      </w:r>
      <w:r>
        <w:t xml:space="preserve">. Entre 2017 y 2024 aumentó en total un 1830,8 %</w:t>
      </w:r>
      <w:r>
        <w:rPr>
          <w:rStyle w:val="FootnoteReference"/>
        </w:rPr>
        <w:footnoteReference w:id="2764"/>
      </w:r>
      <w:r>
        <w:t xml:space="preserve">.</w:t>
      </w:r>
    </w:p>
    <w:p>
      <w:pPr>
        <w:pStyle w:val="BodyText"/>
      </w:pPr>
      <w:r>
        <w:rPr>
          <w:bCs/>
          <w:b/>
        </w:rPr>
        <w:t xml:space="preserve">La mayoría de los casos son errores de uso.</w:t>
      </w:r>
      <w:r>
        <w:t xml:space="preserve"> </w:t>
      </w:r>
      <w:r>
        <w:t xml:space="preserve">En todos los análisis predominaron los errores involuntarios en el uso, por ejemplo una dosis doble o mal medida</w:t>
      </w:r>
      <w:r>
        <w:rPr>
          <w:rStyle w:val="FootnoteReference"/>
        </w:rPr>
        <w:footnoteReference w:id="2765"/>
      </w:r>
      <w:r>
        <w:t xml:space="preserve">. En un análisis de un único centro, el 21 % de los casos se debía a errores en el primer uso de la pluma precargada</w:t>
      </w:r>
      <w:r>
        <w:rPr>
          <w:rStyle w:val="FootnoteReference"/>
        </w:rPr>
        <w:footnoteReference w:id="2766"/>
      </w:r>
      <w:r>
        <w:t xml:space="preserve">. Por tanto, los errores ocurren también con productos autorizados. En el análisis californiano, 36 casos correspondían a fórmulas magistrales; en ellos, la causa en el 91,7 % fueron errores al medir o al inyectar</w:t>
      </w:r>
      <w:r>
        <w:rPr>
          <w:rStyle w:val="FootnoteReference"/>
        </w:rPr>
        <w:footnoteReference w:id="2767"/>
      </w:r>
      <w:r>
        <w:t xml:space="preserve">. Esto encaja con los casos clínicos de confusiones entre mililitros, «unidades» y miligramos con viales, descritos en la Parte I.</w:t>
      </w:r>
    </w:p>
    <w:p>
      <w:pPr>
        <w:pStyle w:val="BodyText"/>
      </w:pPr>
      <w:r>
        <w:rPr>
          <w:bCs/>
          <w:b/>
        </w:rPr>
        <w:t xml:space="preserve">Las consecuencias suelen ser leves, pero no siempre.</w:t>
      </w:r>
      <w:r>
        <w:t xml:space="preserve"> </w:t>
      </w:r>
      <w:r>
        <w:t xml:space="preserve">Predominan las náuseas y los vómitos. Pero una minoría apreciable necesita tratamiento médico, y hubo muertes</w:t>
      </w:r>
      <w:r>
        <w:rPr>
          <w:rStyle w:val="FootnoteReference"/>
        </w:rPr>
        <w:footnoteReference w:id="2768"/>
      </w:r>
      <w:r>
        <w:t xml:space="preserve">. Las hipoglucemias aparecieron en el 3,4 %</w:t>
      </w:r>
      <w:r>
        <w:rPr>
          <w:rStyle w:val="FootnoteReference"/>
        </w:rPr>
        <w:footnoteReference w:id="2769"/>
      </w:r>
      <w:r>
        <w:t xml:space="preserve"> </w:t>
      </w:r>
      <w:r>
        <w:t xml:space="preserve">al 3,8 %</w:t>
      </w:r>
      <w:r>
        <w:rPr>
          <w:rStyle w:val="FootnoteReference"/>
        </w:rPr>
        <w:footnoteReference w:id="2770"/>
      </w:r>
      <w:r>
        <w:t xml:space="preserve"> </w:t>
      </w:r>
      <w:r>
        <w:t xml:space="preserve">de los casos; en otro análisis se produjeron raramente, pero también tras el uso de un medicamento GLP-1 solo</w:t>
      </w:r>
      <w:r>
        <w:rPr>
          <w:rStyle w:val="FootnoteReference"/>
        </w:rPr>
        <w:footnoteReference w:id="2771"/>
      </w:r>
      <w:r>
        <w:t xml:space="preserve">. Lo grave que puede ser una sobredosis lo muestra el caso, descrito en el capítulo «Reacciones inmunitarias», de una mujer que, tras una dosis diez veces mayor por error procedente de una farmacia de fórmulas magistrales, tuvo que recibir ventilación mecánica por una hinchazón masiva de la faringe y desarrolló además una hipoglucemia</w:t>
      </w:r>
      <w:r>
        <w:rPr>
          <w:rStyle w:val="FootnoteReference"/>
        </w:rPr>
        <w:footnoteReference w:id="2772"/>
      </w:r>
      <w:r>
        <w:t xml:space="preserve">.</w:t>
      </w:r>
    </w:p>
    <w:p>
      <w:pPr>
        <w:pStyle w:val="BodyText"/>
      </w:pPr>
      <w:r>
        <w:rPr>
          <w:bCs/>
          <w:b/>
        </w:rPr>
        <w:t xml:space="preserve">Los adolescentes son un grupo de riesgo propio.</w:t>
      </w:r>
      <w:r>
        <w:t xml:space="preserve"> </w:t>
      </w:r>
      <w:r>
        <w:t xml:space="preserve">En niños y adolescentes de entre 6 y 17 años, la tasa de casos fue la que más aumentó entre 2017 y 2024. Fueron hospitalizados con más frecuencia que los adultos (riesgo relativo 2,66), y sus casos se debieron con mucha más frecuencia a un uso indebido intencionado (riesgo relativo 8,12)</w:t>
      </w:r>
      <w:r>
        <w:rPr>
          <w:rStyle w:val="FootnoteReference"/>
        </w:rPr>
        <w:footnoteReference w:id="2773"/>
      </w:r>
      <w:r>
        <w:t xml:space="preserve">. Más información en el capítulo siguiente.</w:t>
      </w:r>
    </w:p>
    <w:bookmarkEnd w:id="2774"/>
    <w:bookmarkStart w:id="2775" w:name="lo-que-se-desprende-de-ello"/>
    <w:p>
      <w:pPr>
        <w:pStyle w:val="Heading3"/>
      </w:pPr>
      <w:r>
        <w:t xml:space="preserve">Lo que se desprende de ello</w:t>
      </w:r>
    </w:p>
    <w:p>
      <w:pPr>
        <w:pStyle w:val="FirstParagraph"/>
      </w:pPr>
      <w:r>
        <w:t xml:space="preserve">Los análisis de laboratorio y los datos de los centros de información toxicológica describen dos caras del mismo problema. Los análisis muestran que los productos del mercado gris pueden apartarse de la etiqueta en todos los aspectos imaginables: en la sustancia, en la cantidad, en la pureza y en sustancias acompañantes tóxicas. Los datos de los centros toxicológicos muestran que incluso con productos controlados los errores de medición son frecuentes, y que los viales que primero hay que reconstituir y cuyas dosis hay que calcular son especialmente propensos a errores.</w:t>
      </w:r>
    </w:p>
    <w:p>
      <w:pPr>
        <w:pStyle w:val="BodyText"/>
      </w:pPr>
      <w:r>
        <w:t xml:space="preserve">Si se combinan ambas cosas, resulta un riesgo que ningún estudio sobre un principio activo puede describir: quien se inyecta un péptido del mercado gris no conoce ni el contenido ni la cantidad, y cada desviación se ve agravada por posibles errores de cálculo propios. Los datos de seguridad de los estudios de autorización descritos en la Parte II no son válidos para estos productos.</w:t>
      </w:r>
    </w:p>
    <w:bookmarkEnd w:id="2775"/>
    <w:bookmarkStart w:id="2776" w:name="lo-más-importante-en-pocas-palabras-1"/>
    <w:p>
      <w:pPr>
        <w:pStyle w:val="Heading3"/>
      </w:pPr>
      <w:r>
        <w:t xml:space="preserve">Lo más importante en pocas palabras</w:t>
      </w:r>
    </w:p>
    <w:p>
      <w:pPr>
        <w:numPr>
          <w:ilvl w:val="0"/>
          <w:numId w:val="1346"/>
        </w:numPr>
        <w:pStyle w:val="Compact"/>
      </w:pPr>
      <w:r>
        <w:t xml:space="preserve">Los laboratorios oficiales, forenses y antidopaje encuentran regularmente en los péptidos del mercado gris principios activos erróneos, cantidades erróneas, pureza baja y variantes de diseño.</w:t>
      </w:r>
    </w:p>
    <w:p>
      <w:pPr>
        <w:numPr>
          <w:ilvl w:val="0"/>
          <w:numId w:val="1346"/>
        </w:numPr>
        <w:pStyle w:val="Compact"/>
      </w:pPr>
      <w:r>
        <w:t xml:space="preserve">Un análisis sistemático belga encontró además arsénico y plomo, en parte hasta diez veces el valor límite para inyectables, así como bacterias en preparados inyectables.</w:t>
      </w:r>
    </w:p>
    <w:p>
      <w:pPr>
        <w:numPr>
          <w:ilvl w:val="0"/>
          <w:numId w:val="1346"/>
        </w:numPr>
        <w:pStyle w:val="Compact"/>
      </w:pPr>
      <w:r>
        <w:t xml:space="preserve">Los nuevos «research peptides» aparecen más deprisa de lo que los laboratorios de control pueden desarrollar métodos de detección.</w:t>
      </w:r>
    </w:p>
    <w:p>
      <w:pPr>
        <w:numPr>
          <w:ilvl w:val="0"/>
          <w:numId w:val="1346"/>
        </w:numPr>
        <w:pStyle w:val="Compact"/>
      </w:pPr>
      <w:r>
        <w:t xml:space="preserve">Los análisis son instantáneas; un buen resultado no vale para el siguiente lote.</w:t>
      </w:r>
    </w:p>
    <w:p>
      <w:pPr>
        <w:numPr>
          <w:ilvl w:val="0"/>
          <w:numId w:val="1346"/>
        </w:numPr>
        <w:pStyle w:val="Compact"/>
      </w:pPr>
      <w:r>
        <w:t xml:space="preserve">En EE. UU., el número de llamadas a los centros toxicológicos por medicamentos GLP-1 ha aumentado mucho. La mayoría de los casos son errores de uso con consecuencias leves; una minoría evoluciona de forma grave. Con las fórmulas magistrales, casi todos los casos se debieron a errores de medición.</w:t>
      </w:r>
    </w:p>
    <w:bookmarkEnd w:id="2776"/>
    <w:bookmarkEnd w:id="2777"/>
    <w:bookmarkStart w:id="2822" w:name="Xad43c0fe0a059f33e9c040f78243cfb75fa6ffd"/>
    <w:p>
      <w:pPr>
        <w:pStyle w:val="Heading2"/>
      </w:pPr>
      <w:r>
        <w:t xml:space="preserve">Interacciones y grupos de riesgo especiales</w:t>
      </w:r>
    </w:p>
    <w:p>
      <w:pPr>
        <w:pStyle w:val="FirstParagraph"/>
      </w:pPr>
      <w:r>
        <w:t xml:space="preserve">Los estudios en los que se basa la autorización de un medicamento excluyen casi siempre a determinadas personas: embarazadas, niños, personas muy mayores o con varias enfermedades, personas con trastornos de la conducta alimentaria o con enfermedades psíquicas graves. Por eso, lo que vale para los participantes de los estudios solo puede trasladarse de forma limitada a estos grupos. A ello se suman las interacciones con otros medicamentos y situaciones como una anestesia, en las que un efecto por lo demás inofensivo puede volverse de repente peligroso.</w:t>
      </w:r>
    </w:p>
    <w:p>
      <w:pPr>
        <w:pStyle w:val="BodyText"/>
      </w:pPr>
      <w:r>
        <w:t xml:space="preserve">Este capítulo reúne estas cuestiones. No sustituye el asesoramiento médico ni la ficha técnica. En los medicamentos autorizados, la ficha técnica regula de forma vinculante las contraindicaciones y las interacciones; para los péptidos no autorizados no suele haber ningún dato sobre estos grupos.</w:t>
      </w:r>
    </w:p>
    <w:bookmarkStart w:id="2783" w:name="embarazo-y-lactancia"/>
    <w:p>
      <w:pPr>
        <w:pStyle w:val="Heading3"/>
      </w:pPr>
      <w:r>
        <w:t xml:space="preserve">Embarazo y lactancia</w:t>
      </w:r>
    </w:p>
    <w:p>
      <w:pPr>
        <w:pStyle w:val="FirstParagraph"/>
      </w:pPr>
      <w:r>
        <w:t xml:space="preserve">Para casi todos los péptidos de este libro se cumple: en el embarazo no están estudiados o no están indicados. Las fichas técnicas de los medicamentos GLP-1 establecen que no deben utilizarse durante el embarazo y que deben suspenderse con suficiente antelación antes de un embarazo planificado (capítulos Semaglutida, Tirzepatida). En la maridebart cafraglutida esto es especialmente importante, porque en un estudio temprano su efecto se mantuvo hasta 150 días después de la última dosis (capítulo Maridebart cafraglutida).</w:t>
      </w:r>
    </w:p>
    <w:p>
      <w:pPr>
        <w:pStyle w:val="BodyText"/>
      </w:pPr>
      <w:r>
        <w:t xml:space="preserve">Como los medicamentos GLP-1 se utilizan en muchas mujeres en edad fértil y una pérdida de peso puede mejorar la fertilidad, se producen a pesar de todo embarazos no planificados durante el tratamiento. Para esta situación existen ya datos, en su mayoría tranquilizadores:</w:t>
      </w:r>
    </w:p>
    <w:p>
      <w:pPr>
        <w:numPr>
          <w:ilvl w:val="0"/>
          <w:numId w:val="1347"/>
        </w:numPr>
        <w:pStyle w:val="Compact"/>
      </w:pPr>
      <w:r>
        <w:t xml:space="preserve">En un gran estudio de cuatro países nórdicos, EE. UU. e Israel, la tasa de malformaciones graves en los hijos de mujeres con diabetes tipo 2 que habían recibido agonistas del receptor de GLP-1 en torno a la concepción no fue mayor que con insulina (riesgo relativo ajustado 0,95)</w:t>
      </w:r>
      <w:r>
        <w:rPr>
          <w:rStyle w:val="FootnoteReference"/>
        </w:rPr>
        <w:footnoteReference w:id="2778"/>
      </w:r>
      <w:r>
        <w:t xml:space="preserve">.</w:t>
      </w:r>
    </w:p>
    <w:p>
      <w:pPr>
        <w:numPr>
          <w:ilvl w:val="0"/>
          <w:numId w:val="1347"/>
        </w:numPr>
        <w:pStyle w:val="Compact"/>
      </w:pPr>
      <w:r>
        <w:t xml:space="preserve">Un análisis de seis servicios de información sobre medicamentos en el embarazo encontró, en 168 embarazos con exposición a GLP-1 en el primer trimestre, malformaciones graves en el 2,6 %, y en los grupos de comparación en el 2,3 % y el 3,9 %</w:t>
      </w:r>
      <w:r>
        <w:rPr>
          <w:rStyle w:val="FootnoteReference"/>
        </w:rPr>
        <w:footnoteReference w:id="2779"/>
      </w:r>
      <w:r>
        <w:t xml:space="preserve">.</w:t>
      </w:r>
    </w:p>
    <w:p>
      <w:pPr>
        <w:numPr>
          <w:ilvl w:val="0"/>
          <w:numId w:val="1347"/>
        </w:numPr>
        <w:pStyle w:val="Compact"/>
      </w:pPr>
      <w:r>
        <w:t xml:space="preserve">Un estudio estadounidense con 3572 embarazos comparó a mujeres que siguieron dispensándose el medicamento durante el primer trimestre con mujeres que lo suspendieron. No se encontró un riesgo claramente aumentado de aborto espontáneo o muerte fetal, trastornos del crecimiento o malformaciones; sin embargo, las estimaciones para las malformaciones eran tan imprecisas que tampoco puede descartarse una diferencia relevante</w:t>
      </w:r>
      <w:r>
        <w:rPr>
          <w:rStyle w:val="FootnoteReference"/>
        </w:rPr>
        <w:footnoteReference w:id="2780"/>
      </w:r>
      <w:r>
        <w:t xml:space="preserve">.</w:t>
      </w:r>
    </w:p>
    <w:p>
      <w:pPr>
        <w:numPr>
          <w:ilvl w:val="0"/>
          <w:numId w:val="1347"/>
        </w:numPr>
        <w:pStyle w:val="Compact"/>
      </w:pPr>
      <w:r>
        <w:t xml:space="preserve">Un metaanálisis de siete estudios de cohortes con más de 40.000 embarazos expuestos no encontró un aumento estadísticamente significativo de las malformaciones graves; una señal de malformaciones de las vías urinarias se basaba solo en datos no ajustados. Los autores califican de baja la certeza de la evidencia</w:t>
      </w:r>
      <w:r>
        <w:rPr>
          <w:rStyle w:val="FootnoteReference"/>
        </w:rPr>
        <w:footnoteReference w:id="2781"/>
      </w:r>
      <w:r>
        <w:t xml:space="preserve">.</w:t>
      </w:r>
    </w:p>
    <w:p>
      <w:pPr>
        <w:pStyle w:val="FirstParagraph"/>
      </w:pPr>
      <w:r>
        <w:t xml:space="preserve">Estos datos ayudan a valorar una exposición</w:t>
      </w:r>
      <w:r>
        <w:t xml:space="preserve"> </w:t>
      </w:r>
      <w:r>
        <w:rPr>
          <w:iCs/>
          <w:i/>
        </w:rPr>
        <w:t xml:space="preserve">accidental</w:t>
      </w:r>
      <w:r>
        <w:t xml:space="preserve">. No son una prueba de que un uso planificado durante el embarazo sea seguro. Para la lactancia, los datos son todavía más escasos; sobre el paso de la bremelanotida a la leche materna se ha completado un pequeño estudio con diez mujeres</w:t>
      </w:r>
      <w:r>
        <w:rPr>
          <w:rStyle w:val="FootnoteReference"/>
        </w:rPr>
        <w:footnoteReference w:id="2782"/>
      </w:r>
      <w:r>
        <w:t xml:space="preserve">.</w:t>
      </w:r>
    </w:p>
    <w:p>
      <w:pPr>
        <w:pStyle w:val="BodyText"/>
      </w:pPr>
      <w:r>
        <w:t xml:space="preserve">Algunos péptidos son peligrosos en el embarazo por su propio principio de acción. La oxitocina desencadena contracciones; su uso en espray nasal fuera del control médico es arriesgado durante el embarazo (capítulo Oxitocina). Para los péptidos del mercado gris como BPC-157, TB-500, epitalon o los liberadores de hormona del crecimiento no hay ningún dato sobre embarazo y lactancia.</w:t>
      </w:r>
    </w:p>
    <w:bookmarkEnd w:id="2783"/>
    <w:bookmarkStart w:id="2788" w:name="Xab831372af32ccb155f1f1f3ce9e176d251557a"/>
    <w:p>
      <w:pPr>
        <w:pStyle w:val="Heading3"/>
      </w:pPr>
      <w:r>
        <w:t xml:space="preserve">Anticoncepción oral y vaciamiento gástrico</w:t>
      </w:r>
    </w:p>
    <w:p>
      <w:pPr>
        <w:pStyle w:val="FirstParagraph"/>
      </w:pPr>
      <w:r>
        <w:t xml:space="preserve">Los medicamentos GLP-1, los análogos de la amilina como la pramlintida y también la bremelanotida ralentizan el vaciamiento del estómago. Por ello, los comprimidos que se toman al mismo tiempo pueden pasar a la sangre más tarde o en otra cantidad. Esto afecta sobre todo a los medicamentos en los que importa un inicio rápido del efecto o un nivel en sangre uniforme.</w:t>
      </w:r>
    </w:p>
    <w:p>
      <w:pPr>
        <w:pStyle w:val="BodyText"/>
      </w:pPr>
      <w:r>
        <w:t xml:space="preserve">La píldora anticonceptiva se ha estudiado con especial detalle. Para la semaglutida, un estudio con 43 mujeres no encontró una menor absorción de las dos hormonas de una píldora combinada habitual; el nivel del gestágeno fue incluso un 20 % más alto con semaglutida</w:t>
      </w:r>
      <w:r>
        <w:rPr>
          <w:rStyle w:val="FootnoteReference"/>
        </w:rPr>
        <w:footnoteReference w:id="2784"/>
      </w:r>
      <w:r>
        <w:t xml:space="preserve">. Con la tirzepatida es distinto: una revisión de seis estudios encontró solo con tirzepatida una reducción significativa de la cantidad de hormona absorbida, y no con los demás agonistas del receptor de GLP-1. Como explicación, los autores mencionan el mayor retraso del vaciamiento gástrico tras la primera dosis y tras los aumentos de dosis</w:t>
      </w:r>
      <w:r>
        <w:rPr>
          <w:rStyle w:val="FootnoteReference"/>
        </w:rPr>
        <w:footnoteReference w:id="2785"/>
      </w:r>
      <w:r>
        <w:t xml:space="preserve">. Por eso, la ficha técnica de la tirzepatida contiene una advertencia específica sobre la anticoncepción con comprimidos; los detalles figuran allí y deberían comentarse con el médico.</w:t>
      </w:r>
    </w:p>
    <w:p>
      <w:pPr>
        <w:pStyle w:val="BodyText"/>
      </w:pPr>
      <w:r>
        <w:t xml:space="preserve">Con independencia del principio activo, se cumple: los vómitos o la diarrea intensos, frecuentes con los medicamentos GLP-1, pueden afectar a la absorción de cualquier comprimido, también de la píldora.</w:t>
      </w:r>
    </w:p>
    <w:p>
      <w:pPr>
        <w:pStyle w:val="BodyText"/>
      </w:pPr>
      <w:r>
        <w:t xml:space="preserve">Otras interacciones conocidas, en resumen: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Interacción</w:t>
            </w:r>
          </w:p>
        </w:tc>
        <w:tc>
          <w:tcPr/>
          <w:p>
            <w:pPr>
              <w:pStyle w:val="Compact"/>
              <w:jc w:val="left"/>
            </w:pPr>
            <w:r>
              <w:t xml:space="preserve">Relevancia</w:t>
            </w:r>
          </w:p>
        </w:tc>
        <w:tc>
          <w:tcPr/>
          <w:p>
            <w:pPr>
              <w:pStyle w:val="Compact"/>
              <w:jc w:val="left"/>
            </w:pPr>
            <w:r>
              <w:t xml:space="preserve">Capítulo</w:t>
            </w:r>
          </w:p>
        </w:tc>
      </w:tr>
      <w:tr>
        <w:tc>
          <w:tcPr/>
          <w:p>
            <w:pPr>
              <w:pStyle w:val="Compact"/>
              <w:jc w:val="left"/>
            </w:pPr>
            <w:r>
              <w:t xml:space="preserve">Medicamentos GLP-1, pramlintida</w:t>
            </w:r>
          </w:p>
        </w:tc>
        <w:tc>
          <w:tcPr/>
          <w:p>
            <w:pPr>
              <w:pStyle w:val="Compact"/>
              <w:jc w:val="left"/>
            </w:pPr>
            <w:r>
              <w:t xml:space="preserve">absorción retardada de comprimidos</w:t>
            </w:r>
          </w:p>
        </w:tc>
        <w:tc>
          <w:tcPr/>
          <w:p>
            <w:pPr>
              <w:pStyle w:val="Compact"/>
              <w:jc w:val="left"/>
            </w:pPr>
            <w:r>
              <w:t xml:space="preserve">tener en cuenta con medicamentos de margen terapéutico estrecho</w:t>
            </w:r>
          </w:p>
        </w:tc>
        <w:tc>
          <w:tcPr/>
          <w:p>
            <w:pPr>
              <w:pStyle w:val="Compact"/>
              <w:jc w:val="left"/>
            </w:pPr>
            <w:r>
              <w:t xml:space="preserve">Semaglutida, Pramlintida</w:t>
            </w:r>
          </w:p>
        </w:tc>
      </w:tr>
      <w:tr>
        <w:tc>
          <w:tcPr/>
          <w:p>
            <w:pPr>
              <w:pStyle w:val="Compact"/>
              <w:jc w:val="left"/>
            </w:pPr>
            <w:r>
              <w:t xml:space="preserve">Tirzepatida</w:t>
            </w:r>
          </w:p>
        </w:tc>
        <w:tc>
          <w:tcPr/>
          <w:p>
            <w:pPr>
              <w:pStyle w:val="Compact"/>
              <w:jc w:val="left"/>
            </w:pPr>
            <w:r>
              <w:t xml:space="preserve">menos hormona de la píldora</w:t>
            </w:r>
          </w:p>
        </w:tc>
        <w:tc>
          <w:tcPr/>
          <w:p>
            <w:pPr>
              <w:pStyle w:val="Compact"/>
              <w:jc w:val="left"/>
            </w:pPr>
            <w:r>
              <w:t xml:space="preserve">advertencia en la ficha técnica</w:t>
            </w:r>
          </w:p>
        </w:tc>
        <w:tc>
          <w:tcPr/>
          <w:p>
            <w:pPr>
              <w:pStyle w:val="Compact"/>
              <w:jc w:val="left"/>
            </w:pPr>
            <w:r>
              <w:t xml:space="preserve">Tirzepatida</w:t>
            </w:r>
          </w:p>
        </w:tc>
      </w:tr>
      <w:tr>
        <w:tc>
          <w:tcPr/>
          <w:p>
            <w:pPr>
              <w:pStyle w:val="Compact"/>
              <w:jc w:val="left"/>
            </w:pPr>
            <w:r>
              <w:t xml:space="preserve">Bremelanotida</w:t>
            </w:r>
          </w:p>
        </w:tc>
        <w:tc>
          <w:tcPr/>
          <w:p>
            <w:pPr>
              <w:pStyle w:val="Compact"/>
              <w:jc w:val="left"/>
            </w:pPr>
            <w:r>
              <w:t xml:space="preserve">niveles más bajos de indometacina y naltrexona</w:t>
            </w:r>
          </w:p>
        </w:tc>
        <w:tc>
          <w:tcPr/>
          <w:p>
            <w:pPr>
              <w:pStyle w:val="Compact"/>
              <w:jc w:val="left"/>
            </w:pPr>
            <w:r>
              <w:t xml:space="preserve">el efecto de estos fármacos puede disminuir</w:t>
            </w:r>
          </w:p>
        </w:tc>
        <w:tc>
          <w:tcPr/>
          <w:p>
            <w:pPr>
              <w:pStyle w:val="Compact"/>
              <w:jc w:val="left"/>
            </w:pPr>
            <w:r>
              <w:t xml:space="preserve">Bremelanotida</w:t>
            </w:r>
          </w:p>
        </w:tc>
      </w:tr>
      <w:tr>
        <w:tc>
          <w:tcPr/>
          <w:p>
            <w:pPr>
              <w:pStyle w:val="Compact"/>
              <w:jc w:val="left"/>
            </w:pPr>
            <w:r>
              <w:t xml:space="preserve">Macimorelina</w:t>
            </w:r>
          </w:p>
        </w:tc>
        <w:tc>
          <w:tcPr/>
          <w:p>
            <w:pPr>
              <w:pStyle w:val="Compact"/>
              <w:jc w:val="left"/>
            </w:pPr>
            <w:r>
              <w:t xml:space="preserve">prolonga el intervalo QT</w:t>
            </w:r>
          </w:p>
        </w:tc>
        <w:tc>
          <w:tcPr/>
          <w:p>
            <w:pPr>
              <w:pStyle w:val="Compact"/>
              <w:jc w:val="left"/>
            </w:pPr>
            <w:r>
              <w:t xml:space="preserve">precaución con otros fármacos que prolongan el QT</w:t>
            </w:r>
          </w:p>
        </w:tc>
        <w:tc>
          <w:tcPr/>
          <w:p>
            <w:pPr>
              <w:pStyle w:val="Compact"/>
              <w:jc w:val="left"/>
            </w:pPr>
            <w:r>
              <w:t xml:space="preserve">Macimorelina</w:t>
            </w:r>
          </w:p>
        </w:tc>
      </w:tr>
      <w:tr>
        <w:tc>
          <w:tcPr/>
          <w:p>
            <w:pPr>
              <w:pStyle w:val="Compact"/>
              <w:jc w:val="left"/>
            </w:pPr>
            <w:r>
              <w:t xml:space="preserve">Orforglipron</w:t>
            </w:r>
          </w:p>
        </w:tc>
        <w:tc>
          <w:tcPr/>
          <w:p>
            <w:pPr>
              <w:pStyle w:val="Compact"/>
              <w:jc w:val="left"/>
            </w:pPr>
            <w:r>
              <w:t xml:space="preserve">metabolismo por enzimas hepáticas</w:t>
            </w:r>
          </w:p>
        </w:tc>
        <w:tc>
          <w:tcPr/>
          <w:p>
            <w:pPr>
              <w:pStyle w:val="Compact"/>
              <w:jc w:val="left"/>
            </w:pPr>
            <w:r>
              <w:t xml:space="preserve">posibles interacciones con otros medicamentos</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sedantes e hipnóticos, alcohol</w:t>
            </w:r>
          </w:p>
        </w:tc>
        <w:tc>
          <w:tcPr/>
          <w:p>
            <w:pPr>
              <w:pStyle w:val="Compact"/>
              <w:jc w:val="left"/>
            </w:pPr>
            <w:r>
              <w:t xml:space="preserve">no estudiado</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coagulación sanguínea (solo datos en animales)</w:t>
            </w:r>
          </w:p>
        </w:tc>
        <w:tc>
          <w:tcPr/>
          <w:p>
            <w:pPr>
              <w:pStyle w:val="Compact"/>
              <w:jc w:val="left"/>
            </w:pPr>
            <w:r>
              <w:t xml:space="preserve">desconocido con anticoagulantes</w:t>
            </w:r>
          </w:p>
        </w:tc>
        <w:tc>
          <w:tcPr/>
          <w:p>
            <w:pPr>
              <w:pStyle w:val="Compact"/>
              <w:jc w:val="left"/>
            </w:pPr>
            <w:r>
              <w:t xml:space="preserve">BPC-157</w:t>
            </w:r>
          </w:p>
        </w:tc>
      </w:tr>
    </w:tbl>
    <w:p>
      <w:pPr>
        <w:pStyle w:val="BodyText"/>
      </w:pPr>
      <w:r>
        <w:t xml:space="preserve">La interacción de la bremelanotida con la indometacina y la naltrexona está descrita en los datos de autorización</w:t>
      </w:r>
      <w:r>
        <w:rPr>
          <w:rStyle w:val="FootnoteReference"/>
        </w:rPr>
        <w:footnoteReference w:id="2786"/>
      </w:r>
      <w:r>
        <w:t xml:space="preserve">. La prolongación del QT por la macimorelina se midió en un estudio exhaustivo del ECG</w:t>
      </w:r>
      <w:r>
        <w:rPr>
          <w:rStyle w:val="FootnoteReference"/>
        </w:rPr>
        <w:footnoteReference w:id="2787"/>
      </w:r>
      <w:r>
        <w:t xml:space="preserve">.</w:t>
      </w:r>
    </w:p>
    <w:bookmarkEnd w:id="2788"/>
    <w:bookmarkStart w:id="2793" w:name="X43bb6f447de75ead4c4e28c54806a91315450a7"/>
    <w:p>
      <w:pPr>
        <w:pStyle w:val="Heading3"/>
      </w:pPr>
      <w:r>
        <w:t xml:space="preserve">Anestesia, endoscopia digestiva alta y aspiración</w:t>
      </w:r>
    </w:p>
    <w:p>
      <w:pPr>
        <w:pStyle w:val="FirstParagraph"/>
      </w:pPr>
      <w:r>
        <w:t xml:space="preserve">Antes de una anestesia, el estómago debe estar vacío. El motivo: si el contenido gástrico pasa a las vías respiratorias durante la anestesia (aspiración), puede producirse una neumonía grave. Como los medicamentos GLP-1 ralentizan el vaciamiento gástrico, el estómago puede contener todavía restos de alimentos pese a haber respetado el ayuno prescrito.</w:t>
      </w:r>
    </w:p>
    <w:p>
      <w:pPr>
        <w:pStyle w:val="BodyText"/>
      </w:pPr>
      <w:r>
        <w:t xml:space="preserve">Los estudios al respecto ofrecen una imagen dividida:</w:t>
      </w:r>
    </w:p>
    <w:p>
      <w:pPr>
        <w:numPr>
          <w:ilvl w:val="0"/>
          <w:numId w:val="1348"/>
        </w:numPr>
        <w:pStyle w:val="Compact"/>
      </w:pPr>
      <w:r>
        <w:rPr>
          <w:bCs/>
          <w:b/>
        </w:rPr>
        <w:t xml:space="preserve">Un mayor contenido residual en el estómago está bien demostrado.</w:t>
      </w:r>
      <w:r>
        <w:t xml:space="preserve"> </w:t>
      </w:r>
      <w:r>
        <w:t xml:space="preserve">Un metaanálisis de 23 estudios observacionales con 262.018 personas sometidas a una endoscopia digestiva alta encontró con agonistas del receptor de GLP-1 un riesgo de restos de alimentos en el estómago unas cuatro veces y media mayor (odds ratio 4,54) y, del mismo modo, exploraciones interrumpidas antes de tiempo con más frecuencia. La neumonía por aspiración no fue más frecuente (odds ratio 0,96)</w:t>
      </w:r>
      <w:r>
        <w:rPr>
          <w:rStyle w:val="FootnoteReference"/>
        </w:rPr>
        <w:footnoteReference w:id="2789"/>
      </w:r>
      <w:r>
        <w:t xml:space="preserve">.</w:t>
      </w:r>
    </w:p>
    <w:p>
      <w:pPr>
        <w:numPr>
          <w:ilvl w:val="0"/>
          <w:numId w:val="1348"/>
        </w:numPr>
        <w:pStyle w:val="Compact"/>
      </w:pPr>
      <w:r>
        <w:t xml:space="preserve">En un estudio con ecografía gástrica antes de operaciones programadas, el 49 % de las personas tratadas con semaglutida tenían el «estómago lleno», frente a solo el 18 % de los controles comparables; se encontraron restos sólidos de alimentos en el 42 % frente al 7 %. Esto ocurrió aunque se hubiera omitido una dosis antes de la operación</w:t>
      </w:r>
      <w:r>
        <w:rPr>
          <w:rStyle w:val="FootnoteReference"/>
        </w:rPr>
        <w:footnoteReference w:id="2790"/>
      </w:r>
      <w:r>
        <w:t xml:space="preserve">.</w:t>
      </w:r>
    </w:p>
    <w:p>
      <w:pPr>
        <w:numPr>
          <w:ilvl w:val="0"/>
          <w:numId w:val="1348"/>
        </w:numPr>
        <w:pStyle w:val="Compact"/>
      </w:pPr>
      <w:r>
        <w:rPr>
          <w:bCs/>
          <w:b/>
        </w:rPr>
        <w:t xml:space="preserve">Las aspiraciones reales son raras.</w:t>
      </w:r>
      <w:r>
        <w:t xml:space="preserve"> </w:t>
      </w:r>
      <w:r>
        <w:t xml:space="preserve">En un gran estudio de bases de datos estadounidense con 296.389 parejas de personas con diabetes tipo 2, las complicaciones respiratorias tras operaciones fueron incluso menos frecuentes con agonistas del receptor de GLP-1 (0,09 % frente a 0,34 %), y las aspiraciones se dieron en el 0,01 % frente al 0,03 %. Los autores subrayan que no está claro si en estos casos ya se habían tomado medidas de precaución</w:t>
      </w:r>
      <w:r>
        <w:rPr>
          <w:rStyle w:val="FootnoteReference"/>
        </w:rPr>
        <w:footnoteReference w:id="2791"/>
      </w:r>
      <w:r>
        <w:t xml:space="preserve">.</w:t>
      </w:r>
    </w:p>
    <w:p>
      <w:pPr>
        <w:pStyle w:val="FirstParagraph"/>
      </w:pPr>
      <w:r>
        <w:t xml:space="preserve">Posiblemente, las tasas de aspiración son bajas porque los equipos de anestesia conocen el riesgo y adaptan su forma de actuar. Si pausar el medicamento antes de una endoscopia digestiva alta reduce el problema es lo que debe aclarar un gran estudio en China</w:t>
      </w:r>
      <w:r>
        <w:rPr>
          <w:rStyle w:val="FootnoteReference"/>
        </w:rPr>
        <w:footnoteReference w:id="2792"/>
      </w:r>
      <w:r>
        <w:t xml:space="preserve">. Para las personas tratadas, esto significa sobre todo: antes de cualquier operación, anestesia o endoscopia digestiva alta, indicar que se utiliza un medicamento GLP-1, aunque proceda de una farmacia de fórmulas magistrales o del mercado gris. Cómo manejar el medicamento antes de la intervención lo decide el equipo médico según las recomendaciones vigentes en cada caso. Quien no considera un producto del mercado gris como medicamento y por eso no lo menciona priva al equipo de anestesia de esta posibilidad.</w:t>
      </w:r>
    </w:p>
    <w:bookmarkEnd w:id="2793"/>
    <w:bookmarkStart w:id="2796" w:name="X5e84f531af87b390371729cca4673ba8dfb5a21"/>
    <w:p>
      <w:pPr>
        <w:pStyle w:val="Heading3"/>
      </w:pPr>
      <w:r>
        <w:t xml:space="preserve">Combinación con antidiabéticos e hipoglucemia</w:t>
      </w:r>
    </w:p>
    <w:p>
      <w:pPr>
        <w:pStyle w:val="FirstParagraph"/>
      </w:pPr>
      <w:r>
        <w:t xml:space="preserve">Como se describe en el capítulo «Efectos adversos por sistemas orgánicos», los medicamentos GLP-1 por sí solos apenas causan hipoglucemias peligrosas. Esto cambia en combinación con insulina o sulfonilureas, que reducen la glucemia con independencia del valor actual. En un estudio con exenatida añadida a metformina y una sulfonilurea se produjeron hipoglucemias leves a moderadas en hasta el 28 %, frente al 13 % con placebo; con una sulfonilurea en dosis bajas fueron menos frecuentes</w:t>
      </w:r>
      <w:r>
        <w:rPr>
          <w:rStyle w:val="FootnoteReference"/>
        </w:rPr>
        <w:footnoteReference w:id="2794"/>
      </w:r>
      <w:r>
        <w:t xml:space="preserve">. Con la pramlintida, que se utiliza junto con insulina, las hipoglucemias graves fueron más frecuentes que con placebo</w:t>
      </w:r>
      <w:r>
        <w:rPr>
          <w:rStyle w:val="FootnoteReference"/>
        </w:rPr>
        <w:footnoteReference w:id="2795"/>
      </w:r>
      <w:r>
        <w:t xml:space="preserve">. Por eso, las fichas técnicas prevén revisar la dosis de los demás antidiabéticos al inicio; su aplicación corresponde a los profesionales médicos.</w:t>
      </w:r>
    </w:p>
    <w:p>
      <w:pPr>
        <w:pStyle w:val="BodyText"/>
      </w:pPr>
      <w:r>
        <w:t xml:space="preserve">Para varios péptidos no autorizados es teóricamente concebible una reducción adicional de la glucemia, por ejemplo para MOTS-c o IGF-1 LR3 (capítulos MOTS-c, IGF-1 LR3). No se ha estudiado. A la inversa, los péptidos del eje de la hormona del crecimiento pueden aumentar la glucemia y desequilibrar un tratamiento antidiabético existente (capítulos Ibutamoreno, Tesamorelina).</w:t>
      </w:r>
    </w:p>
    <w:bookmarkEnd w:id="2796"/>
    <w:bookmarkStart w:id="2801" w:name="niños-y-adolescentes-3"/>
    <w:p>
      <w:pPr>
        <w:pStyle w:val="Heading3"/>
      </w:pPr>
      <w:r>
        <w:t xml:space="preserve">Niños y adolescentes</w:t>
      </w:r>
    </w:p>
    <w:p>
      <w:pPr>
        <w:pStyle w:val="FirstParagraph"/>
      </w:pPr>
      <w:r>
        <w:t xml:space="preserve">La semaglutida y la liraglutida están autorizadas en la UE y en EE. UU. también para adolescentes a partir de doce años con obesidad. Los estudios de autorización muestran un perfil de efectos adversos similar al de los adultos: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w:t>
            </w:r>
          </w:p>
        </w:tc>
        <w:tc>
          <w:tcPr/>
          <w:p>
            <w:pPr>
              <w:pStyle w:val="Compact"/>
              <w:jc w:val="left"/>
            </w:pPr>
            <w:r>
              <w:t xml:space="preserve">Molestias gastrointestinales</w:t>
            </w:r>
          </w:p>
        </w:tc>
        <w:tc>
          <w:tcPr/>
          <w:p>
            <w:pPr>
              <w:pStyle w:val="Compact"/>
              <w:jc w:val="left"/>
            </w:pPr>
            <w:r>
              <w:t xml:space="preserve">Otros hallazgos</w:t>
            </w:r>
          </w:p>
        </w:tc>
      </w:tr>
      <w:tr>
        <w:tc>
          <w:tcPr/>
          <w:p>
            <w:pPr>
              <w:pStyle w:val="Compact"/>
              <w:jc w:val="left"/>
            </w:pPr>
            <w:r>
              <w:t xml:space="preserve">STEP TEENS (Weghuber 2022), PMID 36322838</w:t>
            </w:r>
          </w:p>
        </w:tc>
        <w:tc>
          <w:tcPr/>
          <w:p>
            <w:pPr>
              <w:pStyle w:val="Compact"/>
              <w:jc w:val="left"/>
            </w:pPr>
            <w:r>
              <w:t xml:space="preserve">201 adolescentes, semaglutida, 68 semanas</w:t>
            </w:r>
          </w:p>
        </w:tc>
        <w:tc>
          <w:tcPr/>
          <w:p>
            <w:pPr>
              <w:pStyle w:val="Compact"/>
              <w:jc w:val="left"/>
            </w:pPr>
            <w:r>
              <w:t xml:space="preserve">62 % frente a 42 %</w:t>
            </w:r>
          </w:p>
        </w:tc>
        <w:tc>
          <w:tcPr/>
          <w:p>
            <w:pPr>
              <w:pStyle w:val="Compact"/>
              <w:jc w:val="left"/>
            </w:pPr>
            <w:r>
              <w:t xml:space="preserve">cálculos biliares en el 4 %; acontecimientos graves 11 % frente a 9 %</w:t>
            </w:r>
          </w:p>
        </w:tc>
      </w:tr>
      <w:tr>
        <w:tc>
          <w:tcPr/>
          <w:p>
            <w:pPr>
              <w:pStyle w:val="Compact"/>
              <w:jc w:val="left"/>
            </w:pPr>
            <w:r>
              <w:t xml:space="preserve">SCALE Teens (Kelly 2020), PMID 32233338</w:t>
            </w:r>
          </w:p>
        </w:tc>
        <w:tc>
          <w:tcPr/>
          <w:p>
            <w:pPr>
              <w:pStyle w:val="Compact"/>
              <w:jc w:val="left"/>
            </w:pPr>
            <w:r>
              <w:t xml:space="preserve">251 adolescentes, liraglutida, 56 semanas</w:t>
            </w:r>
          </w:p>
        </w:tc>
        <w:tc>
          <w:tcPr/>
          <w:p>
            <w:pPr>
              <w:pStyle w:val="Compact"/>
              <w:jc w:val="left"/>
            </w:pPr>
            <w:r>
              <w:t xml:space="preserve">64,8 % frente a 36,5 %</w:t>
            </w:r>
          </w:p>
        </w:tc>
        <w:tc>
          <w:tcPr/>
          <w:p>
            <w:pPr>
              <w:pStyle w:val="Compact"/>
              <w:jc w:val="left"/>
            </w:pPr>
            <w:r>
              <w:t xml:space="preserve">abandono por efectos adversos 10,4 % frente a 0 %</w:t>
            </w:r>
          </w:p>
        </w:tc>
      </w:tr>
    </w:tbl>
    <w:p>
      <w:pPr>
        <w:pStyle w:val="BodyText"/>
      </w:pPr>
      <w:r>
        <w:t xml:space="preserve">En el estudio con liraglutida, el IMC volvió a aumentar tras la suspensión más que con placebo, y se produjo un suicidio en el grupo de liraglutida que los investigadores consideraron probablemente no relacionado con el tratamiento</w:t>
      </w:r>
      <w:r>
        <w:rPr>
          <w:rStyle w:val="FootnoteReference"/>
        </w:rPr>
        <w:footnoteReference w:id="2797"/>
      </w:r>
      <w:r>
        <w:t xml:space="preserve">. Un metaanálisis de nueve estudios aleatorizados y dos observacionales con adolescentes no encontró en conjunto un aumento de la conducta suicida ni de la depresión</w:t>
      </w:r>
      <w:r>
        <w:rPr>
          <w:rStyle w:val="FootnoteReference"/>
        </w:rPr>
        <w:footnoteReference w:id="2798"/>
      </w:r>
      <w:r>
        <w:t xml:space="preserve">.</w:t>
      </w:r>
    </w:p>
    <w:p>
      <w:pPr>
        <w:pStyle w:val="BodyText"/>
      </w:pPr>
      <w:r>
        <w:t xml:space="preserve">Una imagen distinta ofrecen los datos de los centros de información toxicológica de EE. UU. En niños y adolescentes de entre 6 y 17 años, los casos notificados con medicamentos GLP-1 fueron los que más aumentaron entre 2017 y 2024. Fueron hospitalizados con más frecuencia que los adultos (riesgo relativo 2,66), vomitaron con más frecuencia, y sus casos se debieron unas ocho veces más a menudo a un uso indebido intencionado</w:t>
      </w:r>
      <w:r>
        <w:rPr>
          <w:rStyle w:val="FootnoteReference"/>
        </w:rPr>
        <w:footnoteReference w:id="2799"/>
      </w:r>
      <w:r>
        <w:t xml:space="preserve">. Esto indica que los adolescentes utilizan en parte estos medicamentos fuera de un tratamiento médico.</w:t>
      </w:r>
    </w:p>
    <w:p>
      <w:pPr>
        <w:pStyle w:val="BodyText"/>
      </w:pPr>
      <w:r>
        <w:t xml:space="preserve">En el caso de los péptidos del entorno del fitness y el culturismo, no está claro hasta qué punto están extendidos entre los adolescentes. Una revisión señala la publicidad en redes sociales e indicios de un uso creciente también por parte de deportistas aficionados más jóvenes, pero subraya que faltan estudios sobre la frecuencia</w:t>
      </w:r>
      <w:r>
        <w:rPr>
          <w:rStyle w:val="FootnoteReference"/>
        </w:rPr>
        <w:footnoteReference w:id="2800"/>
      </w:r>
      <w:r>
        <w:t xml:space="preserve">. Para los adolescentes, cuyo crecimiento y sistema hormonal todavía no han concluido, intervenir en el eje de la hormona del crecimiento o de las hormonas sexuales con sustancias no autorizadas es especialmente arriesgado. Los péptidos autorizados para niños, como la mecasermina en el déficit grave de IGF-1, se utilizan exclusivamente bajo control de un especialista (capítulo Mecasermina).</w:t>
      </w:r>
    </w:p>
    <w:bookmarkEnd w:id="2801"/>
    <w:bookmarkStart w:id="2804" w:name="personas-mayores"/>
    <w:p>
      <w:pPr>
        <w:pStyle w:val="Heading3"/>
      </w:pPr>
      <w:r>
        <w:t xml:space="preserve">Personas mayores</w:t>
      </w:r>
    </w:p>
    <w:p>
      <w:pPr>
        <w:pStyle w:val="FirstParagraph"/>
      </w:pPr>
      <w:r>
        <w:t xml:space="preserve">Con la edad aumenta el riesgo de que los efectos adversos sean más graves. Para las personas mayores, en relación con los péptidos son importantes sobre todo cuatro puntos:</w:t>
      </w:r>
    </w:p>
    <w:p>
      <w:pPr>
        <w:numPr>
          <w:ilvl w:val="0"/>
          <w:numId w:val="1349"/>
        </w:numPr>
        <w:pStyle w:val="Compact"/>
      </w:pPr>
      <w:r>
        <w:rPr>
          <w:bCs/>
          <w:b/>
        </w:rPr>
        <w:t xml:space="preserve">Pérdida de líquidos.</w:t>
      </w:r>
      <w:r>
        <w:t xml:space="preserve"> </w:t>
      </w:r>
      <w:r>
        <w:t xml:space="preserve">Los vómitos y la diarrea con medicamentos GLP-1 pueden provocar en personas mayores con más rapidez deshidratación y problemas renales.</w:t>
      </w:r>
    </w:p>
    <w:p>
      <w:pPr>
        <w:numPr>
          <w:ilvl w:val="0"/>
          <w:numId w:val="1349"/>
        </w:numPr>
        <w:pStyle w:val="Compact"/>
      </w:pPr>
      <w:r>
        <w:rPr>
          <w:bCs/>
          <w:b/>
        </w:rPr>
        <w:t xml:space="preserve">Masa muscular.</w:t>
      </w:r>
      <w:r>
        <w:t xml:space="preserve"> </w:t>
      </w:r>
      <w:r>
        <w:t xml:space="preserve">Quien ya tiene poca musculatura tolera mal una pérdida adicional (véase el apartado siguiente).</w:t>
      </w:r>
    </w:p>
    <w:p>
      <w:pPr>
        <w:numPr>
          <w:ilvl w:val="0"/>
          <w:numId w:val="1349"/>
        </w:numPr>
        <w:pStyle w:val="Compact"/>
      </w:pPr>
      <w:r>
        <w:rPr>
          <w:bCs/>
          <w:b/>
        </w:rPr>
        <w:t xml:space="preserve">Retención de líquidos y corazón.</w:t>
      </w:r>
      <w:r>
        <w:t xml:space="preserve"> </w:t>
      </w:r>
      <w:r>
        <w:t xml:space="preserve">La hormona del crecimiento provocó en personas mayores sanas con más frecuencia hinchazón de los tejidos, dolor articular y síndrome del túnel carpiano</w:t>
      </w:r>
      <w:r>
        <w:rPr>
          <w:rStyle w:val="FootnoteReference"/>
        </w:rPr>
        <w:footnoteReference w:id="2802"/>
      </w:r>
      <w:r>
        <w:t xml:space="preserve">. Un estudio con ibutamoreno en personas mayores tras una fractura de cadera se interrumpió por una señal de insuficiencia cardiaca</w:t>
      </w:r>
      <w:r>
        <w:rPr>
          <w:rStyle w:val="FootnoteReference"/>
        </w:rPr>
        <w:footnoteReference w:id="2803"/>
      </w:r>
      <w:r>
        <w:t xml:space="preserve">. Precisamente los péptidos que se promocionan como productos «antienvejecimiento» suponen, por tanto, más bien una carga para los corazones mayores.</w:t>
      </w:r>
    </w:p>
    <w:p>
      <w:pPr>
        <w:numPr>
          <w:ilvl w:val="0"/>
          <w:numId w:val="1349"/>
        </w:numPr>
        <w:pStyle w:val="Compact"/>
      </w:pPr>
      <w:r>
        <w:rPr>
          <w:bCs/>
          <w:b/>
        </w:rPr>
        <w:t xml:space="preserve">Varios medicamentos.</w:t>
      </w:r>
      <w:r>
        <w:t xml:space="preserve"> </w:t>
      </w:r>
      <w:r>
        <w:t xml:space="preserve">Las personas mayores toman a menudo muchos medicamentos al mismo tiempo. El vaciamiento gástrico retardado puede alterar su absorción, y las combinaciones con fármacos hipoglucemiantes aumentan el riesgo de hipoglucemia y caídas.</w:t>
      </w:r>
    </w:p>
    <w:bookmarkEnd w:id="2804"/>
    <w:bookmarkStart w:id="2809" w:name="X308c1527099f7c702987d4f27720b60ef3a839c"/>
    <w:p>
      <w:pPr>
        <w:pStyle w:val="Heading3"/>
      </w:pPr>
      <w:r>
        <w:t xml:space="preserve">Pérdida muscular con una pérdida de peso intensa</w:t>
      </w:r>
    </w:p>
    <w:p>
      <w:pPr>
        <w:pStyle w:val="FirstParagraph"/>
      </w:pPr>
      <w:r>
        <w:t xml:space="preserve">En toda pérdida de peso se pierde, además de grasa, también masa libre de grasa, que incluye músculos, órganos y agua. En los medicamentos GLP-1 de gran eficacia, la cuestión es si esta proporción es inusualmente alta y si resulta perjudicial.</w:t>
      </w:r>
    </w:p>
    <w:p>
      <w:pPr>
        <w:numPr>
          <w:ilvl w:val="0"/>
          <w:numId w:val="1350"/>
        </w:numPr>
        <w:pStyle w:val="Compact"/>
      </w:pPr>
      <w:r>
        <w:t xml:space="preserve">En un subestudio de SURMOUNT-1 con 160 participantes, el peso perdido con tirzepatida estaba compuesto en un 75 % aproximadamente por grasa y en un 25 % por masa libre de grasa, en la misma proporción que con placebo, solo que con una pérdida total claramente mayor. Estas proporciones se mantuvieron similares en la mayoría de los subgrupos, también separados por edad</w:t>
      </w:r>
      <w:r>
        <w:rPr>
          <w:rStyle w:val="FootnoteReference"/>
        </w:rPr>
        <w:footnoteReference w:id="2805"/>
      </w:r>
      <w:r>
        <w:t xml:space="preserve">.</w:t>
      </w:r>
    </w:p>
    <w:p>
      <w:pPr>
        <w:numPr>
          <w:ilvl w:val="0"/>
          <w:numId w:val="1350"/>
        </w:numPr>
        <w:pStyle w:val="Compact"/>
      </w:pPr>
      <w:r>
        <w:t xml:space="preserve">Un metaanálisis en red de 22 estudios encontró igualmente que alrededor del 25 % de la pérdida de peso correspondía a masa libre de grasa. La semaglutida y la tirzepatida produjeron la mayor pérdida de peso, pero también estuvieron entre los principios activos con los que más masa libre de grasa se perdió</w:t>
      </w:r>
      <w:r>
        <w:rPr>
          <w:rStyle w:val="FootnoteReference"/>
        </w:rPr>
        <w:footnoteReference w:id="2806"/>
      </w:r>
      <w:r>
        <w:t xml:space="preserve">.</w:t>
      </w:r>
    </w:p>
    <w:p>
      <w:pPr>
        <w:numPr>
          <w:ilvl w:val="0"/>
          <w:numId w:val="1350"/>
        </w:numPr>
        <w:pStyle w:val="Compact"/>
      </w:pPr>
      <w:r>
        <w:t xml:space="preserve">Una revisión sistemática de 35 estudios obtuvo una proporción algo mayor: en la mediana, el 28,3 % de la pérdida de peso correspondía a medidas relacionadas con el músculo, y en el 65 % de los estudios la proporción superaba un valor de referencia de aproximadamente el 25 %. Ni un solo estudio había medido objetivamente la capacidad física</w:t>
      </w:r>
      <w:r>
        <w:rPr>
          <w:rStyle w:val="FootnoteReference"/>
        </w:rPr>
        <w:footnoteReference w:id="2807"/>
      </w:r>
      <w:r>
        <w:t xml:space="preserve">.</w:t>
      </w:r>
    </w:p>
    <w:p>
      <w:pPr>
        <w:numPr>
          <w:ilvl w:val="0"/>
          <w:numId w:val="1350"/>
        </w:numPr>
        <w:pStyle w:val="Compact"/>
      </w:pPr>
      <w:r>
        <w:t xml:space="preserve">Otro metaanálisis subraya el otro lado: como la grasa disminuye más que el músculo, la</w:t>
      </w:r>
      <w:r>
        <w:t xml:space="preserve"> </w:t>
      </w:r>
      <w:r>
        <w:rPr>
          <w:iCs/>
          <w:i/>
        </w:rPr>
        <w:t xml:space="preserve">proporción</w:t>
      </w:r>
      <w:r>
        <w:t xml:space="preserve"> </w:t>
      </w:r>
      <w:r>
        <w:t xml:space="preserve">de masa libre de grasa en el peso corporal aumentó 1,81 puntos porcentuales. Los autores recomiendan acompañar el tratamiento con programas de nutrición y actividad física</w:t>
      </w:r>
      <w:r>
        <w:rPr>
          <w:rStyle w:val="FootnoteReference"/>
        </w:rPr>
        <w:footnoteReference w:id="2808"/>
      </w:r>
      <w:r>
        <w:t xml:space="preserve">.</w:t>
      </w:r>
    </w:p>
    <w:p>
      <w:pPr>
        <w:pStyle w:val="FirstParagraph"/>
      </w:pPr>
      <w:r>
        <w:t xml:space="preserve">En resumen: la pérdida muscular con medicamentos GLP-1 no parece ser, en relación con la pérdida total, sustancialmente mayor que con otras formas de reducción de peso, pero en kilogramos absolutos es considerable debido a la gran pérdida. Si esto tiene consecuencias para la fuerza, las caídas o la autonomía no se ha estudiado. Para las personas mayores, las personas con poca masa muscular y las personas con fragilidad es una cuestión abierta. Si las combinaciones con cagrilintida influyen en la pérdida muscular se está investigando actualmente (capítulo Cagrilintida).</w:t>
      </w:r>
    </w:p>
    <w:bookmarkEnd w:id="2809"/>
    <w:bookmarkStart w:id="2814" w:name="trastornos-de-la-conducta-alimentaria"/>
    <w:p>
      <w:pPr>
        <w:pStyle w:val="Heading3"/>
      </w:pPr>
      <w:r>
        <w:t xml:space="preserve">Trastornos de la conducta alimentaria</w:t>
      </w:r>
    </w:p>
    <w:p>
      <w:pPr>
        <w:pStyle w:val="FirstParagraph"/>
      </w:pPr>
      <w:r>
        <w:t xml:space="preserve">Los medicamentos GLP-1 atenúan el apetito y la sensación de hambre. Para las personas con anorexia (anorexia nerviosa) o bulimia, precisamente este efecto puede ser peligroso: puede reforzar la conducta alimentaria restrictiva y agravar una enfermedad. Un caso clínico describe el abuso de semaglutida en una anorexia atípica</w:t>
      </w:r>
      <w:r>
        <w:rPr>
          <w:rStyle w:val="FootnoteReference"/>
        </w:rPr>
        <w:footnoteReference w:id="2810"/>
      </w:r>
      <w:r>
        <w:t xml:space="preserve">, y un estudio transversal estadounidense investigó lo extendidos que están el uso y el abuso de medicamentos GLP-1 entre las personas con trastornos de la conducta alimentaria</w:t>
      </w:r>
      <w:r>
        <w:rPr>
          <w:rStyle w:val="FootnoteReference"/>
        </w:rPr>
        <w:footnoteReference w:id="2811"/>
      </w:r>
      <w:r>
        <w:t xml:space="preserve">.</w:t>
      </w:r>
    </w:p>
    <w:p>
      <w:pPr>
        <w:pStyle w:val="BodyText"/>
      </w:pPr>
      <w:r>
        <w:t xml:space="preserve">Un panel de 45 especialistas y personas afectadas elaboró en 2026 recomendaciones mediante un procedimiento de consenso. Según ellas, antes de iniciar un tratamiento con GLP-1 debería preguntarse por trastornos de la conducta alimentaria actuales y pasados con un cuestionario breve y validado, los síntomas deberían vigilarse a lo largo del tratamiento y, en caso de anorexia activa, anorexia atípica o bulimia con una fuerte restricción de la ingesta, estos medicamentos no deberían utilizarse por regla general. También con trastornos de la conducta alimentaria previos sería necesaria precaución</w:t>
      </w:r>
      <w:r>
        <w:rPr>
          <w:rStyle w:val="FootnoteReference"/>
        </w:rPr>
        <w:footnoteReference w:id="2812"/>
      </w:r>
      <w:r>
        <w:t xml:space="preserve">.</w:t>
      </w:r>
    </w:p>
    <w:p>
      <w:pPr>
        <w:pStyle w:val="BodyText"/>
      </w:pPr>
      <w:r>
        <w:t xml:space="preserve">Para el trastorno por atracón, en el que se producen atracones sin conductas compensatorias, hay en cambio primeros indicios de que los medicamentos GLP-1 podrían reducir los atracones</w:t>
      </w:r>
      <w:r>
        <w:rPr>
          <w:rStyle w:val="FootnoteReference"/>
        </w:rPr>
        <w:footnoteReference w:id="2813"/>
      </w:r>
      <w:r>
        <w:t xml:space="preserve">. Esto muestra lo importante que es un diagnóstico preciso. A través del mercado gris y de proveedores en línea con poco acompañamiento médico desaparece precisamente esta indagación.</w:t>
      </w:r>
    </w:p>
    <w:bookmarkEnd w:id="2814"/>
    <w:bookmarkStart w:id="2820" w:name="X42e970d555ac09fd6efe2ed758730daef16ec06"/>
    <w:p>
      <w:pPr>
        <w:pStyle w:val="Heading3"/>
      </w:pPr>
      <w:r>
        <w:t xml:space="preserve">Deporte de competición y controles antidopaje</w:t>
      </w:r>
    </w:p>
    <w:p>
      <w:pPr>
        <w:pStyle w:val="FirstParagraph"/>
      </w:pPr>
      <w:r>
        <w:t xml:space="preserve">Para los deportistas sometidos a controles antidopaje, la situación con los péptidos es especialmente delicada. Según la lista de prohibiciones de la Agencia Mundial Antidopaje (WADA), en líneas generales:</w:t>
      </w:r>
    </w:p>
    <w:p>
      <w:pPr>
        <w:numPr>
          <w:ilvl w:val="0"/>
          <w:numId w:val="1351"/>
        </w:numPr>
        <w:pStyle w:val="Compact"/>
      </w:pPr>
      <w:r>
        <w:rPr>
          <w:bCs/>
          <w:b/>
        </w:rPr>
        <w:t xml:space="preserve">Prohibidos (S2, hormonas peptídicas y factores de crecimiento):</w:t>
      </w:r>
      <w:r>
        <w:t xml:space="preserve"> </w:t>
      </w:r>
      <w:r>
        <w:t xml:space="preserve">todos los liberadores de hormona del crecimiento y las variantes de IGF-1, la timosina beta 4 y TB-500, ARA-290, en los hombres la gonadorelina y los liberadores de LH como la kisspeptina.</w:t>
      </w:r>
    </w:p>
    <w:p>
      <w:pPr>
        <w:numPr>
          <w:ilvl w:val="0"/>
          <w:numId w:val="1351"/>
        </w:numPr>
        <w:pStyle w:val="Compact"/>
      </w:pPr>
      <w:r>
        <w:rPr>
          <w:bCs/>
          <w:b/>
        </w:rPr>
        <w:t xml:space="preserve">Prohibidos (S0, sustancias no aprobadas):</w:t>
      </w:r>
      <w:r>
        <w:t xml:space="preserve"> </w:t>
      </w:r>
      <w:r>
        <w:t xml:space="preserve">sustancias sin autorización como medicamento de uso humano, como BPC-157, el melanotán II y los agonistas múltiples de GLP-1 que todavía están en estudio, como la retatrutida.</w:t>
      </w:r>
    </w:p>
    <w:p>
      <w:pPr>
        <w:numPr>
          <w:ilvl w:val="0"/>
          <w:numId w:val="1351"/>
        </w:numPr>
        <w:pStyle w:val="Compact"/>
      </w:pPr>
      <w:r>
        <w:rPr>
          <w:bCs/>
          <w:b/>
        </w:rPr>
        <w:t xml:space="preserve">Prohibido (S4):</w:t>
      </w:r>
      <w:r>
        <w:t xml:space="preserve"> </w:t>
      </w:r>
      <w:r>
        <w:t xml:space="preserve">MOTS-c como activador de la enzima AMPK.</w:t>
      </w:r>
    </w:p>
    <w:p>
      <w:pPr>
        <w:numPr>
          <w:ilvl w:val="0"/>
          <w:numId w:val="1351"/>
        </w:numPr>
        <w:pStyle w:val="Compact"/>
      </w:pPr>
      <w:r>
        <w:rPr>
          <w:bCs/>
          <w:b/>
        </w:rPr>
        <w:t xml:space="preserve">No prohibidos:</w:t>
      </w:r>
      <w:r>
        <w:t xml:space="preserve"> </w:t>
      </w:r>
      <w:r>
        <w:t xml:space="preserve">los medicamentos GLP-1 autorizados. No obstante, la semaglutida y la tirzepatida se incluyeron en el programa de seguimiento de la WADA para detectar un posible abuso; los laboratorios ya han desarrollado métodos de detección en sangre y en gotas de sangre seca</w:t>
      </w:r>
      <w:r>
        <w:rPr>
          <w:rStyle w:val="FootnoteReference"/>
        </w:rPr>
        <w:footnoteReference w:id="2815"/>
      </w:r>
      <w:r>
        <w:t xml:space="preserve">.</w:t>
      </w:r>
    </w:p>
    <w:p>
      <w:pPr>
        <w:pStyle w:val="FirstParagraph"/>
      </w:pPr>
      <w:r>
        <w:t xml:space="preserve">Los detalles figuran en los capítulos correspondientes. Hay tres puntos importantes para todos los péptidos.</w:t>
      </w:r>
    </w:p>
    <w:p>
      <w:pPr>
        <w:pStyle w:val="BodyText"/>
      </w:pPr>
      <w:r>
        <w:rPr>
          <w:bCs/>
          <w:b/>
        </w:rPr>
        <w:t xml:space="preserve">Productos contaminados.</w:t>
      </w:r>
      <w:r>
        <w:t xml:space="preserve"> </w:t>
      </w:r>
      <w:r>
        <w:t xml:space="preserve">Un deportista es responsable de toda sustancia prohibida que haya en su organismo, aunque proceda de un producto mal etiquetado. Los análisis de laboratorio del capítulo «Productos del mercado gris» muestran que la mercancía del mercado gris contiene a menudo otras sustancias o sustancias adicionales, y que también aparecen principios activos prohibidos en productos presentados como complementos alimenticios</w:t>
      </w:r>
      <w:r>
        <w:rPr>
          <w:rStyle w:val="FootnoteReference"/>
        </w:rPr>
        <w:footnoteReference w:id="2816"/>
      </w:r>
      <w:r>
        <w:t xml:space="preserve">.</w:t>
      </w:r>
    </w:p>
    <w:p>
      <w:pPr>
        <w:pStyle w:val="BodyText"/>
      </w:pPr>
      <w:r>
        <w:rPr>
          <w:bCs/>
          <w:b/>
        </w:rPr>
        <w:t xml:space="preserve">Variantes de diseño.</w:t>
      </w:r>
      <w:r>
        <w:t xml:space="preserve"> </w:t>
      </w:r>
      <w:r>
        <w:t xml:space="preserve">Los péptidos modificados, como Gly-GHRP-2 o Gly-ipamorelina, pretenden probablemente eludir los controles</w:t>
      </w:r>
      <w:r>
        <w:rPr>
          <w:rStyle w:val="FootnoteReference"/>
        </w:rPr>
        <w:footnoteReference w:id="2817"/>
      </w:r>
      <w:r>
        <w:t xml:space="preserve">. Su efecto y su seguridad son completamente desconocidos. La experiencia muestra que los laboratorios antidopaje actualizan sus métodos; además, las muestras se almacenan a largo plazo y pueden volver a analizarse más adelante.</w:t>
      </w:r>
    </w:p>
    <w:p>
      <w:pPr>
        <w:pStyle w:val="BodyText"/>
      </w:pPr>
      <w:r>
        <w:rPr>
          <w:bCs/>
          <w:b/>
        </w:rPr>
        <w:t xml:space="preserve">Beneficio dudoso.</w:t>
      </w:r>
      <w:r>
        <w:t xml:space="preserve"> </w:t>
      </w:r>
      <w:r>
        <w:t xml:space="preserve">Una revisión sobre los fármacos incretínicos en el deporte concluye que los ensayos clínicos no muestran una mejora uniforme del rendimiento físico en humanos y que entre el 20 y el 30 % de la pérdida de peso corresponde a masa libre de grasa</w:t>
      </w:r>
      <w:r>
        <w:rPr>
          <w:rStyle w:val="FootnoteReference"/>
        </w:rPr>
        <w:footnoteReference w:id="2818"/>
      </w:r>
      <w:r>
        <w:t xml:space="preserve">. Para los péptidos regenerativos y los liberadores de hormona del crecimiento, una revisión de medicina deportiva llega a la conclusión de que siguen siendo experimentales, con un perfil de seguridad incierto, una calidad de producto dudosa y amplias prohibiciones antidopaje</w:t>
      </w:r>
      <w:r>
        <w:rPr>
          <w:rStyle w:val="FootnoteReference"/>
        </w:rPr>
        <w:footnoteReference w:id="2819"/>
      </w:r>
      <w:r>
        <w:t xml:space="preserve">.</w:t>
      </w:r>
    </w:p>
    <w:bookmarkEnd w:id="2820"/>
    <w:bookmarkStart w:id="2821" w:name="lo-más-importante-en-pocas-palabras-2"/>
    <w:p>
      <w:pPr>
        <w:pStyle w:val="Heading3"/>
      </w:pPr>
      <w:r>
        <w:t xml:space="preserve">Lo más importante en pocas palabras</w:t>
      </w:r>
    </w:p>
    <w:p>
      <w:pPr>
        <w:numPr>
          <w:ilvl w:val="0"/>
          <w:numId w:val="1352"/>
        </w:numPr>
        <w:pStyle w:val="Compact"/>
      </w:pPr>
      <w:r>
        <w:t xml:space="preserve">En el embarazo, casi todos los péptidos no están estudiados o no están indicados. Para una exposición accidental a medicamentos GLP-1, los datos son en su mayoría tranquilizadores, pero inciertos.</w:t>
      </w:r>
    </w:p>
    <w:p>
      <w:pPr>
        <w:numPr>
          <w:ilvl w:val="0"/>
          <w:numId w:val="1352"/>
        </w:numPr>
        <w:pStyle w:val="Compact"/>
      </w:pPr>
      <w:r>
        <w:t xml:space="preserve">La tirzepatida puede reducir la absorción de la píldora; con la semaglutida no se observó. Los vómitos y la diarrea afectan a la toma de cualquier comprimido.</w:t>
      </w:r>
    </w:p>
    <w:p>
      <w:pPr>
        <w:numPr>
          <w:ilvl w:val="0"/>
          <w:numId w:val="1352"/>
        </w:numPr>
        <w:pStyle w:val="Compact"/>
      </w:pPr>
      <w:r>
        <w:t xml:space="preserve">Con los medicamentos GLP-1, el estómago permanece lleno con más frecuencia. Antes de una anestesia o una endoscopia digestiva alta, el equipo médico debe saberlo.</w:t>
      </w:r>
    </w:p>
    <w:p>
      <w:pPr>
        <w:numPr>
          <w:ilvl w:val="0"/>
          <w:numId w:val="1352"/>
        </w:numPr>
        <w:pStyle w:val="Compact"/>
      </w:pPr>
      <w:r>
        <w:t xml:space="preserve">En combinación con insulina o sulfonilureas aumenta el riesgo de hipoglucemia.</w:t>
      </w:r>
    </w:p>
    <w:p>
      <w:pPr>
        <w:numPr>
          <w:ilvl w:val="0"/>
          <w:numId w:val="1352"/>
        </w:numPr>
        <w:pStyle w:val="Compact"/>
      </w:pPr>
      <w:r>
        <w:t xml:space="preserve">Los adolescentes destacan en los datos de los centros toxicológicos por un uso indebido intencionado; en los trastornos de la conducta alimentaria, los medicamentos GLP-1 no deberían utilizarse por regla general.</w:t>
      </w:r>
    </w:p>
    <w:p>
      <w:pPr>
        <w:numPr>
          <w:ilvl w:val="0"/>
          <w:numId w:val="1352"/>
        </w:numPr>
        <w:pStyle w:val="Compact"/>
      </w:pPr>
      <w:r>
        <w:t xml:space="preserve">Alrededor de una cuarta parte de la pérdida de peso con medicamentos GLP-1 corresponde a masa libre de grasa; si esto tiene consecuencias funcionales sigue abierto.</w:t>
      </w:r>
    </w:p>
    <w:p>
      <w:pPr>
        <w:numPr>
          <w:ilvl w:val="0"/>
          <w:numId w:val="1352"/>
        </w:numPr>
        <w:pStyle w:val="Compact"/>
      </w:pPr>
      <w:r>
        <w:t xml:space="preserve">Para los deportistas, la mayoría de los péptidos están prohibidos, y los productos del mercado gris entrañan además el riesgo de sustancias dopantes no declaradas.</w:t>
      </w:r>
    </w:p>
    <w:bookmarkEnd w:id="2821"/>
    <w:bookmarkEnd w:id="2822"/>
    <w:bookmarkEnd w:id="2823"/>
    <w:bookmarkStart w:id="2975" w:name="parte-v-el-futuro"/>
    <w:p>
      <w:pPr>
        <w:pStyle w:val="Heading1"/>
      </w:pPr>
      <w:r>
        <w:t xml:space="preserve">Parte V – El futuro</w:t>
      </w:r>
    </w:p>
    <w:p>
      <w:pPr>
        <w:pStyle w:val="FirstParagraph"/>
      </w:pPr>
      <w:r>
        <w:t xml:space="preserve">Las partes anteriores han descrito lo que se sabe hoy sobre los péptidos. Esta última parte mira hacia delante: ¿qué principios activos están en los grandes estudios que terminarán en los próximos años? ¿Serán sustituidas las inyecciones por comprimidos? ¿Qué significa la expiración de las patentes para los precios y el suministro? ¿Y qué evoluciones cabe esperar hasta 2035?</w:t>
      </w:r>
    </w:p>
    <w:p>
      <w:pPr>
        <w:pStyle w:val="BodyText"/>
      </w:pPr>
      <w:r>
        <w:t xml:space="preserve">En este libro, las afirmaciones sobre el futuro se separan de forma estricta. Está</w:t>
      </w:r>
      <w:r>
        <w:t xml:space="preserve"> </w:t>
      </w:r>
      <w:r>
        <w:rPr>
          <w:bCs/>
          <w:b/>
        </w:rPr>
        <w:t xml:space="preserve">confirmado</w:t>
      </w:r>
      <w:r>
        <w:t xml:space="preserve"> </w:t>
      </w:r>
      <w:r>
        <w:t xml:space="preserve">lo que figura en un registro de ensayos, se ha publicado en un estudio revisado por pares o ha sido decidido por las autoridades. También esto es solo una instantánea: los estudios se prolongan, se reducen o se interrumpen, y las fechas de finalización previstas se aplazan a menudo años. Todo lo demás es</w:t>
      </w:r>
      <w:r>
        <w:t xml:space="preserve"> </w:t>
      </w:r>
      <w:r>
        <w:rPr>
          <w:bCs/>
          <w:b/>
        </w:rPr>
        <w:t xml:space="preserve">valoración del autor</w:t>
      </w:r>
      <w:r>
        <w:t xml:space="preserve"> </w:t>
      </w:r>
      <w:r>
        <w:t xml:space="preserve">y se identifica expresamente como tal. La investigación refleja la situación de octubre de 2026.</w:t>
      </w:r>
    </w:p>
    <w:bookmarkStart w:id="2865" w:name="Xed3d5bc9a4a70a502d06283f94b0cc5fcc874df"/>
    <w:p>
      <w:pPr>
        <w:pStyle w:val="Heading2"/>
      </w:pPr>
      <w:r>
        <w:t xml:space="preserve">La cartera de desarrollo: lo que está en fase 2 y 3</w:t>
      </w:r>
    </w:p>
    <w:p>
      <w:pPr>
        <w:pStyle w:val="FirstParagraph"/>
      </w:pPr>
      <w:r>
        <w:t xml:space="preserve">La industria farmacéutica llama «pipeline» o cartera de desarrollo al conjunto de principios activos que se encuentran en desarrollo. Las fases se explican en la Parte I: en la</w:t>
      </w:r>
      <w:r>
        <w:t xml:space="preserve"> </w:t>
      </w:r>
      <w:r>
        <w:rPr>
          <w:bCs/>
          <w:b/>
        </w:rPr>
        <w:t xml:space="preserve">fase 1</w:t>
      </w:r>
      <w:r>
        <w:t xml:space="preserve">, un principio activo se evalúa en cuanto a tolerabilidad, por lo general en pocas personas sanas; en la</w:t>
      </w:r>
      <w:r>
        <w:t xml:space="preserve"> </w:t>
      </w:r>
      <w:r>
        <w:rPr>
          <w:bCs/>
          <w:b/>
        </w:rPr>
        <w:t xml:space="preserve">fase 2</w:t>
      </w:r>
      <w:r>
        <w:t xml:space="preserve">, en algunos cientos de personas enfermas, en cuanto a eficacia y dosis adecuada; en la</w:t>
      </w:r>
      <w:r>
        <w:t xml:space="preserve"> </w:t>
      </w:r>
      <w:r>
        <w:rPr>
          <w:bCs/>
          <w:b/>
        </w:rPr>
        <w:t xml:space="preserve">fase 3</w:t>
      </w:r>
      <w:r>
        <w:t xml:space="preserve">, en miles de personas, para la autorización. La</w:t>
      </w:r>
      <w:r>
        <w:t xml:space="preserve"> </w:t>
      </w:r>
      <w:r>
        <w:rPr>
          <w:bCs/>
          <w:b/>
        </w:rPr>
        <w:t xml:space="preserve">fase 4</w:t>
      </w:r>
      <w:r>
        <w:t xml:space="preserve"> </w:t>
      </w:r>
      <w:r>
        <w:t xml:space="preserve">designa los estudios con medicamentos ya autorizados. Quien quiera saber qué podría llegar al mercado en los próximos cinco años tiene que fijarse sobre todo en la fase 3.</w:t>
      </w:r>
    </w:p>
    <w:bookmarkStart w:id="2826" w:name="cómo-se-hizo-el-análisis"/>
    <w:p>
      <w:pPr>
        <w:pStyle w:val="Heading3"/>
      </w:pPr>
      <w:r>
        <w:t xml:space="preserve">Cómo se hizo el análisis</w:t>
      </w:r>
    </w:p>
    <w:p>
      <w:pPr>
        <w:pStyle w:val="FirstParagraph"/>
      </w:pPr>
      <w:r>
        <w:t xml:space="preserve">La base son las listas del registro ClinicalTrials.gov, consultadas en octubre de 2026 para los 58 principios activos de este libro (véase la Metodología en el anexo). Un pequeño programa de análisis filtró todas las entradas que</w:t>
      </w:r>
    </w:p>
    <w:p>
      <w:pPr>
        <w:numPr>
          <w:ilvl w:val="0"/>
          <w:numId w:val="1353"/>
        </w:numPr>
        <w:pStyle w:val="Compact"/>
      </w:pPr>
      <w:r>
        <w:t xml:space="preserve">describen un estudio</w:t>
      </w:r>
      <w:r>
        <w:t xml:space="preserve"> </w:t>
      </w:r>
      <w:r>
        <w:rPr>
          <w:bCs/>
          <w:b/>
        </w:rPr>
        <w:t xml:space="preserve">intervencionista</w:t>
      </w:r>
      <w:r>
        <w:t xml:space="preserve">, es decir, un estudio en el que se administra un principio activo de forma deliberada (no una mera observación), y</w:t>
      </w:r>
    </w:p>
    <w:p>
      <w:pPr>
        <w:numPr>
          <w:ilvl w:val="0"/>
          <w:numId w:val="1353"/>
        </w:numPr>
        <w:pStyle w:val="Compact"/>
      </w:pPr>
      <w:r>
        <w:t xml:space="preserve">figuran como</w:t>
      </w:r>
      <w:r>
        <w:t xml:space="preserve"> </w:t>
      </w:r>
      <w:r>
        <w:rPr>
          <w:bCs/>
          <w:b/>
        </w:rPr>
        <w:t xml:space="preserve">en curso</w:t>
      </w:r>
      <w:r>
        <w:t xml:space="preserve">: en reclutamiento, activo sin más reclutamiento, todavía sin reclutar o con participación solo por invitación.</w:t>
      </w:r>
    </w:p>
    <w:p>
      <w:pPr>
        <w:pStyle w:val="FirstParagraph"/>
      </w:pPr>
      <w:r>
        <w:t xml:space="preserve">Los estudios que aparecen con varios principios activos, por ejemplo una comparación de retatrutida con tirzepatida, se contaron una sola vez.</w:t>
      </w:r>
    </w:p>
    <w:p>
      <w:pPr>
        <w:pStyle w:val="BodyText"/>
      </w:pPr>
      <w:r>
        <w:rPr>
          <w:bCs/>
          <w:b/>
        </w:rPr>
        <w:t xml:space="preserve">Lo que se excluyó, y por qué:</w:t>
      </w:r>
    </w:p>
    <w:p>
      <w:pPr>
        <w:numPr>
          <w:ilvl w:val="0"/>
          <w:numId w:val="1354"/>
        </w:numPr>
        <w:pStyle w:val="Compact"/>
      </w:pPr>
      <w:r>
        <w:rPr>
          <w:bCs/>
          <w:b/>
        </w:rPr>
        <w:t xml:space="preserve">Ocho entradas del promotor «Hudson Biotech»</w:t>
      </w:r>
      <w:r>
        <w:t xml:space="preserve"> </w:t>
      </w:r>
      <w:r>
        <w:t xml:space="preserve">(una para cada uno de BPC-157, GHK-Cu, melanotán II, MOTS-c, retatrutida, TB-500, tesamorelina y tirzepatida). Una entrada de este promotor se describe a sí misma, en su propia descripción, como un ejemplo ficticio (véanse los capítulos BPC-157 y TB-500). Ninguna de estas entradas se considera en este libro un estudio real.</w:t>
      </w:r>
    </w:p>
    <w:p>
      <w:pPr>
        <w:numPr>
          <w:ilvl w:val="0"/>
          <w:numId w:val="1354"/>
        </w:numPr>
        <w:pStyle w:val="Compact"/>
      </w:pPr>
      <w:r>
        <w:rPr>
          <w:bCs/>
          <w:b/>
        </w:rPr>
        <w:t xml:space="preserve">Los 1000 resultados del término de búsqueda «Gonadorelin».</w:t>
      </w:r>
      <w:r>
        <w:t xml:space="preserve"> </w:t>
      </w:r>
      <w:r>
        <w:t xml:space="preserve">Se refieren de forma muy mayoritaria a variantes sintéticas de la hormona GnRH (como la leuprorelina o la triptorelina) en el tratamiento del cáncer de próstata y de mama o en la medicina reproductiva, es decir, a otros medicamentos. Las pocas entradas sobre GnRH natural se comentan en el capítulo Gonadorelina; ninguna de ellas es un estudio de fase 3 en curso.</w:t>
      </w:r>
    </w:p>
    <w:p>
      <w:pPr>
        <w:pStyle w:val="FirstParagraph"/>
      </w:pPr>
      <w:r>
        <w:rPr>
          <w:bCs/>
          <w:b/>
        </w:rPr>
        <w:t xml:space="preserve">Lo que no se excluyó, pero se revisó:</w:t>
      </w:r>
      <w:r>
        <w:t xml:space="preserve"> </w:t>
      </w:r>
      <w:r>
        <w:t xml:space="preserve">en el glutatión, el colágeno y la carnosina, los términos de búsqueda son tan generales que muchos resultados solo mencionan la sustancia como componente de una mezcla, como comparador o como variable de medición. Así, con glutatión aparece un gran estudio sobre el dengue porque en él se evalúa la N-acetilcisteína, un precursor del glutatión</w:t>
      </w:r>
      <w:r>
        <w:rPr>
          <w:rStyle w:val="FootnoteReference"/>
        </w:rPr>
        <w:footnoteReference w:id="2824"/>
      </w:r>
      <w:r>
        <w:t xml:space="preserve">. Con larazotida aparecen dos estudios sobre un principio activo completamente distinto contra la enfermedad de Fabry</w:t>
      </w:r>
      <w:r>
        <w:rPr>
          <w:rStyle w:val="FootnoteReference"/>
        </w:rPr>
        <w:footnoteReference w:id="2825"/>
      </w:r>
      <w:r>
        <w:t xml:space="preserve">. Estos resultados están incluidos en las cifras totales, pero en la valoración no se cuentan como estudios de péptidos.</w:t>
      </w:r>
    </w:p>
    <w:p>
      <w:pPr>
        <w:pStyle w:val="BodyText"/>
      </w:pPr>
      <w:r>
        <w:rPr>
          <w:bCs/>
          <w:b/>
        </w:rPr>
        <w:t xml:space="preserve">Dos límites del análisis:</w:t>
      </w:r>
      <w:r>
        <w:t xml:space="preserve"> </w:t>
      </w:r>
      <w:r>
        <w:t xml:space="preserve">en primer lugar, no todos los promotores comunican a tiempo la finalización de su estudio; algunas entradas con fecha de finalización en 2025 figuran todavía como «en curso» en el registro. En segundo lugar, la consulta solo abarca los 58 principios activos de este libro. Las moléculas nuevas sin capítulo propio solo aparecen si se enfrentan a uno de estos principios activos. Por eso, para los nuevos principios de acción se hizo más abajo una búsqueda específica.</w:t>
      </w:r>
    </w:p>
    <w:bookmarkEnd w:id="2826"/>
    <w:bookmarkStart w:id="2834" w:name="el-resultado-en-cifras"/>
    <w:p>
      <w:pPr>
        <w:pStyle w:val="Heading3"/>
      </w:pPr>
      <w:r>
        <w:t xml:space="preserve">El resultado en cifras</w:t>
      </w:r>
    </w:p>
    <w:p>
      <w:pPr>
        <w:pStyle w:val="FirstParagraph"/>
      </w:pPr>
      <w:r>
        <w:t xml:space="preserve">Tras las exclusiones quedaron 730 estudios intervencionistas en curso. De ellos, 568, algo más de tres cuartas partes, se refieren a principios activos del grupo A (metabolismo y peso).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estudios en curso en total</w:t>
            </w:r>
          </w:p>
        </w:tc>
        <w:tc>
          <w:tcPr/>
          <w:p>
            <w:pPr>
              <w:pStyle w:val="Compact"/>
              <w:jc w:val="left"/>
            </w:pPr>
            <w:r>
              <w:t xml:space="preserve">de ellos, grupo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sin indicación de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De los 157 estudios de fase 3 en curso, 68 todavía estaban reclutando, 54 estaban activos sin más inclusiones y 35 aún no habían comenzado. Si se añaden los estudios combinados de fase 2/3, hay 176 estudios tardíos; 157 de ellos (142 en fase 3, 15 en fase 2/3), casi nueve de cada diez, pertenecen al grupo A.</w:t>
      </w:r>
    </w:p>
    <w:p>
      <w:pPr>
        <w:pStyle w:val="BodyText"/>
      </w:pPr>
      <w:r>
        <w:t xml:space="preserve">En el grupo A, aproximadamente uno de cada tres de estos estudios tardíos está promovido por universidades y hospitales, y los demás por empresas. Las fechas de finalización previstas se distribuyen así: 21 estudios deben terminar en 2026, 49 en 2027, 41 en 2028 y 44 entre 2029 y 2033. La verdadera ola de nuevos resultados llegará, por tanto, en 2027 y 2028.</w:t>
      </w:r>
    </w:p>
    <w:p>
      <w:pPr>
        <w:pStyle w:val="BodyText"/>
      </w:pPr>
      <w:r>
        <w:rPr>
          <w:bCs/>
          <w:b/>
        </w:rPr>
        <w:t xml:space="preserve">Los grupos B a F</w:t>
      </w:r>
      <w:r>
        <w:t xml:space="preserve"> </w:t>
      </w:r>
      <w:r>
        <w:t xml:space="preserve">tienen un aspecto completamente distinto. Tras revisar las entradas, solo quedan cinco estudios de fase 3 en curso en los que un principio activo de este libro es realmente el fármaco en investigación: la timosina alfa 1 tras cirugía de cáncer colorrectal</w:t>
      </w:r>
      <w:r>
        <w:rPr>
          <w:rStyle w:val="FootnoteReference"/>
        </w:rPr>
        <w:footnoteReference w:id="2827"/>
      </w:r>
      <w:r>
        <w:t xml:space="preserve">, un colirio de timosina beta 4 en la queratopatía neurotrófica</w:t>
      </w:r>
      <w:r>
        <w:rPr>
          <w:rStyle w:val="FootnoteReference"/>
        </w:rPr>
        <w:footnoteReference w:id="2828"/>
      </w:r>
      <w:r>
        <w:t xml:space="preserve">, la elamipretida en la degeneración macular seca</w:t>
      </w:r>
      <w:r>
        <w:rPr>
          <w:rStyle w:val="FootnoteReference"/>
        </w:rPr>
        <w:footnoteReference w:id="2829"/>
      </w:r>
      <w:r>
        <w:t xml:space="preserve">, la afamelanotida en el vitíligo</w:t>
      </w:r>
      <w:r>
        <w:rPr>
          <w:rStyle w:val="FootnoteReference"/>
        </w:rPr>
        <w:footnoteReference w:id="2830"/>
      </w:r>
      <w:r>
        <w:t xml:space="preserve"> </w:t>
      </w:r>
      <w:r>
        <w:t xml:space="preserve">y el ibutamoreno, que no es un péptido, en niños con déficit de hormona del crecimiento</w:t>
      </w:r>
      <w:r>
        <w:rPr>
          <w:rStyle w:val="FootnoteReference"/>
        </w:rPr>
        <w:footnoteReference w:id="2831"/>
      </w:r>
      <w:r>
        <w:t xml:space="preserve">. A ellos se suman algunos estudios combinados de fase 2/3, por ejemplo sobre oxitocina en espray nasal en el dolor crónico</w:t>
      </w:r>
      <w:r>
        <w:rPr>
          <w:rStyle w:val="FootnoteReference"/>
        </w:rPr>
        <w:footnoteReference w:id="2832"/>
      </w:r>
      <w:r>
        <w:t xml:space="preserve"> </w:t>
      </w:r>
      <w:r>
        <w:t xml:space="preserve">y sobre timosina alfa 1 en el fallo de implantación recurrente tras fecundación in vitro</w:t>
      </w:r>
      <w:r>
        <w:rPr>
          <w:rStyle w:val="FootnoteReference"/>
        </w:rPr>
        <w:footnoteReference w:id="2833"/>
      </w:r>
      <w:r>
        <w:t xml:space="preserve">. Para los «péptidos de investigación» más populares en internet (BPC-157, CJC-1295, ipamorelina, epitalon, Semax, Selank) no hay en curso ni un solo estudio de fase 3.</w:t>
      </w:r>
    </w:p>
    <w:bookmarkEnd w:id="2834"/>
    <w:bookmarkStart w:id="2835" w:name="X8f382b2dbff10b36258a0047c84908161085967"/>
    <w:p>
      <w:pPr>
        <w:pStyle w:val="Heading3"/>
      </w:pPr>
      <w:r>
        <w:t xml:space="preserve">Los estudios de fase 3 en curso más importantes</w:t>
      </w:r>
    </w:p>
    <w:p>
      <w:pPr>
        <w:pStyle w:val="FirstParagraph"/>
      </w:pPr>
      <w:r>
        <w:t xml:space="preserve">Las siguientes tablas muestran una selección según tamaño y relevancia. «Finalización prevista» es la fecha de finalización del estudio indicada en el registro (situación en octubre de 2026); la variable principal se analiza a menudo algunos meses antes, y las publicaciones suelen llegar entre medio año y un año después.</w:t>
      </w:r>
    </w:p>
    <w:p>
      <w:pPr>
        <w:pStyle w:val="BodyText"/>
      </w:pPr>
      <w:r>
        <w:rPr>
          <w:bCs/>
          <w:b/>
        </w:rPr>
        <w:t xml:space="preserve">Metabolismo y peso (grupo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 / NCT</w:t>
            </w:r>
          </w:p>
        </w:tc>
        <w:tc>
          <w:tcPr/>
          <w:p>
            <w:pPr>
              <w:pStyle w:val="Compact"/>
              <w:jc w:val="left"/>
            </w:pPr>
            <w:r>
              <w:t xml:space="preserve">Principio activo</w:t>
            </w:r>
          </w:p>
        </w:tc>
        <w:tc>
          <w:tcPr/>
          <w:p>
            <w:pPr>
              <w:pStyle w:val="Compact"/>
              <w:jc w:val="left"/>
            </w:pPr>
            <w:r>
              <w:t xml:space="preserve">Pregunta</w:t>
            </w:r>
          </w:p>
        </w:tc>
        <w:tc>
          <w:tcPr/>
          <w:p>
            <w:pPr>
              <w:pStyle w:val="Compact"/>
              <w:jc w:val="left"/>
            </w:pPr>
            <w:r>
              <w:t xml:space="preserve">Finalización prevista</w:t>
            </w:r>
          </w:p>
        </w:tc>
      </w:tr>
      <w:tr>
        <w:tc>
          <w:tcPr/>
          <w:p>
            <w:pPr>
              <w:pStyle w:val="Compact"/>
              <w:jc w:val="left"/>
            </w:pPr>
            <w:r>
              <w:t xml:space="preserve">TRIUMPH-5, NCT06662383</w:t>
            </w:r>
          </w:p>
        </w:tc>
        <w:tc>
          <w:tcPr/>
          <w:p>
            <w:pPr>
              <w:pStyle w:val="Compact"/>
              <w:jc w:val="left"/>
            </w:pPr>
            <w:r>
              <w:t xml:space="preserve">Retatrutida frente a tirzepatida</w:t>
            </w:r>
          </w:p>
        </w:tc>
        <w:tc>
          <w:tcPr/>
          <w:p>
            <w:pPr>
              <w:pStyle w:val="Compact"/>
              <w:jc w:val="left"/>
            </w:pPr>
            <w:r>
              <w:t xml:space="preserve">pérdida de peso, 800 adultos</w:t>
            </w:r>
          </w:p>
        </w:tc>
        <w:tc>
          <w:tcPr/>
          <w:p>
            <w:pPr>
              <w:pStyle w:val="Compact"/>
              <w:jc w:val="left"/>
            </w:pPr>
            <w:r>
              <w:t xml:space="preserve">diciembre de 2026</w:t>
            </w:r>
          </w:p>
        </w:tc>
      </w:tr>
      <w:tr>
        <w:tc>
          <w:tcPr/>
          <w:p>
            <w:pPr>
              <w:pStyle w:val="Compact"/>
              <w:jc w:val="left"/>
            </w:pPr>
            <w:r>
              <w:t xml:space="preserve">MARITIME-1, NCT06858839</w:t>
            </w:r>
          </w:p>
        </w:tc>
        <w:tc>
          <w:tcPr/>
          <w:p>
            <w:pPr>
              <w:pStyle w:val="Compact"/>
              <w:jc w:val="left"/>
            </w:pPr>
            <w:r>
              <w:t xml:space="preserve">Maridebart cafraglutida</w:t>
            </w:r>
          </w:p>
        </w:tc>
        <w:tc>
          <w:tcPr/>
          <w:p>
            <w:pPr>
              <w:pStyle w:val="Compact"/>
              <w:jc w:val="left"/>
            </w:pPr>
            <w:r>
              <w:t xml:space="preserve">pérdida de peso sin diabetes, 3853 participantes</w:t>
            </w:r>
          </w:p>
        </w:tc>
        <w:tc>
          <w:tcPr/>
          <w:p>
            <w:pPr>
              <w:pStyle w:val="Compact"/>
              <w:jc w:val="left"/>
            </w:pPr>
            <w:r>
              <w:t xml:space="preserve">abril de 2027</w:t>
            </w:r>
          </w:p>
        </w:tc>
      </w:tr>
      <w:tr>
        <w:tc>
          <w:tcPr/>
          <w:p>
            <w:pPr>
              <w:pStyle w:val="Compact"/>
              <w:jc w:val="left"/>
            </w:pPr>
            <w:r>
              <w:t xml:space="preserve">SURMOUNT-MMO, NCT05556512</w:t>
            </w:r>
          </w:p>
        </w:tc>
        <w:tc>
          <w:tcPr/>
          <w:p>
            <w:pPr>
              <w:pStyle w:val="Compact"/>
              <w:jc w:val="left"/>
            </w:pPr>
            <w:r>
              <w:t xml:space="preserve">Tirzepatida</w:t>
            </w:r>
          </w:p>
        </w:tc>
        <w:tc>
          <w:tcPr/>
          <w:p>
            <w:pPr>
              <w:pStyle w:val="Compact"/>
              <w:jc w:val="left"/>
            </w:pPr>
            <w:r>
              <w:t xml:space="preserve">acontecimientos cardiovasculares y muerte, 15.374 participantes</w:t>
            </w:r>
          </w:p>
        </w:tc>
        <w:tc>
          <w:tcPr/>
          <w:p>
            <w:pPr>
              <w:pStyle w:val="Compact"/>
              <w:jc w:val="left"/>
            </w:pPr>
            <w:r>
              <w:t xml:space="preserve">octubre de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acontecimientos cardiovasculares, 7101 participantes</w:t>
            </w:r>
          </w:p>
        </w:tc>
        <w:tc>
          <w:tcPr/>
          <w:p>
            <w:pPr>
              <w:pStyle w:val="Compact"/>
              <w:jc w:val="left"/>
            </w:pPr>
            <w:r>
              <w:t xml:space="preserve">octubre de 2027</w:t>
            </w:r>
          </w:p>
        </w:tc>
      </w:tr>
      <w:tr>
        <w:tc>
          <w:tcPr/>
          <w:p>
            <w:pPr>
              <w:pStyle w:val="Compact"/>
              <w:jc w:val="left"/>
            </w:pPr>
            <w:r>
              <w:t xml:space="preserve">NCT07564414</w:t>
            </w:r>
          </w:p>
        </w:tc>
        <w:tc>
          <w:tcPr/>
          <w:p>
            <w:pPr>
              <w:pStyle w:val="Compact"/>
              <w:jc w:val="left"/>
            </w:pPr>
            <w:r>
              <w:t xml:space="preserve">CagriSema (dosis más altas) frente a semaglutida</w:t>
            </w:r>
          </w:p>
        </w:tc>
        <w:tc>
          <w:tcPr/>
          <w:p>
            <w:pPr>
              <w:pStyle w:val="Compact"/>
              <w:jc w:val="left"/>
            </w:pPr>
            <w:r>
              <w:t xml:space="preserve">pérdida de peso, 2500 participantes</w:t>
            </w:r>
          </w:p>
        </w:tc>
        <w:tc>
          <w:tcPr/>
          <w:p>
            <w:pPr>
              <w:pStyle w:val="Compact"/>
              <w:jc w:val="left"/>
            </w:pPr>
            <w:r>
              <w:t xml:space="preserve">abril de 2028</w:t>
            </w:r>
          </w:p>
        </w:tc>
      </w:tr>
      <w:tr>
        <w:tc>
          <w:tcPr/>
          <w:p>
            <w:pPr>
              <w:pStyle w:val="Compact"/>
              <w:jc w:val="left"/>
            </w:pPr>
            <w:r>
              <w:t xml:space="preserve">TRIUMPH-6, NCT06859268</w:t>
            </w:r>
          </w:p>
        </w:tc>
        <w:tc>
          <w:tcPr/>
          <w:p>
            <w:pPr>
              <w:pStyle w:val="Compact"/>
              <w:jc w:val="left"/>
            </w:pPr>
            <w:r>
              <w:t xml:space="preserve">Retatrutida</w:t>
            </w:r>
          </w:p>
        </w:tc>
        <w:tc>
          <w:tcPr/>
          <w:p>
            <w:pPr>
              <w:pStyle w:val="Compact"/>
              <w:jc w:val="left"/>
            </w:pPr>
            <w:r>
              <w:t xml:space="preserve">mantenimiento del peso tras la pérdida, 643 participantes</w:t>
            </w:r>
          </w:p>
        </w:tc>
        <w:tc>
          <w:tcPr/>
          <w:p>
            <w:pPr>
              <w:pStyle w:val="Compact"/>
              <w:jc w:val="left"/>
            </w:pPr>
            <w:r>
              <w:t xml:space="preserve">abril de 2028</w:t>
            </w:r>
          </w:p>
        </w:tc>
      </w:tr>
      <w:tr>
        <w:tc>
          <w:tcPr/>
          <w:p>
            <w:pPr>
              <w:pStyle w:val="Compact"/>
              <w:jc w:val="left"/>
            </w:pPr>
            <w:r>
              <w:t xml:space="preserve">TRIUMPH-Outcomes, NCT06383390</w:t>
            </w:r>
          </w:p>
        </w:tc>
        <w:tc>
          <w:tcPr/>
          <w:p>
            <w:pPr>
              <w:pStyle w:val="Compact"/>
              <w:jc w:val="left"/>
            </w:pPr>
            <w:r>
              <w:t xml:space="preserve">Retatrutida</w:t>
            </w:r>
          </w:p>
        </w:tc>
        <w:tc>
          <w:tcPr/>
          <w:p>
            <w:pPr>
              <w:pStyle w:val="Compact"/>
              <w:jc w:val="left"/>
            </w:pPr>
            <w:r>
              <w:t xml:space="preserve">acontecimientos cardiacos y renales, 10.000 participantes</w:t>
            </w:r>
          </w:p>
        </w:tc>
        <w:tc>
          <w:tcPr/>
          <w:p>
            <w:pPr>
              <w:pStyle w:val="Compact"/>
              <w:jc w:val="left"/>
            </w:pPr>
            <w:r>
              <w:t xml:space="preserve">febrero de 2029</w:t>
            </w:r>
          </w:p>
        </w:tc>
      </w:tr>
      <w:tr>
        <w:tc>
          <w:tcPr/>
          <w:p>
            <w:pPr>
              <w:pStyle w:val="Compact"/>
              <w:jc w:val="left"/>
            </w:pPr>
            <w:r>
              <w:t xml:space="preserve">ESSENCE, NCT04822181</w:t>
            </w:r>
          </w:p>
        </w:tc>
        <w:tc>
          <w:tcPr/>
          <w:p>
            <w:pPr>
              <w:pStyle w:val="Compact"/>
              <w:jc w:val="left"/>
            </w:pPr>
            <w:r>
              <w:t xml:space="preserve">Semaglutida</w:t>
            </w:r>
          </w:p>
        </w:tc>
        <w:tc>
          <w:tcPr/>
          <w:p>
            <w:pPr>
              <w:pStyle w:val="Compact"/>
              <w:jc w:val="left"/>
            </w:pPr>
            <w:r>
              <w:t xml:space="preserve">hígado graso (MASH), 1205 participantes</w:t>
            </w:r>
          </w:p>
        </w:tc>
        <w:tc>
          <w:tcPr/>
          <w:p>
            <w:pPr>
              <w:pStyle w:val="Compact"/>
              <w:jc w:val="left"/>
            </w:pPr>
            <w:r>
              <w:t xml:space="preserve">abril de 2029</w:t>
            </w:r>
          </w:p>
        </w:tc>
      </w:tr>
      <w:tr>
        <w:tc>
          <w:tcPr/>
          <w:p>
            <w:pPr>
              <w:pStyle w:val="Compact"/>
              <w:jc w:val="left"/>
            </w:pPr>
            <w:r>
              <w:t xml:space="preserve">LIVERAGE-Cirrhosis, NCT06632457</w:t>
            </w:r>
          </w:p>
        </w:tc>
        <w:tc>
          <w:tcPr/>
          <w:p>
            <w:pPr>
              <w:pStyle w:val="Compact"/>
              <w:jc w:val="left"/>
            </w:pPr>
            <w:r>
              <w:t xml:space="preserve">Survodutida</w:t>
            </w:r>
          </w:p>
        </w:tc>
        <w:tc>
          <w:tcPr/>
          <w:p>
            <w:pPr>
              <w:pStyle w:val="Compact"/>
              <w:jc w:val="left"/>
            </w:pPr>
            <w:r>
              <w:t xml:space="preserve">complicaciones hepáticas en la cirrosis, 1590 participantes</w:t>
            </w:r>
          </w:p>
        </w:tc>
        <w:tc>
          <w:tcPr/>
          <w:p>
            <w:pPr>
              <w:pStyle w:val="Compact"/>
              <w:jc w:val="left"/>
            </w:pPr>
            <w:r>
              <w:t xml:space="preserve">junio de 2029</w:t>
            </w:r>
          </w:p>
        </w:tc>
      </w:tr>
      <w:tr>
        <w:tc>
          <w:tcPr/>
          <w:p>
            <w:pPr>
              <w:pStyle w:val="Compact"/>
              <w:jc w:val="left"/>
            </w:pPr>
            <w:r>
              <w:t xml:space="preserve">AMAZE 1, NCT07339423</w:t>
            </w:r>
          </w:p>
        </w:tc>
        <w:tc>
          <w:tcPr/>
          <w:p>
            <w:pPr>
              <w:pStyle w:val="Compact"/>
              <w:jc w:val="left"/>
            </w:pPr>
            <w:r>
              <w:t xml:space="preserve">Amicretina (zenagamtida)</w:t>
            </w:r>
          </w:p>
        </w:tc>
        <w:tc>
          <w:tcPr/>
          <w:p>
            <w:pPr>
              <w:pStyle w:val="Compact"/>
              <w:jc w:val="left"/>
            </w:pPr>
            <w:r>
              <w:t xml:space="preserve">pérdida de peso, 1150 participantes</w:t>
            </w:r>
          </w:p>
        </w:tc>
        <w:tc>
          <w:tcPr/>
          <w:p>
            <w:pPr>
              <w:pStyle w:val="Compact"/>
              <w:jc w:val="left"/>
            </w:pPr>
            <w:r>
              <w:t xml:space="preserve">agosto de 2029</w:t>
            </w:r>
          </w:p>
        </w:tc>
      </w:tr>
      <w:tr>
        <w:tc>
          <w:tcPr/>
          <w:p>
            <w:pPr>
              <w:pStyle w:val="Compact"/>
              <w:jc w:val="left"/>
            </w:pPr>
            <w:r>
              <w:t xml:space="preserve">MARITIME-CV, NCT07037433</w:t>
            </w:r>
          </w:p>
        </w:tc>
        <w:tc>
          <w:tcPr/>
          <w:p>
            <w:pPr>
              <w:pStyle w:val="Compact"/>
              <w:jc w:val="left"/>
            </w:pPr>
            <w:r>
              <w:t xml:space="preserve">Maridebart cafraglutida</w:t>
            </w:r>
          </w:p>
        </w:tc>
        <w:tc>
          <w:tcPr/>
          <w:p>
            <w:pPr>
              <w:pStyle w:val="Compact"/>
              <w:jc w:val="left"/>
            </w:pPr>
            <w:r>
              <w:t xml:space="preserve">acontecimientos cardiovasculares, 12.800 participantes</w:t>
            </w:r>
          </w:p>
        </w:tc>
        <w:tc>
          <w:tcPr/>
          <w:p>
            <w:pPr>
              <w:pStyle w:val="Compact"/>
              <w:jc w:val="left"/>
            </w:pPr>
            <w:r>
              <w:t xml:space="preserve">septiembre de 2030</w:t>
            </w:r>
          </w:p>
        </w:tc>
      </w:tr>
      <w:tr>
        <w:tc>
          <w:tcPr/>
          <w:p>
            <w:pPr>
              <w:pStyle w:val="Compact"/>
              <w:jc w:val="left"/>
            </w:pPr>
            <w:r>
              <w:t xml:space="preserve">MARITIME-HF, NCT07037459</w:t>
            </w:r>
          </w:p>
        </w:tc>
        <w:tc>
          <w:tcPr/>
          <w:p>
            <w:pPr>
              <w:pStyle w:val="Compact"/>
              <w:jc w:val="left"/>
            </w:pPr>
            <w:r>
              <w:t xml:space="preserve">Maridebart cafraglutida</w:t>
            </w:r>
          </w:p>
        </w:tc>
        <w:tc>
          <w:tcPr/>
          <w:p>
            <w:pPr>
              <w:pStyle w:val="Compact"/>
              <w:jc w:val="left"/>
            </w:pPr>
            <w:r>
              <w:t xml:space="preserve">insuficiencia cardiaca con obesidad, 5056 participantes</w:t>
            </w:r>
          </w:p>
        </w:tc>
        <w:tc>
          <w:tcPr/>
          <w:p>
            <w:pPr>
              <w:pStyle w:val="Compact"/>
              <w:jc w:val="left"/>
            </w:pPr>
            <w:r>
              <w:t xml:space="preserve">septiembre de 2030</w:t>
            </w:r>
          </w:p>
        </w:tc>
      </w:tr>
      <w:tr>
        <w:tc>
          <w:tcPr/>
          <w:p>
            <w:pPr>
              <w:pStyle w:val="Compact"/>
              <w:jc w:val="left"/>
            </w:pPr>
            <w:r>
              <w:t xml:space="preserve">AMBIENCE, NCT07861100</w:t>
            </w:r>
          </w:p>
        </w:tc>
        <w:tc>
          <w:tcPr/>
          <w:p>
            <w:pPr>
              <w:pStyle w:val="Compact"/>
              <w:jc w:val="left"/>
            </w:pPr>
            <w:r>
              <w:t xml:space="preserve">Amicretina (zenagamtida)</w:t>
            </w:r>
          </w:p>
        </w:tc>
        <w:tc>
          <w:tcPr/>
          <w:p>
            <w:pPr>
              <w:pStyle w:val="Compact"/>
              <w:jc w:val="left"/>
            </w:pPr>
            <w:r>
              <w:t xml:space="preserve">acontecimientos cardiovasculares, 8500 previstos</w:t>
            </w:r>
          </w:p>
        </w:tc>
        <w:tc>
          <w:tcPr/>
          <w:p>
            <w:pPr>
              <w:pStyle w:val="Compact"/>
              <w:jc w:val="left"/>
            </w:pPr>
            <w:r>
              <w:t xml:space="preserve">septiembre de 2030</w:t>
            </w:r>
          </w:p>
        </w:tc>
      </w:tr>
      <w:tr>
        <w:tc>
          <w:tcPr/>
          <w:p>
            <w:pPr>
              <w:pStyle w:val="Compact"/>
              <w:jc w:val="left"/>
            </w:pPr>
            <w:r>
              <w:t xml:space="preserve">ATTAIN-Outcomes, NCT07241390</w:t>
            </w:r>
          </w:p>
        </w:tc>
        <w:tc>
          <w:tcPr/>
          <w:p>
            <w:pPr>
              <w:pStyle w:val="Compact"/>
              <w:jc w:val="left"/>
            </w:pPr>
            <w:r>
              <w:t xml:space="preserve">Orforglipron (no es un péptido)</w:t>
            </w:r>
          </w:p>
        </w:tc>
        <w:tc>
          <w:tcPr/>
          <w:p>
            <w:pPr>
              <w:pStyle w:val="Compact"/>
              <w:jc w:val="left"/>
            </w:pPr>
            <w:r>
              <w:t xml:space="preserve">acontecimientos cardiovasculares, 7140 participantes</w:t>
            </w:r>
          </w:p>
        </w:tc>
        <w:tc>
          <w:tcPr/>
          <w:p>
            <w:pPr>
              <w:pStyle w:val="Compact"/>
              <w:jc w:val="left"/>
            </w:pPr>
            <w:r>
              <w:t xml:space="preserve">agosto de 2031</w:t>
            </w:r>
          </w:p>
        </w:tc>
      </w:tr>
      <w:tr>
        <w:tc>
          <w:tcPr/>
          <w:p>
            <w:pPr>
              <w:pStyle w:val="Compact"/>
              <w:jc w:val="left"/>
            </w:pPr>
            <w:r>
              <w:t xml:space="preserve">LIVERAGE, NCT06632444</w:t>
            </w:r>
          </w:p>
        </w:tc>
        <w:tc>
          <w:tcPr/>
          <w:p>
            <w:pPr>
              <w:pStyle w:val="Compact"/>
              <w:jc w:val="left"/>
            </w:pPr>
            <w:r>
              <w:t xml:space="preserve">Survodutida</w:t>
            </w:r>
          </w:p>
        </w:tc>
        <w:tc>
          <w:tcPr/>
          <w:p>
            <w:pPr>
              <w:pStyle w:val="Compact"/>
              <w:jc w:val="left"/>
            </w:pPr>
            <w:r>
              <w:t xml:space="preserve">MASH con fibrosis, 1800 participantes</w:t>
            </w:r>
          </w:p>
        </w:tc>
        <w:tc>
          <w:tcPr/>
          <w:p>
            <w:pPr>
              <w:pStyle w:val="Compact"/>
              <w:jc w:val="left"/>
            </w:pPr>
            <w:r>
              <w:t xml:space="preserve">diciembre de 2031</w:t>
            </w:r>
          </w:p>
        </w:tc>
      </w:tr>
      <w:tr>
        <w:tc>
          <w:tcPr/>
          <w:p>
            <w:pPr>
              <w:pStyle w:val="Compact"/>
              <w:jc w:val="left"/>
            </w:pPr>
            <w:r>
              <w:t xml:space="preserve">SYNERGY-Outcomes, NCT07165028</w:t>
            </w:r>
          </w:p>
        </w:tc>
        <w:tc>
          <w:tcPr/>
          <w:p>
            <w:pPr>
              <w:pStyle w:val="Compact"/>
              <w:jc w:val="left"/>
            </w:pPr>
            <w:r>
              <w:t xml:space="preserve">Tirzepatida y retatrutida</w:t>
            </w:r>
          </w:p>
        </w:tc>
        <w:tc>
          <w:tcPr/>
          <w:p>
            <w:pPr>
              <w:pStyle w:val="Compact"/>
              <w:jc w:val="left"/>
            </w:pPr>
            <w:r>
              <w:t xml:space="preserve">acontecimientos hepáticos graves, 4500 participantes</w:t>
            </w:r>
          </w:p>
        </w:tc>
        <w:tc>
          <w:tcPr/>
          <w:p>
            <w:pPr>
              <w:pStyle w:val="Compact"/>
              <w:jc w:val="left"/>
            </w:pPr>
            <w:r>
              <w:t xml:space="preserve">agosto de 2032</w:t>
            </w:r>
          </w:p>
        </w:tc>
      </w:tr>
    </w:tbl>
    <w:p>
      <w:pPr>
        <w:pStyle w:val="BodyText"/>
      </w:pPr>
      <w:r>
        <w:rPr>
          <w:bCs/>
          <w:b/>
        </w:rPr>
        <w:t xml:space="preserve">Otros grupos: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 / NCT</w:t>
            </w:r>
          </w:p>
        </w:tc>
        <w:tc>
          <w:tcPr/>
          <w:p>
            <w:pPr>
              <w:pStyle w:val="Compact"/>
              <w:jc w:val="left"/>
            </w:pPr>
            <w:r>
              <w:t xml:space="preserve">Principio activo</w:t>
            </w:r>
          </w:p>
        </w:tc>
        <w:tc>
          <w:tcPr/>
          <w:p>
            <w:pPr>
              <w:pStyle w:val="Compact"/>
              <w:jc w:val="left"/>
            </w:pPr>
            <w:r>
              <w:t xml:space="preserve">Pregunta</w:t>
            </w:r>
          </w:p>
        </w:tc>
        <w:tc>
          <w:tcPr/>
          <w:p>
            <w:pPr>
              <w:pStyle w:val="Compact"/>
              <w:jc w:val="left"/>
            </w:pPr>
            <w:r>
              <w:t xml:space="preserve">Finalización prevista</w:t>
            </w:r>
          </w:p>
        </w:tc>
      </w:tr>
      <w:tr>
        <w:tc>
          <w:tcPr/>
          <w:p>
            <w:pPr>
              <w:pStyle w:val="Compact"/>
              <w:jc w:val="left"/>
            </w:pPr>
            <w:r>
              <w:t xml:space="preserve">SEER-2, NCT05555589</w:t>
            </w:r>
          </w:p>
        </w:tc>
        <w:tc>
          <w:tcPr/>
          <w:p>
            <w:pPr>
              <w:pStyle w:val="Compact"/>
              <w:jc w:val="left"/>
            </w:pPr>
            <w:r>
              <w:t xml:space="preserve">Timosina beta 4 (colirio)</w:t>
            </w:r>
          </w:p>
        </w:tc>
        <w:tc>
          <w:tcPr/>
          <w:p>
            <w:pPr>
              <w:pStyle w:val="Compact"/>
              <w:jc w:val="left"/>
            </w:pPr>
            <w:r>
              <w:t xml:space="preserve">curación de la córnea, 70 participantes</w:t>
            </w:r>
          </w:p>
        </w:tc>
        <w:tc>
          <w:tcPr/>
          <w:p>
            <w:pPr>
              <w:pStyle w:val="Compact"/>
              <w:jc w:val="left"/>
            </w:pPr>
            <w:r>
              <w:t xml:space="preserve">mayo de 2026 (resultado pendiente)</w:t>
            </w:r>
          </w:p>
        </w:tc>
      </w:tr>
      <w:tr>
        <w:tc>
          <w:tcPr/>
          <w:p>
            <w:pPr>
              <w:pStyle w:val="Compact"/>
              <w:jc w:val="left"/>
            </w:pPr>
            <w:r>
              <w:t xml:space="preserve">NCT06109649</w:t>
            </w:r>
          </w:p>
        </w:tc>
        <w:tc>
          <w:tcPr/>
          <w:p>
            <w:pPr>
              <w:pStyle w:val="Compact"/>
              <w:jc w:val="left"/>
            </w:pPr>
            <w:r>
              <w:t xml:space="preserve">Afamelanotida</w:t>
            </w:r>
          </w:p>
        </w:tc>
        <w:tc>
          <w:tcPr/>
          <w:p>
            <w:pPr>
              <w:pStyle w:val="Compact"/>
              <w:jc w:val="left"/>
            </w:pPr>
            <w:r>
              <w:t xml:space="preserve">vitíligo con fototerapia, 200 participantes</w:t>
            </w:r>
          </w:p>
        </w:tc>
        <w:tc>
          <w:tcPr/>
          <w:p>
            <w:pPr>
              <w:pStyle w:val="Compact"/>
              <w:jc w:val="left"/>
            </w:pPr>
            <w:r>
              <w:t xml:space="preserve">junio de 2026 (resultado pendiente)</w:t>
            </w:r>
          </w:p>
        </w:tc>
      </w:tr>
      <w:tr>
        <w:tc>
          <w:tcPr/>
          <w:p>
            <w:pPr>
              <w:pStyle w:val="Compact"/>
              <w:jc w:val="left"/>
            </w:pPr>
            <w:r>
              <w:t xml:space="preserve">NCT05086614</w:t>
            </w:r>
          </w:p>
        </w:tc>
        <w:tc>
          <w:tcPr/>
          <w:p>
            <w:pPr>
              <w:pStyle w:val="Compact"/>
              <w:jc w:val="left"/>
            </w:pPr>
            <w:r>
              <w:t xml:space="preserve">Timosina alfa 1</w:t>
            </w:r>
          </w:p>
        </w:tc>
        <w:tc>
          <w:tcPr/>
          <w:p>
            <w:pPr>
              <w:pStyle w:val="Compact"/>
              <w:jc w:val="left"/>
            </w:pPr>
            <w:r>
              <w:t xml:space="preserve">supervivencia libre de enfermedad tras cáncer colorrectal, 2500 participantes</w:t>
            </w:r>
          </w:p>
        </w:tc>
        <w:tc>
          <w:tcPr/>
          <w:p>
            <w:pPr>
              <w:pStyle w:val="Compact"/>
              <w:jc w:val="left"/>
            </w:pPr>
            <w:r>
              <w:t xml:space="preserve">marzo de 2027</w:t>
            </w:r>
          </w:p>
        </w:tc>
      </w:tr>
      <w:tr>
        <w:tc>
          <w:tcPr/>
          <w:p>
            <w:pPr>
              <w:pStyle w:val="Compact"/>
              <w:jc w:val="left"/>
            </w:pPr>
            <w:r>
              <w:t xml:space="preserve">ReNEW, NCT06373731</w:t>
            </w:r>
          </w:p>
        </w:tc>
        <w:tc>
          <w:tcPr/>
          <w:p>
            <w:pPr>
              <w:pStyle w:val="Compact"/>
              <w:jc w:val="left"/>
            </w:pPr>
            <w:r>
              <w:t xml:space="preserve">Elamipretida (SS-31)</w:t>
            </w:r>
          </w:p>
        </w:tc>
        <w:tc>
          <w:tcPr/>
          <w:p>
            <w:pPr>
              <w:pStyle w:val="Compact"/>
              <w:jc w:val="left"/>
            </w:pPr>
            <w:r>
              <w:t xml:space="preserve">degeneración macular seca, 313 participantes</w:t>
            </w:r>
          </w:p>
        </w:tc>
        <w:tc>
          <w:tcPr/>
          <w:p>
            <w:pPr>
              <w:pStyle w:val="Compact"/>
              <w:jc w:val="left"/>
            </w:pPr>
            <w:r>
              <w:t xml:space="preserve">septiembre de 2027</w:t>
            </w:r>
          </w:p>
        </w:tc>
      </w:tr>
      <w:tr>
        <w:tc>
          <w:tcPr/>
          <w:p>
            <w:pPr>
              <w:pStyle w:val="Compact"/>
              <w:jc w:val="left"/>
            </w:pPr>
            <w:r>
              <w:t xml:space="preserve">NCT06948214</w:t>
            </w:r>
          </w:p>
        </w:tc>
        <w:tc>
          <w:tcPr/>
          <w:p>
            <w:pPr>
              <w:pStyle w:val="Compact"/>
              <w:jc w:val="left"/>
            </w:pPr>
            <w:r>
              <w:t xml:space="preserve">Ibutamoreno (LUM-201, no es un péptido)</w:t>
            </w:r>
          </w:p>
        </w:tc>
        <w:tc>
          <w:tcPr/>
          <w:p>
            <w:pPr>
              <w:pStyle w:val="Compact"/>
              <w:jc w:val="left"/>
            </w:pPr>
            <w:r>
              <w:t xml:space="preserve">crecimiento en niños con déficit hormonal, 150 participantes</w:t>
            </w:r>
          </w:p>
        </w:tc>
        <w:tc>
          <w:tcPr/>
          <w:p>
            <w:pPr>
              <w:pStyle w:val="Compact"/>
              <w:jc w:val="left"/>
            </w:pPr>
            <w:r>
              <w:t xml:space="preserve">enero de 2028</w:t>
            </w:r>
          </w:p>
        </w:tc>
      </w:tr>
    </w:tbl>
    <w:p>
      <w:pPr>
        <w:pStyle w:val="BodyText"/>
      </w:pPr>
      <w:r>
        <w:t xml:space="preserve">Los detalles de cada estudio figuran en el apartado «Estudios en curso y perspectivas» del capítulo correspondiente.</w:t>
      </w:r>
    </w:p>
    <w:bookmarkEnd w:id="2835"/>
    <w:bookmarkStart w:id="2845" w:name="X7b4c062d34cae8030d1f07d9b3224434198927c"/>
    <w:p>
      <w:pPr>
        <w:pStyle w:val="Heading3"/>
      </w:pPr>
      <w:r>
        <w:t xml:space="preserve">Lo que el registro revela sobre la dirección</w:t>
      </w:r>
    </w:p>
    <w:p>
      <w:pPr>
        <w:pStyle w:val="FirstParagraph"/>
      </w:pPr>
      <w:r>
        <w:rPr>
          <w:bCs/>
          <w:b/>
        </w:rPr>
        <w:t xml:space="preserve">De la báscula a las variables duras.</w:t>
      </w:r>
      <w:r>
        <w:t xml:space="preserve"> </w:t>
      </w:r>
      <w:r>
        <w:t xml:space="preserve">La primera generación de estudios de pérdida de peso medía sobre todo kilogramos. Los grandes estudios de los próximos años se preguntan si los infartos, los ictus, la insuficiencia cardiaca, la insuficiencia renal o la cirrosis hepática se vuelven menos frecuentes. Los seis estudios de fase 3 en curso del grupo A con más de 5000 participantes cada uno son estudios de resultados de este tipo. Para los sistemas de salud y las aseguradoras que deciden sobre la financiación, estos resultados son más importantes que cualquier récord de pérdida de peso.</w:t>
      </w:r>
    </w:p>
    <w:p>
      <w:pPr>
        <w:pStyle w:val="BodyText"/>
      </w:pPr>
      <w:r>
        <w:rPr>
          <w:bCs/>
          <w:b/>
        </w:rPr>
        <w:t xml:space="preserve">Comparaciones directas.</w:t>
      </w:r>
      <w:r>
        <w:t xml:space="preserve"> </w:t>
      </w:r>
      <w:r>
        <w:t xml:space="preserve">Los nuevos principios activos tienen que medirse cada vez más con los ya establecidos, no solo con placebo: la retatrutida frente a la tirzepatida</w:t>
      </w:r>
      <w:r>
        <w:rPr>
          <w:rStyle w:val="FootnoteReference"/>
        </w:rPr>
        <w:footnoteReference w:id="2836"/>
      </w:r>
      <w:r>
        <w:t xml:space="preserve">, la zenagamtida frente a la semaglutida (AMAZE 7, NCT07668414), la maridebart cafraglutida frente a la semaglutida en la diabetes tipo 2 (MARITIME-T2D-3, NCT07866066). También los nuevos fabricantes compiten directamente: Roche evalúa el agonista doble GLP-1/GIP enicepatida frente a la tirzepatida</w:t>
      </w:r>
      <w:r>
        <w:rPr>
          <w:rStyle w:val="FootnoteReference"/>
        </w:rPr>
        <w:footnoteReference w:id="2837"/>
      </w:r>
      <w:r>
        <w:t xml:space="preserve">, la empresa Kailera el principio activo ribupatida frente a la semaglutida (KaiNETIC-3, NCT07284979), y AstraZeneca el principio activo de toma diaria elecoglipron frente a la semaglutida en comprimido (Eluminate-2, NCT07662213).</w:t>
      </w:r>
    </w:p>
    <w:p>
      <w:pPr>
        <w:pStyle w:val="BodyText"/>
      </w:pPr>
      <w:r>
        <w:rPr>
          <w:bCs/>
          <w:b/>
        </w:rPr>
        <w:t xml:space="preserve">Mantener el peso en lugar de solo perderlo.</w:t>
      </w:r>
      <w:r>
        <w:t xml:space="preserve"> </w:t>
      </w:r>
      <w:r>
        <w:t xml:space="preserve">Varios estudios evalúan expresamente el periodo posterior a la pérdida de peso: la retatrutida para el mantenimiento del peso (TRIUMPH-6, NCT06859268), un estudio a largo plazo de CagriSema de dos años más una extensión</w:t>
      </w:r>
      <w:r>
        <w:rPr>
          <w:rStyle w:val="FootnoteReference"/>
        </w:rPr>
        <w:footnoteReference w:id="2838"/>
      </w:r>
      <w:r>
        <w:t xml:space="preserve">, y el cambio desde otros medicamentos GLP-1 a la maridebart cafraglutida, administrada mensualmente</w:t>
      </w:r>
      <w:r>
        <w:rPr>
          <w:rStyle w:val="FootnoteReference"/>
        </w:rPr>
        <w:footnoteReference w:id="2839"/>
      </w:r>
      <w:r>
        <w:t xml:space="preserve">, o a la berobenatida, un principio activo en investigación de Pfizer de inyección mensual</w:t>
      </w:r>
      <w:r>
        <w:rPr>
          <w:rStyle w:val="FootnoteReference"/>
        </w:rPr>
        <w:footnoteReference w:id="2840"/>
      </w:r>
      <w:r>
        <w:t xml:space="preserve">. El trasfondo son estudios como SURMOUNT-4: quien suspendió la tirzepatida a las 36 semanas recuperó de media un 14,0 % al año siguiente, mientras que con el tratamiento continuado el peso bajó otro 5,5 %</w:t>
      </w:r>
      <w:r>
        <w:rPr>
          <w:rStyle w:val="FootnoteReference"/>
        </w:rPr>
        <w:footnoteReference w:id="2841"/>
      </w:r>
      <w:r>
        <w:t xml:space="preserve">.</w:t>
      </w:r>
    </w:p>
    <w:p>
      <w:pPr>
        <w:pStyle w:val="BodyText"/>
      </w:pPr>
      <w:r>
        <w:rPr>
          <w:bCs/>
          <w:b/>
        </w:rPr>
        <w:t xml:space="preserve">Nuevos países, nuevas moléculas.</w:t>
      </w:r>
      <w:r>
        <w:t xml:space="preserve"> </w:t>
      </w:r>
      <w:r>
        <w:t xml:space="preserve">Una gran parte de los nuevos estudios de fase 3 procede de empresas chinas que evalúan principios activos propios basados en GLP-1 frente a semaglutida o dulaglutida, como la bofanglutida, inyectada cada dos semanas (BALANCE-OBS, NCT07622810), o la proteína de fusión de exendina-4 JY09</w:t>
      </w:r>
      <w:r>
        <w:rPr>
          <w:rStyle w:val="FootnoteReference"/>
        </w:rPr>
        <w:footnoteReference w:id="2842"/>
      </w:r>
      <w:r>
        <w:t xml:space="preserve">. El mercado se vuelve, por tanto, más amplio, no solo más potente.</w:t>
      </w:r>
    </w:p>
    <w:p>
      <w:pPr>
        <w:pStyle w:val="BodyText"/>
      </w:pPr>
      <w:r>
        <w:rPr>
          <w:bCs/>
          <w:b/>
        </w:rPr>
        <w:t xml:space="preserve">Niños y adolescentes.</w:t>
      </w:r>
      <w:r>
        <w:t xml:space="preserve"> </w:t>
      </w:r>
      <w:r>
        <w:t xml:space="preserve">Para casi todos los grandes principios activos hay estudios en curso en adolescentes, en parte también en niños, por ejemplo para la tirzepatida</w:t>
      </w:r>
      <w:r>
        <w:rPr>
          <w:rStyle w:val="FootnoteReference"/>
        </w:rPr>
        <w:footnoteReference w:id="2843"/>
      </w:r>
      <w:r>
        <w:t xml:space="preserve">, el orforglipron</w:t>
      </w:r>
      <w:r>
        <w:rPr>
          <w:rStyle w:val="FootnoteReference"/>
        </w:rPr>
        <w:footnoteReference w:id="2844"/>
      </w:r>
      <w:r>
        <w:t xml:space="preserve"> </w:t>
      </w:r>
      <w:r>
        <w:t xml:space="preserve">y CagriSema (NCT07253285, finalización prevista en 2033).</w:t>
      </w:r>
    </w:p>
    <w:p>
      <w:pPr>
        <w:pStyle w:val="BodyText"/>
      </w:pPr>
      <w:r>
        <w:rPr>
          <w:bCs/>
          <w:b/>
        </w:rPr>
        <w:t xml:space="preserve">¿Y fuera del metabolismo?</w:t>
      </w:r>
      <w:r>
        <w:t xml:space="preserve"> </w:t>
      </w:r>
      <w:r>
        <w:t xml:space="preserve">Aquí la cartera es escasa. Cuando un péptido no es patentable, ya se vende como complemento alimenticio o solo existe en el mercado gris, casi nadie financia costosos estudios de autorización. Eso explica por qué precisamente los péptidos más debatidos en internet faltan prácticamente en los registros.</w:t>
      </w:r>
    </w:p>
    <w:bookmarkEnd w:id="2845"/>
    <w:bookmarkStart w:id="2863" w:name="nuevos-principios-de-acción"/>
    <w:p>
      <w:pPr>
        <w:pStyle w:val="Heading3"/>
      </w:pPr>
      <w:r>
        <w:t xml:space="preserve">Nuevos principios de acción</w:t>
      </w:r>
    </w:p>
    <w:bookmarkStart w:id="2849" w:name="agonistas-triples"/>
    <w:p>
      <w:pPr>
        <w:pStyle w:val="Heading4"/>
      </w:pPr>
      <w:r>
        <w:t xml:space="preserve">Agonistas triples</w:t>
      </w:r>
    </w:p>
    <w:p>
      <w:pPr>
        <w:pStyle w:val="FirstParagraph"/>
      </w:pPr>
      <w:r>
        <w:t xml:space="preserve">La retatrutida activa tres receptores a la vez: GLP-1, GIP y glucagón. El componente de glucagón debe aumentar el gasto energético y la degradación de grasa en el hígado. En el estudio de fase 2 con 338 adultos, el peso bajó a las 48 semanas un 24,2 % con la dosis más alta estudiada, y un 2,1 % con placebo</w:t>
      </w:r>
      <w:r>
        <w:rPr>
          <w:rStyle w:val="FootnoteReference"/>
        </w:rPr>
        <w:footnoteReference w:id="2846"/>
      </w:r>
      <w:r>
        <w:t xml:space="preserve">. El primer estudio de fase 3, TRIUMPH-1, con 2339 adultos, lo confirmó: a las 80 semanas, la pérdida de peso fue, según la dosis, del 17,6 al 25,0 %, y con placebo del 3,9 %. En los participantes con artrosis de rodilla disminuyó el dolor, y en los que tenían apnea del sueño, el número de pausas respiratorias</w:t>
      </w:r>
      <w:r>
        <w:rPr>
          <w:rStyle w:val="FootnoteReference"/>
        </w:rPr>
        <w:footnoteReference w:id="2847"/>
      </w:r>
      <w:r>
        <w:t xml:space="preserve">. Si esta pérdida de peso adicional conduce también a menos acontecimientos cardiacos y renales es lo que debe mostrar TRIUMPH-Outcomes hasta 2029</w:t>
      </w:r>
      <w:r>
        <w:rPr>
          <w:rStyle w:val="FootnoteReference"/>
        </w:rPr>
        <w:footnoteReference w:id="2848"/>
      </w:r>
      <w:r>
        <w:t xml:space="preserve">. Los detalles y los efectos adversos se describen en el capítulo Retatrutida.</w:t>
      </w:r>
    </w:p>
    <w:bookmarkEnd w:id="2849"/>
    <w:bookmarkStart w:id="2854" w:name="amilina-la-cuarta-vía-hormonal"/>
    <w:p>
      <w:pPr>
        <w:pStyle w:val="Heading4"/>
      </w:pPr>
      <w:r>
        <w:t xml:space="preserve">Amilina: la cuarta vía hormonal</w:t>
      </w:r>
    </w:p>
    <w:p>
      <w:pPr>
        <w:pStyle w:val="FirstParagraph"/>
      </w:pPr>
      <w:r>
        <w:t xml:space="preserve">La amilina se secreta junto con la insulina y produce saciedad actuando en el tronco del encéfalo. Hay que distinguir tres líneas de desarrollo:</w:t>
      </w:r>
    </w:p>
    <w:p>
      <w:pPr>
        <w:numPr>
          <w:ilvl w:val="0"/>
          <w:numId w:val="1355"/>
        </w:numPr>
        <w:pStyle w:val="Compact"/>
      </w:pPr>
      <w:r>
        <w:rPr>
          <w:bCs/>
          <w:b/>
        </w:rPr>
        <w:t xml:space="preserve">Combinación en una inyección:</w:t>
      </w:r>
      <w:r>
        <w:t xml:space="preserve"> </w:t>
      </w:r>
      <w:r>
        <w:t xml:space="preserve">CagriSema une el análogo de amilina cagrilintida con semaglutida. En REDEFINE 1, con 3417 adultos, el peso bajó a las 68 semanas un 20,4 %, y con placebo un 3,0 %; las molestias gastrointestinales aparecieron en el 79,6 % frente al 39,9 %</w:t>
      </w:r>
      <w:r>
        <w:rPr>
          <w:rStyle w:val="FootnoteReference"/>
        </w:rPr>
        <w:footnoteReference w:id="2850"/>
      </w:r>
      <w:r>
        <w:t xml:space="preserve">.</w:t>
      </w:r>
    </w:p>
    <w:p>
      <w:pPr>
        <w:numPr>
          <w:ilvl w:val="0"/>
          <w:numId w:val="1355"/>
        </w:numPr>
        <w:pStyle w:val="Compact"/>
      </w:pPr>
      <w:r>
        <w:rPr>
          <w:bCs/>
          <w:b/>
        </w:rPr>
        <w:t xml:space="preserve">Una molécula para dos receptores:</w:t>
      </w:r>
      <w:r>
        <w:t xml:space="preserve"> </w:t>
      </w:r>
      <w:r>
        <w:t xml:space="preserve">la amicretina, desde 2026 zenagamtida, activa a la vez los receptores de GLP-1 y de amilina. En un pequeño estudio de fase 1b/2a con 125 participantes, el peso bajó con el nivel de dosis más alto un 24,3 % a las 36 semanas</w:t>
      </w:r>
      <w:r>
        <w:rPr>
          <w:rStyle w:val="FootnoteReference"/>
        </w:rPr>
        <w:footnoteReference w:id="2851"/>
      </w:r>
      <w:r>
        <w:t xml:space="preserve">. El programa de fase 3 AMAZE está en marcha desde 2026.</w:t>
      </w:r>
    </w:p>
    <w:p>
      <w:pPr>
        <w:numPr>
          <w:ilvl w:val="0"/>
          <w:numId w:val="1355"/>
        </w:numPr>
        <w:pStyle w:val="Compact"/>
      </w:pPr>
      <w:r>
        <w:rPr>
          <w:bCs/>
          <w:b/>
        </w:rPr>
        <w:t xml:space="preserve">Amilina sola:</w:t>
      </w:r>
      <w:r>
        <w:t xml:space="preserve"> </w:t>
      </w:r>
      <w:r>
        <w:t xml:space="preserve">aquí la esperanza es una mejor tolerabilidad. La eloralintida, un agonista selectivo del receptor de amilina de Lilly, produjo en un estudio de fase 2 con 263 adultos, a las 48 semanas, una pérdida de peso del 9 al 20 % frente al 0,4 % con placebo; las náuseas y el cansancio fueron, según la dosis, claramente más frecuentes que con placebo</w:t>
      </w:r>
      <w:r>
        <w:rPr>
          <w:rStyle w:val="FootnoteReference"/>
        </w:rPr>
        <w:footnoteReference w:id="2852"/>
      </w:r>
      <w:r>
        <w:t xml:space="preserve">. La petrelintida de Zealand Pharma redujo el peso en el estudio de fase 2 ZUPREME 1, con 493 participantes, entre un 7,9 y un 9,8 % a las 28 semanas (placebo 1,7 %). Las náuseas aparecieron en el 20 % frente al 6 %, pero los vómitos no fueron más frecuentes que con placebo</w:t>
      </w:r>
      <w:r>
        <w:rPr>
          <w:rStyle w:val="FootnoteReference"/>
        </w:rPr>
        <w:footnoteReference w:id="2853"/>
      </w:r>
      <w:r>
        <w:t xml:space="preserve">.</w:t>
      </w:r>
    </w:p>
    <w:p>
      <w:pPr>
        <w:pStyle w:val="FirstParagraph"/>
      </w:pPr>
      <w:r>
        <w:t xml:space="preserve">Ambos principios activos de amilina pura están ya en fase 3: la eloralintida en ENLIGHTEN-1, con 1980 participantes previstos (NCT07321886, finalización en julio de 2030), y la petrelintida en ZUPREME-3, con 3900 participantes previstos bajo la dirección de Roche (NCT07843498, finalización en marzo de 2029). Lilly evalúa además una combinación de eloralintida y tirzepatida (AMPLIFY-1, NCT07881432, 2115 participantes previstos).</w:t>
      </w:r>
    </w:p>
    <w:bookmarkEnd w:id="2854"/>
    <w:bookmarkStart w:id="2857" w:name="conjugados-anticuerpo-péptido"/>
    <w:p>
      <w:pPr>
        <w:pStyle w:val="Heading4"/>
      </w:pPr>
      <w:r>
        <w:t xml:space="preserve">Conjugados anticuerpo-péptido</w:t>
      </w:r>
    </w:p>
    <w:p>
      <w:pPr>
        <w:pStyle w:val="FirstParagraph"/>
      </w:pPr>
      <w:r>
        <w:t xml:space="preserve">Los péptidos se degradan rápidamente en el organismo y se eliminan por los riñones. Una solución es acoplarlos a un anticuerpo que permanezca semanas en la sangre. Una revisión describe estos conjugados anticuerpo-péptido como una clase de principios activos nueva y propia: a diferencia de las proteínas de fusión, el péptido se fabrica químicamente y solo después se une al anticuerpo, de modo que también puede contener componentes inusuales</w:t>
      </w:r>
      <w:r>
        <w:rPr>
          <w:rStyle w:val="FootnoteReference"/>
        </w:rPr>
        <w:footnoteReference w:id="2855"/>
      </w:r>
      <w:r>
        <w:t xml:space="preserve">.</w:t>
      </w:r>
    </w:p>
    <w:p>
      <w:pPr>
        <w:pStyle w:val="BodyText"/>
      </w:pPr>
      <w:r>
        <w:t xml:space="preserve">El ejemplo más conocido es la maridebart cafraglutida (MariTide). Une un anticuerpo que bloquea el receptor de GIP con péptidos de tipo GLP-1 que activan el receptor de GLP-1. En el estudio de fase 2 con 592 participantes se inyectó cada cuatro u ocho semanas. A las 52 semanas, la pérdida de peso sin diabetes fue del 12,3 al 16,2 % (placebo 2,5 %), y con diabetes tipo 2 del 8,4 al 12,3 % (placebo 1,7 %). Las molestias gastrointestinales fueron frecuentes, pero menos cuando la dosis se aumentaba lentamente</w:t>
      </w:r>
      <w:r>
        <w:rPr>
          <w:rStyle w:val="FootnoteReference"/>
        </w:rPr>
        <w:footnoteReference w:id="2856"/>
      </w:r>
      <w:r>
        <w:t xml:space="preserve">. El concepto es: menos inyecciones en lugar del máximo efecto.</w:t>
      </w:r>
    </w:p>
    <w:bookmarkEnd w:id="2857"/>
    <w:bookmarkStart w:id="2861" w:name="preservar-el-músculo-al-perder-peso"/>
    <w:p>
      <w:pPr>
        <w:pStyle w:val="Heading4"/>
      </w:pPr>
      <w:r>
        <w:t xml:space="preserve">Preservar el músculo al perder peso</w:t>
      </w:r>
    </w:p>
    <w:p>
      <w:pPr>
        <w:pStyle w:val="FirstParagraph"/>
      </w:pPr>
      <w:r>
        <w:t xml:space="preserve">En toda pérdida de peso intensa se pierde también masa muscular y ósea. Un enfoque es el anticuerpo</w:t>
      </w:r>
      <w:r>
        <w:t xml:space="preserve"> </w:t>
      </w:r>
      <w:r>
        <w:rPr>
          <w:bCs/>
          <w:b/>
        </w:rPr>
        <w:t xml:space="preserve">bimagrumab</w:t>
      </w:r>
      <w:r>
        <w:t xml:space="preserve">, que bloquea los receptores de activina de tipo II, interruptores que frenan el crecimiento muscular. El bimagrumab no es un péptido, pero se combina deliberadamente con medicamentos peptídicos.</w:t>
      </w:r>
    </w:p>
    <w:p>
      <w:pPr>
        <w:numPr>
          <w:ilvl w:val="0"/>
          <w:numId w:val="1356"/>
        </w:numPr>
        <w:pStyle w:val="Compact"/>
      </w:pPr>
      <w:r>
        <w:t xml:space="preserve">En un estudio de fase 2 con 75 adultos con diabetes tipo 2 y sobrepeso, con bimagrumab solo, la masa grasa bajó a las 48 semanas un 20,5 %, mientras que la masa libre de grasa aumentó un 3,6 % (placebo −0,5 % y −0,8 %)</w:t>
      </w:r>
      <w:r>
        <w:rPr>
          <w:rStyle w:val="FootnoteReference"/>
        </w:rPr>
        <w:footnoteReference w:id="2858"/>
      </w:r>
      <w:r>
        <w:t xml:space="preserve">.</w:t>
      </w:r>
    </w:p>
    <w:p>
      <w:pPr>
        <w:numPr>
          <w:ilvl w:val="0"/>
          <w:numId w:val="1356"/>
        </w:numPr>
        <w:pStyle w:val="Compact"/>
      </w:pPr>
      <w:r>
        <w:t xml:space="preserve">En un estudio de fase 2 con 507 adultos con obesidad, la pérdida de peso a las 48 semanas fue de 9,3 kg con bimagrumab solo, de 14,2 kg con semaglutida sola y de 17,8 kg con la combinación (placebo 3,3 kg). Los efectos adversos frecuentes del bimagrumab fueron calambres musculares, diarrea y acné</w:t>
      </w:r>
      <w:r>
        <w:rPr>
          <w:rStyle w:val="FootnoteReference"/>
        </w:rPr>
        <w:footnoteReference w:id="2859"/>
      </w:r>
      <w:r>
        <w:t xml:space="preserve">.</w:t>
      </w:r>
    </w:p>
    <w:p>
      <w:pPr>
        <w:pStyle w:val="FirstParagraph"/>
      </w:pPr>
      <w:r>
        <w:t xml:space="preserve">Lilly evalúa ahora el bimagrumab con tirzepatida (NCT06643728, 252 participantes, finalización en enero de 2027). Un estudio más pequeño en el Massachusetts General Hospital investiga la misma combinación en relación con la composición corporal y el hueso</w:t>
      </w:r>
      <w:r>
        <w:rPr>
          <w:rStyle w:val="FootnoteReference"/>
        </w:rPr>
        <w:footnoteReference w:id="2860"/>
      </w:r>
      <w:r>
        <w:t xml:space="preserve">. Si más masa muscular en la exploración significa también más fuerza, menos caídas o menos fracturas no está demostrado hasta ahora. En el registro no figuran estudios de fase 3.</w:t>
      </w:r>
    </w:p>
    <w:bookmarkEnd w:id="2861"/>
    <w:bookmarkStart w:id="2862" w:name="comprimidos"/>
    <w:p>
      <w:pPr>
        <w:pStyle w:val="Heading4"/>
      </w:pPr>
      <w:r>
        <w:t xml:space="preserve">Comprimidos</w:t>
      </w:r>
    </w:p>
    <w:p>
      <w:pPr>
        <w:pStyle w:val="FirstParagraph"/>
      </w:pPr>
      <w:r>
        <w:t xml:space="preserve">El cambio quizá de mayores consecuencias no afecta al receptor, sino a la vía de entrada en el organismo: comprimidos con péptidos y moléculas pequeñas que actúan como péptidos. A este tema está dedicado el capítulo siguiente.</w:t>
      </w:r>
    </w:p>
    <w:bookmarkEnd w:id="2862"/>
    <w:bookmarkEnd w:id="2863"/>
    <w:bookmarkStart w:id="2864" w:name="lo-más-importante-en-pocas-palabras-3"/>
    <w:p>
      <w:pPr>
        <w:pStyle w:val="Heading3"/>
      </w:pPr>
      <w:r>
        <w:t xml:space="preserve">Lo más importante en pocas palabras</w:t>
      </w:r>
    </w:p>
    <w:p>
      <w:pPr>
        <w:numPr>
          <w:ilvl w:val="0"/>
          <w:numId w:val="1357"/>
        </w:numPr>
        <w:pStyle w:val="Compact"/>
      </w:pPr>
      <w:r>
        <w:t xml:space="preserve">Tras excluir las entradas ficticias y ajenas al tema, hay en curso 730 estudios intervencionistas sobre los principios activos de este libro, 157 de ellos en fase 3.</w:t>
      </w:r>
    </w:p>
    <w:p>
      <w:pPr>
        <w:numPr>
          <w:ilvl w:val="0"/>
          <w:numId w:val="1357"/>
        </w:numPr>
        <w:pStyle w:val="Compact"/>
      </w:pPr>
      <w:r>
        <w:t xml:space="preserve">Casi nueve de cada diez estudios tardíos se refieren al metabolismo y el peso. Para los populares péptidos del mercado gris no hay en curso ni un solo estudio de fase 3.</w:t>
      </w:r>
    </w:p>
    <w:p>
      <w:pPr>
        <w:numPr>
          <w:ilvl w:val="0"/>
          <w:numId w:val="1357"/>
        </w:numPr>
        <w:pStyle w:val="Compact"/>
      </w:pPr>
      <w:r>
        <w:t xml:space="preserve">Los grandes estudios cardiovasculares, renales y hepáticos terminan entre 2027 y 2032. Solo ellos mostrarán si los nuevos principios activos aportan algo más que reducir el peso.</w:t>
      </w:r>
    </w:p>
    <w:p>
      <w:pPr>
        <w:numPr>
          <w:ilvl w:val="0"/>
          <w:numId w:val="1357"/>
        </w:numPr>
        <w:pStyle w:val="Compact"/>
      </w:pPr>
      <w:r>
        <w:t xml:space="preserve">Los nuevos principios de acción (agonistas triples, amilina, conjugados anticuerpo-péptido, protección muscular) están respaldados por estudios de fase 2, y la mayoría se encuentra en fase 3. Para ninguno de estos nuevos principios activos está asegurada una autorización.</w:t>
      </w:r>
    </w:p>
    <w:bookmarkEnd w:id="2864"/>
    <w:bookmarkEnd w:id="2865"/>
    <w:bookmarkStart w:id="2901" w:name="comprimidos-en-lugar-de-inyecciones"/>
    <w:p>
      <w:pPr>
        <w:pStyle w:val="Heading2"/>
      </w:pPr>
      <w:r>
        <w:t xml:space="preserve">Comprimidos en lugar de inyecciones</w:t>
      </w:r>
    </w:p>
    <w:p>
      <w:pPr>
        <w:pStyle w:val="FirstParagraph"/>
      </w:pPr>
      <w:r>
        <w:t xml:space="preserve">Casi todos los medicamentos peptídicos de este libro se inyectan. Hay un motivo sencillo: el tubo digestivo está diseñado para descomponer las proteínas y los péptidos en sus componentes. Lo que tiene sentido para los alimentos inutiliza un péptido como medicamento antes de que llegue a la sangre. La Parte I describió con detalle estos obstáculos (capítulo «Cómo llegan los péptidos al organismo»).</w:t>
      </w:r>
    </w:p>
    <w:p>
      <w:pPr>
        <w:pStyle w:val="BodyText"/>
      </w:pPr>
      <w:r>
        <w:t xml:space="preserve">Que, a pesar de ello, se investigue intensamente en comprimidos tiene varios motivos. A muchas personas no les gusta inyectarse. Las inyecciones suelen tener que conservarse en frío, y las plumas son costosas de fabricar. Y como los medicamentos contra la obesidad, según los conocimientos actuales, deben tomarse de forma continuada para que actúen, cualquier facilidad para el tratamiento a largo plazo cuenta. Una revisión describe que en ensayos clínicos ya se habían probado formas orales de insulina, calcitonina, hormona paratiroidea y vasopresina, y que solo la semaglutida supuso el gran avance para un principio activo de uso amplio</w:t>
      </w:r>
      <w:r>
        <w:rPr>
          <w:rStyle w:val="FootnoteReference"/>
        </w:rPr>
        <w:footnoteReference w:id="2866"/>
      </w:r>
      <w:r>
        <w:t xml:space="preserve">.</w:t>
      </w:r>
    </w:p>
    <w:p>
      <w:pPr>
        <w:pStyle w:val="BodyText"/>
      </w:pPr>
      <w:r>
        <w:t xml:space="preserve">Hoy existen dos vías fundamentalmente distintas hacia el comprimido: proteger un</w:t>
      </w:r>
      <w:r>
        <w:t xml:space="preserve"> </w:t>
      </w:r>
      <w:r>
        <w:rPr>
          <w:bCs/>
          <w:b/>
        </w:rPr>
        <w:t xml:space="preserve">péptido</w:t>
      </w:r>
      <w:r>
        <w:t xml:space="preserve"> </w:t>
      </w:r>
      <w:r>
        <w:t xml:space="preserve">de forma que al menos una pequeña parte se absorba, o sustituir el péptido por una</w:t>
      </w:r>
      <w:r>
        <w:t xml:space="preserve"> </w:t>
      </w:r>
      <w:r>
        <w:rPr>
          <w:bCs/>
          <w:b/>
        </w:rPr>
        <w:t xml:space="preserve">molécula pequeña</w:t>
      </w:r>
      <w:r>
        <w:t xml:space="preserve"> </w:t>
      </w:r>
      <w:r>
        <w:t xml:space="preserve">que pase del intestino a la sangre como un medicamento corriente y, aun así, actúe sobre el mismo receptor.</w:t>
      </w:r>
    </w:p>
    <w:bookmarkStart w:id="2881" w:name="Xd484d6e7e8350f3fdb65a5125ebafc9e7eefe7e"/>
    <w:p>
      <w:pPr>
        <w:pStyle w:val="Heading3"/>
      </w:pPr>
      <w:r>
        <w:t xml:space="preserve">Vía 1: péptido más potenciador de la absorción</w:t>
      </w:r>
    </w:p>
    <w:bookmarkStart w:id="2868" w:name="el-principio"/>
    <w:p>
      <w:pPr>
        <w:pStyle w:val="Heading4"/>
      </w:pPr>
      <w:r>
        <w:t xml:space="preserve">El principio</w:t>
      </w:r>
    </w:p>
    <w:p>
      <w:pPr>
        <w:pStyle w:val="FirstParagraph"/>
      </w:pPr>
      <w:r>
        <w:t xml:space="preserve">Un</w:t>
      </w:r>
      <w:r>
        <w:t xml:space="preserve"> </w:t>
      </w:r>
      <w:r>
        <w:rPr>
          <w:bCs/>
          <w:b/>
        </w:rPr>
        <w:t xml:space="preserve">potenciador de la absorción</w:t>
      </w:r>
      <w:r>
        <w:t xml:space="preserve"> </w:t>
      </w:r>
      <w:r>
        <w:t xml:space="preserve">(término técnico: potenciador de la permeación) es un excipiente que hace la mucosa más permeable durante un breve tiempo o protege el péptido de la degradación. En el comprimido de semaglutida es el excipiente</w:t>
      </w:r>
      <w:r>
        <w:t xml:space="preserve"> </w:t>
      </w:r>
      <w:r>
        <w:rPr>
          <w:bCs/>
          <w:b/>
        </w:rPr>
        <w:t xml:space="preserve">SNAC</w:t>
      </w:r>
      <w:r>
        <w:t xml:space="preserve">. Eleva el pH en el entorno inmediato del comprimido, atenúa la activación de la enzima digestiva pepsina y hace que la semaglutida se encuentre como molécula individual, que se absorbe con más facilidad. Aun así, según una revisión, solo alrededor del 0,4 al 1 % del principio activo llega a la sangre, y solo en ayunas y con poca agua. Tras una comida, prácticamente no se detecta semaglutida en sangre</w:t>
      </w:r>
      <w:r>
        <w:rPr>
          <w:rStyle w:val="FootnoteReference"/>
        </w:rPr>
        <w:footnoteReference w:id="2867"/>
      </w:r>
      <w:r>
        <w:t xml:space="preserve">. De ahí se derivan las estrictas normas de toma que figuran en la ficha técnica.</w:t>
      </w:r>
    </w:p>
    <w:bookmarkEnd w:id="2868"/>
    <w:bookmarkStart w:id="2870" w:name="X561bee458f62a2399ca728b95a4f6db2075b972"/>
    <w:p>
      <w:pPr>
        <w:pStyle w:val="Heading4"/>
      </w:pPr>
      <w:r>
        <w:t xml:space="preserve">El comprimido de semaglutida en la obesidad</w:t>
      </w:r>
    </w:p>
    <w:p>
      <w:pPr>
        <w:pStyle w:val="FirstParagraph"/>
      </w:pPr>
      <w:r>
        <w:t xml:space="preserve">Para la diabetes tipo 2, el comprimido de semaglutida (Rybelsus) está autorizado en la UE desde 2020. Para la obesidad se evaluaron dosis más altas: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adultos sin diabetes, comprimido frente a placebo</w:t>
            </w:r>
          </w:p>
        </w:tc>
        <w:tc>
          <w:tcPr/>
          <w:p>
            <w:pPr>
              <w:pStyle w:val="Compact"/>
              <w:jc w:val="left"/>
            </w:pPr>
            <w:r>
              <w:t xml:space="preserve">68 semanas</w:t>
            </w:r>
          </w:p>
        </w:tc>
        <w:tc>
          <w:tcPr/>
          <w:p>
            <w:pPr>
              <w:pStyle w:val="Compact"/>
              <w:jc w:val="left"/>
            </w:pPr>
            <w:r>
              <w:t xml:space="preserve">−15,1 % de peso frente a −2,4 %</w:t>
            </w:r>
          </w:p>
        </w:tc>
      </w:tr>
      <w:tr>
        <w:tc>
          <w:tcPr/>
          <w:p>
            <w:pPr>
              <w:pStyle w:val="Compact"/>
              <w:jc w:val="left"/>
            </w:pPr>
            <w:r>
              <w:t xml:space="preserve">OASIS 4 (Wharton 2025), PMID 40934115</w:t>
            </w:r>
          </w:p>
        </w:tc>
        <w:tc>
          <w:tcPr/>
          <w:p>
            <w:pPr>
              <w:pStyle w:val="Compact"/>
              <w:jc w:val="left"/>
            </w:pPr>
            <w:r>
              <w:t xml:space="preserve">307 adultos sin diabetes, dosis de comprimido más baja frente a placebo</w:t>
            </w:r>
          </w:p>
        </w:tc>
        <w:tc>
          <w:tcPr/>
          <w:p>
            <w:pPr>
              <w:pStyle w:val="Compact"/>
              <w:jc w:val="left"/>
            </w:pPr>
            <w:r>
              <w:t xml:space="preserve">64 semanas</w:t>
            </w:r>
          </w:p>
        </w:tc>
        <w:tc>
          <w:tcPr/>
          <w:p>
            <w:pPr>
              <w:pStyle w:val="Compact"/>
              <w:jc w:val="left"/>
            </w:pPr>
            <w:r>
              <w:t xml:space="preserve">−13,6 % frente a −2,2 %</w:t>
            </w:r>
          </w:p>
        </w:tc>
      </w:tr>
      <w:tr>
        <w:tc>
          <w:tcPr/>
          <w:p>
            <w:pPr>
              <w:pStyle w:val="Compact"/>
              <w:jc w:val="left"/>
            </w:pPr>
            <w:r>
              <w:t xml:space="preserve">A modo de comparación: STEP 1 (Wilding 2021), PMID 33567185</w:t>
            </w:r>
          </w:p>
        </w:tc>
        <w:tc>
          <w:tcPr/>
          <w:p>
            <w:pPr>
              <w:pStyle w:val="Compact"/>
              <w:jc w:val="left"/>
            </w:pPr>
            <w:r>
              <w:t xml:space="preserve">1961 adultos sin diabetes, inyección semanal frente a placebo</w:t>
            </w:r>
          </w:p>
        </w:tc>
        <w:tc>
          <w:tcPr/>
          <w:p>
            <w:pPr>
              <w:pStyle w:val="Compact"/>
              <w:jc w:val="left"/>
            </w:pPr>
            <w:r>
              <w:t xml:space="preserve">68 semanas</w:t>
            </w:r>
          </w:p>
        </w:tc>
        <w:tc>
          <w:tcPr/>
          <w:p>
            <w:pPr>
              <w:pStyle w:val="Compact"/>
              <w:jc w:val="left"/>
            </w:pPr>
            <w:r>
              <w:t xml:space="preserve">−14,9 % frente a −2,4 %</w:t>
            </w:r>
          </w:p>
        </w:tc>
      </w:tr>
    </w:tbl>
    <w:p>
      <w:pPr>
        <w:pStyle w:val="BodyText"/>
      </w:pPr>
      <w:r>
        <w:t xml:space="preserve">En ambos estudios con comprimidos, las molestias gastrointestinales fueron frecuentes: 80 % frente a 46 % con placebo en OASIS 1, y 74,0 % frente a 42,2 % en OASIS 4. Según el capítulo Semaglutida, el estudio OASIS 4 es la base del comprimido de Wegovy autorizado en EE. UU. (compruébese la situación actual de la autorización). Está en curso otro estudio de fase 3 sobre el comprimido (OASIS 5, NCT07770841, finalización en abril de 2028).</w:t>
      </w:r>
    </w:p>
    <w:p>
      <w:pPr>
        <w:pStyle w:val="BodyText"/>
      </w:pPr>
      <w:r>
        <w:t xml:space="preserve">Las cifras se acercan a las de la inyección. No obstante, falta una gran comparación directa entre comprimido e inyección en la obesidad, y las comparaciones cruzadas entre estudios solo son una orientación aproximada.</w:t>
      </w:r>
    </w:p>
    <w:p>
      <w:pPr>
        <w:pStyle w:val="BodyText"/>
      </w:pPr>
      <w:r>
        <w:rPr>
          <w:bCs/>
          <w:b/>
        </w:rPr>
        <w:t xml:space="preserve">Un inconveniente que rara vez se menciona:</w:t>
      </w:r>
      <w:r>
        <w:t xml:space="preserve"> </w:t>
      </w:r>
      <w:r>
        <w:t xml:space="preserve">como solo se absorbe una fracción, el comprimido necesita una cantidad de principio activo muchas veces mayor. Una estimación de costes para los genéricos tras la expiración de la patente obtuvo para la semaglutida inyectable entre 28 y 140 dólares estadounidenses por persona y año, y para el comprimido entre 186 y 380 dólares</w:t>
      </w:r>
      <w:r>
        <w:rPr>
          <w:rStyle w:val="FootnoteReference"/>
        </w:rPr>
        <w:footnoteReference w:id="2869"/>
      </w:r>
      <w:r>
        <w:t xml:space="preserve">. El comprimido no es, por tanto, automáticamente la solución más barata (más información en el capítulo «Patentes, genéricos y precios»).</w:t>
      </w:r>
    </w:p>
    <w:bookmarkEnd w:id="2870"/>
    <w:bookmarkStart w:id="2872" w:name="variables-duras-soul"/>
    <w:p>
      <w:pPr>
        <w:pStyle w:val="Heading4"/>
      </w:pPr>
      <w:r>
        <w:t xml:space="preserve">Variables duras: SOUL</w:t>
      </w:r>
    </w:p>
    <w:p>
      <w:pPr>
        <w:pStyle w:val="FirstParagraph"/>
      </w:pPr>
      <w:r>
        <w:t xml:space="preserve">Para la diabetes tipo 2, el beneficio del comprimido de semaglutida está demostrado más allá de la glucemia. En SOUL, con 9650 personas con diabetes tipo 2 y enfermedad vascular o renal, los acontecimientos cardiovasculares graves aparecieron, a lo largo de un tiempo de observación medio de unos cuatro años, en el 12,0 % con el comprimido y en el 13,8 % con placebo (hazard ratio 0,86). Las variables renales confirmatorias no difirieron significativamente</w:t>
      </w:r>
      <w:r>
        <w:rPr>
          <w:rStyle w:val="FootnoteReference"/>
        </w:rPr>
        <w:footnoteReference w:id="2871"/>
      </w:r>
      <w:r>
        <w:t xml:space="preserve">. Para las personas con obesidad sin diabetes todavía no existe un estudio de este tipo con el comprimido.</w:t>
      </w:r>
    </w:p>
    <w:bookmarkEnd w:id="2872"/>
    <w:bookmarkStart w:id="2875" w:name="amilina-y-glp-1-en-comprimido"/>
    <w:p>
      <w:pPr>
        <w:pStyle w:val="Heading4"/>
      </w:pPr>
      <w:r>
        <w:t xml:space="preserve">Amilina y GLP-1 en comprimido</w:t>
      </w:r>
    </w:p>
    <w:p>
      <w:pPr>
        <w:pStyle w:val="FirstParagraph"/>
      </w:pPr>
      <w:r>
        <w:t xml:space="preserve">Novo Nordisk desarrolla también la amicretina (desde 2026, zenagamtida) en comprimido. Según la publicación del estudio, el péptido actúa sobre los receptores de GLP-1, de amilina y de calcitonina. En un estudio de fase 2 con 186 adultos con diabetes tipo 2, la HbA1c bajó a las 36 semanas, en los tres grupos de dosis, entre 0,5 y 1,1 puntos porcentuales más que con placebo. Las molestias gastrointestinales aparecieron, según la dosis, en el 26 al 47 % (placebo 23 %); los acontecimientos adversos graves afectaron al 4 % con zenagamtida y a nadie con placebo</w:t>
      </w:r>
      <w:r>
        <w:rPr>
          <w:rStyle w:val="FootnoteReference"/>
        </w:rPr>
        <w:footnoteReference w:id="2873"/>
      </w:r>
      <w:r>
        <w:t xml:space="preserve">. El estudio de fase 3 AMAZE 9 evalúa el comprimido en el sobrepeso con 950 participantes (NCT07720271, finalización en agosto de 2028). Un estudio de fase 1 investiga expresamente cómo influyen la cantidad de agua y el momento de la comida en la absorción</w:t>
      </w:r>
      <w:r>
        <w:rPr>
          <w:rStyle w:val="FootnoteReference"/>
        </w:rPr>
        <w:footnoteReference w:id="2874"/>
      </w:r>
      <w:r>
        <w:t xml:space="preserve">, un indicio de que también este comprimido probablemente estará sujeto a normas de toma.</w:t>
      </w:r>
    </w:p>
    <w:bookmarkEnd w:id="2875"/>
    <w:bookmarkStart w:id="2880" w:name="péptidos-orales-fuera-del-metabolismo"/>
    <w:p>
      <w:pPr>
        <w:pStyle w:val="Heading4"/>
      </w:pPr>
      <w:r>
        <w:t xml:space="preserve">Péptidos orales fuera del metabolismo</w:t>
      </w:r>
    </w:p>
    <w:p>
      <w:pPr>
        <w:pStyle w:val="FirstParagraph"/>
      </w:pPr>
      <w:r>
        <w:t xml:space="preserve">El avance no se limita a los adelgazantes. Dos ejemplos muestran que los péptidos orales se están convirtiendo en una clase de medicamentos propia:</w:t>
      </w:r>
    </w:p>
    <w:p>
      <w:pPr>
        <w:numPr>
          <w:ilvl w:val="0"/>
          <w:numId w:val="1358"/>
        </w:numPr>
        <w:pStyle w:val="Compact"/>
      </w:pPr>
      <w:r>
        <w:rPr>
          <w:bCs/>
          <w:b/>
        </w:rPr>
        <w:t xml:space="preserve">La enlicitida</w:t>
      </w:r>
      <w:r>
        <w:t xml:space="preserve"> </w:t>
      </w:r>
      <w:r>
        <w:t xml:space="preserve">es un péptido cíclico (macrocíclico) que inhibe la proteína PCSK9 y reduce así el colesterol LDL. Hasta ahora, estos inhibidores solo existían como inyección (anticuerpos). El principio activo se encontró con un método que rastrea bibliotecas de péptidos muy grandes en busca de compañeros de unión adecuados, y después se optimizó químicamente de forma específica</w:t>
      </w:r>
      <w:r>
        <w:rPr>
          <w:rStyle w:val="FootnoteReference"/>
        </w:rPr>
        <w:footnoteReference w:id="2876"/>
      </w:r>
      <w:r>
        <w:t xml:space="preserve">. En el estudio de fase 3 CORALreef Lipids, con 2909 participantes, el colesterol LDL bajó a las 24 semanas un 57,1 %, mientras que con placebo subió un 3,0 %. Los acontecimientos adversos fueron igual de frecuentes en ambos grupos</w:t>
      </w:r>
      <w:r>
        <w:rPr>
          <w:rStyle w:val="FootnoteReference"/>
        </w:rPr>
        <w:footnoteReference w:id="2877"/>
      </w:r>
      <w:r>
        <w:t xml:space="preserve">. Si esto también previene infartos e ictus es lo que debe mostrar CORALreef Outcomes, con 14.550 participantes (NCT06008756, finalización en noviembre de 2031).</w:t>
      </w:r>
    </w:p>
    <w:p>
      <w:pPr>
        <w:numPr>
          <w:ilvl w:val="0"/>
          <w:numId w:val="1358"/>
        </w:numPr>
        <w:pStyle w:val="Compact"/>
      </w:pPr>
      <w:r>
        <w:rPr>
          <w:bCs/>
          <w:b/>
        </w:rPr>
        <w:t xml:space="preserve">El icotrokinra</w:t>
      </w:r>
      <w:r>
        <w:t xml:space="preserve"> </w:t>
      </w:r>
      <w:r>
        <w:t xml:space="preserve">es un péptido oral que bloquea el receptor del mensajero inflamatorio interleucina 23. En el estudio de fase 3 ICONIC-LEAD, con 684 adultos y adolescentes con psoriasis moderada a grave, a las 16 semanas el 65 % alcanzó una piel (casi) sin lesiones, frente al 8 % con placebo; los acontecimientos adversos fueron igual de frecuentes en ambos grupos (49 %)</w:t>
      </w:r>
      <w:r>
        <w:rPr>
          <w:rStyle w:val="FootnoteReference"/>
        </w:rPr>
        <w:footnoteReference w:id="2878"/>
      </w:r>
      <w:r>
        <w:t xml:space="preserve">. En marzo de 2026, el icotrokinra se autorizó en EE. UU., y en la UE estaba en evaluación (Keam 2026, PMID 42243571; compruébese la situación actual). Llama la atención el camino hasta ahí: según una investigación farmacológica, el icotrokinra funciona</w:t>
      </w:r>
      <w:r>
        <w:t xml:space="preserve"> </w:t>
      </w:r>
      <w:r>
        <w:rPr>
          <w:bCs/>
          <w:b/>
        </w:rPr>
        <w:t xml:space="preserve">sin</w:t>
      </w:r>
      <w:r>
        <w:t xml:space="preserve"> </w:t>
      </w:r>
      <w:r>
        <w:t xml:space="preserve">potenciador de la absorción. En experimentos con animales, solo el 0,1 al 0,3 % llegó a la sangre, y aun así se pudo medir un efecto en todo el organismo, porque el péptido es muy estable y muy potente</w:t>
      </w:r>
      <w:r>
        <w:rPr>
          <w:rStyle w:val="FootnoteReference"/>
        </w:rPr>
        <w:footnoteReference w:id="2879"/>
      </w:r>
      <w:r>
        <w:t xml:space="preserve">. Están en curso estudios en la colitis ulcerosa (ICONIC-UC, NCT07196748).</w:t>
      </w:r>
    </w:p>
    <w:p>
      <w:pPr>
        <w:pStyle w:val="FirstParagraph"/>
      </w:pPr>
      <w:r>
        <w:t xml:space="preserve">Ninguno de los dos principios activos es un péptido del mercado gris; son moléculas diseñadas de forma deliberada que se han evaluado durante años en grandes estudios. No tienen nada en común con los péptidos «orales» que se ofrecen en internet.</w:t>
      </w:r>
    </w:p>
    <w:bookmarkEnd w:id="2880"/>
    <w:bookmarkEnd w:id="2881"/>
    <w:bookmarkStart w:id="2890" w:name="X884164c0eb4af697574c9a13d817399a16d78b6"/>
    <w:p>
      <w:pPr>
        <w:pStyle w:val="Heading3"/>
      </w:pPr>
      <w:r>
        <w:t xml:space="preserve">Vía 2: moléculas pequeñas en lugar de péptidos</w:t>
      </w:r>
    </w:p>
    <w:bookmarkStart w:id="2887" w:name="orforglipron"/>
    <w:p>
      <w:pPr>
        <w:pStyle w:val="Heading4"/>
      </w:pPr>
      <w:r>
        <w:t xml:space="preserve">Orforglipron</w:t>
      </w:r>
    </w:p>
    <w:p>
      <w:pPr>
        <w:pStyle w:val="FirstParagraph"/>
      </w:pPr>
      <w:r>
        <w:t xml:space="preserve">El orforglipron no es un péptido, sino una molécula pequeña obtenida por síntesis química que activa el receptor de GLP-1 (con detalle en el capítulo Orforglipron de la Parte II · A). Se toma como un comprimido corriente una vez al día, según los estudios sin tener en cuenta las comidas ni la cantidad de agua</w:t>
      </w:r>
      <w:r>
        <w:rPr>
          <w:rStyle w:val="FootnoteReference"/>
        </w:rPr>
        <w:footnoteReference w:id="2882"/>
      </w:r>
      <w:r>
        <w:t xml:space="preserve">.</w:t>
      </w:r>
    </w:p>
    <w:p>
      <w:pPr>
        <w:numPr>
          <w:ilvl w:val="0"/>
          <w:numId w:val="1359"/>
        </w:numPr>
        <w:pStyle w:val="Compact"/>
      </w:pPr>
      <w:r>
        <w:rPr>
          <w:bCs/>
          <w:b/>
        </w:rPr>
        <w:t xml:space="preserve">Peso:</w:t>
      </w:r>
      <w:r>
        <w:t xml:space="preserve"> </w:t>
      </w:r>
      <w:r>
        <w:t xml:space="preserve">en ATTAIN-1, con 3127 adultos con obesidad, el peso bajó a las 72 semanas un 11,2 % con la dosis más alta, y un 2,1 % con placebo. Por efectos adversos abandonó entre el 5,3 y el 10,3 % (placebo 2,7 %)</w:t>
      </w:r>
      <w:r>
        <w:rPr>
          <w:rStyle w:val="FootnoteReference"/>
        </w:rPr>
        <w:footnoteReference w:id="2883"/>
      </w:r>
      <w:r>
        <w:t xml:space="preserve">.</w:t>
      </w:r>
    </w:p>
    <w:p>
      <w:pPr>
        <w:numPr>
          <w:ilvl w:val="0"/>
          <w:numId w:val="1359"/>
        </w:numPr>
        <w:pStyle w:val="Compact"/>
      </w:pPr>
      <w:r>
        <w:rPr>
          <w:bCs/>
          <w:b/>
        </w:rPr>
        <w:t xml:space="preserve">Glucemia:</w:t>
      </w:r>
      <w:r>
        <w:t xml:space="preserve"> </w:t>
      </w:r>
      <w:r>
        <w:t xml:space="preserve">en la comparación abierta con el comprimido de semaglutida (ACHIEVE-3, 1698 participantes), el orforglipron redujo más la HbA1c a las 52 semanas, con las dosis más altas en cada caso 1,91 frente a 1,47 puntos porcentuales</w:t>
      </w:r>
      <w:r>
        <w:rPr>
          <w:rStyle w:val="FootnoteReference"/>
        </w:rPr>
        <w:footnoteReference w:id="2884"/>
      </w:r>
      <w:r>
        <w:t xml:space="preserve">.</w:t>
      </w:r>
    </w:p>
    <w:p>
      <w:pPr>
        <w:numPr>
          <w:ilvl w:val="0"/>
          <w:numId w:val="1359"/>
        </w:numPr>
        <w:pStyle w:val="Compact"/>
      </w:pPr>
      <w:r>
        <w:rPr>
          <w:bCs/>
          <w:b/>
        </w:rPr>
        <w:t xml:space="preserve">Mantener el peso:</w:t>
      </w:r>
      <w:r>
        <w:t xml:space="preserve"> </w:t>
      </w:r>
      <w:r>
        <w:t xml:space="preserve">en ATTAIN-MAINTAIN, tras una pérdida de peso con tirzepatida o semaglutida inyectables, los participantes cambiaron a orforglipron o a placebo. A las 52 semanas, con orforglipron mantuvieron el 74,7 % y el 79,3 %, respectivamente, de su pérdida de peso, y con placebo el 49,2 % y el 37,6 %. No hubo un grupo que simplemente siguiera recibiendo la inyección; los propios autores lo mencionan como limitación</w:t>
      </w:r>
      <w:r>
        <w:rPr>
          <w:rStyle w:val="FootnoteReference"/>
        </w:rPr>
        <w:footnoteReference w:id="2885"/>
      </w:r>
      <w:r>
        <w:t xml:space="preserve">.</w:t>
      </w:r>
    </w:p>
    <w:p>
      <w:pPr>
        <w:numPr>
          <w:ilvl w:val="0"/>
          <w:numId w:val="1359"/>
        </w:numPr>
        <w:pStyle w:val="Compact"/>
      </w:pPr>
      <w:r>
        <w:rPr>
          <w:bCs/>
          <w:b/>
        </w:rPr>
        <w:t xml:space="preserve">Hígado:</w:t>
      </w:r>
      <w:r>
        <w:t xml:space="preserve"> </w:t>
      </w:r>
      <w:r>
        <w:t xml:space="preserve">con las moléculas pequeñas de GLP-1, los valores hepáticos eran una preocupación especial. Un análisis agrupado de siete estudios de fase 3 con 11.220 participantes no encontró para el orforglipron ningún caso que cumpliera los criterios de una lesión hepática inducida por medicamentos</w:t>
      </w:r>
      <w:r>
        <w:rPr>
          <w:rStyle w:val="FootnoteReference"/>
        </w:rPr>
        <w:footnoteReference w:id="2886"/>
      </w:r>
      <w:r>
        <w:t xml:space="preserve">.</w:t>
      </w:r>
    </w:p>
    <w:bookmarkEnd w:id="2887"/>
    <w:bookmarkStart w:id="2889" w:name="X3310bfeed8ad88ddb241531e0d9e950c0aac10b"/>
    <w:p>
      <w:pPr>
        <w:pStyle w:val="Heading4"/>
      </w:pPr>
      <w:r>
        <w:t xml:space="preserve">No todas las moléculas pequeñas lo consiguen</w:t>
      </w:r>
    </w:p>
    <w:p>
      <w:pPr>
        <w:pStyle w:val="FirstParagraph"/>
      </w:pPr>
      <w:r>
        <w:t xml:space="preserve">Que el camino es difícil lo muestra el</w:t>
      </w:r>
      <w:r>
        <w:t xml:space="preserve"> </w:t>
      </w:r>
      <w:r>
        <w:rPr>
          <w:bCs/>
          <w:b/>
        </w:rPr>
        <w:t xml:space="preserve">danuglipron</w:t>
      </w:r>
      <w:r>
        <w:t xml:space="preserve"> </w:t>
      </w:r>
      <w:r>
        <w:t xml:space="preserve">de Pfizer. En un estudio de fase 2b con 628 adultos con obesidad, en el que los comprimidos se tomaban dos veces al día, el peso bajó claramente más que con placebo, pero solo el 39,3 % completó el tratamiento; alrededor del 38 % abandonó por efectos adversos</w:t>
      </w:r>
      <w:r>
        <w:rPr>
          <w:rStyle w:val="FootnoteReference"/>
        </w:rPr>
        <w:footnoteReference w:id="2888"/>
      </w:r>
      <w:r>
        <w:t xml:space="preserve">. Según comunicados del fabricante, el desarrollo se abandonó. Otras empresas desarrollan sus propios comprimidos; AstraZeneca, por ejemplo, evalúa el principio activo elecoglipron en un estudio de fase 3 frente al comprimido de semaglutida (Eluminate-2, NCT07662213).</w:t>
      </w:r>
    </w:p>
    <w:bookmarkEnd w:id="2889"/>
    <w:bookmarkEnd w:id="2890"/>
    <w:bookmarkStart w:id="2892" w:name="X1fbc14e77471f37f7b138184769195f71b786f8"/>
    <w:p>
      <w:pPr>
        <w:pStyle w:val="Heading3"/>
      </w:pPr>
      <w:r>
        <w:t xml:space="preserve">Comprimido peptídico o molécula pequeña: una comparación</w:t>
      </w:r>
    </w:p>
    <w:p>
      <w:pPr>
        <w:pStyle w:val="FirstParagraph"/>
      </w:pPr>
      <w:r>
        <w:t xml:space="preserve">Falta una comparación directa del comprimido de semaglutida con el orforglipron en la obesidad. Un análisis los comparó de forma indirecta, ajustando los datos individuales de OASIS 4 a los datos globales publicados de ATTAIN-1. Según este análisis, la pérdida de peso con el comprimido de semaglutida fue alrededor de 3 puntos porcentuales mayor, y los abandonos por efectos adversos fueron más frecuentes con orforglipron</w:t>
      </w:r>
      <w:r>
        <w:rPr>
          <w:rStyle w:val="FootnoteReference"/>
        </w:rPr>
        <w:footnoteReference w:id="2891"/>
      </w:r>
      <w:r>
        <w:t xml:space="preserve">. Estas comparaciones indirectas deben leerse con cautela: solo se disponía de los datos individuales de uno de los dos estudios, y precisamente los del programa de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Característica</w:t>
            </w:r>
          </w:p>
        </w:tc>
        <w:tc>
          <w:tcPr/>
          <w:p>
            <w:pPr>
              <w:pStyle w:val="Compact"/>
              <w:jc w:val="left"/>
            </w:pPr>
            <w:r>
              <w:t xml:space="preserve">Inyección peptídica</w:t>
            </w:r>
          </w:p>
        </w:tc>
        <w:tc>
          <w:tcPr/>
          <w:p>
            <w:pPr>
              <w:pStyle w:val="Compact"/>
              <w:jc w:val="left"/>
            </w:pPr>
            <w:r>
              <w:t xml:space="preserve">Comprimido peptídico</w:t>
            </w:r>
          </w:p>
        </w:tc>
        <w:tc>
          <w:tcPr/>
          <w:p>
            <w:pPr>
              <w:pStyle w:val="Compact"/>
              <w:jc w:val="left"/>
            </w:pPr>
            <w:r>
              <w:t xml:space="preserve">Molécula pequeña</w:t>
            </w:r>
          </w:p>
        </w:tc>
      </w:tr>
      <w:tr>
        <w:tc>
          <w:tcPr/>
          <w:p>
            <w:pPr>
              <w:pStyle w:val="Compact"/>
              <w:jc w:val="left"/>
            </w:pPr>
            <w:r>
              <w:t xml:space="preserve">Ejemplo</w:t>
            </w:r>
          </w:p>
        </w:tc>
        <w:tc>
          <w:tcPr/>
          <w:p>
            <w:pPr>
              <w:pStyle w:val="Compact"/>
              <w:jc w:val="left"/>
            </w:pPr>
            <w:r>
              <w:t xml:space="preserve">Semaglutida, tirzepatida</w:t>
            </w:r>
          </w:p>
        </w:tc>
        <w:tc>
          <w:tcPr/>
          <w:p>
            <w:pPr>
              <w:pStyle w:val="Compact"/>
              <w:jc w:val="left"/>
            </w:pPr>
            <w:r>
              <w:t xml:space="preserve">Comprimido de semaglutida, comprimido de zenagamtida</w:t>
            </w:r>
          </w:p>
        </w:tc>
        <w:tc>
          <w:tcPr/>
          <w:p>
            <w:pPr>
              <w:pStyle w:val="Compact"/>
              <w:jc w:val="left"/>
            </w:pPr>
            <w:r>
              <w:t xml:space="preserve">Orforglipron</w:t>
            </w:r>
          </w:p>
        </w:tc>
      </w:tr>
      <w:tr>
        <w:tc>
          <w:tcPr/>
          <w:p>
            <w:pPr>
              <w:pStyle w:val="Compact"/>
              <w:jc w:val="left"/>
            </w:pPr>
            <w:r>
              <w:t xml:space="preserve">Toma</w:t>
            </w:r>
          </w:p>
        </w:tc>
        <w:tc>
          <w:tcPr/>
          <w:p>
            <w:pPr>
              <w:pStyle w:val="Compact"/>
              <w:jc w:val="left"/>
            </w:pPr>
            <w:r>
              <w:t xml:space="preserve">semanal a mensual</w:t>
            </w:r>
          </w:p>
        </w:tc>
        <w:tc>
          <w:tcPr/>
          <w:p>
            <w:pPr>
              <w:pStyle w:val="Compact"/>
              <w:jc w:val="left"/>
            </w:pPr>
            <w:r>
              <w:t xml:space="preserve">diaria, en ayunas, con normas de toma</w:t>
            </w:r>
          </w:p>
        </w:tc>
        <w:tc>
          <w:tcPr/>
          <w:p>
            <w:pPr>
              <w:pStyle w:val="Compact"/>
              <w:jc w:val="left"/>
            </w:pPr>
            <w:r>
              <w:t xml:space="preserve">diaria, sin normas sobre las comidas</w:t>
            </w:r>
          </w:p>
        </w:tc>
      </w:tr>
      <w:tr>
        <w:tc>
          <w:tcPr/>
          <w:p>
            <w:pPr>
              <w:pStyle w:val="Compact"/>
              <w:jc w:val="left"/>
            </w:pPr>
            <w:r>
              <w:t xml:space="preserve">Necesidad de principio activo</w:t>
            </w:r>
          </w:p>
        </w:tc>
        <w:tc>
          <w:tcPr/>
          <w:p>
            <w:pPr>
              <w:pStyle w:val="Compact"/>
              <w:jc w:val="left"/>
            </w:pPr>
            <w:r>
              <w:t xml:space="preserve">baja</w:t>
            </w:r>
          </w:p>
        </w:tc>
        <w:tc>
          <w:tcPr/>
          <w:p>
            <w:pPr>
              <w:pStyle w:val="Compact"/>
              <w:jc w:val="left"/>
            </w:pPr>
            <w:r>
              <w:t xml:space="preserve">muy alta (absorción de alrededor del 1 %)</w:t>
            </w:r>
          </w:p>
        </w:tc>
        <w:tc>
          <w:tcPr/>
          <w:p>
            <w:pPr>
              <w:pStyle w:val="Compact"/>
              <w:jc w:val="left"/>
            </w:pPr>
            <w:r>
              <w:t xml:space="preserve">normal para comprimidos</w:t>
            </w:r>
          </w:p>
        </w:tc>
      </w:tr>
      <w:tr>
        <w:tc>
          <w:tcPr/>
          <w:p>
            <w:pPr>
              <w:pStyle w:val="Compact"/>
              <w:jc w:val="left"/>
            </w:pPr>
            <w:r>
              <w:t xml:space="preserve">Pérdida de peso en los estudios</w:t>
            </w:r>
          </w:p>
        </w:tc>
        <w:tc>
          <w:tcPr/>
          <w:p>
            <w:pPr>
              <w:pStyle w:val="Compact"/>
              <w:jc w:val="left"/>
            </w:pPr>
            <w:r>
              <w:t xml:space="preserve">la más alta</w:t>
            </w:r>
          </w:p>
        </w:tc>
        <w:tc>
          <w:tcPr/>
          <w:p>
            <w:pPr>
              <w:pStyle w:val="Compact"/>
              <w:jc w:val="left"/>
            </w:pPr>
            <w:r>
              <w:t xml:space="preserve">similar a la de la inyección de semaglutida</w:t>
            </w:r>
          </w:p>
        </w:tc>
        <w:tc>
          <w:tcPr/>
          <w:p>
            <w:pPr>
              <w:pStyle w:val="Compact"/>
              <w:jc w:val="left"/>
            </w:pPr>
            <w:r>
              <w:t xml:space="preserve">algo menor</w:t>
            </w:r>
          </w:p>
        </w:tc>
      </w:tr>
      <w:tr>
        <w:tc>
          <w:tcPr/>
          <w:p>
            <w:pPr>
              <w:pStyle w:val="Compact"/>
              <w:jc w:val="left"/>
            </w:pPr>
            <w:r>
              <w:t xml:space="preserve">Degradación, interacciones</w:t>
            </w:r>
          </w:p>
        </w:tc>
        <w:tc>
          <w:tcPr/>
          <w:p>
            <w:pPr>
              <w:pStyle w:val="Compact"/>
              <w:jc w:val="left"/>
            </w:pPr>
            <w:r>
              <w:t xml:space="preserve">como una proteína, apenas interacciones</w:t>
            </w:r>
          </w:p>
        </w:tc>
        <w:tc>
          <w:tcPr/>
          <w:p>
            <w:pPr>
              <w:pStyle w:val="Compact"/>
              <w:jc w:val="left"/>
            </w:pPr>
            <w:r>
              <w:t xml:space="preserve">como una proteína</w:t>
            </w:r>
          </w:p>
        </w:tc>
        <w:tc>
          <w:tcPr/>
          <w:p>
            <w:pPr>
              <w:pStyle w:val="Compact"/>
              <w:jc w:val="left"/>
            </w:pPr>
            <w:r>
              <w:t xml:space="preserve">por enzimas hepáticas, posibles interacciones</w:t>
            </w:r>
          </w:p>
        </w:tc>
      </w:tr>
      <w:tr>
        <w:tc>
          <w:tcPr/>
          <w:p>
            <w:pPr>
              <w:pStyle w:val="Compact"/>
              <w:jc w:val="left"/>
            </w:pPr>
            <w:r>
              <w:t xml:space="preserve">Variables duras</w:t>
            </w:r>
          </w:p>
        </w:tc>
        <w:tc>
          <w:tcPr/>
          <w:p>
            <w:pPr>
              <w:pStyle w:val="Compact"/>
              <w:jc w:val="left"/>
            </w:pPr>
            <w:r>
              <w:t xml:space="preserve">demostradas para varios principios activos</w:t>
            </w:r>
          </w:p>
        </w:tc>
        <w:tc>
          <w:tcPr/>
          <w:p>
            <w:pPr>
              <w:pStyle w:val="Compact"/>
              <w:jc w:val="left"/>
            </w:pPr>
            <w:r>
              <w:t xml:space="preserve">demostradas en la diabetes tipo 2 (SOUL)</w:t>
            </w:r>
          </w:p>
        </w:tc>
        <w:tc>
          <w:tcPr/>
          <w:p>
            <w:pPr>
              <w:pStyle w:val="Compact"/>
              <w:jc w:val="left"/>
            </w:pPr>
            <w:r>
              <w:t xml:space="preserve">estudio de resultados en curso hasta 2031</w:t>
            </w:r>
          </w:p>
        </w:tc>
      </w:tr>
    </w:tbl>
    <w:p>
      <w:pPr>
        <w:pStyle w:val="BodyText"/>
      </w:pPr>
      <w:r>
        <w:t xml:space="preserve">El punto «interacciones» merece una explicación: los péptidos se degradan en el organismo como otras proteínas. Las moléculas pequeñas como el orforglipron, en cambio, se metabolizan a través de enzimas hepáticas por las que pasan también muchos otros medicamentos. Por eso, para el orforglipron se han realizado numerosos estudios de interacciones (véase el capítulo Orforglipron).</w:t>
      </w:r>
    </w:p>
    <w:bookmarkEnd w:id="2892"/>
    <w:bookmarkStart w:id="2898" w:name="preguntas-abiertas"/>
    <w:p>
      <w:pPr>
        <w:pStyle w:val="Heading3"/>
      </w:pPr>
      <w:r>
        <w:t xml:space="preserve">Preguntas abiertas</w:t>
      </w:r>
    </w:p>
    <w:p>
      <w:pPr>
        <w:pStyle w:val="FirstParagraph"/>
      </w:pPr>
      <w:r>
        <w:rPr>
          <w:bCs/>
          <w:b/>
        </w:rPr>
        <w:t xml:space="preserve">¿Se toma un comprimido diario con más regularidad que una inyección semanal?</w:t>
      </w:r>
      <w:r>
        <w:t xml:space="preserve"> </w:t>
      </w:r>
      <w:r>
        <w:t xml:space="preserve">No está en absoluto claro. Quien cambia una inyección a la semana por siete comprimidos tiene siete ocasiones por semana de olvidar una dosis. En el comprimido de semaglutida se añade que basta una comida demasiado temprana para impedir prácticamente la absorción</w:t>
      </w:r>
      <w:r>
        <w:rPr>
          <w:rStyle w:val="FootnoteReference"/>
        </w:rPr>
        <w:footnoteReference w:id="2893"/>
      </w:r>
      <w:r>
        <w:t xml:space="preserve">. Cómo repercute esto en el efecto en la vida diaria no lo muestran los estudios de autorización, con sus participantes estrechamente supervisados.</w:t>
      </w:r>
    </w:p>
    <w:p>
      <w:pPr>
        <w:pStyle w:val="BodyText"/>
      </w:pPr>
      <w:r>
        <w:rPr>
          <w:bCs/>
          <w:b/>
        </w:rPr>
        <w:t xml:space="preserve">¿Hay variables duras para los comprimidos en la obesidad?</w:t>
      </w:r>
      <w:r>
        <w:t xml:space="preserve"> </w:t>
      </w:r>
      <w:r>
        <w:t xml:space="preserve">Todavía no. SOUL se refería a personas con diabetes tipo 2. El estudio cardiovascular del orforglipron está en curso hasta 2031</w:t>
      </w:r>
      <w:r>
        <w:rPr>
          <w:rStyle w:val="FootnoteReference"/>
        </w:rPr>
        <w:footnoteReference w:id="2894"/>
      </w:r>
      <w:r>
        <w:t xml:space="preserve">, y el orforglipron se está evaluando incluso en personas con sobrepeso para evitar la progresión hacia la obesidad o hacia enfermedades secundarias (ATTAIN-NOW, NCT07794579, 2001 participantes, finalización en septiembre de 2030).</w:t>
      </w:r>
    </w:p>
    <w:p>
      <w:pPr>
        <w:pStyle w:val="BodyText"/>
      </w:pPr>
      <w:r>
        <w:rPr>
          <w:bCs/>
          <w:b/>
        </w:rPr>
        <w:t xml:space="preserve">¿Es el comprimido el medio para el mantenimiento?</w:t>
      </w:r>
      <w:r>
        <w:t xml:space="preserve"> </w:t>
      </w:r>
      <w:r>
        <w:t xml:space="preserve">ATTAIN-MAINTAIN sugiere que el cambio de la inyección a un comprimido puede mantener una gran parte de la pérdida de peso. Si es igual de bueno que continuar con la inyección no se ha evaluado.</w:t>
      </w:r>
    </w:p>
    <w:p>
      <w:pPr>
        <w:pStyle w:val="BodyText"/>
      </w:pPr>
      <w:r>
        <w:rPr>
          <w:bCs/>
          <w:b/>
        </w:rPr>
        <w:t xml:space="preserve">¿Serán más baratos los comprimidos?</w:t>
      </w:r>
      <w:r>
        <w:t xml:space="preserve"> </w:t>
      </w:r>
      <w:r>
        <w:t xml:space="preserve">Para las moléculas pequeñas es plausible, porque se fabrican con procedimientos químicos estándar. Para los comprimidos peptídicos, la estimación de costes apunta más bien en contra, porque necesitan mucho más principio activo</w:t>
      </w:r>
      <w:r>
        <w:rPr>
          <w:rStyle w:val="FootnoteReference"/>
        </w:rPr>
        <w:footnoteReference w:id="2895"/>
      </w:r>
      <w:r>
        <w:t xml:space="preserve">. Los precios concretos en Europa están por ver.</w:t>
      </w:r>
    </w:p>
    <w:p>
      <w:pPr>
        <w:pStyle w:val="BodyText"/>
      </w:pPr>
      <w:r>
        <w:rPr>
          <w:bCs/>
          <w:b/>
        </w:rPr>
        <w:t xml:space="preserve">¿Y las gotas, los comprimidos bucodispersables y los espráis nasales de internet?</w:t>
      </w:r>
      <w:r>
        <w:t xml:space="preserve"> </w:t>
      </w:r>
      <w:r>
        <w:t xml:space="preserve">Aquí es aconsejable la cautela. Una investigación de preparaciones farmacéuticas elaboradas en EE. UU. encontró preparaciones de semaglutida o tirzepatida para uso sublingual y en comprimidos bucodispersables para las que no hay pruebas de eficacia ni de seguridad</w:t>
      </w:r>
      <w:r>
        <w:rPr>
          <w:rStyle w:val="FootnoteReference"/>
        </w:rPr>
        <w:footnoteReference w:id="2896"/>
      </w:r>
      <w:r>
        <w:t xml:space="preserve">. En un análisis de laboratorio, productos de imitación de semaglutida oral contenían en parte claramente menos principio activo del declarado y liberaban el principio activo y el SNAC de forma distinta que el original</w:t>
      </w:r>
      <w:r>
        <w:rPr>
          <w:rStyle w:val="FootnoteReference"/>
        </w:rPr>
        <w:footnoteReference w:id="2897"/>
      </w:r>
      <w:r>
        <w:t xml:space="preserve">. Un péptido que se vende «en comprimido» apenas se absorbe sin una formulación evaluada; esto vale tanto para la semaglutida como para BPC-157 u otros péptidos del mercado gris.</w:t>
      </w:r>
    </w:p>
    <w:bookmarkEnd w:id="2898"/>
    <w:bookmarkStart w:id="2899" w:name="valoración-del-autor"/>
    <w:p>
      <w:pPr>
        <w:pStyle w:val="Heading3"/>
      </w:pPr>
      <w:r>
        <w:t xml:space="preserve">Valoración del autor</w:t>
      </w:r>
    </w:p>
    <w:p>
      <w:pPr>
        <w:pStyle w:val="FirstParagraph"/>
      </w:pPr>
      <w:r>
        <w:t xml:space="preserve">La inyección no desaparecerá, pero su posición de monopolio ha terminado. Para la fase de pérdida de peso intensa, los principios activos inyectables probablemente seguirán a la cabeza en los próximos años, porque en los estudios son los que más efecto consiguen y porque los datos cardiovasculares existen hasta ahora casi exclusivamente para ellos. Para el mantenimiento durante años, para las personas con miedo a las inyecciones y para los países sin una cadena de frío fiable, en cambio, los comprimidos son un verdadero avance. Que se impongan más bien los comprimidos peptídicos o las moléculas pequeñas se decidirá menos por el efecto que por el precio, la comodidad de la toma y la seguridad a largo plazo. Es una valoración; lo único confirmado es que ambas vías se están evaluando en grandes estudios de fase 3.</w:t>
      </w:r>
    </w:p>
    <w:bookmarkEnd w:id="2899"/>
    <w:bookmarkStart w:id="2900" w:name="lo-más-importante-en-pocas-palabras-4"/>
    <w:p>
      <w:pPr>
        <w:pStyle w:val="Heading3"/>
      </w:pPr>
      <w:r>
        <w:t xml:space="preserve">Lo más importante en pocas palabras</w:t>
      </w:r>
    </w:p>
    <w:p>
      <w:pPr>
        <w:numPr>
          <w:ilvl w:val="0"/>
          <w:numId w:val="1360"/>
        </w:numPr>
        <w:pStyle w:val="Compact"/>
      </w:pPr>
      <w:r>
        <w:t xml:space="preserve">Los péptidos en comprimido solo funcionan con un gran esfuerzo técnico. Con el comprimido de semaglutida llega a la sangre alrededor del 1 % del principio activo y, aun así, en los estudios alcanza pérdidas de peso similares a las de la inyección.</w:t>
      </w:r>
    </w:p>
    <w:p>
      <w:pPr>
        <w:numPr>
          <w:ilvl w:val="0"/>
          <w:numId w:val="1360"/>
        </w:numPr>
        <w:pStyle w:val="Compact"/>
      </w:pPr>
      <w:r>
        <w:t xml:space="preserve">Las moléculas pequeñas como el orforglipron evitan el problema, pero en los estudios lograron algo menos de pérdida de peso y se degradan a través de enzimas hepáticas.</w:t>
      </w:r>
    </w:p>
    <w:p>
      <w:pPr>
        <w:numPr>
          <w:ilvl w:val="0"/>
          <w:numId w:val="1360"/>
        </w:numPr>
        <w:pStyle w:val="Compact"/>
      </w:pPr>
      <w:r>
        <w:t xml:space="preserve">Los péptidos orales se están convirtiendo también fuera del metabolismo en una clase de medicamentos propia, por ejemplo contra el colesterol alto (enlicitida) y la psoriasis (icotrokinra).</w:t>
      </w:r>
    </w:p>
    <w:p>
      <w:pPr>
        <w:numPr>
          <w:ilvl w:val="0"/>
          <w:numId w:val="1360"/>
        </w:numPr>
        <w:pStyle w:val="Compact"/>
      </w:pPr>
      <w:r>
        <w:t xml:space="preserve">Siguen abiertos los datos a largo plazo, las variables duras en la obesidad, la adherencia terapéutica en la vida diaria y los precios.</w:t>
      </w:r>
    </w:p>
    <w:p>
      <w:pPr>
        <w:numPr>
          <w:ilvl w:val="0"/>
          <w:numId w:val="1360"/>
        </w:numPr>
        <w:pStyle w:val="Compact"/>
      </w:pPr>
      <w:r>
        <w:t xml:space="preserve">Los medicamentos deben utilizarse solo con acompañamiento médico y según la ficha técnica; los péptidos «orales» del mercado gris no tienen nada que ver con estos avances.</w:t>
      </w:r>
    </w:p>
    <w:bookmarkEnd w:id="2900"/>
    <w:bookmarkEnd w:id="2901"/>
    <w:bookmarkStart w:id="2928" w:name="patentes-genéricos-y-precios"/>
    <w:p>
      <w:pPr>
        <w:pStyle w:val="Heading2"/>
      </w:pPr>
      <w:r>
        <w:t xml:space="preserve">Patentes, genéricos y precios</w:t>
      </w:r>
    </w:p>
    <w:p>
      <w:pPr>
        <w:pStyle w:val="FirstParagraph"/>
      </w:pPr>
      <w:r>
        <w:t xml:space="preserve">Si un medicamento funciona lo deciden los estudios. Si llega a las personas lo deciden las patentes, los precios, las cadenas de suministro y las aseguradoras. En los medicamentos GLP-1, esta segunda parte de la historia es casi tan dramática como la primera: problemas de suministro, un mercado de copias elaboradas en farmacias en EE. UU., falsificaciones en todo el mundo y, en 2026, la expiración de las primeras patentes de semaglutida en países grandes.</w:t>
      </w:r>
    </w:p>
    <w:p>
      <w:pPr>
        <w:pStyle w:val="BodyText"/>
      </w:pPr>
      <w:r>
        <w:rPr>
          <w:bCs/>
          <w:b/>
        </w:rPr>
        <w:t xml:space="preserve">Una advertencia importante de antemano:</w:t>
      </w:r>
      <w:r>
        <w:t xml:space="preserve"> </w:t>
      </w:r>
      <w:r>
        <w:t xml:space="preserve">los precios, la vigencia de las patentes y las normas de financiación cambian rápidamente y solo están documentados en parte en trabajos científicos. Cuando este capítulo da datos sin respaldo en estudios, se identifican con «situación en 2026, compruébese». Deliberadamente no se indican precios concretos en euros, porque varían según el país, el envase y el momento.</w:t>
      </w:r>
    </w:p>
    <w:bookmarkStart w:id="2903" w:name="X5a5f6ebb5bf8470f0a856354ba5d2a5669ea217"/>
    <w:p>
      <w:pPr>
        <w:pStyle w:val="Heading3"/>
      </w:pPr>
      <w:r>
        <w:t xml:space="preserve">Patentes, genéricos y biosimilares: los conceptos</w:t>
      </w:r>
    </w:p>
    <w:p>
      <w:pPr>
        <w:pStyle w:val="FirstParagraph"/>
      </w:pPr>
      <w:r>
        <w:t xml:space="preserve">Una</w:t>
      </w:r>
      <w:r>
        <w:t xml:space="preserve"> </w:t>
      </w:r>
      <w:r>
        <w:rPr>
          <w:bCs/>
          <w:b/>
        </w:rPr>
        <w:t xml:space="preserve">patente</w:t>
      </w:r>
      <w:r>
        <w:t xml:space="preserve"> </w:t>
      </w:r>
      <w:r>
        <w:t xml:space="preserve">concede al fabricante, durante un tiempo limitado, el derecho exclusivo a vender un principio activo. En la UE y en EE. UU., la vigencia básica es de 20 años desde la solicitud; como el desarrollo dura muchos años, para los medicamentos puede prolongarse hasta cinco años mediante un certificado complementario de protección. Además de la patente sobre el propio principio activo, a menudo hay otras patentes sobre procedimientos de fabricación, formas farmacéuticas o plumas.</w:t>
      </w:r>
    </w:p>
    <w:p>
      <w:pPr>
        <w:pStyle w:val="BodyText"/>
      </w:pPr>
      <w:r>
        <w:t xml:space="preserve">Una vez expirada la protección, otros fabricantes pueden ofrecer productos de imitación:</w:t>
      </w:r>
    </w:p>
    <w:p>
      <w:pPr>
        <w:numPr>
          <w:ilvl w:val="0"/>
          <w:numId w:val="1361"/>
        </w:numPr>
        <w:pStyle w:val="Compact"/>
      </w:pPr>
      <w:r>
        <w:rPr>
          <w:bCs/>
          <w:b/>
        </w:rPr>
        <w:t xml:space="preserve">Los genéricos</w:t>
      </w:r>
      <w:r>
        <w:t xml:space="preserve"> </w:t>
      </w:r>
      <w:r>
        <w:t xml:space="preserve">son copias de principios activos obtenidos por síntesis química. Deben demostrar que contienen el mismo principio activo y que tienen la misma biodisponibilidad en el organismo; no son necesarios nuevos grandes estudios de eficacia.</w:t>
      </w:r>
    </w:p>
    <w:p>
      <w:pPr>
        <w:numPr>
          <w:ilvl w:val="0"/>
          <w:numId w:val="1361"/>
        </w:numPr>
        <w:pStyle w:val="Compact"/>
      </w:pPr>
      <w:r>
        <w:rPr>
          <w:bCs/>
          <w:b/>
        </w:rPr>
        <w:t xml:space="preserve">Los biosimilares</w:t>
      </w:r>
      <w:r>
        <w:t xml:space="preserve"> </w:t>
      </w:r>
      <w:r>
        <w:t xml:space="preserve">son sucesores de principios activos obtenidos por procedimientos biológicos, como anticuerpos o proteínas de fusión. Como la producción biológica nunca proporciona moléculas totalmente idénticas, su autorización es más compleja.</w:t>
      </w:r>
    </w:p>
    <w:p>
      <w:pPr>
        <w:pStyle w:val="FirstParagraph"/>
      </w:pPr>
      <w:r>
        <w:t xml:space="preserve">Los péptidos cortos, como la liraglutida o la semaglutida, se sitúan en medio: pueden fabricarse por ingeniería genética o por síntesis química. Esto tiene consecuencias prácticas. Un análisis de laboratorio comparó 16 productos de imitación de semaglutida inyectables y 8 orales, así como 2 productos de imitación de liraglutida, con los originales. Encontró impurezas nuevas, claramente menos principio activo del declarado en varios comprimidos de semaglutida y una mayor tendencia a la agregación en la liraglutida</w:t>
      </w:r>
      <w:r>
        <w:rPr>
          <w:rStyle w:val="FootnoteReference"/>
        </w:rPr>
        <w:footnoteReference w:id="2902"/>
      </w:r>
      <w:r>
        <w:t xml:space="preserve">. Según los autores, no se sabe si las diferencias tienen relevancia clínica. Pero el análisis muestra por qué las autoridades examinan con atención las imitaciones de péptidos.</w:t>
      </w:r>
    </w:p>
    <w:bookmarkEnd w:id="2903"/>
    <w:bookmarkStart w:id="2905" w:name="liraglutida-el-primer-genérico-de-glp-1"/>
    <w:p>
      <w:pPr>
        <w:pStyle w:val="Heading3"/>
      </w:pPr>
      <w:r>
        <w:t xml:space="preserve">Liraglutida: el primer genérico de GLP-1</w:t>
      </w:r>
    </w:p>
    <w:p>
      <w:pPr>
        <w:pStyle w:val="FirstParagraph"/>
      </w:pPr>
      <w:r>
        <w:t xml:space="preserve">La liraglutida es el primer principio activo GLP-1 cuya protección ha expirado en mercados grandes. En EE. UU. hay en el mercado genéricos de la forma para la diabetes (Victoza) desde 2024 y también de la forma para la obesidad (Saxenda) desde 2025. En Europa se van incorporando productos de imitación poco a poco; la situación varía según el país (véase el capítulo Liraglutida).</w:t>
      </w:r>
    </w:p>
    <w:p>
      <w:pPr>
        <w:pStyle w:val="BodyText"/>
      </w:pPr>
      <w:r>
        <w:t xml:space="preserve">Para el suministro, esto tiene dos caras. Por un lado, un principio activo con un beneficio cardiovascular demostrado en la diabetes tipo 2 se abarata. Por otro, la liraglutida debe inyectarse a diario y su efecto sobre el peso es claramente menor que el de la semaglutida: en STEP 8, el peso bajó de media un 15,8 % con semaglutida semanal y un 6,4 % con liraglutida diaria; al menos una quinta parte de su peso la perdió el 38,5 % frente al 6,0 %</w:t>
      </w:r>
      <w:r>
        <w:rPr>
          <w:rStyle w:val="FootnoteReference"/>
        </w:rPr>
        <w:footnoteReference w:id="2904"/>
      </w:r>
      <w:r>
        <w:t xml:space="preserve">. Para las personas que no pueden pagar el fármaco más reciente, un fármaco más antiguo y barato puede ser, aun así, mejor opción que ninguno.</w:t>
      </w:r>
    </w:p>
    <w:bookmarkEnd w:id="2905"/>
    <w:bookmarkStart w:id="2910" w:name="semaglutida-2026-como-año-de-inflexión"/>
    <w:p>
      <w:pPr>
        <w:pStyle w:val="Heading3"/>
      </w:pPr>
      <w:r>
        <w:t xml:space="preserve">Semaglutida: 2026 como año de inflexión</w:t>
      </w:r>
    </w:p>
    <w:p>
      <w:pPr>
        <w:pStyle w:val="FirstParagraph"/>
      </w:pPr>
      <w:r>
        <w:t xml:space="preserve">Para la semaglutida, las patentes expiran en 2026 en varios países grandes fuera de la UE y de EE. UU., entre ellos, según el capítulo Semaglutida, Canadá, China, la India y Brasil. Un análisis de bases de datos de patentes llegó a la siguiente imagen</w:t>
      </w:r>
      <w:r>
        <w:rPr>
          <w:rStyle w:val="FootnoteReference"/>
        </w:rPr>
        <w:footnoteReference w:id="2906"/>
      </w:r>
      <w:r>
        <w:t xml:space="preserve">:</w:t>
      </w:r>
    </w:p>
    <w:p>
      <w:pPr>
        <w:numPr>
          <w:ilvl w:val="0"/>
          <w:numId w:val="1362"/>
        </w:numPr>
        <w:pStyle w:val="Compact"/>
      </w:pPr>
      <w:r>
        <w:t xml:space="preserve">En doce países, la protección por patente termina en 2026. En ellos vive el 47 % de las personas con obesidad y el 49 % de las personas con diabetes tipo 2 de todo el mundo.</w:t>
      </w:r>
    </w:p>
    <w:p>
      <w:pPr>
        <w:numPr>
          <w:ilvl w:val="0"/>
          <w:numId w:val="1362"/>
        </w:numPr>
        <w:pStyle w:val="Compact"/>
      </w:pPr>
      <w:r>
        <w:t xml:space="preserve">En otros 150 países, los autores no encontraron ninguna solicitud de patente.</w:t>
      </w:r>
    </w:p>
    <w:p>
      <w:pPr>
        <w:numPr>
          <w:ilvl w:val="0"/>
          <w:numId w:val="1362"/>
        </w:numPr>
        <w:pStyle w:val="Compact"/>
      </w:pPr>
      <w:r>
        <w:t xml:space="preserve">A finales de 2026, las imitaciones de semaglutida inyectable podrían estar disponibles en 162 países en los que vive el 69 % de las personas con diabetes tipo 2 y el 84 % de las personas con obesidad clínica.</w:t>
      </w:r>
    </w:p>
    <w:p>
      <w:pPr>
        <w:numPr>
          <w:ilvl w:val="0"/>
          <w:numId w:val="1362"/>
        </w:numPr>
        <w:pStyle w:val="Compact"/>
      </w:pPr>
      <w:r>
        <w:t xml:space="preserve">A partir de datos sobre envíos de principio activo desde la India estimaron los costes de producción: un año de semaglutida inyectable podría ofrecerse como genérico por 28 a 140 dólares estadounidenses por persona, y el comprimido por 186 a 380 dólares. La pluma suponía una parte desproporcionadamente grande de los costes.</w:t>
      </w:r>
    </w:p>
    <w:p>
      <w:pPr>
        <w:pStyle w:val="FirstParagraph"/>
      </w:pPr>
      <w:r>
        <w:t xml:space="preserve">Los propios autores subrayan que los costes de la pluma, otras patentes y unos sistemas sanitarios débiles pueden limitar, a pesar de todo, el acceso. Cuánto pueden bajar los precios los genéricos lo muestra un análisis de la India: allí, los precios de los inhibidores de SGLT2 y de los agonistas del receptor de GLP-1 bajaron entre un 60 y un 90 % aproximadamente tras la expiración de las patentes. Entre los precios de los genéricos indios y los precios de catálogo de EE. UU., los autores encontraron diferencias de 15 a 65 veces. Pero también señalan que los genéricos de distintos fabricantes pueden diferir en calidad y en absorción en el organismo</w:t>
      </w:r>
      <w:r>
        <w:rPr>
          <w:rStyle w:val="FootnoteReference"/>
        </w:rPr>
        <w:footnoteReference w:id="2907"/>
      </w:r>
      <w:r>
        <w:t xml:space="preserve">.</w:t>
      </w:r>
    </w:p>
    <w:p>
      <w:pPr>
        <w:pStyle w:val="BodyText"/>
      </w:pPr>
      <w:r>
        <w:rPr>
          <w:bCs/>
          <w:b/>
        </w:rPr>
        <w:t xml:space="preserve">En la UE y en EE. UU.</w:t>
      </w:r>
      <w:r>
        <w:t xml:space="preserve">, los genéricos de semaglutida no se esperan hasta alrededor de 2031/2032. Para los lectores de Austria y Alemania, esto significa: un genérico de semaglutida vendido legalmente en Canadá o la India no es allí un medicamento autorizado. Las normas sobre la importación para uso personal son estrictas (véase el capítulo «Marco jurídico» de la Parte I), y las ofertas en línea que invocan estos genéricos son una vía de entrada típica para las falsificaciones (véase el capítulo «El mercado gris»).</w:t>
      </w:r>
    </w:p>
    <w:p>
      <w:pPr>
        <w:pStyle w:val="BodyText"/>
      </w:pPr>
      <w:r>
        <w:rPr>
          <w:bCs/>
          <w:b/>
        </w:rPr>
        <w:t xml:space="preserve">Una señal política:</w:t>
      </w:r>
      <w:r>
        <w:t xml:space="preserve"> </w:t>
      </w:r>
      <w:r>
        <w:t xml:space="preserve">la Organización Mundial de la Salud incluyó en septiembre de 2025 la semaglutida, la liraglutida, la dulaglutida y la tirzepatida en su lista de medicamentos esenciales. Un comentario lo considera un paso que debería facilitar las negociaciones de precios y el desarrollo de genéricos en los países de ingresos bajos y medios; al mismo tiempo, menciona como obstáculos la falta de recursos, una infraestructura débil y el riesgo de un uso acrítico</w:t>
      </w:r>
      <w:r>
        <w:rPr>
          <w:rStyle w:val="FootnoteReference"/>
        </w:rPr>
        <w:footnoteReference w:id="2908"/>
      </w:r>
      <w:r>
        <w:t xml:space="preserve">. En su primera directriz sobre tratamientos con GLP-1 en la obesidad, la OMS formula una recomendación condicional para el tratamiento a largo plazo junto con una terapia conductual intensiva. Como motivos de la restricción menciona, entre otros, los limitados datos a largo plazo, los costes y la cuestión del acceso equitativo</w:t>
      </w:r>
      <w:r>
        <w:rPr>
          <w:rStyle w:val="FootnoteReference"/>
        </w:rPr>
        <w:footnoteReference w:id="2909"/>
      </w:r>
      <w:r>
        <w:t xml:space="preserve">.</w:t>
      </w:r>
    </w:p>
    <w:bookmarkEnd w:id="2910"/>
    <w:bookmarkStart w:id="2911" w:name="la-tirzepatida-y-sus-sucesores"/>
    <w:p>
      <w:pPr>
        <w:pStyle w:val="Heading3"/>
      </w:pPr>
      <w:r>
        <w:t xml:space="preserve">La tirzepatida y sus sucesores</w:t>
      </w:r>
    </w:p>
    <w:p>
      <w:pPr>
        <w:pStyle w:val="FirstParagraph"/>
      </w:pPr>
      <w:r>
        <w:t xml:space="preserve">Para la tirzepatida y todos los principios activos más recientes (retatrutida, CagriSema, amicretina, maridebart cafraglutida, orforglipron) no cabe esperar una expiración de patentes en esta década. Para la tirzepatida, según datos del sector, no se esperan genéricos antes de la segunda mitad de la década de 2030. De ello se deriva un patrón previsible: los principios activos más antiguos se abaratan, los más potentes siguen siendo caros.</w:t>
      </w:r>
    </w:p>
    <w:bookmarkEnd w:id="2911"/>
    <w:bookmarkStart w:id="2915" w:name="el-fin-del-compounding-en-ee.-uu."/>
    <w:p>
      <w:pPr>
        <w:pStyle w:val="Heading3"/>
      </w:pPr>
      <w:r>
        <w:t xml:space="preserve">El fin del «compounding» en EE. UU.</w:t>
      </w:r>
    </w:p>
    <w:p>
      <w:pPr>
        <w:pStyle w:val="FirstParagraph"/>
      </w:pPr>
      <w:r>
        <w:t xml:space="preserve">Durante los desabastecimientos oficiales, las farmacias de EE. UU. pudieron preparar ellas mismas semaglutida y tirzepatida («compounding», elaboración de fórmulas magistrales, véase la Parte I). De ahí surgió un gran mercado. Una investigación en el estado de Colorado encontró en la primavera de 2024 93 empresas con 188 establecimientos que promocionaban estos preparados, en su mayoría como spas médicos o servicios de adelgazamiento. 41 de estas páginas web hacían referencia en sus descripciones de producto a la autorización de la FDA, aunque los preparados no la tenían. Un proveedor promocionaba una mezcla con BPC-157, una sustancia que la FDA ha clasificado como no apta para la elaboración magistral</w:t>
      </w:r>
      <w:r>
        <w:rPr>
          <w:rStyle w:val="FootnoteReference"/>
        </w:rPr>
        <w:footnoteReference w:id="2912"/>
      </w:r>
      <w:r>
        <w:t xml:space="preserve">.</w:t>
      </w:r>
    </w:p>
    <w:p>
      <w:pPr>
        <w:pStyle w:val="BodyText"/>
      </w:pPr>
      <w:r>
        <w:t xml:space="preserve">Después de que la FDA declarara terminados los desabastecimientos (para la tirzepatida a finales de 2024, para la semaglutida a principios de 2025), los plazos de transición para las copias de los preparados autorizados expiraron a lo largo de 2025. Desde entonces solo están permitidas las preparaciones que difieren de los preparados autorizados. Un análisis encontró 33 de estos productos, entre ellos mezclas con vitamina B12, glicina o un laxante, así como gotas y comprimidos bucodispersables cuyo beneficio y seguridad son en gran medida desconocidos</w:t>
      </w:r>
      <w:r>
        <w:rPr>
          <w:rStyle w:val="FootnoteReference"/>
        </w:rPr>
        <w:footnoteReference w:id="2913"/>
      </w:r>
      <w:r>
        <w:t xml:space="preserve">. Un laboratorio encontró en mezclas de tirzepatida y B12 de distintos proveedores una impureza desconocida hasta entonces, que se forma por una reacción química entre la tirzepatida y determinadas formas de B12; qué consecuencias tiene para la salud es desconocido</w:t>
      </w:r>
      <w:r>
        <w:rPr>
          <w:rStyle w:val="FootnoteReference"/>
        </w:rPr>
        <w:footnoteReference w:id="2914"/>
      </w:r>
      <w:r>
        <w:t xml:space="preserve">.</w:t>
      </w:r>
    </w:p>
    <w:p>
      <w:pPr>
        <w:pStyle w:val="BodyText"/>
      </w:pPr>
      <w:r>
        <w:t xml:space="preserve">El «compounding» no ha desaparecido con ello, sino que se ha desplazado a un nicho en el que los aditivos «personalizados» proporcionan la base jurídica. En Europa no existe un sistema comparable.</w:t>
      </w:r>
    </w:p>
    <w:bookmarkEnd w:id="2915"/>
    <w:bookmarkStart w:id="2918" w:name="problemas-de-suministro"/>
    <w:p>
      <w:pPr>
        <w:pStyle w:val="Heading3"/>
      </w:pPr>
      <w:r>
        <w:t xml:space="preserve">Problemas de suministro</w:t>
      </w:r>
    </w:p>
    <w:p>
      <w:pPr>
        <w:pStyle w:val="FirstParagraph"/>
      </w:pPr>
      <w:r>
        <w:t xml:space="preserve">A partir de 2022, la demanda de semaglutida y, más tarde, de tirzepatida superó la producción. Las personas con diabetes tipo 2 no recibieron temporalmente sus medicamentos. En Alemania y Austria, las autoridades y las sociedades científicas pidieron reservar Ozempic para las personas con diabetes tipo 2 y no prescribirlo para la mera pérdida de peso.</w:t>
      </w:r>
    </w:p>
    <w:p>
      <w:pPr>
        <w:pStyle w:val="BodyText"/>
      </w:pPr>
      <w:r>
        <w:t xml:space="preserve">¿Qué proporción tenían las prescripciones fuera de la indicación autorizada? Un estudio nacional de registros de Dinamarca ofrece una respuesta. El número de nuevos usuarios de Ozempic aumentó mucho a partir de 2022, hasta un máximo de 10 por cada 1000 adultos y año a principios de 2023. En 2022, un tercio de los nuevos usuarios no tenía una diabetes tipo 2 documentada; en 2023, esta proporción volvió a bajar. Los autores concluyen que las prescripciones para perder peso solo explican una parte menor del desabastecimiento</w:t>
      </w:r>
      <w:r>
        <w:rPr>
          <w:rStyle w:val="FootnoteReference"/>
        </w:rPr>
        <w:footnoteReference w:id="2916"/>
      </w:r>
      <w:r>
        <w:t xml:space="preserve">.</w:t>
      </w:r>
    </w:p>
    <w:p>
      <w:pPr>
        <w:pStyle w:val="BodyText"/>
      </w:pPr>
      <w:r>
        <w:t xml:space="preserve">Los desabastecimientos tienen consecuencias directas para el tratamiento. En una investigación estadounidense de 288 personas que suspendieron la semaglutida o la tirzepatida para perder peso dentro del primer año, el 11,8 % mencionó los problemas de suministro como motivo principal. Pero los más frecuentes fueron los problemas de costes o de seguro (47,6 %), seguidos de los efectos adversos (14,6 %); el 2,4 % se pasó a un preparado de farmacia</w:t>
      </w:r>
      <w:r>
        <w:rPr>
          <w:rStyle w:val="FootnoteReference"/>
        </w:rPr>
        <w:footnoteReference w:id="2917"/>
      </w:r>
      <w:r>
        <w:t xml:space="preserve">.</w:t>
      </w:r>
    </w:p>
    <w:p>
      <w:pPr>
        <w:pStyle w:val="BodyText"/>
      </w:pPr>
      <w:r>
        <w:t xml:space="preserve">Desde entonces, los fabricantes han ampliado mucho su capacidad de producción, y los desabastecimientos oficiales se consideran terminados en EE. UU. En Europa, la situación varía según el preparado y el país.</w:t>
      </w:r>
    </w:p>
    <w:bookmarkEnd w:id="2918"/>
    <w:bookmarkStart w:id="2923" w:name="X8f8590cf14d501a2871c32dbab939551710a89c"/>
    <w:p>
      <w:pPr>
        <w:pStyle w:val="Heading3"/>
      </w:pPr>
      <w:r>
        <w:t xml:space="preserve">Precios: ¿cuánto vale un medicamento para adelgazar?</w:t>
      </w:r>
    </w:p>
    <w:p>
      <w:pPr>
        <w:pStyle w:val="FirstParagraph"/>
      </w:pPr>
      <w:r>
        <w:t xml:space="preserve">En EE. UU., los precios de catálogo de los medicamentos GLP-1 son claramente más altos que en Europa. Por eso, los trabajos de economía de la salud de EE. UU. se preguntan si el beneficio justifica el precio:</w:t>
      </w:r>
    </w:p>
    <w:p>
      <w:pPr>
        <w:numPr>
          <w:ilvl w:val="0"/>
          <w:numId w:val="1363"/>
        </w:numPr>
        <w:pStyle w:val="Compact"/>
      </w:pPr>
      <w:r>
        <w:t xml:space="preserve">Un cálculo de modelización para adultos estadounidenses mostró que la tirzepatida y la semaglutida evitarían a lo largo de la vida muchos casos de diabetes y enfermedades cardiovasculares, pero que a los precios netos de entonces no eran coste-efectivas. Para alcanzar un umbral habitual, los precios habrían tenido que bajar un 30,5 % adicional (tirzepatida) o un 81,9 % (semaglutida)</w:t>
      </w:r>
      <w:r>
        <w:rPr>
          <w:rStyle w:val="FootnoteReference"/>
        </w:rPr>
        <w:footnoteReference w:id="2919"/>
      </w:r>
      <w:r>
        <w:t xml:space="preserve">.</w:t>
      </w:r>
    </w:p>
    <w:p>
      <w:pPr>
        <w:numPr>
          <w:ilvl w:val="0"/>
          <w:numId w:val="1363"/>
        </w:numPr>
        <w:pStyle w:val="Compact"/>
      </w:pPr>
      <w:r>
        <w:t xml:space="preserve">Un metaanálisis de nueve estudios de economía de la salud de países de ingresos altos concluyó que los agonistas del receptor de GLP-1 para el tratamiento de la obesidad sin diabetes no son, en general, coste-efectivos desde la perspectiva de los financiadores; en subgrupos y a lo largo de periodos más largos podría ser distinto</w:t>
      </w:r>
      <w:r>
        <w:rPr>
          <w:rStyle w:val="FootnoteReference"/>
        </w:rPr>
        <w:footnoteReference w:id="2920"/>
      </w:r>
      <w:r>
        <w:t xml:space="preserve">.</w:t>
      </w:r>
    </w:p>
    <w:p>
      <w:pPr>
        <w:numPr>
          <w:ilvl w:val="0"/>
          <w:numId w:val="1363"/>
        </w:numPr>
        <w:pStyle w:val="Compact"/>
      </w:pPr>
      <w:r>
        <w:t xml:space="preserve">Para las personas sin diabetes que ya habían tenido un infarto o un ictus, un cálculo de modelización resultó más favorable: al precio que pagaban en EE. UU. quienes lo costeaban de su bolsillo en el momento del análisis, la semaglutida sería coste-efectiva en este grupo</w:t>
      </w:r>
      <w:r>
        <w:rPr>
          <w:rStyle w:val="FootnoteReference"/>
        </w:rPr>
        <w:footnoteReference w:id="2921"/>
      </w:r>
      <w:r>
        <w:t xml:space="preserve">.</w:t>
      </w:r>
    </w:p>
    <w:p>
      <w:pPr>
        <w:pStyle w:val="FirstParagraph"/>
      </w:pPr>
      <w:r>
        <w:t xml:space="preserve">Estos cálculos dependen mucho de los supuestos sobre los precios, y los precios se mueven. En EE. UU., los fabricantes han introducido desde 2025 ofertas directas claramente más baratas para quienes pagan de su bolsillo y han cerrado acuerdos de precios con el gobierno; la semaglutida es además objeto de las negociaciones estatales de precios para el programa para jubilados Medicare. Cuánto influye la cobertura de costes en el uso lo muestra un análisis estadounidense: después de que Wegovy se autorizara en marzo de 2024 para la reducción del riesgo cardiovascular y Medicare lo cubriera para este uso, el número de envases de Wegovy dispensados a través de Medicare aumentó en términos relativos un 598,1 %</w:t>
      </w:r>
      <w:r>
        <w:rPr>
          <w:rStyle w:val="FootnoteReference"/>
        </w:rPr>
        <w:footnoteReference w:id="2922"/>
      </w:r>
      <w:r>
        <w:t xml:space="preserve">.</w:t>
      </w:r>
    </w:p>
    <w:p>
      <w:pPr>
        <w:pStyle w:val="BodyText"/>
      </w:pPr>
      <w:r>
        <w:rPr>
          <w:bCs/>
          <w:b/>
        </w:rPr>
        <w:t xml:space="preserve">Valoración del autor:</w:t>
      </w:r>
      <w:r>
        <w:t xml:space="preserve"> </w:t>
      </w:r>
      <w:r>
        <w:t xml:space="preserve">los precios de los medicamentos basados en GLP-1 bajarán en los próximos años, por los genéricos de los principios activos más antiguos, por la competencia entre fabricantes, por los comprimidos de moléculas pequeñas y por la presión política. Se notará más en los países con una expiración temprana de las patentes. En la UE, el gran salto de precios probablemente no llegará hasta los genéricos de semaglutida a principios de la década de 2030.</w:t>
      </w:r>
    </w:p>
    <w:bookmarkEnd w:id="2923"/>
    <w:bookmarkStart w:id="2924" w:name="financiación-en-alemania-y-austria"/>
    <w:p>
      <w:pPr>
        <w:pStyle w:val="Heading3"/>
      </w:pPr>
      <w:r>
        <w:t xml:space="preserve">Financiación en Alemania y Austria</w:t>
      </w:r>
    </w:p>
    <w:p>
      <w:pPr>
        <w:pStyle w:val="FirstParagraph"/>
      </w:pPr>
      <w:r>
        <w:rPr>
          <w:bCs/>
          <w:b/>
        </w:rPr>
        <w:t xml:space="preserve">Alemania:</w:t>
      </w:r>
      <w:r>
        <w:t xml:space="preserve"> </w:t>
      </w:r>
      <w:r>
        <w:t xml:space="preserve">en la diabetes tipo 2, el seguro médico obligatorio asume los costes de los medicamentos GLP-1 autorizados, como Ozempic, Rybelsus, Trulicity o Mounjaro, dentro de los límites de la autorización. En cambio, los medicamentos destinados principalmente a la reducción de peso están excluidos de la financiación según el § 34 SGB V; por eso, los asegurados del sistema obligatorio deben pagar por regla general de su bolsillo Wegovy, Saxenda y Mounjaro para el control del peso. Si esta norma se modificará para las personas con un riesgo cardiovascular alto se está debatiendo en el ámbito político y en los órganos de autogestión. Los seguros médicos privados deciden según sus propias condiciones de póliza.</w:t>
      </w:r>
    </w:p>
    <w:p>
      <w:pPr>
        <w:pStyle w:val="BodyText"/>
      </w:pPr>
      <w:r>
        <w:rPr>
          <w:bCs/>
          <w:b/>
        </w:rPr>
        <w:t xml:space="preserve">Austria:</w:t>
      </w:r>
      <w:r>
        <w:t xml:space="preserve"> </w:t>
      </w:r>
      <w:r>
        <w:t xml:space="preserve">para la diabetes tipo 2, los medicamentos GLP-1 son financiables, pero la cobertura está en parte sujeta a condiciones o a una autorización por parte de la caja de enfermedad. Para el mero control del peso, por regla general los costes no se cubren o solo en casos excepcionales.</w:t>
      </w:r>
    </w:p>
    <w:p>
      <w:pPr>
        <w:pStyle w:val="BodyText"/>
      </w:pPr>
      <w:r>
        <w:t xml:space="preserve">En ambos países se cumple: si un tratamiento se financia depende de la indicación, de los hallazgos clínicos y de la situación jurídica actual. El médico responsable del tratamiento y la caja de enfermedad son los interlocutores adecuados. Una prescripción para perder peso con un preparado que solo está autorizado para la diabetes es un uso fuera de la indicación autorizada y no se financia.</w:t>
      </w:r>
    </w:p>
    <w:bookmarkEnd w:id="2924"/>
    <w:bookmarkStart w:id="2926" w:name="lo-que-significa-para-los-pacientes"/>
    <w:p>
      <w:pPr>
        <w:pStyle w:val="Heading3"/>
      </w:pPr>
      <w:r>
        <w:t xml:space="preserve">Lo que significa para los pacientes</w:t>
      </w:r>
    </w:p>
    <w:p>
      <w:pPr>
        <w:numPr>
          <w:ilvl w:val="0"/>
          <w:numId w:val="1364"/>
        </w:numPr>
        <w:pStyle w:val="Compact"/>
      </w:pPr>
      <w:r>
        <w:rPr>
          <w:bCs/>
          <w:b/>
        </w:rPr>
        <w:t xml:space="preserve">Más barato no significa mercado gris.</w:t>
      </w:r>
      <w:r>
        <w:t xml:space="preserve"> </w:t>
      </w:r>
      <w:r>
        <w:t xml:space="preserve">Con la expiración de las patentes en otros países aumentarán las ofertas que invocan «genéricos». Para Austria y Alemania, solo los preparados autorizados allí y dispensados en farmacias son medicamentos controlados.</w:t>
      </w:r>
    </w:p>
    <w:p>
      <w:pPr>
        <w:numPr>
          <w:ilvl w:val="0"/>
          <w:numId w:val="1364"/>
        </w:numPr>
        <w:pStyle w:val="Compact"/>
      </w:pPr>
      <w:r>
        <w:rPr>
          <w:bCs/>
          <w:b/>
        </w:rPr>
        <w:t xml:space="preserve">Suspender el tratamiento por motivos de coste es frecuente y tiene consecuencias.</w:t>
      </w:r>
      <w:r>
        <w:t xml:space="preserve"> </w:t>
      </w:r>
      <w:r>
        <w:t xml:space="preserve">En la extensión de STEP 1, un año después de suspender la semaglutida, los participantes recuperaron de media dos tercios de su pérdida de peso, y las mejoras en la tensión arterial y en los valores sanguíneos revirtieron en gran medida</w:t>
      </w:r>
      <w:r>
        <w:rPr>
          <w:rStyle w:val="FootnoteReference"/>
        </w:rPr>
        <w:footnoteReference w:id="2925"/>
      </w:r>
      <w:r>
        <w:t xml:space="preserve">. Quien se plantee suspender el tratamiento por motivos de coste debería hablarlo con su médico.</w:t>
      </w:r>
    </w:p>
    <w:p>
      <w:pPr>
        <w:numPr>
          <w:ilvl w:val="0"/>
          <w:numId w:val="1364"/>
        </w:numPr>
        <w:pStyle w:val="Compact"/>
      </w:pPr>
      <w:r>
        <w:rPr>
          <w:bCs/>
          <w:b/>
        </w:rPr>
        <w:t xml:space="preserve">Los principios activos más antiguos no carecen de valor.</w:t>
      </w:r>
      <w:r>
        <w:t xml:space="preserve"> </w:t>
      </w:r>
      <w:r>
        <w:t xml:space="preserve">La liraglutida o la dulaglutida están bien estudiadas y tienen un beneficio cardiovascular demostrado en la diabetes tipo 2. Qué principio activo es adecuado en cada caso es una decisión médica.</w:t>
      </w:r>
    </w:p>
    <w:bookmarkEnd w:id="2926"/>
    <w:bookmarkStart w:id="2927" w:name="lo-más-importante-en-pocas-palabras-5"/>
    <w:p>
      <w:pPr>
        <w:pStyle w:val="Heading3"/>
      </w:pPr>
      <w:r>
        <w:t xml:space="preserve">Lo más importante en pocas palabras</w:t>
      </w:r>
    </w:p>
    <w:p>
      <w:pPr>
        <w:numPr>
          <w:ilvl w:val="0"/>
          <w:numId w:val="1365"/>
        </w:numPr>
        <w:pStyle w:val="Compact"/>
      </w:pPr>
      <w:r>
        <w:t xml:space="preserve">En 2026 termina la protección por patente de la semaglutida en países en los que vive casi la mitad de las personas con obesidad. Allí, los genéricos podrían costar una fracción de los precios actuales; en la UE y en EE. UU. no se esperan hasta alrededor de 2031/2032 (compruébese).</w:t>
      </w:r>
    </w:p>
    <w:p>
      <w:pPr>
        <w:numPr>
          <w:ilvl w:val="0"/>
          <w:numId w:val="1365"/>
        </w:numPr>
        <w:pStyle w:val="Compact"/>
      </w:pPr>
      <w:r>
        <w:t xml:space="preserve">Para la liraglutida ya hay genéricos; la tirzepatida y todos los principios activos más recientes seguirán previsiblemente protegidos por patente hasta bien entrada la década de 2030.</w:t>
      </w:r>
    </w:p>
    <w:p>
      <w:pPr>
        <w:numPr>
          <w:ilvl w:val="0"/>
          <w:numId w:val="1365"/>
        </w:numPr>
        <w:pStyle w:val="Compact"/>
      </w:pPr>
      <w:r>
        <w:t xml:space="preserve">El «compounding» estadounidense con copias de preparados autorizados ha terminado en gran medida tras el fin de los desabastecimientos; quedan preparaciones modificadas con aditivos no evaluados.</w:t>
      </w:r>
    </w:p>
    <w:p>
      <w:pPr>
        <w:numPr>
          <w:ilvl w:val="0"/>
          <w:numId w:val="1365"/>
        </w:numPr>
        <w:pStyle w:val="Compact"/>
      </w:pPr>
      <w:r>
        <w:t xml:space="preserve">En los estudios, los costes son el motivo más frecuente para abandonar un tratamiento. En Alemania, los medicamentos para adelgazar están excluidos de la financiación, y en Austria solo se financian de forma restringida.</w:t>
      </w:r>
    </w:p>
    <w:bookmarkEnd w:id="2927"/>
    <w:bookmarkEnd w:id="2928"/>
    <w:bookmarkStart w:id="2974" w:name="pronósticos-para-2030-a-2035"/>
    <w:p>
      <w:pPr>
        <w:pStyle w:val="Heading2"/>
      </w:pPr>
      <w:r>
        <w:t xml:space="preserve">Pronósticos para 2030 a 2035</w:t>
      </w:r>
    </w:p>
    <w:p>
      <w:pPr>
        <w:pStyle w:val="FirstParagraph"/>
      </w:pPr>
      <w:r>
        <w:t xml:space="preserve">Las predicciones en medicina tienen un historial de aciertos escaso. También este libro conoce ejemplos: los experimentos con animales y los datos observacionales hacían esperar que los medicamentos GLP-1 frenaran el deterioro cognitivo en el alzhéimer. Sin embargo, en los dos estudios de fase 3 evoke y evoke+, con un total de 3808 participantes, la enfermedad progresó con los comprimidos de semaglutida exactamente igual de rápido que con placebo</w:t>
      </w:r>
      <w:r>
        <w:rPr>
          <w:rStyle w:val="FootnoteReference"/>
        </w:rPr>
        <w:footnoteReference w:id="2929"/>
      </w:r>
      <w:r>
        <w:t xml:space="preserve">. En el párkinson, el estudio de fase 3 Exenatide-PD3, con 194 participantes, no encontró ningún indicio de que la exenatida ralentice la progresión</w:t>
      </w:r>
      <w:r>
        <w:rPr>
          <w:rStyle w:val="FootnoteReference"/>
        </w:rPr>
        <w:footnoteReference w:id="2930"/>
      </w:r>
      <w:r>
        <w:t xml:space="preserve">.</w:t>
      </w:r>
    </w:p>
    <w:p>
      <w:pPr>
        <w:pStyle w:val="BodyText"/>
      </w:pPr>
      <w:r>
        <w:t xml:space="preserve">Por eso, este capítulo separa de forma estricta en cada apartado:</w:t>
      </w:r>
    </w:p>
    <w:p>
      <w:pPr>
        <w:numPr>
          <w:ilvl w:val="0"/>
          <w:numId w:val="1366"/>
        </w:numPr>
        <w:pStyle w:val="Compact"/>
      </w:pPr>
      <w:r>
        <w:rPr>
          <w:bCs/>
          <w:b/>
        </w:rPr>
        <w:t xml:space="preserve">Confirmado:</w:t>
      </w:r>
      <w:r>
        <w:t xml:space="preserve"> </w:t>
      </w:r>
      <w:r>
        <w:t xml:space="preserve">lo que figura en registros de ensayos (con fecha de finalización prevista), lo que se ha publicado en estudios revisados por pares y lo que han decidido las autoridades. También lo confirmado puede cambiar: las fechas de finalización se aplazan y los estudios se interrumpen.</w:t>
      </w:r>
    </w:p>
    <w:p>
      <w:pPr>
        <w:numPr>
          <w:ilvl w:val="0"/>
          <w:numId w:val="1366"/>
        </w:numPr>
        <w:pStyle w:val="Compact"/>
      </w:pPr>
      <w:r>
        <w:rPr>
          <w:bCs/>
          <w:b/>
        </w:rPr>
        <w:t xml:space="preserve">Valoración del autor:</w:t>
      </w:r>
      <w:r>
        <w:t xml:space="preserve"> </w:t>
      </w:r>
      <w:r>
        <w:t xml:space="preserve">una expectativa fundamentada que puede ser errónea. Se identifica como tal y se justifica en cada caso.</w:t>
      </w:r>
    </w:p>
    <w:p>
      <w:pPr>
        <w:pStyle w:val="FirstParagraph"/>
      </w:pPr>
      <w:r>
        <w:t xml:space="preserve">Los datos de los registros reflejan la situación de octubre de 2026.</w:t>
      </w:r>
    </w:p>
    <w:bookmarkStart w:id="2940" w:name="grupo-a-metabolismo-y-peso"/>
    <w:p>
      <w:pPr>
        <w:pStyle w:val="Heading3"/>
      </w:pPr>
      <w:r>
        <w:t xml:space="preserve">Grupo A – Metabolismo y peso</w:t>
      </w:r>
    </w:p>
    <w:p>
      <w:pPr>
        <w:pStyle w:val="FirstParagraph"/>
      </w:pPr>
      <w:r>
        <w:rPr>
          <w:bCs/>
          <w:b/>
        </w:rPr>
        <w:t xml:space="preserve">Confirmado:</w:t>
      </w:r>
    </w:p>
    <w:p>
      <w:pPr>
        <w:numPr>
          <w:ilvl w:val="0"/>
          <w:numId w:val="1367"/>
        </w:numPr>
        <w:pStyle w:val="Compact"/>
      </w:pPr>
      <w:r>
        <w:t xml:space="preserve">Hasta 2032 terminarán al menos nueve grandes estudios de resultados y estudios hepáticos: SURMOUNT-MMO sobre tirzepatida</w:t>
      </w:r>
      <w:r>
        <w:rPr>
          <w:rStyle w:val="FootnoteReference"/>
        </w:rPr>
        <w:footnoteReference w:id="2931"/>
      </w:r>
      <w:r>
        <w:t xml:space="preserve"> </w:t>
      </w:r>
      <w:r>
        <w:t xml:space="preserve">y REDEFINE 3 sobre CagriSema</w:t>
      </w:r>
      <w:r>
        <w:rPr>
          <w:rStyle w:val="FootnoteReference"/>
        </w:rPr>
        <w:footnoteReference w:id="2932"/>
      </w:r>
      <w:r>
        <w:t xml:space="preserve"> </w:t>
      </w:r>
      <w:r>
        <w:t xml:space="preserve">en 2027; TRIUMPH-Outcomes sobre retatrutida</w:t>
      </w:r>
      <w:r>
        <w:rPr>
          <w:rStyle w:val="FootnoteReference"/>
        </w:rPr>
        <w:footnoteReference w:id="2933"/>
      </w:r>
      <w:r>
        <w:t xml:space="preserve"> </w:t>
      </w:r>
      <w:r>
        <w:t xml:space="preserve">y LIVERAGE-Cirrhosis sobre survodutida</w:t>
      </w:r>
      <w:r>
        <w:rPr>
          <w:rStyle w:val="FootnoteReference"/>
        </w:rPr>
        <w:footnoteReference w:id="2934"/>
      </w:r>
      <w:r>
        <w:t xml:space="preserve"> </w:t>
      </w:r>
      <w:r>
        <w:t xml:space="preserve">en 2029; MARITIME-CV y MARITIME-HF sobre maridebart cafraglutida</w:t>
      </w:r>
      <w:r>
        <w:rPr>
          <w:rStyle w:val="FootnoteReference"/>
        </w:rPr>
        <w:footnoteReference w:id="2935"/>
      </w:r>
      <w:r>
        <w:t xml:space="preserve">, así como AMBIENCE sobre zenagamtida</w:t>
      </w:r>
      <w:r>
        <w:rPr>
          <w:rStyle w:val="FootnoteReference"/>
        </w:rPr>
        <w:footnoteReference w:id="2936"/>
      </w:r>
      <w:r>
        <w:t xml:space="preserve">, en 2030; ATTAIN-Outcomes sobre orforglipron</w:t>
      </w:r>
      <w:r>
        <w:rPr>
          <w:rStyle w:val="FootnoteReference"/>
        </w:rPr>
        <w:footnoteReference w:id="2937"/>
      </w:r>
      <w:r>
        <w:t xml:space="preserve"> </w:t>
      </w:r>
      <w:r>
        <w:t xml:space="preserve">en 2031, y SYNERGY-Outcomes sobre tirzepatida y retatrutida</w:t>
      </w:r>
      <w:r>
        <w:rPr>
          <w:rStyle w:val="FootnoteReference"/>
        </w:rPr>
        <w:footnoteReference w:id="2938"/>
      </w:r>
      <w:r>
        <w:t xml:space="preserve"> </w:t>
      </w:r>
      <w:r>
        <w:t xml:space="preserve">en 2032.</w:t>
      </w:r>
    </w:p>
    <w:p>
      <w:pPr>
        <w:numPr>
          <w:ilvl w:val="0"/>
          <w:numId w:val="1367"/>
        </w:numPr>
        <w:pStyle w:val="Compact"/>
      </w:pPr>
      <w:r>
        <w:t xml:space="preserve">Los principios activos de amilina pura están en fase 3: eloralintida (ENLIGHTEN-1, NCT07321886, finalización en 2030) y petrelintida (ZUPREME-3, NCT07843498, finalización en 2029).</w:t>
      </w:r>
    </w:p>
    <w:p>
      <w:pPr>
        <w:numPr>
          <w:ilvl w:val="0"/>
          <w:numId w:val="1367"/>
        </w:numPr>
        <w:pStyle w:val="Compact"/>
      </w:pPr>
      <w:r>
        <w:t xml:space="preserve">Para CagriSema y el orforglipron, según los capítulos correspondientes, se han presentado o anunciado solicitudes de autorización; para la retatrutida se esperan tras la finalización de TRIUMPH-1 y TRIUMPH-2 (situación en octubre de 2026, compruébese).</w:t>
      </w:r>
    </w:p>
    <w:p>
      <w:pPr>
        <w:numPr>
          <w:ilvl w:val="0"/>
          <w:numId w:val="1367"/>
        </w:numPr>
        <w:pStyle w:val="Compact"/>
      </w:pPr>
      <w:r>
        <w:t xml:space="preserve">En doce países termina en 2026 la protección por patente de la semaglutida, entre ellos grandes mercados fuera de la UE y de EE. UU.</w:t>
      </w:r>
      <w:r>
        <w:rPr>
          <w:rStyle w:val="FootnoteReference"/>
        </w:rPr>
        <w:footnoteReference w:id="2939"/>
      </w:r>
      <w:r>
        <w:t xml:space="preserve">. En la UE y en EE. UU. se esperan genéricos hacia 2031/2032.</w:t>
      </w:r>
    </w:p>
    <w:p>
      <w:pPr>
        <w:pStyle w:val="FirstParagraph"/>
      </w:pPr>
      <w:r>
        <w:rPr>
          <w:bCs/>
          <w:b/>
        </w:rPr>
        <w:t xml:space="preserve">Valoración del autor:</w:t>
      </w:r>
      <w:r>
        <w:t xml:space="preserve"> </w:t>
      </w:r>
      <w:r>
        <w:t xml:space="preserve">hasta 2030 es previsible que en la UE se autoricen varias clases nuevas de principios activos: al menos una combinación con amilina, un agonista triple y una molécula pequeña en comprimido. Justificación: los programas de fase 3 están muy avanzados, los resultados publicados hasta ahora son claramente positivos y los fabricantes han presentado o anunciado solicitudes de autorización. Una pérdida de peso media del 20 al 25 % en los estudios probablemente dejará de ser la excepción. Pero más importante que un nuevo récord será la cuestión de qué principio activo conviene a qué persona: quién necesita sobre todo protección cardiaca, quién tiene hígado graso, quién quiere evitar las inyecciones, quién tolera mal los efectos adversos. Entre 2030 y 2035 cuento con precios claramente más bajos de la semaglutida en Europa gracias a los genéricos, mientras que los principios activos más nuevos seguirán siendo caros. Considero real el riesgo de una atención de dos clases: los fármacos más potentes para quienes pagan de su bolsillo, los más antiguos para todos los demás.</w:t>
      </w:r>
    </w:p>
    <w:bookmarkEnd w:id="2940"/>
    <w:bookmarkStart w:id="2943" w:name="X6411a9b542831f0e3a1b0660dd84ebace545726"/>
    <w:p>
      <w:pPr>
        <w:pStyle w:val="Heading3"/>
      </w:pPr>
      <w:r>
        <w:t xml:space="preserve">Grupo B – Curación, regeneración y sistema inmunitario</w:t>
      </w:r>
    </w:p>
    <w:p>
      <w:pPr>
        <w:pStyle w:val="FirstParagraph"/>
      </w:pPr>
      <w:r>
        <w:rPr>
          <w:bCs/>
          <w:b/>
        </w:rPr>
        <w:t xml:space="preserve">Confirmado:</w:t>
      </w:r>
    </w:p>
    <w:p>
      <w:pPr>
        <w:numPr>
          <w:ilvl w:val="0"/>
          <w:numId w:val="1368"/>
        </w:numPr>
        <w:pStyle w:val="Compact"/>
      </w:pPr>
      <w:r>
        <w:t xml:space="preserve">El estudio de fase 3 sobre la timosina alfa 1 tras cirugía de cáncer colorrectal, con 2500 participantes, debe terminar en marzo de 2027</w:t>
      </w:r>
      <w:r>
        <w:rPr>
          <w:rStyle w:val="FootnoteReference"/>
        </w:rPr>
        <w:footnoteReference w:id="2941"/>
      </w:r>
      <w:r>
        <w:t xml:space="preserve">.</w:t>
      </w:r>
    </w:p>
    <w:p>
      <w:pPr>
        <w:numPr>
          <w:ilvl w:val="0"/>
          <w:numId w:val="1368"/>
        </w:numPr>
        <w:pStyle w:val="Compact"/>
      </w:pPr>
      <w:r>
        <w:t xml:space="preserve">El estudio de fase 3 SEER-2 con colirio de timosina beta 4 en la queratopatía neurotrófica había terminado, según el registro, en mayo de 2026; en octubre de 2026 no había resultados disponibles</w:t>
      </w:r>
      <w:r>
        <w:rPr>
          <w:rStyle w:val="FootnoteReference"/>
        </w:rPr>
        <w:footnoteReference w:id="2942"/>
      </w:r>
      <w:r>
        <w:t xml:space="preserve">.</w:t>
      </w:r>
    </w:p>
    <w:p>
      <w:pPr>
        <w:numPr>
          <w:ilvl w:val="0"/>
          <w:numId w:val="1368"/>
        </w:numPr>
        <w:pStyle w:val="Compact"/>
      </w:pPr>
      <w:r>
        <w:t xml:space="preserve">Está previsto un estudio chino de fase 2 con timosina beta 4 recombinante tras un infarto de miocardio (NCT07586865, 189 participantes, finalización en mayo de 2028).</w:t>
      </w:r>
    </w:p>
    <w:p>
      <w:pPr>
        <w:numPr>
          <w:ilvl w:val="0"/>
          <w:numId w:val="1368"/>
        </w:numPr>
        <w:pStyle w:val="Compact"/>
      </w:pPr>
      <w:r>
        <w:t xml:space="preserve">Para BPC-157 está registrado un pequeño estudio aleatorizado con 30 participantes tras operaciones de hombro que todavía no ha comenzado (NCT07803250, finalización prevista en agosto de 2027).</w:t>
      </w:r>
    </w:p>
    <w:p>
      <w:pPr>
        <w:pStyle w:val="FirstParagraph"/>
      </w:pPr>
      <w:r>
        <w:rPr>
          <w:bCs/>
          <w:b/>
        </w:rPr>
        <w:t xml:space="preserve">Valoración del autor:</w:t>
      </w:r>
      <w:r>
        <w:t xml:space="preserve"> </w:t>
      </w:r>
      <w:r>
        <w:t xml:space="preserve">considero muy improbable una autorización de BPC-157, TB-500 o KPV en la UE hasta 2035. Justificación: no hay programas de fase 2 ni de fase 3, ningún fabricante con un interés reconocible en la autorización, e incluso un resultado positivo del pequeño estudio de hombro solo sería un primer indicio. Más realista es una autorización de nicho para el colirio de timosina beta 4 en una enfermedad rara de la córnea, siempre que SEER-2 resulte positivo. La timosina alfa 1 podría desempeñar en China un papel mayor en el seguimiento oncológico si el estudio de cáncer colorrectal es positivo, aunque con reservas por la falta de doble enmascaramiento.</w:t>
      </w:r>
    </w:p>
    <w:bookmarkEnd w:id="2943"/>
    <w:bookmarkStart w:id="2945" w:name="Xb99e6f9af8ab3c038e9785410838a71b8c4c7a6"/>
    <w:p>
      <w:pPr>
        <w:pStyle w:val="Heading3"/>
      </w:pPr>
      <w:r>
        <w:t xml:space="preserve">Grupo C – Eje de la hormona del crecimiento</w:t>
      </w:r>
    </w:p>
    <w:p>
      <w:pPr>
        <w:pStyle w:val="FirstParagraph"/>
      </w:pPr>
      <w:r>
        <w:rPr>
          <w:bCs/>
          <w:b/>
        </w:rPr>
        <w:t xml:space="preserve">Confirmado:</w:t>
      </w:r>
    </w:p>
    <w:p>
      <w:pPr>
        <w:numPr>
          <w:ilvl w:val="0"/>
          <w:numId w:val="1369"/>
        </w:numPr>
        <w:pStyle w:val="Compact"/>
      </w:pPr>
      <w:r>
        <w:t xml:space="preserve">El ibutamoreno (no es un péptido) se está evaluando como LUM-201 en un estudio de fase 3 con 150 niños con déficit de hormona del crecimiento (NCT06948214, finalización en enero de 2028). Un estudio de fase 2 con 202 personas mayores con obesidad debe investigar LUM-201 añadido a semaglutida (NCT07754045, finalización en febrero de 2028).</w:t>
      </w:r>
    </w:p>
    <w:p>
      <w:pPr>
        <w:numPr>
          <w:ilvl w:val="0"/>
          <w:numId w:val="1369"/>
        </w:numPr>
        <w:pStyle w:val="Compact"/>
      </w:pPr>
      <w:r>
        <w:t xml:space="preserve">El registro a largo plazo de la mecasermina está en curso hasta finales de 2027</w:t>
      </w:r>
      <w:r>
        <w:rPr>
          <w:rStyle w:val="FootnoteReference"/>
        </w:rPr>
        <w:footnoteReference w:id="2944"/>
      </w:r>
      <w:r>
        <w:t xml:space="preserve">.</w:t>
      </w:r>
    </w:p>
    <w:p>
      <w:pPr>
        <w:numPr>
          <w:ilvl w:val="0"/>
          <w:numId w:val="1369"/>
        </w:numPr>
        <w:pStyle w:val="Compact"/>
      </w:pPr>
      <w:r>
        <w:t xml:space="preserve">Para la sermorelina, CJC-1295, la ipamorelina, GHRP-2, GHRP-6, la hexarelina e IGF-1 LR3 no hay registrado ningún estudio en curso (véanse los capítulos correspondientes).</w:t>
      </w:r>
    </w:p>
    <w:p>
      <w:pPr>
        <w:pStyle w:val="FirstParagraph"/>
      </w:pPr>
      <w:r>
        <w:rPr>
          <w:bCs/>
          <w:b/>
        </w:rPr>
        <w:t xml:space="preserve">Valoración del autor:</w:t>
      </w:r>
      <w:r>
        <w:t xml:space="preserve"> </w:t>
      </w:r>
      <w:r>
        <w:t xml:space="preserve">considero improbable hasta 2035 una nueva autorización de un péptido liberador de hormona del crecimiento para adultos. Justificación: las sustancias son antiguas, apenas patentables, y las cuestiones de seguridad en torno a unos niveles de IGF-1 permanentemente elevados (véase la Parte IV) hacen que los grandes estudios sean caros y arriesgados. Hay otra tendencia interesante: como la pérdida de peso intensa también cuesta músculo, el eje de la hormona del crecimiento podría recibir nueva atención como posible protección muscular; el estudio con LUM-201 y semaglutida es un primer ejemplo. Si de ello resulta un beneficio está completamente abierto.</w:t>
      </w:r>
    </w:p>
    <w:bookmarkEnd w:id="2945"/>
    <w:bookmarkStart w:id="2949" w:name="grupo-d-cerebro-sueño-y-longevidad"/>
    <w:p>
      <w:pPr>
        <w:pStyle w:val="Heading3"/>
      </w:pPr>
      <w:r>
        <w:t xml:space="preserve">Grupo D – Cerebro, sueño y longevidad</w:t>
      </w:r>
    </w:p>
    <w:p>
      <w:pPr>
        <w:pStyle w:val="FirstParagraph"/>
      </w:pPr>
      <w:r>
        <w:rPr>
          <w:bCs/>
          <w:b/>
        </w:rPr>
        <w:t xml:space="preserve">Confirmado:</w:t>
      </w:r>
    </w:p>
    <w:p>
      <w:pPr>
        <w:numPr>
          <w:ilvl w:val="0"/>
          <w:numId w:val="1370"/>
        </w:numPr>
        <w:pStyle w:val="Compact"/>
      </w:pPr>
      <w:r>
        <w:t xml:space="preserve">La elamipretida (SS-31) está autorizada en EE. UU. desde septiembre de 2025 por la vía acelerada para el síndrome de Barth, sujeta a un estudio confirmatorio (4TAZPower, NCT07531251, finalización en noviembre de 2029). El estudio de fase 3 ReNEW en la degeneración macular seca debe terminar en septiembre de 2027</w:t>
      </w:r>
      <w:r>
        <w:rPr>
          <w:rStyle w:val="FootnoteReference"/>
        </w:rPr>
        <w:footnoteReference w:id="2946"/>
      </w:r>
      <w:r>
        <w:t xml:space="preserve">.</w:t>
      </w:r>
    </w:p>
    <w:p>
      <w:pPr>
        <w:numPr>
          <w:ilvl w:val="0"/>
          <w:numId w:val="1370"/>
        </w:numPr>
        <w:pStyle w:val="Compact"/>
      </w:pPr>
      <w:r>
        <w:t xml:space="preserve">Sobre cerebrolisina solo hay estudios menores en curso, por ejemplo en CADASIL</w:t>
      </w:r>
      <w:r>
        <w:rPr>
          <w:rStyle w:val="FootnoteReference"/>
        </w:rPr>
        <w:footnoteReference w:id="2947"/>
      </w:r>
      <w:r>
        <w:t xml:space="preserve">.</w:t>
      </w:r>
    </w:p>
    <w:p>
      <w:pPr>
        <w:numPr>
          <w:ilvl w:val="0"/>
          <w:numId w:val="1370"/>
        </w:numPr>
        <w:pStyle w:val="Compact"/>
      </w:pPr>
      <w:r>
        <w:t xml:space="preserve">Para Semax, Selank, Dihexa, DSIP, pinealon, humanina, FOXO4-DRI y MOTS-c no figura ningún estudio registrado de forma fiable sobre la administración del principio activo. Para el epitalon solo hay un estudio no controlado en el que es uno de los cinco componentes de un sérum cutáneo</w:t>
      </w:r>
      <w:r>
        <w:rPr>
          <w:rStyle w:val="FootnoteReference"/>
        </w:rPr>
        <w:footnoteReference w:id="2948"/>
      </w:r>
      <w:r>
        <w:t xml:space="preserve">.</w:t>
      </w:r>
    </w:p>
    <w:p>
      <w:pPr>
        <w:numPr>
          <w:ilvl w:val="0"/>
          <w:numId w:val="1370"/>
        </w:numPr>
        <w:pStyle w:val="Compact"/>
      </w:pPr>
      <w:r>
        <w:t xml:space="preserve">En EE. UU. se está revisando la clasificación de varios de estos péptidos para las fórmulas magistrales de farmacia (véanse los capítulos Semax y Dihexa; Willis 2026, PMID 42752426).</w:t>
      </w:r>
    </w:p>
    <w:p>
      <w:pPr>
        <w:pStyle w:val="FirstParagraph"/>
      </w:pPr>
      <w:r>
        <w:rPr>
          <w:bCs/>
          <w:b/>
        </w:rPr>
        <w:t xml:space="preserve">Valoración del autor:</w:t>
      </w:r>
      <w:r>
        <w:t xml:space="preserve"> </w:t>
      </w:r>
      <w:r>
        <w:t xml:space="preserve">previsiblemente, los péptidos de longevidad seguirán siendo hasta 2035 lo que son hoy: sustancias con datos interesantes en animales y una gran demanda en línea, pero sin demostración de beneficio en humanos. Justificación: los estudios sobre «envejecimiento saludable» requieren muchos años y variables claras, que apenas existen todavía para ello; ningún fabricante tiene un programa reconocible. Si las autoridades estadounidenses autorizaran determinados péptidos para fórmulas magistrales, esto aumentaría su difusión sin mejorar los datos disponibles. La elamipretida es el único principio activo de este grupo con un camino realista hacia una autorización más amplia, y también solo si ReNEW resulta positivo.</w:t>
      </w:r>
    </w:p>
    <w:bookmarkEnd w:id="2949"/>
    <w:bookmarkStart w:id="2951" w:name="X25a394421346afa30b2964e02f58b4f4c249bd4"/>
    <w:p>
      <w:pPr>
        <w:pStyle w:val="Heading3"/>
      </w:pPr>
      <w:r>
        <w:t xml:space="preserve">Grupo E – Hormonas, sexualidad y pigmentación</w:t>
      </w:r>
    </w:p>
    <w:p>
      <w:pPr>
        <w:pStyle w:val="FirstParagraph"/>
      </w:pPr>
      <w:r>
        <w:rPr>
          <w:bCs/>
          <w:b/>
        </w:rPr>
        <w:t xml:space="preserve">Confirmado:</w:t>
      </w:r>
    </w:p>
    <w:p>
      <w:pPr>
        <w:numPr>
          <w:ilvl w:val="0"/>
          <w:numId w:val="1371"/>
        </w:numPr>
        <w:pStyle w:val="Compact"/>
      </w:pPr>
      <w:r>
        <w:t xml:space="preserve">El estudio de fase 3 sobre la afamelanotida en el vitíligo, con 200 participantes, había terminado, según el registro, en junio de 2026; en octubre de 2026 no había resultados revisados por pares</w:t>
      </w:r>
      <w:r>
        <w:rPr>
          <w:rStyle w:val="FootnoteReference"/>
        </w:rPr>
        <w:footnoteReference w:id="2950"/>
      </w:r>
      <w:r>
        <w:t xml:space="preserve">.</w:t>
      </w:r>
    </w:p>
    <w:p>
      <w:pPr>
        <w:numPr>
          <w:ilvl w:val="0"/>
          <w:numId w:val="1371"/>
        </w:numPr>
        <w:pStyle w:val="Compact"/>
      </w:pPr>
      <w:r>
        <w:t xml:space="preserve">La kisspeptina se está investigando en pequeños estudios de fase 2 en el déficit hormonal congénito (NCT05896293, finalización en mayo de 2028) y en la amenorrea hipotalámica (NCT07224438, finalización en mayo de 2030).</w:t>
      </w:r>
    </w:p>
    <w:p>
      <w:pPr>
        <w:numPr>
          <w:ilvl w:val="0"/>
          <w:numId w:val="1371"/>
        </w:numPr>
        <w:pStyle w:val="Compact"/>
      </w:pPr>
      <w:r>
        <w:t xml:space="preserve">La oxitocina en espray nasal se está evaluando como complemento de una terapia de pareja en el trastorno de estrés postraumático con 240 participantes (NCT06194851, finalización en septiembre de 2028).</w:t>
      </w:r>
    </w:p>
    <w:p>
      <w:pPr>
        <w:pStyle w:val="FirstParagraph"/>
      </w:pPr>
      <w:r>
        <w:rPr>
          <w:bCs/>
          <w:b/>
        </w:rPr>
        <w:t xml:space="preserve">Valoración del autor:</w:t>
      </w:r>
      <w:r>
        <w:t xml:space="preserve"> </w:t>
      </w:r>
      <w:r>
        <w:t xml:space="preserve">lo más probable hasta 2030 es una ampliación de la autorización de la afamelanotida al vitíligo, si el estudio de fase 3 es positivo. La kisspeptina probablemente seguirá siendo una herramienta de investigación y diagnóstico; una autorización hasta 2035 requiere estudios comparativos más grandes, que hasta ahora faltan. Con la oxitocina en espray nasal no espero ninguna autorización para el autismo o la ansiedad social, como mucho pruebas para usos muy delimitados en combinación con psicoterapia. El melanotán II seguirá siendo un producto del mercado gris.</w:t>
      </w:r>
    </w:p>
    <w:bookmarkEnd w:id="2951"/>
    <w:bookmarkStart w:id="2952" w:name="grupo-f-colágeno-nutrición-y-cosmética"/>
    <w:p>
      <w:pPr>
        <w:pStyle w:val="Heading3"/>
      </w:pPr>
      <w:r>
        <w:t xml:space="preserve">Grupo F – Colágeno, nutrición y cosmética</w:t>
      </w:r>
    </w:p>
    <w:p>
      <w:pPr>
        <w:pStyle w:val="FirstParagraph"/>
      </w:pPr>
      <w:r>
        <w:rPr>
          <w:bCs/>
          <w:b/>
        </w:rPr>
        <w:t xml:space="preserve">Confirmado:</w:t>
      </w:r>
    </w:p>
    <w:p>
      <w:pPr>
        <w:numPr>
          <w:ilvl w:val="0"/>
          <w:numId w:val="1372"/>
        </w:numPr>
        <w:pStyle w:val="Compact"/>
      </w:pPr>
      <w:r>
        <w:t xml:space="preserve">Un estudio controlado con placebo con 204 participantes evalúa el hidrolizado de colágeno en la artrosis de rodilla, con el dolor como variable principal (NCT04998188, finalización en diciembre de 2027).</w:t>
      </w:r>
    </w:p>
    <w:p>
      <w:pPr>
        <w:numPr>
          <w:ilvl w:val="0"/>
          <w:numId w:val="1372"/>
        </w:numPr>
        <w:pStyle w:val="Compact"/>
      </w:pPr>
      <w:r>
        <w:t xml:space="preserve">Un estudio de fase 1/2 con 144 participantes investiga la carnosina en la enfermedad arterial periférica, con la distancia recorrida en seis minutos como variable principal (NCT06480760, finalización en octubre de 2028).</w:t>
      </w:r>
    </w:p>
    <w:p>
      <w:pPr>
        <w:numPr>
          <w:ilvl w:val="0"/>
          <w:numId w:val="1372"/>
        </w:numPr>
        <w:pStyle w:val="Compact"/>
      </w:pPr>
      <w:r>
        <w:t xml:space="preserve">Para los lactotripéptidos, Matrixyl y Argireline no hay registrado ningún estudio en curso.</w:t>
      </w:r>
    </w:p>
    <w:p>
      <w:pPr>
        <w:pStyle w:val="FirstParagraph"/>
      </w:pPr>
      <w:r>
        <w:rPr>
          <w:bCs/>
          <w:b/>
        </w:rPr>
        <w:t xml:space="preserve">Valoración del autor:</w:t>
      </w:r>
      <w:r>
        <w:t xml:space="preserve"> </w:t>
      </w:r>
      <w:r>
        <w:t xml:space="preserve">este grupo seguirá siendo alimentación y cosmética; no cabe esperar autorizaciones como medicamento, porque los productos ya son de venta libre y nadie tendría que asumir los costes de un programa de autorización. Lo que podría cambiar es la calidad de las pruebas: los estudios financiados de forma independiente y registrados previamente, como el de la artrosis de rodilla, mostrarán si los pequeños efectos de los estudios financiados por los fabricantes se mantienen. Espero que en esos estudios los efectos resulten más bien menores.</w:t>
      </w:r>
    </w:p>
    <w:bookmarkEnd w:id="2952"/>
    <w:bookmarkStart w:id="2971" w:name="temas-transversales"/>
    <w:p>
      <w:pPr>
        <w:pStyle w:val="Heading3"/>
      </w:pPr>
      <w:r>
        <w:t xml:space="preserve">Temas transversales</w:t>
      </w:r>
    </w:p>
    <w:bookmarkStart w:id="2954" w:name="datos-a-largo-plazo"/>
    <w:p>
      <w:pPr>
        <w:pStyle w:val="Heading4"/>
      </w:pPr>
      <w:r>
        <w:t xml:space="preserve">Datos a largo plazo</w:t>
      </w:r>
    </w:p>
    <w:p>
      <w:pPr>
        <w:pStyle w:val="FirstParagraph"/>
      </w:pPr>
      <w:r>
        <w:rPr>
          <w:bCs/>
          <w:b/>
        </w:rPr>
        <w:t xml:space="preserve">Confirmado:</w:t>
      </w:r>
      <w:r>
        <w:t xml:space="preserve"> </w:t>
      </w:r>
      <w:r>
        <w:t xml:space="preserve">la directriz de la OMS sobre tratamientos con GLP-1 en la obesidad solo formula una recomendación condicional y menciona los limitados datos a largo plazo como uno de los motivos</w:t>
      </w:r>
      <w:r>
        <w:rPr>
          <w:rStyle w:val="FootnoteReference"/>
        </w:rPr>
        <w:footnoteReference w:id="2953"/>
      </w:r>
      <w:r>
        <w:t xml:space="preserve">. Los estudios de resultados en curso siguen a sus participantes durante varios años, pero casi ninguno durante más de diez.</w:t>
      </w:r>
    </w:p>
    <w:p>
      <w:pPr>
        <w:pStyle w:val="BodyText"/>
      </w:pPr>
      <w:r>
        <w:rPr>
          <w:bCs/>
          <w:b/>
        </w:rPr>
        <w:t xml:space="preserve">Valoración del autor:</w:t>
      </w:r>
      <w:r>
        <w:t xml:space="preserve"> </w:t>
      </w:r>
      <w:r>
        <w:t xml:space="preserve">hasta 2035, los datos a diez años procederán sobre todo de registros nacionales y de datos de aseguradoras, no de estudios aleatorizados. Captarán mejor los efectos adversos raros, pero les costará más separar causa y efecto. En niños y adolescentes, para quienes varios estudios se prolongan hasta principios de la década de 2030, la cuestión de las consecuencias a largo plazo es especialmente urgente.</w:t>
      </w:r>
    </w:p>
    <w:bookmarkEnd w:id="2954"/>
    <w:bookmarkStart w:id="2959" w:name="tratamiento-de-mantenimiento"/>
    <w:p>
      <w:pPr>
        <w:pStyle w:val="Heading4"/>
      </w:pPr>
      <w:r>
        <w:t xml:space="preserve">Tratamiento de mantenimiento</w:t>
      </w:r>
    </w:p>
    <w:p>
      <w:pPr>
        <w:pStyle w:val="FirstParagraph"/>
      </w:pPr>
      <w:r>
        <w:rPr>
          <w:bCs/>
          <w:b/>
        </w:rPr>
        <w:t xml:space="preserve">Confirmado:</w:t>
      </w:r>
      <w:r>
        <w:t xml:space="preserve"> </w:t>
      </w:r>
      <w:r>
        <w:t xml:space="preserve">tras la suspensión, vuelve una gran parte del peso perdido. En la extensión de STEP 1, un año después del fin del tratamiento con semaglutida fueron de media dos tercios</w:t>
      </w:r>
      <w:r>
        <w:rPr>
          <w:rStyle w:val="FootnoteReference"/>
        </w:rPr>
        <w:footnoteReference w:id="2955"/>
      </w:r>
      <w:r>
        <w:t xml:space="preserve">. En SURMOUNT-4, tras el cambio de tirzepatida a placebo, los participantes recuperaron un 14,0 % al año siguiente</w:t>
      </w:r>
      <w:r>
        <w:rPr>
          <w:rStyle w:val="FootnoteReference"/>
        </w:rPr>
        <w:footnoteReference w:id="2956"/>
      </w:r>
      <w:r>
        <w:t xml:space="preserve">. El cambio de la inyección a orforglipron mantuvo en ATTAIN-MAINTAIN una gran parte de la pérdida de peso</w:t>
      </w:r>
      <w:r>
        <w:rPr>
          <w:rStyle w:val="FootnoteReference"/>
        </w:rPr>
        <w:footnoteReference w:id="2957"/>
      </w:r>
      <w:r>
        <w:t xml:space="preserve">. Están en curso otros estudios sobre el mantenimiento del peso (TRIUMPH-6, NCT06859268; cambio a principios activos mensuales, NCT07575399, NCT07845500). Los cálculos de modelización sugieren que administraciones menos frecuentes podrían mantener parte del efecto; esto no se ha evaluado hasta ahora en estudios y no es una base para modificar el tratamiento por cuenta propia</w:t>
      </w:r>
      <w:r>
        <w:rPr>
          <w:rStyle w:val="FootnoteReference"/>
        </w:rPr>
        <w:footnoteReference w:id="2958"/>
      </w:r>
      <w:r>
        <w:t xml:space="preserve">.</w:t>
      </w:r>
    </w:p>
    <w:p>
      <w:pPr>
        <w:pStyle w:val="BodyText"/>
      </w:pPr>
      <w:r>
        <w:rPr>
          <w:bCs/>
          <w:b/>
        </w:rPr>
        <w:t xml:space="preserve">Valoración del autor:</w:t>
      </w:r>
      <w:r>
        <w:t xml:space="preserve"> </w:t>
      </w:r>
      <w:r>
        <w:t xml:space="preserve">hasta 2030 se impondrá un modelo escalonado: primero una fase con un principio activo muy eficaz, después un mantenimiento con un comprimido, un preparado mensual o una intensidad menor. Justificación: varios fabricantes están probando exactamente esta secuencia, y resulta atractiva para los financiadores. Si el mantenimiento es necesario de por vida o si en algunas personas es posible suspender el tratamiento sin una gran recuperación de peso seguirá siendo una de las preguntas abiertas más importantes.</w:t>
      </w:r>
    </w:p>
    <w:bookmarkEnd w:id="2959"/>
    <w:bookmarkStart w:id="2961" w:name="personalización"/>
    <w:p>
      <w:pPr>
        <w:pStyle w:val="Heading4"/>
      </w:pPr>
      <w:r>
        <w:t xml:space="preserve">Personalización</w:t>
      </w:r>
    </w:p>
    <w:p>
      <w:pPr>
        <w:pStyle w:val="FirstParagraph"/>
      </w:pPr>
      <w:r>
        <w:rPr>
          <w:bCs/>
          <w:b/>
        </w:rPr>
        <w:t xml:space="preserve">Confirmado:</w:t>
      </w:r>
      <w:r>
        <w:t xml:space="preserve"> </w:t>
      </w:r>
      <w:r>
        <w:t xml:space="preserve">la medicina de precisión en la obesidad ya existe para formas genéticas raras: la setmelanotida solo está autorizada para determinados defectos genéticos (véase el capítulo Setmelanotida). El orforglipron se está evaluando en un estudio con 2001 participantes con sobrepeso para evitar la progresión hacia la obesidad o hacia enfermedades secundarias (ATTAIN-NOW, NCT07794579, finalización en septiembre de 2030). La OMS anuncia que, como siguiente paso, elaborará criterios sobre a quién debe tratarse primero cuando los recursos son limitados</w:t>
      </w:r>
      <w:r>
        <w:rPr>
          <w:rStyle w:val="FootnoteReference"/>
        </w:rPr>
        <w:footnoteReference w:id="2960"/>
      </w:r>
      <w:r>
        <w:t xml:space="preserve">.</w:t>
      </w:r>
    </w:p>
    <w:p>
      <w:pPr>
        <w:pStyle w:val="BodyText"/>
      </w:pPr>
      <w:r>
        <w:rPr>
          <w:bCs/>
          <w:b/>
        </w:rPr>
        <w:t xml:space="preserve">Valoración del autor:</w:t>
      </w:r>
      <w:r>
        <w:t xml:space="preserve"> </w:t>
      </w:r>
      <w:r>
        <w:t xml:space="preserve">hasta 2030 no se vislumbra una prueba fiable que diga de antemano quién responde bien a qué principio activo. La personalización será al principio pragmática: según las enfermedades concomitantes, la tolerancia, la disposición a inyectarse y los costes. La cuestión de si los medicamentos deben utilizarse ya antes de que aparezca la obesidad seguirá siendo controvertida desde el punto de vista ético y económico.</w:t>
      </w:r>
    </w:p>
    <w:bookmarkEnd w:id="2961"/>
    <w:bookmarkStart w:id="2965" w:name="regulación-del-mercado-gris"/>
    <w:p>
      <w:pPr>
        <w:pStyle w:val="Heading4"/>
      </w:pPr>
      <w:r>
        <w:t xml:space="preserve">Regulación del mercado gris</w:t>
      </w:r>
    </w:p>
    <w:p>
      <w:pPr>
        <w:pStyle w:val="FirstParagraph"/>
      </w:pPr>
      <w:r>
        <w:rPr>
          <w:bCs/>
          <w:b/>
        </w:rPr>
        <w:t xml:space="preserve">Confirmado:</w:t>
      </w:r>
      <w:r>
        <w:t xml:space="preserve"> </w:t>
      </w:r>
      <w:r>
        <w:t xml:space="preserve">los análisis de laboratorio y los casos clínicos de la Parte I y la Parte IV muestran falsificaciones, errores de dosificación e impurezas. Entretanto se venden en línea también principios activos no autorizados como la retatrutida y la zenagamtida</w:t>
      </w:r>
      <w:r>
        <w:rPr>
          <w:rStyle w:val="FootnoteReference"/>
        </w:rPr>
        <w:footnoteReference w:id="2962"/>
      </w:r>
      <w:r>
        <w:t xml:space="preserve">. En EE. UU., las copias de semaglutida y tirzepatida elaboradas en farmacias terminaron en gran medida tras el fin de los desabastecimientos; las preparaciones modificadas siguen existiendo</w:t>
      </w:r>
      <w:r>
        <w:rPr>
          <w:rStyle w:val="FootnoteReference"/>
        </w:rPr>
        <w:footnoteReference w:id="2963"/>
      </w:r>
      <w:r>
        <w:t xml:space="preserve">. La clasificación de los péptidos para fórmulas magistrales se está renegociando en EE. UU.</w:t>
      </w:r>
      <w:r>
        <w:rPr>
          <w:rStyle w:val="FootnoteReference"/>
        </w:rPr>
        <w:footnoteReference w:id="2964"/>
      </w:r>
      <w:r>
        <w:t xml:space="preserve">.</w:t>
      </w:r>
    </w:p>
    <w:p>
      <w:pPr>
        <w:pStyle w:val="BodyText"/>
      </w:pPr>
      <w:r>
        <w:rPr>
          <w:bCs/>
          <w:b/>
        </w:rPr>
        <w:t xml:space="preserve">Valoración del autor:</w:t>
      </w:r>
      <w:r>
        <w:t xml:space="preserve"> </w:t>
      </w:r>
      <w:r>
        <w:t xml:space="preserve">el mercado gris no desaparecerá hasta 2035, pero cambiará. La bajada de precios de los medicamentos autorizados probablemente reducirá el incentivo para falsificar semaglutida. Al mismo tiempo, cada nuevo principio activo que cause sensación en los estudios se ofrecerá ya antes de su autorización como «research peptide». Espero controles más estrictos de los comercios en línea y de los medios de pago en la UE, pero ninguna solución eficaz mientras sea posible hacer pedidos desde países con una supervisión débil.</w:t>
      </w:r>
    </w:p>
    <w:bookmarkEnd w:id="2965"/>
    <w:bookmarkStart w:id="2970" w:name="X8d98b582d57554881608f4d3cdc58afbfbb1f3f"/>
    <w:p>
      <w:pPr>
        <w:pStyle w:val="Heading4"/>
      </w:pPr>
      <w:r>
        <w:t xml:space="preserve">Inteligencia artificial en el diseño de péptidos</w:t>
      </w:r>
    </w:p>
    <w:p>
      <w:pPr>
        <w:pStyle w:val="FirstParagraph"/>
      </w:pPr>
      <w:r>
        <w:rPr>
          <w:bCs/>
          <w:b/>
        </w:rPr>
        <w:t xml:space="preserve">Confirmado:</w:t>
      </w:r>
      <w:r>
        <w:t xml:space="preserve"> </w:t>
      </w:r>
      <w:r>
        <w:t xml:space="preserve">hasta ahora, todas las pruebas publicadas proceden de experimentos de laboratorio y con animales. Un equipo de investigación diseñó con métodos de aprendizaje automático 10.000 nuevos agonistas del receptor de GLP-1, seleccionó 60 por ordenador y los probó en el laboratorio; dos candidatos actuaron en ratones unas tres veces más tiempo que la semaglutida</w:t>
      </w:r>
      <w:r>
        <w:rPr>
          <w:rStyle w:val="FootnoteReference"/>
        </w:rPr>
        <w:footnoteReference w:id="2966"/>
      </w:r>
      <w:r>
        <w:t xml:space="preserve">. Otro procedimiento diseñó péptidos cíclicos que se unen específicamente a proteínas predeterminadas; las estructuras determinadas en el laboratorio coincidieron estrechamente con los modelos informáticos</w:t>
      </w:r>
      <w:r>
        <w:rPr>
          <w:rStyle w:val="FootnoteReference"/>
        </w:rPr>
        <w:footnoteReference w:id="2967"/>
      </w:r>
      <w:r>
        <w:t xml:space="preserve">. Con un modelo de aprendizaje se derivaron de péptidos bacterianos nuevos péptidos antimicrobianos, uno de los cuales redujo en más de un 95 % la carga bacteriana en ratones con una infección del muslo</w:t>
      </w:r>
      <w:r>
        <w:rPr>
          <w:rStyle w:val="FootnoteReference"/>
        </w:rPr>
        <w:footnoteReference w:id="2968"/>
      </w:r>
      <w:r>
        <w:t xml:space="preserve">. El péptido oral contra PCSK9 enlicitida se encontró con otro procedimiento de alto rendimiento y ya está en fase 3</w:t>
      </w:r>
      <w:r>
        <w:rPr>
          <w:rStyle w:val="FootnoteReference"/>
        </w:rPr>
        <w:footnoteReference w:id="2969"/>
      </w:r>
      <w:r>
        <w:t xml:space="preserve">.</w:t>
      </w:r>
    </w:p>
    <w:p>
      <w:pPr>
        <w:pStyle w:val="BodyText"/>
      </w:pPr>
      <w:r>
        <w:rPr>
          <w:bCs/>
          <w:b/>
        </w:rPr>
        <w:t xml:space="preserve">Valoración del autor:</w:t>
      </w:r>
      <w:r>
        <w:t xml:space="preserve"> </w:t>
      </w:r>
      <w:r>
        <w:t xml:space="preserve">hasta 2030, los primeros péptidos diseñados con métodos de IA estarán en estudios tempranos en humanos; una autorización hasta 2035 es posible, pero no probable, porque también una molécula encontrada rápidamente tiene que pasar por todas las fases clínicas. La IA acorta la búsqueda de candidatos, no la evaluación en humanos. Para los lectores, esto significa: las ofertas que prometen «péptidos optimizados con IA» son publicidad, no una prueba de eficacia.</w:t>
      </w:r>
    </w:p>
    <w:bookmarkEnd w:id="2970"/>
    <w:bookmarkEnd w:id="2971"/>
    <w:bookmarkStart w:id="2972" w:name="Xda3ce387ed0d8b0c80b57dbe56feeda3bf30249"/>
    <w:p>
      <w:pPr>
        <w:pStyle w:val="Heading3"/>
      </w:pPr>
      <w:r>
        <w:t xml:space="preserve">Cronología: lo que el registro anuncia hasta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Periodo</w:t>
            </w:r>
          </w:p>
        </w:tc>
        <w:tc>
          <w:tcPr/>
          <w:p>
            <w:pPr>
              <w:pStyle w:val="Compact"/>
              <w:jc w:val="left"/>
            </w:pPr>
            <w:r>
              <w:t xml:space="preserve">Acontecimiento previsto según el registro</w:t>
            </w:r>
          </w:p>
        </w:tc>
        <w:tc>
          <w:tcPr/>
          <w:p>
            <w:pPr>
              <w:pStyle w:val="Compact"/>
              <w:jc w:val="left"/>
            </w:pPr>
            <w:r>
              <w:t xml:space="preserve">Principio activo</w:t>
            </w:r>
          </w:p>
        </w:tc>
        <w:tc>
          <w:tcPr/>
          <w:p>
            <w:pPr>
              <w:pStyle w:val="Compact"/>
              <w:jc w:val="left"/>
            </w:pPr>
            <w:r>
              <w:t xml:space="preserve">Estudio</w:t>
            </w:r>
          </w:p>
        </w:tc>
      </w:tr>
      <w:tr>
        <w:tc>
          <w:tcPr/>
          <w:p>
            <w:pPr>
              <w:pStyle w:val="Compact"/>
              <w:jc w:val="left"/>
            </w:pPr>
            <w:r>
              <w:t xml:space="preserve">2026/2027</w:t>
            </w:r>
          </w:p>
        </w:tc>
        <w:tc>
          <w:tcPr/>
          <w:p>
            <w:pPr>
              <w:pStyle w:val="Compact"/>
              <w:jc w:val="left"/>
            </w:pPr>
            <w:r>
              <w:t xml:space="preserve">resultados de la comparación directa con tirzepatida</w:t>
            </w:r>
          </w:p>
        </w:tc>
        <w:tc>
          <w:tcPr/>
          <w:p>
            <w:pPr>
              <w:pStyle w:val="Compact"/>
              <w:jc w:val="left"/>
            </w:pPr>
            <w:r>
              <w:t xml:space="preserve">Retatrutida</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resultados cardiovasculares sin diabetes</w:t>
            </w:r>
          </w:p>
        </w:tc>
        <w:tc>
          <w:tcPr/>
          <w:p>
            <w:pPr>
              <w:pStyle w:val="Compact"/>
              <w:jc w:val="left"/>
            </w:pPr>
            <w:r>
              <w:t xml:space="preserve">Tirzepatida</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resultados cardiovasculares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seguimiento del cáncer colorrectal</w:t>
            </w:r>
          </w:p>
        </w:tc>
        <w:tc>
          <w:tcPr/>
          <w:p>
            <w:pPr>
              <w:pStyle w:val="Compact"/>
              <w:jc w:val="left"/>
            </w:pPr>
            <w:r>
              <w:t xml:space="preserve">Timosina alfa 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degeneración macular</w:t>
            </w:r>
          </w:p>
        </w:tc>
        <w:tc>
          <w:tcPr/>
          <w:p>
            <w:pPr>
              <w:pStyle w:val="Compact"/>
              <w:jc w:val="left"/>
            </w:pPr>
            <w:r>
              <w:t xml:space="preserve">Elamipretida</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crecimiento en niños</w:t>
            </w:r>
          </w:p>
        </w:tc>
        <w:tc>
          <w:tcPr/>
          <w:p>
            <w:pPr>
              <w:pStyle w:val="Compact"/>
              <w:jc w:val="left"/>
            </w:pPr>
            <w:r>
              <w:t xml:space="preserve">Ibutamoreno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acontecimientos cardiacos y renales</w:t>
            </w:r>
          </w:p>
        </w:tc>
        <w:tc>
          <w:tcPr/>
          <w:p>
            <w:pPr>
              <w:pStyle w:val="Compact"/>
              <w:jc w:val="left"/>
            </w:pPr>
            <w:r>
              <w:t xml:space="preserve">Retatrutida</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resultados cardiovasculares, insuficiencia cardiaca</w:t>
            </w:r>
          </w:p>
        </w:tc>
        <w:tc>
          <w:tcPr/>
          <w:p>
            <w:pPr>
              <w:pStyle w:val="Compact"/>
              <w:jc w:val="left"/>
            </w:pPr>
            <w:r>
              <w:t xml:space="preserve">Maridebart cafraglutida</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resultados cardiovasculares</w:t>
            </w:r>
          </w:p>
        </w:tc>
        <w:tc>
          <w:tcPr/>
          <w:p>
            <w:pPr>
              <w:pStyle w:val="Compact"/>
              <w:jc w:val="left"/>
            </w:pPr>
            <w:r>
              <w:t xml:space="preserve">Zenagamtida</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Enlicitida (péptido oral)</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acontecimientos hepáticos graves</w:t>
            </w:r>
          </w:p>
        </w:tc>
        <w:tc>
          <w:tcPr/>
          <w:p>
            <w:pPr>
              <w:pStyle w:val="Compact"/>
              <w:jc w:val="left"/>
            </w:pPr>
            <w:r>
              <w:t xml:space="preserve">Tirzepatida, retatrutida</w:t>
            </w:r>
          </w:p>
        </w:tc>
        <w:tc>
          <w:tcPr/>
          <w:p>
            <w:pPr>
              <w:pStyle w:val="Compact"/>
              <w:jc w:val="left"/>
            </w:pPr>
            <w:r>
              <w:t xml:space="preserve">NCT07165028</w:t>
            </w:r>
          </w:p>
        </w:tc>
      </w:tr>
    </w:tbl>
    <w:p>
      <w:pPr>
        <w:pStyle w:val="BodyText"/>
      </w:pPr>
      <w:r>
        <w:t xml:space="preserve">Los años son las fechas de finalización de los estudios indicadas en el registro. Las publicaciones suelen llegar más tarde, y los aplazamientos son frecuentes.</w:t>
      </w:r>
    </w:p>
    <w:bookmarkEnd w:id="2972"/>
    <w:bookmarkStart w:id="2973" w:name="conclusión-del-libro"/>
    <w:p>
      <w:pPr>
        <w:pStyle w:val="Heading3"/>
      </w:pPr>
      <w:r>
        <w:t xml:space="preserve">Conclusión del libro</w:t>
      </w:r>
    </w:p>
    <w:p>
      <w:pPr>
        <w:pStyle w:val="FirstParagraph"/>
      </w:pPr>
      <w:r>
        <w:t xml:space="preserve">De los péptidos de este libro, solo unos pocos han demostrado en grandes estudios en humanos lo que aportan, en primer lugar los medicamentos basados en GLP-1, cuyo beneficio está demostrado hasta en la reducción de los acontecimientos cardiovasculares. Para la mayoría de los péptidos que se promocionan en internet como remedios milagrosos para la curación, los músculos o una vida larga, en cambio, solo hay experimentos con animales, estudios pequeños o ningún dato, y tampoco ningún gran estudio en curso que vaya a cambiarlo pronto. Por eso, el futuro de la medicina de los péptidos no se decide en las tiendas en línea, sino en los estudios de resultados que terminarán entre 2027 y 2032. A quien se interese por un péptido le irá mejor con tres preguntas: ¿hay estudios aleatorizados en humanos?, ¿es el producto un medicamento evaluado?, y ¿acompaña un médico su uso?</w:t>
      </w:r>
    </w:p>
    <w:bookmarkEnd w:id="2973"/>
    <w:bookmarkEnd w:id="2974"/>
    <w:bookmarkEnd w:id="2975"/>
    <w:bookmarkStart w:id="2995" w:name="glosario"/>
    <w:p>
      <w:pPr>
        <w:pStyle w:val="Heading1"/>
      </w:pPr>
      <w:r>
        <w:t xml:space="preserve">Glosario</w:t>
      </w:r>
    </w:p>
    <w:p>
      <w:pPr>
        <w:pStyle w:val="FirstParagraph"/>
      </w:pPr>
      <w:r>
        <w:t xml:space="preserve">Las siguientes explicaciones son deliberadamente breves. Encontrarás exposiciones más detalladas en los capítulos de la Parte I, en particular en «Qué son los péptidos y qué no son» y «Cómo leer correctamente los estudios».</w:t>
      </w:r>
    </w:p>
    <w:bookmarkStart w:id="2976" w:name="a"/>
    <w:p>
      <w:pPr>
        <w:pStyle w:val="Heading3"/>
      </w:pPr>
      <w:r>
        <w:t xml:space="preserve">A</w:t>
      </w:r>
    </w:p>
    <w:p>
      <w:pPr>
        <w:pStyle w:val="FirstParagraph"/>
      </w:pPr>
      <w:r>
        <w:rPr>
          <w:bCs/>
          <w:b/>
        </w:rPr>
        <w:t xml:space="preserve">Acontecimiento adverso</w:t>
      </w:r>
      <w:r>
        <w:t xml:space="preserve">: Cualquier problema de salud que aparece durante un estudio, con independencia de que lo haya causado el tratamiento. Solo la comparación con el grupo de control muestra si es probable una relación.</w:t>
      </w:r>
    </w:p>
    <w:p>
      <w:pPr>
        <w:pStyle w:val="BodyText"/>
      </w:pPr>
      <w:r>
        <w:rPr>
          <w:bCs/>
          <w:b/>
        </w:rPr>
        <w:t xml:space="preserve">Acromegalia</w:t>
      </w:r>
      <w:r>
        <w:t xml:space="preserve">: Enfermedad causada por una sobreproducción permanente de hormona del crecimiento en la edad adulta, por lo general debida a un tumor benigno de la hipófisis. Son típicos el aumento de tamaño de las manos, los pies y los rasgos faciales.</w:t>
      </w:r>
    </w:p>
    <w:p>
      <w:pPr>
        <w:pStyle w:val="BodyText"/>
      </w:pPr>
      <w:r>
        <w:rPr>
          <w:bCs/>
          <w:b/>
        </w:rPr>
        <w:t xml:space="preserve">Agonista</w:t>
      </w:r>
      <w:r>
        <w:t xml:space="preserve">: Una sustancia que se une a un receptor y lo activa, es decir, desencadena una señal. La semaglutida, por ejemplo, es un agonista del receptor de GLP-1.</w:t>
      </w:r>
    </w:p>
    <w:p>
      <w:pPr>
        <w:pStyle w:val="BodyText"/>
      </w:pPr>
      <w:r>
        <w:rPr>
          <w:bCs/>
          <w:b/>
        </w:rPr>
        <w:t xml:space="preserve">Agonista del receptor de GLP-1</w:t>
      </w:r>
      <w:r>
        <w:t xml:space="preserve">: Un principio activo que activa el receptor de GLP-1, por ejemplo la exenatida, la liraglutida, la dulaglutida o la semaglutida.</w:t>
      </w:r>
    </w:p>
    <w:p>
      <w:pPr>
        <w:pStyle w:val="BodyText"/>
      </w:pPr>
      <w:r>
        <w:rPr>
          <w:bCs/>
          <w:b/>
        </w:rPr>
        <w:t xml:space="preserve">Albúmina</w:t>
      </w:r>
      <w:r>
        <w:t xml:space="preserve">: La proteína más abundante del plasma sanguíneo. Algunos medicamentos peptídicos están diseñados para unirse a la albúmina y permanecer así más tiempo en el organismo.</w:t>
      </w:r>
    </w:p>
    <w:p>
      <w:pPr>
        <w:pStyle w:val="BodyText"/>
      </w:pPr>
      <w:r>
        <w:rPr>
          <w:bCs/>
          <w:b/>
        </w:rPr>
        <w:t xml:space="preserve">Aleatorización</w:t>
      </w:r>
      <w:r>
        <w:t xml:space="preserve">: La asignación al azar de los participantes a los grupos de un estudio. Garantiza que los grupos solo difieran sistemáticamente en el tratamiento.</w:t>
      </w:r>
    </w:p>
    <w:p>
      <w:pPr>
        <w:pStyle w:val="BodyText"/>
      </w:pPr>
      <w:r>
        <w:rPr>
          <w:bCs/>
          <w:b/>
        </w:rPr>
        <w:t xml:space="preserve">Amilina</w:t>
      </w:r>
      <w:r>
        <w:t xml:space="preserve">: Una hormona peptídica que se secreta junto con la insulina desde el páncreas e influye, entre otras cosas, en la saciedad y el vaciamiento gástrico. Variantes como la pramlintida y la cagrilintida se utilizan o investigan como medicamentos.</w:t>
      </w:r>
    </w:p>
    <w:p>
      <w:pPr>
        <w:pStyle w:val="BodyText"/>
      </w:pPr>
      <w:r>
        <w:rPr>
          <w:bCs/>
          <w:b/>
        </w:rPr>
        <w:t xml:space="preserve">Aminoácido</w:t>
      </w:r>
      <w:r>
        <w:t xml:space="preserve">: Componente básico de los péptidos y las proteínas. El ser humano utiliza esencialmente 20 aminoácidos estándar, que se unen en cadenas mediante enlaces peptídicos.</w:t>
      </w:r>
    </w:p>
    <w:p>
      <w:pPr>
        <w:pStyle w:val="BodyText"/>
      </w:pPr>
      <w:r>
        <w:rPr>
          <w:bCs/>
          <w:b/>
        </w:rPr>
        <w:t xml:space="preserve">Análisis por intención de tratar</w:t>
      </w:r>
      <w:r>
        <w:t xml:space="preserve">: Análisis de un estudio en el que todos los participantes se cuentan en el grupo al que fueron asignados, aunque hayan abandonado el tratamiento. Se considera una estimación más realista del efecto en la vida diaria.</w:t>
      </w:r>
    </w:p>
    <w:p>
      <w:pPr>
        <w:pStyle w:val="BodyText"/>
      </w:pPr>
      <w:r>
        <w:rPr>
          <w:bCs/>
          <w:b/>
        </w:rPr>
        <w:t xml:space="preserve">Análogo</w:t>
      </w:r>
      <w:r>
        <w:t xml:space="preserve">: Una molécula que imita un modelo natural, pero que se ha modificado de forma deliberada, por ejemplo para hacerla más estable o de acción más prolongada.</w:t>
      </w:r>
    </w:p>
    <w:p>
      <w:pPr>
        <w:pStyle w:val="BodyText"/>
      </w:pPr>
      <w:r>
        <w:rPr>
          <w:bCs/>
          <w:b/>
        </w:rPr>
        <w:t xml:space="preserve">Angiogénesis</w:t>
      </w:r>
      <w:r>
        <w:t xml:space="preserve">: Formación de nuevos vasos sanguíneos. Es importante para la cicatrización de heridas, pero también puede favorecer el crecimiento de tumores.</w:t>
      </w:r>
    </w:p>
    <w:p>
      <w:pPr>
        <w:pStyle w:val="BodyText"/>
      </w:pPr>
      <w:r>
        <w:rPr>
          <w:bCs/>
          <w:b/>
        </w:rPr>
        <w:t xml:space="preserve">Antagonista</w:t>
      </w:r>
      <w:r>
        <w:t xml:space="preserve">: Una sustancia que se une a un receptor sin activarlo y bloquea así el efecto de los mensajeros endógenos.</w:t>
      </w:r>
    </w:p>
    <w:p>
      <w:pPr>
        <w:pStyle w:val="BodyText"/>
      </w:pPr>
      <w:r>
        <w:rPr>
          <w:bCs/>
          <w:b/>
        </w:rPr>
        <w:t xml:space="preserve">Anticuerpos</w:t>
      </w:r>
      <w:r>
        <w:t xml:space="preserve">: Moléculas proteicas del sistema inmunitario que se unen de forma específica a estructuras ajenas. Los anticuerpos formados contra medicamentos peptídicos pueden atenuar su efecto o desencadenar reacciones.</w:t>
      </w:r>
    </w:p>
    <w:p>
      <w:pPr>
        <w:pStyle w:val="BodyText"/>
      </w:pPr>
      <w:r>
        <w:rPr>
          <w:bCs/>
          <w:b/>
        </w:rPr>
        <w:t xml:space="preserve">Autorización de comercialización</w:t>
      </w:r>
      <w:r>
        <w:t xml:space="preserve">: La aprobación por las autoridades para comercializar un medicamento, tras evaluar su calidad, eficacia y seguridad.</w:t>
      </w:r>
    </w:p>
    <w:bookmarkEnd w:id="2976"/>
    <w:bookmarkStart w:id="2977" w:name="b"/>
    <w:p>
      <w:pPr>
        <w:pStyle w:val="Heading3"/>
      </w:pPr>
      <w:r>
        <w:t xml:space="preserve">B</w:t>
      </w:r>
    </w:p>
    <w:p>
      <w:pPr>
        <w:pStyle w:val="FirstParagraph"/>
      </w:pPr>
      <w:r>
        <w:rPr>
          <w:bCs/>
          <w:b/>
        </w:rPr>
        <w:t xml:space="preserve">Biodisponibilidad</w:t>
      </w:r>
      <w:r>
        <w:t xml:space="preserve">: La proporción de un principio activo administrado que llega sin modificar al torrente sanguíneo. En una infusión intravenosa es del 100 %; en los comprimidos peptídicos, a menudo solo de un pequeño porcentaje o menos.</w:t>
      </w:r>
    </w:p>
    <w:p>
      <w:pPr>
        <w:pStyle w:val="BodyText"/>
      </w:pPr>
      <w:r>
        <w:rPr>
          <w:bCs/>
          <w:b/>
        </w:rPr>
        <w:t xml:space="preserve">Biosimilar</w:t>
      </w:r>
      <w:r>
        <w:t xml:space="preserve">: Un preparado sucesor de un medicamento biológico tras la expiración de la protección por patente. Debe ser demostrablemente muy similar al original en calidad, eficacia y seguridad.</w:t>
      </w:r>
    </w:p>
    <w:bookmarkEnd w:id="2977"/>
    <w:bookmarkStart w:id="2978" w:name="c"/>
    <w:p>
      <w:pPr>
        <w:pStyle w:val="Heading3"/>
      </w:pPr>
      <w:r>
        <w:t xml:space="preserve">C</w:t>
      </w:r>
    </w:p>
    <w:p>
      <w:pPr>
        <w:pStyle w:val="FirstParagraph"/>
      </w:pPr>
      <w:r>
        <w:rPr>
          <w:bCs/>
          <w:b/>
        </w:rPr>
        <w:t xml:space="preserve">C-terminal (extremo)</w:t>
      </w:r>
      <w:r>
        <w:t xml:space="preserve">: El extremo de una cadena peptídica con el grupo ácido libre. Las secuencias peptídicas se escriben del extremo N-terminal al C-terminal.</w:t>
      </w:r>
    </w:p>
    <w:p>
      <w:pPr>
        <w:pStyle w:val="BodyText"/>
      </w:pPr>
      <w:r>
        <w:rPr>
          <w:bCs/>
          <w:b/>
        </w:rPr>
        <w:t xml:space="preserve">Caso clínico</w:t>
      </w:r>
      <w:r>
        <w:t xml:space="preserve">: La descripción de un único caso de enfermedad en una revista especializada. Los casos clínicos son importantes para detectar efectos adversos raros, pero dicen poco sobre la eficacia.</w:t>
      </w:r>
    </w:p>
    <w:p>
      <w:pPr>
        <w:pStyle w:val="BodyText"/>
      </w:pPr>
      <w:r>
        <w:rPr>
          <w:bCs/>
          <w:b/>
        </w:rPr>
        <w:t xml:space="preserve">Complemento alimenticio</w:t>
      </w:r>
      <w:r>
        <w:t xml:space="preserve">: Un alimento destinado a complementar la alimentación normal con nutrientes u otras sustancias. No necesita autorización, pero no puede tener un efecto farmacológico.</w:t>
      </w:r>
    </w:p>
    <w:p>
      <w:pPr>
        <w:pStyle w:val="BodyText"/>
      </w:pPr>
      <w:r>
        <w:rPr>
          <w:bCs/>
          <w:b/>
        </w:rPr>
        <w:t xml:space="preserve">Compounding (elaboración en farmacia)</w:t>
      </w:r>
      <w:r>
        <w:t xml:space="preserve">: En EE. UU., la fabricación de medicamentos por las propias farmacias, por ejemplo en caso de desabastecimiento. Estas preparaciones no son especialidades farmacéuticas autorizadas.</w:t>
      </w:r>
    </w:p>
    <w:p>
      <w:pPr>
        <w:pStyle w:val="BodyText"/>
      </w:pPr>
      <w:r>
        <w:rPr>
          <w:bCs/>
          <w:b/>
        </w:rPr>
        <w:t xml:space="preserve">Conflicto de intereses</w:t>
      </w:r>
      <w:r>
        <w:t xml:space="preserve">: Una situación en la que intereses económicos o de otro tipo podrían influir en el juicio de los investigadores o autores, por ejemplo por la financiación de un estudio por parte del fabricante.</w:t>
      </w:r>
    </w:p>
    <w:p>
      <w:pPr>
        <w:pStyle w:val="BodyText"/>
      </w:pPr>
      <w:r>
        <w:rPr>
          <w:bCs/>
          <w:b/>
        </w:rPr>
        <w:t xml:space="preserve">Confusión (factor de confusión)</w:t>
      </w:r>
      <w:r>
        <w:t xml:space="preserve">: Un factor relacionado tanto con un tratamiento como con un resultado y que, por ello, puede generar una relación aparente. Es un problema típico de los estudios observacionales.</w:t>
      </w:r>
    </w:p>
    <w:bookmarkEnd w:id="2978"/>
    <w:bookmarkStart w:id="2979" w:name="d"/>
    <w:p>
      <w:pPr>
        <w:pStyle w:val="Heading3"/>
      </w:pPr>
      <w:r>
        <w:t xml:space="preserve">D</w:t>
      </w:r>
    </w:p>
    <w:p>
      <w:pPr>
        <w:pStyle w:val="FirstParagraph"/>
      </w:pPr>
      <w:r>
        <w:rPr>
          <w:bCs/>
          <w:b/>
        </w:rPr>
        <w:t xml:space="preserve">Dalton</w:t>
      </w:r>
      <w:r>
        <w:t xml:space="preserve">: Unidad de medida de la masa de las moléculas. Un aminoácido de una cadena peptídica pesa de media algo más de 100 dalton.</w:t>
      </w:r>
    </w:p>
    <w:p>
      <w:pPr>
        <w:pStyle w:val="BodyText"/>
      </w:pPr>
      <w:r>
        <w:rPr>
          <w:bCs/>
          <w:b/>
        </w:rPr>
        <w:t xml:space="preserve">Diabetes tipo 2</w:t>
      </w:r>
      <w:r>
        <w:t xml:space="preserve">: La forma más frecuente de diabetes, en la que el organismo utiliza la insulina con menos eficacia y el páncreas no produce suficiente para compensarlo. A menudo se asocia al sobrepeso.</w:t>
      </w:r>
    </w:p>
    <w:p>
      <w:pPr>
        <w:pStyle w:val="BodyText"/>
      </w:pPr>
      <w:r>
        <w:rPr>
          <w:bCs/>
          <w:b/>
        </w:rPr>
        <w:t xml:space="preserve">Dipeptidil peptidasa 4 (DPP-4)</w:t>
      </w:r>
      <w:r>
        <w:t xml:space="preserve">: Una enzima que degrada rápidamente, entre otras, la hormona intestinal GLP-1. Los inhibidores de esta enzima (gliptinas) se utilizan como comprimidos para la diabetes.</w:t>
      </w:r>
    </w:p>
    <w:p>
      <w:pPr>
        <w:pStyle w:val="BodyText"/>
      </w:pPr>
      <w:r>
        <w:rPr>
          <w:bCs/>
          <w:b/>
        </w:rPr>
        <w:t xml:space="preserve">Doble ciego</w:t>
      </w:r>
      <w:r>
        <w:t xml:space="preserve">: Un estudio en el que ni los participantes ni el personal del estudio saben quién recibe el principio activo y quién el placebo. Esto reduce la influencia de las expectativas en los resultados.</w:t>
      </w:r>
    </w:p>
    <w:bookmarkEnd w:id="2979"/>
    <w:bookmarkStart w:id="2980" w:name="e"/>
    <w:p>
      <w:pPr>
        <w:pStyle w:val="Heading3"/>
      </w:pPr>
      <w:r>
        <w:t xml:space="preserve">E</w:t>
      </w:r>
    </w:p>
    <w:p>
      <w:pPr>
        <w:pStyle w:val="FirstParagraph"/>
      </w:pPr>
      <w:r>
        <w:rPr>
          <w:bCs/>
          <w:b/>
        </w:rPr>
        <w:t xml:space="preserve">ECA (ensayo controlado aleatorizado; en inglés, RCT)</w:t>
      </w:r>
      <w:r>
        <w:t xml:space="preserve">: Un estudio con asignación al azar a un grupo de tratamiento y a un grupo de control. Se considera la forma más fiable de demostrar el efecto de un tratamiento.</w:t>
      </w:r>
    </w:p>
    <w:p>
      <w:pPr>
        <w:pStyle w:val="BodyText"/>
      </w:pPr>
      <w:r>
        <w:rPr>
          <w:bCs/>
          <w:b/>
        </w:rPr>
        <w:t xml:space="preserve">Efecto placebo</w:t>
      </w:r>
      <w:r>
        <w:t xml:space="preserve">: Una mejoría de los síntomas que no se debe a un principio activo, sino a las expectativas, la atención recibida o la evolución natural.</w:t>
      </w:r>
    </w:p>
    <w:p>
      <w:pPr>
        <w:pStyle w:val="BodyText"/>
      </w:pPr>
      <w:r>
        <w:rPr>
          <w:bCs/>
          <w:b/>
        </w:rPr>
        <w:t xml:space="preserve">Endotoxinas</w:t>
      </w:r>
      <w:r>
        <w:t xml:space="preserve">: Componentes termoestables de la pared celular de determinadas bacterias. Si pasan a la sangre, pueden desencadenar fiebre, inflamación y reacciones circulatorias; siguen siendo activas incluso después de que las bacterias hayan muerto.</w:t>
      </w:r>
    </w:p>
    <w:p>
      <w:pPr>
        <w:pStyle w:val="BodyText"/>
      </w:pPr>
      <w:r>
        <w:rPr>
          <w:bCs/>
          <w:b/>
        </w:rPr>
        <w:t xml:space="preserve">Enlace peptídico</w:t>
      </w:r>
      <w:r>
        <w:t xml:space="preserve">: La unión química entre el grupo ácido de un aminoácido y el grupo amino del siguiente, en cuya formación se desprende agua.</w:t>
      </w:r>
    </w:p>
    <w:p>
      <w:pPr>
        <w:pStyle w:val="BodyText"/>
      </w:pPr>
      <w:r>
        <w:rPr>
          <w:bCs/>
          <w:b/>
        </w:rPr>
        <w:t xml:space="preserve">Enmascaramiento</w:t>
      </w:r>
      <w:r>
        <w:t xml:space="preserve">: La ocultación de la asignación a los grupos a los participantes o al personal del estudio, o a ambos, para evitar efectos de las expectativas.</w:t>
      </w:r>
    </w:p>
    <w:p>
      <w:pPr>
        <w:pStyle w:val="BodyText"/>
      </w:pPr>
      <w:r>
        <w:rPr>
          <w:bCs/>
          <w:b/>
        </w:rPr>
        <w:t xml:space="preserve">Espectrometría de masas</w:t>
      </w:r>
      <w:r>
        <w:t xml:space="preserve">: Un método de medición que determina las moléculas según su masa. Permite identificar inequívocamente péptidos en productos y en líquidos corporales, por ejemplo en los controles antidopaje.</w:t>
      </w:r>
    </w:p>
    <w:p>
      <w:pPr>
        <w:pStyle w:val="BodyText"/>
      </w:pPr>
      <w:r>
        <w:rPr>
          <w:bCs/>
          <w:b/>
        </w:rPr>
        <w:t xml:space="preserve">Esterilidad</w:t>
      </w:r>
      <w:r>
        <w:t xml:space="preserve">: Ausencia de microorganismos vivos. Un producto estéril puede, no obstante, contener endotoxinas.</w:t>
      </w:r>
    </w:p>
    <w:p>
      <w:pPr>
        <w:pStyle w:val="BodyText"/>
      </w:pPr>
      <w:r>
        <w:rPr>
          <w:bCs/>
          <w:b/>
        </w:rPr>
        <w:t xml:space="preserve">Estimando</w:t>
      </w:r>
      <w:r>
        <w:t xml:space="preserve">: Una descripción precisa de qué efecto del tratamiento se estima en un estudio, por ejemplo con independencia de si los participantes abandonan el tratamiento, o solo para el tiempo en que realmente lo toman.</w:t>
      </w:r>
    </w:p>
    <w:p>
      <w:pPr>
        <w:pStyle w:val="BodyText"/>
      </w:pPr>
      <w:r>
        <w:rPr>
          <w:bCs/>
          <w:b/>
        </w:rPr>
        <w:t xml:space="preserve">Estudio abierto</w:t>
      </w:r>
      <w:r>
        <w:t xml:space="preserve">: Un estudio sin enmascaramiento, en el que los participantes y el personal del estudio saben qué tratamiento se administra.</w:t>
      </w:r>
    </w:p>
    <w:p>
      <w:pPr>
        <w:pStyle w:val="BodyText"/>
      </w:pPr>
      <w:r>
        <w:rPr>
          <w:bCs/>
          <w:b/>
        </w:rPr>
        <w:t xml:space="preserve">Estudio de cohortes</w:t>
      </w:r>
      <w:r>
        <w:t xml:space="preserve">: Un estudio observacional que sigue a un grupo de personas durante un periodo prolongado y compara con qué frecuencia aparecen determinados acontecimientos según sus características o tratamientos.</w:t>
      </w:r>
    </w:p>
    <w:p>
      <w:pPr>
        <w:pStyle w:val="BodyText"/>
      </w:pPr>
      <w:r>
        <w:rPr>
          <w:bCs/>
          <w:b/>
        </w:rPr>
        <w:t xml:space="preserve">Estudios preclínicos</w:t>
      </w:r>
      <w:r>
        <w:t xml:space="preserve">: Investigaciones en el laboratorio y con animales que se realizan antes de los primeros estudios en humanos.</w:t>
      </w:r>
    </w:p>
    <w:p>
      <w:pPr>
        <w:pStyle w:val="BodyText"/>
      </w:pPr>
      <w:r>
        <w:rPr>
          <w:bCs/>
          <w:b/>
        </w:rPr>
        <w:t xml:space="preserve">EudraVigilance</w:t>
      </w:r>
      <w:r>
        <w:t xml:space="preserve">: La base de datos de la Agencia Europea de Medicamentos para las notificaciones de sospechas de efectos adversos.</w:t>
      </w:r>
    </w:p>
    <w:bookmarkEnd w:id="2980"/>
    <w:bookmarkStart w:id="2981" w:name="f"/>
    <w:p>
      <w:pPr>
        <w:pStyle w:val="Heading3"/>
      </w:pPr>
      <w:r>
        <w:t xml:space="preserve">F</w:t>
      </w:r>
    </w:p>
    <w:p>
      <w:pPr>
        <w:pStyle w:val="FirstParagraph"/>
      </w:pPr>
      <w:r>
        <w:rPr>
          <w:bCs/>
          <w:b/>
        </w:rPr>
        <w:t xml:space="preserve">FAERS</w:t>
      </w:r>
      <w:r>
        <w:t xml:space="preserve">: El sistema de notificación de sospechas de efectos adversos de la FDA, la autoridad de medicamentos de EE. UU.</w:t>
      </w:r>
    </w:p>
    <w:p>
      <w:pPr>
        <w:pStyle w:val="BodyText"/>
      </w:pPr>
      <w:r>
        <w:rPr>
          <w:bCs/>
          <w:b/>
        </w:rPr>
        <w:t xml:space="preserve">Farmacocinética</w:t>
      </w:r>
      <w:r>
        <w:t xml:space="preserve">: El estudio de lo que el organismo hace con un principio activo: absorción, distribución, degradación y eliminación.</w:t>
      </w:r>
    </w:p>
    <w:p>
      <w:pPr>
        <w:pStyle w:val="BodyText"/>
      </w:pPr>
      <w:r>
        <w:rPr>
          <w:bCs/>
          <w:b/>
        </w:rPr>
        <w:t xml:space="preserve">Farmacodinámica</w:t>
      </w:r>
      <w:r>
        <w:t xml:space="preserve">: El estudio de lo que un principio activo produce en el organismo, es decir, de sus efectos y mecanismos de acción.</w:t>
      </w:r>
    </w:p>
    <w:p>
      <w:pPr>
        <w:pStyle w:val="BodyText"/>
      </w:pPr>
      <w:r>
        <w:rPr>
          <w:bCs/>
          <w:b/>
        </w:rPr>
        <w:t xml:space="preserve">Farmacovigilancia</w:t>
      </w:r>
      <w:r>
        <w:t xml:space="preserve">: La vigilancia sistemática de los medicamentos tras su autorización para detectar y evaluar efectos adversos.</w:t>
      </w:r>
    </w:p>
    <w:p>
      <w:pPr>
        <w:pStyle w:val="BodyText"/>
      </w:pPr>
      <w:r>
        <w:rPr>
          <w:bCs/>
          <w:b/>
        </w:rPr>
        <w:t xml:space="preserve">Fases de los estudios</w:t>
      </w:r>
      <w:r>
        <w:t xml:space="preserve">: Las etapas de la evaluación de medicamentos en humanos, desde la fase 1 (tolerabilidad en pocas personas) hasta la fase 3 (grandes estudios comparativos) y la fase 4 (observación tras la autorización).</w:t>
      </w:r>
    </w:p>
    <w:p>
      <w:pPr>
        <w:pStyle w:val="BodyText"/>
      </w:pPr>
      <w:r>
        <w:rPr>
          <w:bCs/>
          <w:b/>
        </w:rPr>
        <w:t xml:space="preserve">Ficha técnica</w:t>
      </w:r>
      <w:r>
        <w:t xml:space="preserve">: La información sobre un medicamento autorizado, aprobada por las autoridades y destinada a médicos y farmacias, con indicaciones, posología, contraindicaciones y efectos adversos.</w:t>
      </w:r>
    </w:p>
    <w:bookmarkEnd w:id="2981"/>
    <w:bookmarkStart w:id="2982" w:name="g"/>
    <w:p>
      <w:pPr>
        <w:pStyle w:val="Heading3"/>
      </w:pPr>
      <w:r>
        <w:t xml:space="preserve">G</w:t>
      </w:r>
    </w:p>
    <w:p>
      <w:pPr>
        <w:pStyle w:val="FirstParagraph"/>
      </w:pPr>
      <w:r>
        <w:rPr>
          <w:bCs/>
          <w:b/>
        </w:rPr>
        <w:t xml:space="preserve">GHRH (hormona liberadora de la hormona del crecimiento)</w:t>
      </w:r>
      <w:r>
        <w:t xml:space="preserve">: Una hormona del hipotálamo que estimula la hipófisis para que secrete hormona del crecimiento. La sermorelina, la tesamorelina y CJC-1295 derivan de ella.</w:t>
      </w:r>
    </w:p>
    <w:p>
      <w:pPr>
        <w:pStyle w:val="BodyText"/>
      </w:pPr>
      <w:r>
        <w:rPr>
          <w:bCs/>
          <w:b/>
        </w:rPr>
        <w:t xml:space="preserve">GHRP (péptidos liberadores de hormona del crecimiento)</w:t>
      </w:r>
      <w:r>
        <w:t xml:space="preserve">: Un grupo de péptidos sintéticos que aumentan la secreción de hormona del crecimiento a través del receptor de la grelina, como GHRP-2, GHRP-6, la hexarelina y la ipamorelina.</w:t>
      </w:r>
    </w:p>
    <w:p>
      <w:pPr>
        <w:pStyle w:val="BodyText"/>
      </w:pPr>
      <w:r>
        <w:rPr>
          <w:bCs/>
          <w:b/>
        </w:rPr>
        <w:t xml:space="preserve">GIP (polipéptido insulinotrópico dependiente de glucosa)</w:t>
      </w:r>
      <w:r>
        <w:t xml:space="preserve">: Una hormona intestinal del grupo de las incretinas. La tirzepatida activa, además del receptor de GLP-1, también el receptor de GIP.</w:t>
      </w:r>
    </w:p>
    <w:p>
      <w:pPr>
        <w:pStyle w:val="BodyText"/>
      </w:pPr>
      <w:r>
        <w:rPr>
          <w:bCs/>
          <w:b/>
        </w:rPr>
        <w:t xml:space="preserve">GLP-1 (péptido similar al glucagón tipo 1)</w:t>
      </w:r>
      <w:r>
        <w:t xml:space="preserve">: Una hormona intestinal que se secreta después de comer, potencia la liberación de insulina en función de la glucemia, ralentiza el vaciamiento gástrico e influye en la sensación de saciedad.</w:t>
      </w:r>
    </w:p>
    <w:p>
      <w:pPr>
        <w:pStyle w:val="BodyText"/>
      </w:pPr>
      <w:r>
        <w:rPr>
          <w:bCs/>
          <w:b/>
        </w:rPr>
        <w:t xml:space="preserve">Glucagón</w:t>
      </w:r>
      <w:r>
        <w:t xml:space="preserve">: Una hormona peptídica del páncreas que eleva la glucemia. Algunos principios activos nuevos activan además el receptor de glucagón.</w:t>
      </w:r>
    </w:p>
    <w:p>
      <w:pPr>
        <w:pStyle w:val="BodyText"/>
      </w:pPr>
      <w:r>
        <w:rPr>
          <w:bCs/>
          <w:b/>
        </w:rPr>
        <w:t xml:space="preserve">GnRH (hormona liberadora de gonadotropinas)</w:t>
      </w:r>
      <w:r>
        <w:t xml:space="preserve">: Una hormona del hipotálamo que regula la secreción de LH y FSH, las hormonas que controlan las hormonas sexuales. La gonadorelina es una forma sintética.</w:t>
      </w:r>
    </w:p>
    <w:p>
      <w:pPr>
        <w:pStyle w:val="BodyText"/>
      </w:pPr>
      <w:r>
        <w:rPr>
          <w:bCs/>
          <w:b/>
        </w:rPr>
        <w:t xml:space="preserve">Grelina</w:t>
      </w:r>
      <w:r>
        <w:t xml:space="preserve">: Una hormona peptídica que se produce sobre todo en el estómago, desencadena el hambre y estimula la secreción de hormona del crecimiento.</w:t>
      </w:r>
    </w:p>
    <w:p>
      <w:pPr>
        <w:pStyle w:val="BodyText"/>
      </w:pPr>
      <w:r>
        <w:rPr>
          <w:bCs/>
          <w:b/>
        </w:rPr>
        <w:t xml:space="preserve">Grupo de control</w:t>
      </w:r>
      <w:r>
        <w:t xml:space="preserve">: El grupo de comparación de un estudio, que no recibe principio activo, recibe un placebo o un tratamiento estándar.</w:t>
      </w:r>
    </w:p>
    <w:bookmarkEnd w:id="2982"/>
    <w:bookmarkStart w:id="2983" w:name="h"/>
    <w:p>
      <w:pPr>
        <w:pStyle w:val="Heading3"/>
      </w:pPr>
      <w:r>
        <w:t xml:space="preserve">H</w:t>
      </w:r>
    </w:p>
    <w:p>
      <w:pPr>
        <w:pStyle w:val="FirstParagraph"/>
      </w:pPr>
      <w:r>
        <w:rPr>
          <w:bCs/>
          <w:b/>
        </w:rPr>
        <w:t xml:space="preserve">Hazard ratio</w:t>
      </w:r>
      <w:r>
        <w:t xml:space="preserve">: Una medida de cómo difiere a lo largo del tiempo el riesgo de un acontecimiento entre dos grupos. Un valor de 0,80 significa un riesgo relativo alrededor de un 20 % menor.</w:t>
      </w:r>
    </w:p>
    <w:p>
      <w:pPr>
        <w:pStyle w:val="BodyText"/>
      </w:pPr>
      <w:r>
        <w:rPr>
          <w:bCs/>
          <w:b/>
        </w:rPr>
        <w:t xml:space="preserve">HbA1c</w:t>
      </w:r>
      <w:r>
        <w:t xml:space="preserve">: La proporción del pigmento rojo de la sangre a la que está unido el azúcar. Refleja la glucemia media de los últimos dos a tres meses y es una variable subrogada importante en los estudios de diabetes.</w:t>
      </w:r>
    </w:p>
    <w:p>
      <w:pPr>
        <w:pStyle w:val="BodyText"/>
      </w:pPr>
      <w:r>
        <w:rPr>
          <w:bCs/>
          <w:b/>
        </w:rPr>
        <w:t xml:space="preserve">Hidrolizado</w:t>
      </w:r>
      <w:r>
        <w:t xml:space="preserve">: Una mezcla de fragmentos que se forma cuando las proteínas se escinden con enzimas o ácido. Así se obtienen los péptidos de colágeno.</w:t>
      </w:r>
    </w:p>
    <w:p>
      <w:pPr>
        <w:pStyle w:val="BodyText"/>
      </w:pPr>
      <w:r>
        <w:rPr>
          <w:bCs/>
          <w:b/>
        </w:rPr>
        <w:t xml:space="preserve">Hipófisis</w:t>
      </w:r>
      <w:r>
        <w:t xml:space="preserve">: Una pequeña glándula hormonal situada en la base del cráneo que secreta, entre otras, la hormona del crecimiento y las hormonas que regulan la tiroides, las glándulas suprarrenales y las gónadas.</w:t>
      </w:r>
    </w:p>
    <w:p>
      <w:pPr>
        <w:pStyle w:val="BodyText"/>
      </w:pPr>
      <w:r>
        <w:rPr>
          <w:bCs/>
          <w:b/>
        </w:rPr>
        <w:t xml:space="preserve">Hipoglucemia</w:t>
      </w:r>
      <w:r>
        <w:t xml:space="preserve">: Un nivel de glucosa en sangre demasiado bajo. Puede provocar temblor, sudoración, confusión y pérdida de conciencia, y es una urgencia.</w:t>
      </w:r>
    </w:p>
    <w:p>
      <w:pPr>
        <w:pStyle w:val="BodyText"/>
      </w:pPr>
      <w:r>
        <w:rPr>
          <w:bCs/>
          <w:b/>
        </w:rPr>
        <w:t xml:space="preserve">Hipotálamo</w:t>
      </w:r>
      <w:r>
        <w:t xml:space="preserve">: Una región del cerebro que controla la hipófisis mediante hormonas liberadoras e interviene en el hambre, la sed, el sueño y la temperatura corporal.</w:t>
      </w:r>
    </w:p>
    <w:p>
      <w:pPr>
        <w:pStyle w:val="BodyText"/>
      </w:pPr>
      <w:r>
        <w:rPr>
          <w:bCs/>
          <w:b/>
        </w:rPr>
        <w:t xml:space="preserve">Hormona del crecimiento (somatotropina)</w:t>
      </w:r>
      <w:r>
        <w:t xml:space="preserve">: Una proteína de la hipófisis que influye en el crecimiento, el metabolismo y la composición corporal. Muchos péptidos de este libro pretenden aumentar su secreción.</w:t>
      </w:r>
    </w:p>
    <w:p>
      <w:pPr>
        <w:pStyle w:val="BodyText"/>
      </w:pPr>
      <w:r>
        <w:rPr>
          <w:bCs/>
          <w:b/>
        </w:rPr>
        <w:t xml:space="preserve">HPLC (cromatografía líquida de alta resolución)</w:t>
      </w:r>
      <w:r>
        <w:t xml:space="preserve">: Un procedimiento de laboratorio con el que pueden separarse mezclas de sustancias y determinarse la pureza de los péptidos.</w:t>
      </w:r>
    </w:p>
    <w:bookmarkEnd w:id="2983"/>
    <w:bookmarkStart w:id="2984" w:name="i"/>
    <w:p>
      <w:pPr>
        <w:pStyle w:val="Heading3"/>
      </w:pPr>
      <w:r>
        <w:t xml:space="preserve">I</w:t>
      </w:r>
    </w:p>
    <w:p>
      <w:pPr>
        <w:pStyle w:val="FirstParagraph"/>
      </w:pPr>
      <w:r>
        <w:rPr>
          <w:bCs/>
          <w:b/>
        </w:rPr>
        <w:t xml:space="preserve">IGF-1 (factor de crecimiento insulínico tipo 1)</w:t>
      </w:r>
      <w:r>
        <w:t xml:space="preserve">: Un factor de crecimiento que se produce sobre todo en el hígado bajo la influencia de la hormona del crecimiento. Media muchos efectos de la hormona del crecimiento y sirve como valor de laboratorio para valorarla.</w:t>
      </w:r>
    </w:p>
    <w:p>
      <w:pPr>
        <w:pStyle w:val="BodyText"/>
      </w:pPr>
      <w:r>
        <w:rPr>
          <w:bCs/>
          <w:b/>
        </w:rPr>
        <w:t xml:space="preserve">IMC (índice de masa corporal)</w:t>
      </w:r>
      <w:r>
        <w:t xml:space="preserve">: Peso corporal en kilogramos dividido por el cuadrado de la estatura en metros. Medida aproximada del peso insuficiente, normal o excesivo.</w:t>
      </w:r>
    </w:p>
    <w:p>
      <w:pPr>
        <w:pStyle w:val="BodyText"/>
      </w:pPr>
      <w:r>
        <w:rPr>
          <w:bCs/>
          <w:b/>
        </w:rPr>
        <w:t xml:space="preserve">Impureza</w:t>
      </w:r>
      <w:r>
        <w:t xml:space="preserve">: Componentes no deseados de un producto, como cadenas peptídicas defectuosas de la síntesis, restos de disolventes, metales o componentes bacterianos.</w:t>
      </w:r>
    </w:p>
    <w:p>
      <w:pPr>
        <w:pStyle w:val="BodyText"/>
      </w:pPr>
      <w:r>
        <w:rPr>
          <w:bCs/>
          <w:b/>
        </w:rPr>
        <w:t xml:space="preserve">In vitro</w:t>
      </w:r>
      <w:r>
        <w:t xml:space="preserve">: «En el vidrio»: experimentos de laboratorio con células, tejidos o moléculas aisladas fuera de un organismo vivo.</w:t>
      </w:r>
    </w:p>
    <w:p>
      <w:pPr>
        <w:pStyle w:val="BodyText"/>
      </w:pPr>
      <w:r>
        <w:rPr>
          <w:bCs/>
          <w:b/>
        </w:rPr>
        <w:t xml:space="preserve">Incretinas</w:t>
      </w:r>
      <w:r>
        <w:t xml:space="preserve">: Hormonas intestinales que potencian la secreción de insulina después de una comida. Las más importantes son el GLP-1 y el GIP.</w:t>
      </w:r>
    </w:p>
    <w:p>
      <w:pPr>
        <w:pStyle w:val="BodyText"/>
      </w:pPr>
      <w:r>
        <w:rPr>
          <w:bCs/>
          <w:b/>
        </w:rPr>
        <w:t xml:space="preserve">Inmunogenicidad</w:t>
      </w:r>
      <w:r>
        <w:t xml:space="preserve">: La propiedad de una sustancia de desencadenar una reacción del sistema inmunitario, por ejemplo la formación de anticuerpos.</w:t>
      </w:r>
    </w:p>
    <w:p>
      <w:pPr>
        <w:pStyle w:val="BodyText"/>
      </w:pPr>
      <w:r>
        <w:rPr>
          <w:bCs/>
          <w:b/>
        </w:rPr>
        <w:t xml:space="preserve">Insulina</w:t>
      </w:r>
      <w:r>
        <w:t xml:space="preserve">: Una hormona peptídica del páncreas formada por 51 aminoácidos que reduce la glucemia. En 1922 fue el primer péptido utilizado como medicamento.</w:t>
      </w:r>
    </w:p>
    <w:p>
      <w:pPr>
        <w:pStyle w:val="BodyText"/>
      </w:pPr>
      <w:r>
        <w:rPr>
          <w:bCs/>
          <w:b/>
        </w:rPr>
        <w:t xml:space="preserve">Intervalo de confianza</w:t>
      </w:r>
      <w:r>
        <w:t xml:space="preserve">: Un intervalo en torno a un resultado de un estudio en el que se encuentra el valor real con una determinada probabilidad (por lo general del 95 %). Los intervalos amplios indican una estimación incierta.</w:t>
      </w:r>
    </w:p>
    <w:bookmarkEnd w:id="2984"/>
    <w:bookmarkStart w:id="2985" w:name="l"/>
    <w:p>
      <w:pPr>
        <w:pStyle w:val="Heading3"/>
      </w:pPr>
      <w:r>
        <w:t xml:space="preserve">L</w:t>
      </w:r>
    </w:p>
    <w:p>
      <w:pPr>
        <w:pStyle w:val="FirstParagraph"/>
      </w:pPr>
      <w:r>
        <w:rPr>
          <w:bCs/>
          <w:b/>
        </w:rPr>
        <w:t xml:space="preserve">Liofilizado</w:t>
      </w:r>
      <w:r>
        <w:t xml:space="preserve">: Un polvo secado por congelación. Muchos péptidos se almacenan en esta forma y deben disolverse en un líquido antes de su uso.</w:t>
      </w:r>
    </w:p>
    <w:bookmarkEnd w:id="2985"/>
    <w:bookmarkStart w:id="2986" w:name="m"/>
    <w:p>
      <w:pPr>
        <w:pStyle w:val="Heading3"/>
      </w:pPr>
      <w:r>
        <w:t xml:space="preserve">M</w:t>
      </w:r>
    </w:p>
    <w:p>
      <w:pPr>
        <w:pStyle w:val="FirstParagraph"/>
      </w:pPr>
      <w:r>
        <w:rPr>
          <w:bCs/>
          <w:b/>
        </w:rPr>
        <w:t xml:space="preserve">Medicamento</w:t>
      </w:r>
      <w:r>
        <w:t xml:space="preserve">: Una sustancia o preparación destinada a curar, aliviar o prevenir enfermedades o que influye en las funciones corporales por vía farmacológica, inmunológica o metabólica. En la UE, un medicamento necesita una autorización antes de su venta.</w:t>
      </w:r>
    </w:p>
    <w:p>
      <w:pPr>
        <w:pStyle w:val="BodyText"/>
      </w:pPr>
      <w:r>
        <w:rPr>
          <w:bCs/>
          <w:b/>
        </w:rPr>
        <w:t xml:space="preserve">Medicamento biológico</w:t>
      </w:r>
      <w:r>
        <w:t xml:space="preserve">: Un medicamento cuyo principio activo se fabrica con ayuda de células vivas, por ejemplo mediante ingeniería genética en bacterias o en células de mamífero. Muchos péptidos de mayor tamaño y todos los medicamentos basados en anticuerpos pertenecen a este grupo.</w:t>
      </w:r>
    </w:p>
    <w:p>
      <w:pPr>
        <w:pStyle w:val="BodyText"/>
      </w:pPr>
      <w:r>
        <w:rPr>
          <w:bCs/>
          <w:b/>
        </w:rPr>
        <w:t xml:space="preserve">Medicamento por función</w:t>
      </w:r>
      <w:r>
        <w:t xml:space="preserve">: Término jurídico para un producto que se considera medicamento por su efecto farmacológico, inmunológico o metabólico, con independencia de cómo se promocione.</w:t>
      </w:r>
    </w:p>
    <w:p>
      <w:pPr>
        <w:pStyle w:val="BodyText"/>
      </w:pPr>
      <w:r>
        <w:rPr>
          <w:bCs/>
          <w:b/>
        </w:rPr>
        <w:t xml:space="preserve">Medicamento por presentación</w:t>
      </w:r>
      <w:r>
        <w:t xml:space="preserve">: Término jurídico para un producto que se considera medicamento porque se presenta o promociona como remedio contra enfermedades.</w:t>
      </w:r>
    </w:p>
    <w:p>
      <w:pPr>
        <w:pStyle w:val="BodyText"/>
      </w:pPr>
      <w:r>
        <w:rPr>
          <w:bCs/>
          <w:b/>
        </w:rPr>
        <w:t xml:space="preserve">Metaanálisis</w:t>
      </w:r>
      <w:r>
        <w:t xml:space="preserve">: Un resumen estadístico de los resultados de varios estudios sobre la misma pregunta. Solo es tan bueno como los estudios que incluye.</w:t>
      </w:r>
    </w:p>
    <w:p>
      <w:pPr>
        <w:pStyle w:val="BodyText"/>
      </w:pPr>
      <w:r>
        <w:rPr>
          <w:bCs/>
          <w:b/>
        </w:rPr>
        <w:t xml:space="preserve">Mimético</w:t>
      </w:r>
      <w:r>
        <w:t xml:space="preserve">: Una sustancia que imita el efecto de otra sin tener su estructura, por ejemplo una molécula pequeña que activa un receptor como una hormona peptídica.</w:t>
      </w:r>
    </w:p>
    <w:bookmarkEnd w:id="2986"/>
    <w:bookmarkStart w:id="2987" w:name="n"/>
    <w:p>
      <w:pPr>
        <w:pStyle w:val="Heading3"/>
      </w:pPr>
      <w:r>
        <w:t xml:space="preserve">N</w:t>
      </w:r>
    </w:p>
    <w:p>
      <w:pPr>
        <w:pStyle w:val="FirstParagraph"/>
      </w:pPr>
      <w:r>
        <w:rPr>
          <w:bCs/>
          <w:b/>
        </w:rPr>
        <w:t xml:space="preserve">N-terminal (extremo)</w:t>
      </w:r>
      <w:r>
        <w:t xml:space="preserve">: El comienzo de una cadena peptídica, con el grupo amino libre.</w:t>
      </w:r>
    </w:p>
    <w:p>
      <w:pPr>
        <w:pStyle w:val="BodyText"/>
      </w:pPr>
      <w:r>
        <w:rPr>
          <w:bCs/>
          <w:b/>
        </w:rPr>
        <w:t xml:space="preserve">Nivel de evidencia</w:t>
      </w:r>
      <w:r>
        <w:t xml:space="preserve">: En este libro, una clasificación de la A a la D de lo bien demostrado que está el efecto de un péptido en humanos. A corresponde a varios grandes estudios aleatorizados y autorización; D, exclusivamente a estudios con animales y de laboratorio.</w:t>
      </w:r>
    </w:p>
    <w:p>
      <w:pPr>
        <w:pStyle w:val="BodyText"/>
      </w:pPr>
      <w:r>
        <w:rPr>
          <w:bCs/>
          <w:b/>
        </w:rPr>
        <w:t xml:space="preserve">Novel Food (nuevo alimento)</w:t>
      </w:r>
      <w:r>
        <w:t xml:space="preserve">: En la UE, un alimento o ingrediente que no se consumía en una medida significativa antes del 15 de mayo de 1997. Estos productos necesitan una autorización antes de su venta.</w:t>
      </w:r>
    </w:p>
    <w:p>
      <w:pPr>
        <w:pStyle w:val="BodyText"/>
      </w:pPr>
      <w:r>
        <w:rPr>
          <w:bCs/>
          <w:b/>
        </w:rPr>
        <w:t xml:space="preserve">Número NCT</w:t>
      </w:r>
      <w:r>
        <w:t xml:space="preserve">: El número de identificación de un estudio en el registro ClinicalTrials.gov, formado por «NCT» y ocho cifras.</w:t>
      </w:r>
    </w:p>
    <w:p>
      <w:pPr>
        <w:pStyle w:val="BodyText"/>
      </w:pPr>
      <w:r>
        <w:rPr>
          <w:bCs/>
          <w:b/>
        </w:rPr>
        <w:t xml:space="preserve">Número necesario a tratar (NNT)</w:t>
      </w:r>
      <w:r>
        <w:t xml:space="preserve">: El número de personas que deben recibir un tratamiento durante un tiempo determinado para que una persona evite un acontecimiento. Se calcula a partir de la reducción absoluta del riesgo.</w:t>
      </w:r>
    </w:p>
    <w:bookmarkEnd w:id="2987"/>
    <w:bookmarkStart w:id="2988" w:name="o"/>
    <w:p>
      <w:pPr>
        <w:pStyle w:val="Heading3"/>
      </w:pPr>
      <w:r>
        <w:t xml:space="preserve">O</w:t>
      </w:r>
    </w:p>
    <w:p>
      <w:pPr>
        <w:pStyle w:val="FirstParagraph"/>
      </w:pPr>
      <w:r>
        <w:rPr>
          <w:bCs/>
          <w:b/>
        </w:rPr>
        <w:t xml:space="preserve">Obesidad</w:t>
      </w:r>
      <w:r>
        <w:t xml:space="preserve">: Sobrepeso patológico, definido por lo general como un índice de masa corporal de 30 o más. Se considera una enfermedad crónica con un riesgo aumentado de diabetes, enfermedades cardiovasculares y articulares.</w:t>
      </w:r>
    </w:p>
    <w:p>
      <w:pPr>
        <w:pStyle w:val="BodyText"/>
      </w:pPr>
      <w:r>
        <w:rPr>
          <w:bCs/>
          <w:b/>
        </w:rPr>
        <w:t xml:space="preserve">Off-label (uso fuera de indicación)</w:t>
      </w:r>
      <w:r>
        <w:t xml:space="preserve">: El uso de un medicamento autorizado fuera de las indicaciones, posologías o grupos de personas autorizados.</w:t>
      </w:r>
    </w:p>
    <w:p>
      <w:pPr>
        <w:pStyle w:val="BodyText"/>
      </w:pPr>
      <w:r>
        <w:rPr>
          <w:bCs/>
          <w:b/>
        </w:rPr>
        <w:t xml:space="preserve">Oligopéptido</w:t>
      </w:r>
      <w:r>
        <w:t xml:space="preserve">: Un péptido corto de aproximadamente dos a diez aminoácidos.</w:t>
      </w:r>
    </w:p>
    <w:bookmarkEnd w:id="2988"/>
    <w:bookmarkStart w:id="2989" w:name="p"/>
    <w:p>
      <w:pPr>
        <w:pStyle w:val="Heading3"/>
      </w:pPr>
      <w:r>
        <w:t xml:space="preserve">P</w:t>
      </w:r>
    </w:p>
    <w:p>
      <w:pPr>
        <w:pStyle w:val="FirstParagraph"/>
      </w:pPr>
      <w:r>
        <w:rPr>
          <w:bCs/>
          <w:b/>
        </w:rPr>
        <w:t xml:space="preserve">Pancreatitis</w:t>
      </w:r>
      <w:r>
        <w:t xml:space="preserve">: Inflamación del páncreas. Se discute como posible efecto adverso raro de los medicamentos GLP-1.</w:t>
      </w:r>
    </w:p>
    <w:p>
      <w:pPr>
        <w:pStyle w:val="BodyText"/>
      </w:pPr>
      <w:r>
        <w:rPr>
          <w:bCs/>
          <w:b/>
        </w:rPr>
        <w:t xml:space="preserve">Péptido</w:t>
      </w:r>
      <w:r>
        <w:t xml:space="preserve">: Una cadena de aminoácidos unidos por enlaces peptídicos. A partir de unos 50 aminoácidos se suele hablar de proteína.</w:t>
      </w:r>
    </w:p>
    <w:p>
      <w:pPr>
        <w:pStyle w:val="BodyText"/>
      </w:pPr>
      <w:r>
        <w:rPr>
          <w:bCs/>
          <w:b/>
        </w:rPr>
        <w:t xml:space="preserve">Péptido cíclico</w:t>
      </w:r>
      <w:r>
        <w:t xml:space="preserve">: Un péptido cuya cadena está cerrada en forma de anillo. Las estructuras en anillo suelen hacer los péptidos más estables frente a las enzimas.</w:t>
      </w:r>
    </w:p>
    <w:p>
      <w:pPr>
        <w:pStyle w:val="BodyText"/>
      </w:pPr>
      <w:r>
        <w:rPr>
          <w:bCs/>
          <w:b/>
        </w:rPr>
        <w:t xml:space="preserve">Péptidos antimicrobianos</w:t>
      </w:r>
      <w:r>
        <w:t xml:space="preserve">: Péptidos endógenos que forman parte de la defensa inmunitaria innata y pueden dañar bacterias, hongos o virus. Un ejemplo es el LL-37.</w:t>
      </w:r>
    </w:p>
    <w:p>
      <w:pPr>
        <w:pStyle w:val="BodyText"/>
      </w:pPr>
      <w:r>
        <w:rPr>
          <w:bCs/>
          <w:b/>
        </w:rPr>
        <w:t xml:space="preserve">Pirámide de la evidencia</w:t>
      </w:r>
      <w:r>
        <w:t xml:space="preserve">: Una clasificación de los tipos de estudio según su valor probatorio, desde los estudios de laboratorio y con animales en la base hasta los metaanálisis de estudios aleatorizados en la cúspide.</w:t>
      </w:r>
    </w:p>
    <w:p>
      <w:pPr>
        <w:pStyle w:val="BodyText"/>
      </w:pPr>
      <w:r>
        <w:rPr>
          <w:bCs/>
          <w:b/>
        </w:rPr>
        <w:t xml:space="preserve">Placebo</w:t>
      </w:r>
      <w:r>
        <w:t xml:space="preserve">: Un preparado simulado sin principio activo que se utiliza en los estudios como comparación.</w:t>
      </w:r>
    </w:p>
    <w:p>
      <w:pPr>
        <w:pStyle w:val="BodyText"/>
      </w:pPr>
      <w:r>
        <w:rPr>
          <w:bCs/>
          <w:b/>
        </w:rPr>
        <w:t xml:space="preserve">PMID</w:t>
      </w:r>
      <w:r>
        <w:t xml:space="preserve">: El número de identificación de PubMed, un número único para cada entrada de la base de datos bibliográfica PubMed.</w:t>
      </w:r>
    </w:p>
    <w:p>
      <w:pPr>
        <w:pStyle w:val="BodyText"/>
      </w:pPr>
      <w:r>
        <w:rPr>
          <w:bCs/>
          <w:b/>
        </w:rPr>
        <w:t xml:space="preserve">Polipéptido</w:t>
      </w:r>
      <w:r>
        <w:t xml:space="preserve">: Una cadena peptídica más larga, por lo general de más de diez aminoácidos.</w:t>
      </w:r>
    </w:p>
    <w:p>
      <w:pPr>
        <w:pStyle w:val="BodyText"/>
      </w:pPr>
      <w:r>
        <w:rPr>
          <w:bCs/>
          <w:b/>
        </w:rPr>
        <w:t xml:space="preserve">Preprint</w:t>
      </w:r>
      <w:r>
        <w:t xml:space="preserve">: Un trabajo científico que se hace público antes de la revisión por expertos.</w:t>
      </w:r>
    </w:p>
    <w:p>
      <w:pPr>
        <w:pStyle w:val="BodyText"/>
      </w:pPr>
      <w:r>
        <w:rPr>
          <w:bCs/>
          <w:b/>
        </w:rPr>
        <w:t xml:space="preserve">Producto cosmético</w:t>
      </w:r>
      <w:r>
        <w:t xml:space="preserve">: Un producto de aplicación externa que limpia, cuida, protege o modifica el aspecto. No puede atribuirse ningún efecto medicinal y en la UE no necesita autorización.</w:t>
      </w:r>
    </w:p>
    <w:p>
      <w:pPr>
        <w:pStyle w:val="BodyText"/>
      </w:pPr>
      <w:r>
        <w:rPr>
          <w:bCs/>
          <w:b/>
        </w:rPr>
        <w:t xml:space="preserve">Proteasa</w:t>
      </w:r>
      <w:r>
        <w:t xml:space="preserve">: Una enzima que escinde los enlaces peptídicos y degrada así las proteínas y los péptidos. También se denomina peptidasa.</w:t>
      </w:r>
    </w:p>
    <w:p>
      <w:pPr>
        <w:pStyle w:val="BodyText"/>
      </w:pPr>
      <w:r>
        <w:rPr>
          <w:bCs/>
          <w:b/>
        </w:rPr>
        <w:t xml:space="preserve">Proteína</w:t>
      </w:r>
      <w:r>
        <w:t xml:space="preserve">: Una molécula proteica grande, por lo general de más de 50 aminoácidos, con un plegamiento espacial determinado.</w:t>
      </w:r>
    </w:p>
    <w:p>
      <w:pPr>
        <w:pStyle w:val="BodyText"/>
      </w:pPr>
      <w:r>
        <w:rPr>
          <w:bCs/>
          <w:b/>
        </w:rPr>
        <w:t xml:space="preserve">PubMed</w:t>
      </w:r>
      <w:r>
        <w:t xml:space="preserve">: Una base de datos bibliográfica de libre acceso de la National Library of Medicine de EE. UU., con millones de entradas de la investigación biomédica.</w:t>
      </w:r>
    </w:p>
    <w:bookmarkEnd w:id="2989"/>
    <w:bookmarkStart w:id="2990" w:name="r"/>
    <w:p>
      <w:pPr>
        <w:pStyle w:val="Heading3"/>
      </w:pPr>
      <w:r>
        <w:t xml:space="preserve">R</w:t>
      </w:r>
    </w:p>
    <w:p>
      <w:pPr>
        <w:pStyle w:val="FirstParagraph"/>
      </w:pPr>
      <w:r>
        <w:rPr>
          <w:bCs/>
          <w:b/>
        </w:rPr>
        <w:t xml:space="preserve">Rabdomiólisis</w:t>
      </w:r>
      <w:r>
        <w:t xml:space="preserve">: Una destrucción del tejido muscular en la que componentes del músculo pasan a la sangre y pueden dañar los riñones.</w:t>
      </w:r>
    </w:p>
    <w:p>
      <w:pPr>
        <w:pStyle w:val="BodyText"/>
      </w:pPr>
      <w:r>
        <w:rPr>
          <w:bCs/>
          <w:b/>
        </w:rPr>
        <w:t xml:space="preserve">Receptor</w:t>
      </w:r>
      <w:r>
        <w:t xml:space="preserve">: Una molécula proteica, por lo general en la superficie celular, a la que se une un mensajero y desencadena así una señal en la célula.</w:t>
      </w:r>
    </w:p>
    <w:p>
      <w:pPr>
        <w:pStyle w:val="BodyText"/>
      </w:pPr>
      <w:r>
        <w:rPr>
          <w:bCs/>
          <w:b/>
        </w:rPr>
        <w:t xml:space="preserve">Receptores de melanocortina</w:t>
      </w:r>
      <w:r>
        <w:t xml:space="preserve">: Una familia de receptores que influyen, entre otras cosas, en la pigmentación de la piel, el apetito y la función sexual. La afamelanotida, la bremelanotida, el melanotán II y la setmelanotida actúan sobre estos receptores.</w:t>
      </w:r>
    </w:p>
    <w:p>
      <w:pPr>
        <w:pStyle w:val="BodyText"/>
      </w:pPr>
      <w:r>
        <w:rPr>
          <w:bCs/>
          <w:b/>
        </w:rPr>
        <w:t xml:space="preserve">Recombinante</w:t>
      </w:r>
      <w:r>
        <w:t xml:space="preserve">: Fabricado mediante ingeniería genética, introduciendo las instrucciones de construcción de un péptido o una proteína en bacterias, levaduras u otras células.</w:t>
      </w:r>
    </w:p>
    <w:p>
      <w:pPr>
        <w:pStyle w:val="BodyText"/>
      </w:pPr>
      <w:r>
        <w:rPr>
          <w:bCs/>
          <w:b/>
        </w:rPr>
        <w:t xml:space="preserve">Reducción absoluta del riesgo</w:t>
      </w:r>
      <w:r>
        <w:t xml:space="preserve">: La diferencia en la frecuencia de un acontecimiento entre dos grupos, expresada en puntos porcentuales. Si un riesgo baja del 8 % al 6,5 %, la reducción absoluta del riesgo es de 1,5 puntos porcentuales.</w:t>
      </w:r>
    </w:p>
    <w:p>
      <w:pPr>
        <w:pStyle w:val="BodyText"/>
      </w:pPr>
      <w:r>
        <w:rPr>
          <w:bCs/>
          <w:b/>
        </w:rPr>
        <w:t xml:space="preserve">Registro de ensayos</w:t>
      </w:r>
      <w:r>
        <w:t xml:space="preserve">: Bases de datos públicas en las que los ensayos clínicos se inscriben antes de su inicio, como ClinicalTrials.gov o el registro de la UE.</w:t>
      </w:r>
    </w:p>
    <w:p>
      <w:pPr>
        <w:pStyle w:val="BodyText"/>
      </w:pPr>
      <w:r>
        <w:rPr>
          <w:bCs/>
          <w:b/>
        </w:rPr>
        <w:t xml:space="preserve">Research peptides</w:t>
      </w:r>
      <w:r>
        <w:t xml:space="preserve">: Péptidos que se venden con la indicación «solo para fines de investigación» o «no apto para uso humano», pero a menudo a particulares. No son medicamentos controlados.</w:t>
      </w:r>
    </w:p>
    <w:p>
      <w:pPr>
        <w:pStyle w:val="BodyText"/>
      </w:pPr>
      <w:r>
        <w:rPr>
          <w:bCs/>
          <w:b/>
        </w:rPr>
        <w:t xml:space="preserve">Revisión sistemática</w:t>
      </w:r>
      <w:r>
        <w:t xml:space="preserve">: Un trabajo que, según reglas establecidas, busca, evalúa y resume todos los estudios disponibles sobre una pregunta.</w:t>
      </w:r>
    </w:p>
    <w:p>
      <w:pPr>
        <w:pStyle w:val="BodyText"/>
      </w:pPr>
      <w:r>
        <w:rPr>
          <w:bCs/>
          <w:b/>
        </w:rPr>
        <w:t xml:space="preserve">Riesgo relativo</w:t>
      </w:r>
      <w:r>
        <w:t xml:space="preserve">: La relación entre la frecuencia de un acontecimiento en dos grupos. Un riesgo relativo de 0,5 significa una reducción a la mitad, con independencia de lo frecuente que sea el acontecimiento en conjunto.</w:t>
      </w:r>
    </w:p>
    <w:bookmarkEnd w:id="2990"/>
    <w:bookmarkStart w:id="2991" w:name="s"/>
    <w:p>
      <w:pPr>
        <w:pStyle w:val="Heading3"/>
      </w:pPr>
      <w:r>
        <w:t xml:space="preserve">S</w:t>
      </w:r>
    </w:p>
    <w:p>
      <w:pPr>
        <w:pStyle w:val="FirstParagraph"/>
      </w:pPr>
      <w:r>
        <w:rPr>
          <w:bCs/>
          <w:b/>
        </w:rPr>
        <w:t xml:space="preserve">Secretagogo</w:t>
      </w:r>
      <w:r>
        <w:t xml:space="preserve">: Una sustancia que estimula la secreción de otra sustancia. Los secretagogos de la hormona del crecimiento aumentan la liberación de hormona del crecimiento.</w:t>
      </w:r>
    </w:p>
    <w:p>
      <w:pPr>
        <w:pStyle w:val="BodyText"/>
      </w:pPr>
      <w:r>
        <w:rPr>
          <w:bCs/>
          <w:b/>
        </w:rPr>
        <w:t xml:space="preserve">Secuencia</w:t>
      </w:r>
      <w:r>
        <w:t xml:space="preserve">: El orden de los aminoácidos en una cadena peptídica. Determina las propiedades del péptido.</w:t>
      </w:r>
    </w:p>
    <w:p>
      <w:pPr>
        <w:pStyle w:val="BodyText"/>
      </w:pPr>
      <w:r>
        <w:rPr>
          <w:bCs/>
          <w:b/>
        </w:rPr>
        <w:t xml:space="preserve">Semivida</w:t>
      </w:r>
      <w:r>
        <w:t xml:space="preserve">: El tiempo tras el cual la mitad de un principio activo se ha degradado o eliminado del organismo. Determina en gran medida con qué frecuencia debe administrarse un medicamento.</w:t>
      </w:r>
    </w:p>
    <w:p>
      <w:pPr>
        <w:pStyle w:val="BodyText"/>
      </w:pPr>
      <w:r>
        <w:rPr>
          <w:bCs/>
          <w:b/>
        </w:rPr>
        <w:t xml:space="preserve">Sesgo de publicación</w:t>
      </w:r>
      <w:r>
        <w:t xml:space="preserve">: La distorsión de la imagen global cuando los estudios con resultados positivos se publican con más frecuencia que los que tienen resultados negativos.</w:t>
      </w:r>
    </w:p>
    <w:p>
      <w:pPr>
        <w:pStyle w:val="BodyText"/>
      </w:pPr>
      <w:r>
        <w:rPr>
          <w:bCs/>
          <w:b/>
        </w:rPr>
        <w:t xml:space="preserve">Significación (estadística)</w:t>
      </w:r>
      <w:r>
        <w:t xml:space="preserve">: La afirmación de que una diferencia observada probablemente no se ha producido solo por azar. No dice nada sobre si la diferencia es grande o relevante.</w:t>
      </w:r>
    </w:p>
    <w:p>
      <w:pPr>
        <w:pStyle w:val="BodyText"/>
      </w:pPr>
      <w:r>
        <w:rPr>
          <w:bCs/>
          <w:b/>
        </w:rPr>
        <w:t xml:space="preserve">Síntesis de péptidos en fase sólida</w:t>
      </w:r>
      <w:r>
        <w:t xml:space="preserve">: Procedimiento químico en el que una cadena peptídica se construye componente a componente sobre un material de soporte sólido. Es la base de la fabricación de la mayoría de los péptidos cortos.</w:t>
      </w:r>
    </w:p>
    <w:p>
      <w:pPr>
        <w:pStyle w:val="BodyText"/>
      </w:pPr>
      <w:r>
        <w:rPr>
          <w:bCs/>
          <w:b/>
        </w:rPr>
        <w:t xml:space="preserve">SNAC</w:t>
      </w:r>
      <w:r>
        <w:t xml:space="preserve">: Un excipiente (N-[8-(2-hidroxibenzoil)amino]caprilato de sodio) que, en el comprimido de semaglutida, hace posible la absorción del péptido en el estómago.</w:t>
      </w:r>
    </w:p>
    <w:p>
      <w:pPr>
        <w:pStyle w:val="BodyText"/>
      </w:pPr>
      <w:r>
        <w:rPr>
          <w:bCs/>
          <w:b/>
        </w:rPr>
        <w:t xml:space="preserve">Subcutáneo</w:t>
      </w:r>
      <w:r>
        <w:t xml:space="preserve">: Inyectado bajo la piel, en el tejido graso subcutáneo. Es la vía de administración más frecuente de los medicamentos peptídicos.</w:t>
      </w:r>
    </w:p>
    <w:bookmarkEnd w:id="2991"/>
    <w:bookmarkStart w:id="2992" w:name="t"/>
    <w:p>
      <w:pPr>
        <w:pStyle w:val="Heading3"/>
      </w:pPr>
      <w:r>
        <w:t xml:space="preserve">T</w:t>
      </w:r>
    </w:p>
    <w:p>
      <w:pPr>
        <w:pStyle w:val="FirstParagraph"/>
      </w:pPr>
      <w:r>
        <w:rPr>
          <w:bCs/>
          <w:b/>
        </w:rPr>
        <w:t xml:space="preserve">TUE (Therapeutic Use Exemption, autorización de uso terapéutico)</w:t>
      </w:r>
      <w:r>
        <w:t xml:space="preserve">: Una autorización médica excepcional en el deporte que permite el uso de un medicamento prohibido pero médicamente necesario.</w:t>
      </w:r>
    </w:p>
    <w:bookmarkEnd w:id="2992"/>
    <w:bookmarkStart w:id="2993" w:name="v"/>
    <w:p>
      <w:pPr>
        <w:pStyle w:val="Heading3"/>
      </w:pPr>
      <w:r>
        <w:t xml:space="preserve">V</w:t>
      </w:r>
    </w:p>
    <w:p>
      <w:pPr>
        <w:pStyle w:val="FirstParagraph"/>
      </w:pPr>
      <w:r>
        <w:rPr>
          <w:bCs/>
          <w:b/>
        </w:rPr>
        <w:t xml:space="preserve">Valor p</w:t>
      </w:r>
      <w:r>
        <w:t xml:space="preserve">: Una medida estadística de lo probable que sería una diferencia al menos igual de grande si en realidad no hubiera ningún efecto. Los valores inferiores a 0,05 se consideran habitualmente estadísticamente significativos.</w:t>
      </w:r>
    </w:p>
    <w:p>
      <w:pPr>
        <w:pStyle w:val="BodyText"/>
      </w:pPr>
      <w:r>
        <w:rPr>
          <w:bCs/>
          <w:b/>
        </w:rPr>
        <w:t xml:space="preserve">Variable de resultado</w:t>
      </w:r>
      <w:r>
        <w:t xml:space="preserve">: La característica con la que se mide en un estudio el éxito de un tratamiento, por ejemplo la pérdida de peso, la glucemia o los infartos. La más importante se fija antes del inicio del estudio como variable principal.</w:t>
      </w:r>
    </w:p>
    <w:p>
      <w:pPr>
        <w:pStyle w:val="BodyText"/>
      </w:pPr>
      <w:r>
        <w:rPr>
          <w:bCs/>
          <w:b/>
        </w:rPr>
        <w:t xml:space="preserve">Variable dura</w:t>
      </w:r>
      <w:r>
        <w:t xml:space="preserve">: Un resultado de un estudio que importa directamente a los pacientes, como la muerte, el infarto de miocardio, el ictus o la fractura ósea.</w:t>
      </w:r>
    </w:p>
    <w:p>
      <w:pPr>
        <w:pStyle w:val="BodyText"/>
      </w:pPr>
      <w:r>
        <w:rPr>
          <w:bCs/>
          <w:b/>
        </w:rPr>
        <w:t xml:space="preserve">Variable subrogada</w:t>
      </w:r>
      <w:r>
        <w:t xml:space="preserve">: Un valor medido que se utiliza en representación de un acontecimiento clínicamente relevante, por ejemplo la glucemia en lugar del infarto. Las mejoras de una variable subrogada no implican automáticamente un beneficio para los pacientes.</w:t>
      </w:r>
    </w:p>
    <w:bookmarkEnd w:id="2993"/>
    <w:bookmarkStart w:id="2994" w:name="w"/>
    <w:p>
      <w:pPr>
        <w:pStyle w:val="Heading3"/>
      </w:pPr>
      <w:r>
        <w:t xml:space="preserve">W</w:t>
      </w:r>
    </w:p>
    <w:p>
      <w:pPr>
        <w:pStyle w:val="FirstParagraph"/>
      </w:pPr>
      <w:r>
        <w:rPr>
          <w:bCs/>
          <w:b/>
        </w:rPr>
        <w:t xml:space="preserve">WADA (Agencia Mundial Antidopaje)</w:t>
      </w:r>
      <w:r>
        <w:t xml:space="preserve">: La organización internacional que publica cada año la lista de sustancias y métodos prohibidos en el deporte.</w:t>
      </w:r>
    </w:p>
    <w:bookmarkEnd w:id="2994"/>
    <w:bookmarkEnd w:id="2995"/>
    <w:bookmarkStart w:id="3011" w:name="metodología"/>
    <w:p>
      <w:pPr>
        <w:pStyle w:val="Heading1"/>
      </w:pPr>
      <w:r>
        <w:t xml:space="preserve">Metodología</w:t>
      </w:r>
    </w:p>
    <w:p>
      <w:pPr>
        <w:pStyle w:val="FirstParagraph"/>
      </w:pPr>
      <w:r>
        <w:t xml:space="preserve">Este anexo describe cómo se buscaron, seleccionaron y revisaron los estudios para este libro. Debe permitirte comprender la investigación y, si es necesario, repetirla o actualizarla tú mismo.</w:t>
      </w:r>
    </w:p>
    <w:bookmarkStart w:id="2996" w:name="bases-de-datos"/>
    <w:p>
      <w:pPr>
        <w:pStyle w:val="Heading3"/>
      </w:pPr>
      <w:r>
        <w:t xml:space="preserve">Bases de datos</w:t>
      </w:r>
    </w:p>
    <w:p>
      <w:pPr>
        <w:pStyle w:val="FirstParagraph"/>
      </w:pPr>
      <w:r>
        <w:t xml:space="preserve">La investigación se basa en dos bases de datos de libre acceso:</w:t>
      </w:r>
    </w:p>
    <w:p>
      <w:pPr>
        <w:numPr>
          <w:ilvl w:val="0"/>
          <w:numId w:val="1373"/>
        </w:numPr>
        <w:pStyle w:val="Compact"/>
      </w:pPr>
      <w:r>
        <w:rPr>
          <w:bCs/>
          <w:b/>
        </w:rPr>
        <w:t xml:space="preserve">PubMed</w:t>
      </w:r>
      <w:r>
        <w:t xml:space="preserve"> </w:t>
      </w:r>
      <w:r>
        <w:t xml:space="preserve">(pubmed.ncbi.nlm.nih.gov), la base de datos bibliográfica de la National Library of Medicine de EE. UU. Recoge publicaciones de revistas biomédicas especializadas con título, autores, resumen (abstract) y descriptores. Cada entrada tiene un número único, el PMID.</w:t>
      </w:r>
    </w:p>
    <w:p>
      <w:pPr>
        <w:numPr>
          <w:ilvl w:val="0"/>
          <w:numId w:val="1373"/>
        </w:numPr>
        <w:pStyle w:val="Compact"/>
      </w:pPr>
      <w:r>
        <w:rPr>
          <w:bCs/>
          <w:b/>
        </w:rPr>
        <w:t xml:space="preserve">ClinicalTrials.gov</w:t>
      </w:r>
      <w:r>
        <w:t xml:space="preserve"> </w:t>
      </w:r>
      <w:r>
        <w:t xml:space="preserve">(clinicaltrials.gov), el registro de ensayos de los National Institutes of Health de EE. UU. En él se registran ensayos clínicos de todo el mundo antes de su inicio, con su diseño, el número previsto de participantes, las variables y el estado. Cada estudio tiene un número NCT.</w:t>
      </w:r>
    </w:p>
    <w:p>
      <w:pPr>
        <w:pStyle w:val="FirstParagraph"/>
      </w:pPr>
      <w:r>
        <w:t xml:space="preserve">Ambas bases de datos se consultaron a través de sus interfaces de programación oficiales y de acceso público: PubMed mediante las E-Utilities del National Center for Biotechnology Information, y ClinicalTrials.gov mediante la interfaz de programación en su versión 2. Otras bases de datos como Embase, Cochrane Library, Web of Science, el registro de ensayos de la UE o los registros nacionales no se consultaron de forma sistemática.</w:t>
      </w:r>
    </w:p>
    <w:bookmarkEnd w:id="2996"/>
    <w:bookmarkStart w:id="2997" w:name="periodo-de-consulta"/>
    <w:p>
      <w:pPr>
        <w:pStyle w:val="Heading3"/>
      </w:pPr>
      <w:r>
        <w:t xml:space="preserve">Periodo de consulta</w:t>
      </w:r>
    </w:p>
    <w:p>
      <w:pPr>
        <w:pStyle w:val="FirstParagraph"/>
      </w:pPr>
      <w:r>
        <w:t xml:space="preserve">Las consultas sistemáticas se realizaron en</w:t>
      </w:r>
      <w:r>
        <w:t xml:space="preserve"> </w:t>
      </w:r>
      <w:r>
        <w:rPr>
          <w:bCs/>
          <w:b/>
        </w:rPr>
        <w:t xml:space="preserve">octubre de 2026</w:t>
      </w:r>
      <w:r>
        <w:t xml:space="preserve">; el recuento de resultados para todos los péptidos es del 28 de octubre de 2026. En el mismo periodo se realizaron búsquedas complementarias específicas sobre estudios concretos, casos clínicos y revisiones. Los estudios publicados con posterioridad no se han tenido en cuenta. La situación del libro corresponde a noviembre de 2026.</w:t>
      </w:r>
    </w:p>
    <w:bookmarkEnd w:id="2997"/>
    <w:bookmarkStart w:id="2998" w:name="estrategia-de-búsqueda"/>
    <w:p>
      <w:pPr>
        <w:pStyle w:val="Heading3"/>
      </w:pPr>
      <w:r>
        <w:t xml:space="preserve">Estrategia de búsqueda</w:t>
      </w:r>
    </w:p>
    <w:p>
      <w:pPr>
        <w:pStyle w:val="FirstParagraph"/>
      </w:pPr>
      <w:r>
        <w:t xml:space="preserve">Para cada uno de los 58 péptidos y sustancias de comparación se estableció un término de búsqueda propio en PubMed. Incluye la denominación común internacional del principio activo y las denominaciones abreviadas, de código y comerciales habituales, y busca en el título y el resumen (etiqueta</w:t>
      </w:r>
      <w:r>
        <w:t xml:space="preserve"> </w:t>
      </w:r>
      <w:r>
        <w:rPr>
          <w:rStyle w:val="VerbatimChar"/>
        </w:rPr>
        <w:t xml:space="preserve">[tiab]</w:t>
      </w:r>
      <w:r>
        <w:t xml:space="preserve">) o solo en el título (</w:t>
      </w:r>
      <w:r>
        <w:rPr>
          <w:rStyle w:val="VerbatimChar"/>
        </w:rPr>
        <w:t xml:space="preserve">[ti]</w:t>
      </w:r>
      <w:r>
        <w:t xml:space="preserve">). En los términos ambiguos, la búsqueda se restringió, por ejemplo en los péptidos de colágeno a trabajos sobre su ingesta o en la kisspeptina a trabajos sobre la administración del péptido.</w:t>
      </w:r>
    </w:p>
    <w:p>
      <w:pPr>
        <w:pStyle w:val="BodyText"/>
      </w:pPr>
      <w:r>
        <w:t xml:space="preserve">A este término de búsqueda se aplicaron tres filtros:</w:t>
      </w:r>
    </w:p>
    <w:p>
      <w:pPr>
        <w:pStyle w:val="BodyText"/>
      </w:pPr>
      <w:r>
        <w:rPr>
          <w:bCs/>
          <w:b/>
        </w:rPr>
        <w:t xml:space="preserve">Estudios en humanos.</w:t>
      </w:r>
      <w:r>
        <w:t xml:space="preserve"> </w:t>
      </w:r>
      <w:r>
        <w:t xml:space="preserve">Para encontrar ensayos clínicos en humanos, el término de búsqueda se combinó con el siguiente filtro:</w:t>
      </w:r>
    </w:p>
    <w:p>
      <w:pPr>
        <w:pStyle w:val="BodyText"/>
      </w:pPr>
      <w:r>
        <w:rPr>
          <w:rStyle w:val="VerbatimChar"/>
        </w:rPr>
        <w:t xml:space="preserve">(clinical trial[pt] OR randomized controlled trial[pt]) AND humans[mh]</w:t>
      </w:r>
    </w:p>
    <w:p>
      <w:pPr>
        <w:pStyle w:val="BodyText"/>
      </w:pPr>
      <w:r>
        <w:t xml:space="preserve">La parte</w:t>
      </w:r>
      <w:r>
        <w:t xml:space="preserve"> </w:t>
      </w:r>
      <w:r>
        <w:rPr>
          <w:rStyle w:val="VerbatimChar"/>
        </w:rPr>
        <w:t xml:space="preserve">[pt]</w:t>
      </w:r>
      <w:r>
        <w:t xml:space="preserve"> </w:t>
      </w:r>
      <w:r>
        <w:t xml:space="preserve">busca por el tipo de publicación que PubMed asigna a cada artículo;</w:t>
      </w:r>
      <w:r>
        <w:t xml:space="preserve"> </w:t>
      </w:r>
      <w:r>
        <w:rPr>
          <w:rStyle w:val="VerbatimChar"/>
        </w:rPr>
        <w:t xml:space="preserve">humans[mh]</w:t>
      </w:r>
      <w:r>
        <w:t xml:space="preserve"> </w:t>
      </w:r>
      <w:r>
        <w:t xml:space="preserve">corresponde al descriptor «seres humanos» del sistema de descriptores MeSH. Así se encuentran los artículos identificados como ensayo clínico o como ensayo controlado aleatorizado que se refieren a seres humanos.</w:t>
      </w:r>
    </w:p>
    <w:p>
      <w:pPr>
        <w:pStyle w:val="BodyText"/>
      </w:pPr>
      <w:r>
        <w:rPr>
          <w:bCs/>
          <w:b/>
        </w:rPr>
        <w:t xml:space="preserve">Metaanálisis y revisiones.</w:t>
      </w:r>
      <w:r>
        <w:t xml:space="preserve"> </w:t>
      </w:r>
      <w:r>
        <w:t xml:space="preserve">Para los trabajos de síntesis, el término de búsqueda se combinó con este filtro:</w:t>
      </w:r>
    </w:p>
    <w:p>
      <w:pPr>
        <w:pStyle w:val="BodyText"/>
      </w:pPr>
      <w:r>
        <w:rPr>
          <w:rStyle w:val="VerbatimChar"/>
        </w:rPr>
        <w:t xml:space="preserve">(meta-analysis[pt] OR systematic review[pt])</w:t>
      </w:r>
    </w:p>
    <w:p>
      <w:pPr>
        <w:pStyle w:val="BodyText"/>
      </w:pPr>
      <w:r>
        <w:rPr>
          <w:bCs/>
          <w:b/>
        </w:rPr>
        <w:t xml:space="preserve">Estudios preclínicos.</w:t>
      </w:r>
      <w:r>
        <w:t xml:space="preserve"> </w:t>
      </w:r>
      <w:r>
        <w:t xml:space="preserve">En los péptidos con menos de 25 estudios en humanos encontrados se analizaron además los demás trabajos más relevantes sin el filtro de estudios en humanos, para recoger estudios con animales y de laboratorio, casos clínicos y análisis de productos del mercado gris.</w:t>
      </w:r>
    </w:p>
    <w:p>
      <w:pPr>
        <w:pStyle w:val="BodyText"/>
      </w:pPr>
      <w:r>
        <w:rPr>
          <w:bCs/>
          <w:b/>
        </w:rPr>
        <w:t xml:space="preserve">Estudios registrados.</w:t>
      </w:r>
      <w:r>
        <w:t xml:space="preserve"> </w:t>
      </w:r>
      <w:r>
        <w:t xml:space="preserve">En ClinicalTrials.gov se utilizó para cada péptido un término de búsqueda propio, por lo general sencillo, con el nombre del principio activo. Se recogieron todas las entradas con independencia de su estado y de la fase del estudio.</w:t>
      </w:r>
    </w:p>
    <w:p>
      <w:pPr>
        <w:pStyle w:val="BodyText"/>
      </w:pPr>
      <w:r>
        <w:t xml:space="preserve">Además de estas búsquedas automatizadas, para cada capítulo se buscaron específicamente los estudios de autorización y de resultados más importantes, los grandes metaanálisis, los programas de estudios (por ejemplo STEP, SURMOUNT o SELECT), los datos de seguridad, los casos clínicos y los análisis de laboratorio de productos del mercado gris. Para la Parte I se investigaron además trabajos sobre la historia de la medicina de los péptidos, las formas de administración, la metodología de los estudios y el mercado gris.</w:t>
      </w:r>
    </w:p>
    <w:bookmarkEnd w:id="2998"/>
    <w:bookmarkStart w:id="3005" w:name="términos-de-búsqueda-por-péptido"/>
    <w:p>
      <w:pPr>
        <w:pStyle w:val="Heading3"/>
      </w:pPr>
      <w:r>
        <w:t xml:space="preserve">Términos de búsqueda por péptido</w:t>
      </w:r>
    </w:p>
    <w:p>
      <w:pPr>
        <w:pStyle w:val="FirstParagraph"/>
      </w:pPr>
      <w:r>
        <w:t xml:space="preserve">Las siguientes tablas recogen los términos de búsqueda de PubMed utilizados para la consulta sistemática. A cada término se le añadieron los filtros descritos más arriba. Un asterisco al final de una palabra representa cualquier terminación,</w:t>
      </w:r>
      <w:r>
        <w:t xml:space="preserve"> </w:t>
      </w:r>
      <w:r>
        <w:rPr>
          <w:rStyle w:val="VerbatimChar"/>
        </w:rPr>
        <w:t xml:space="preserve">OR</w:t>
      </w:r>
      <w:r>
        <w:t xml:space="preserve"> </w:t>
      </w:r>
      <w:r>
        <w:t xml:space="preserve">une denominaciones alternativas y</w:t>
      </w:r>
      <w:r>
        <w:t xml:space="preserve"> </w:t>
      </w:r>
      <w:r>
        <w:rPr>
          <w:rStyle w:val="VerbatimChar"/>
        </w:rPr>
        <w:t xml:space="preserve">AND</w:t>
      </w:r>
      <w:r>
        <w:t xml:space="preserve"> </w:t>
      </w:r>
      <w:r>
        <w:t xml:space="preserve">restringe la búsqueda.</w:t>
      </w:r>
    </w:p>
    <w:bookmarkStart w:id="2999" w:name="a.-metabolismo-y-peso-1"/>
    <w:p>
      <w:pPr>
        <w:pStyle w:val="Heading4"/>
      </w:pPr>
      <w:r>
        <w:t xml:space="preserve">A. Metabolismo y peso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Exenatida</w:t>
            </w:r>
          </w:p>
        </w:tc>
        <w:tc>
          <w:tcPr/>
          <w:p>
            <w:pPr>
              <w:pStyle w:val="Compact"/>
              <w:jc w:val="left"/>
            </w:pPr>
            <w:r>
              <w:rPr>
                <w:rStyle w:val="VerbatimChar"/>
              </w:rPr>
              <w:t xml:space="preserve">exenatide[tiab]</w:t>
            </w:r>
          </w:p>
        </w:tc>
      </w:tr>
      <w:tr>
        <w:tc>
          <w:tcPr/>
          <w:p>
            <w:pPr>
              <w:pStyle w:val="Compact"/>
              <w:jc w:val="left"/>
            </w:pPr>
            <w:r>
              <w:t xml:space="preserve">Liraglutida</w:t>
            </w:r>
          </w:p>
        </w:tc>
        <w:tc>
          <w:tcPr/>
          <w:p>
            <w:pPr>
              <w:pStyle w:val="Compact"/>
              <w:jc w:val="left"/>
            </w:pPr>
            <w:r>
              <w:rPr>
                <w:rStyle w:val="VerbatimChar"/>
              </w:rPr>
              <w:t xml:space="preserve">liraglutide[tiab]</w:t>
            </w:r>
          </w:p>
        </w:tc>
      </w:tr>
      <w:tr>
        <w:tc>
          <w:tcPr/>
          <w:p>
            <w:pPr>
              <w:pStyle w:val="Compact"/>
              <w:jc w:val="left"/>
            </w:pPr>
            <w:r>
              <w:t xml:space="preserve">Dulaglutida</w:t>
            </w:r>
          </w:p>
        </w:tc>
        <w:tc>
          <w:tcPr/>
          <w:p>
            <w:pPr>
              <w:pStyle w:val="Compact"/>
              <w:jc w:val="left"/>
            </w:pPr>
            <w:r>
              <w:rPr>
                <w:rStyle w:val="VerbatimChar"/>
              </w:rPr>
              <w:t xml:space="preserve">dulaglutide[tiab]</w:t>
            </w:r>
          </w:p>
        </w:tc>
      </w:tr>
      <w:tr>
        <w:tc>
          <w:tcPr/>
          <w:p>
            <w:pPr>
              <w:pStyle w:val="Compact"/>
              <w:jc w:val="left"/>
            </w:pPr>
            <w:r>
              <w:t xml:space="preserve">Semaglutida</w:t>
            </w:r>
          </w:p>
        </w:tc>
        <w:tc>
          <w:tcPr/>
          <w:p>
            <w:pPr>
              <w:pStyle w:val="Compact"/>
              <w:jc w:val="left"/>
            </w:pPr>
            <w:r>
              <w:rPr>
                <w:rStyle w:val="VerbatimChar"/>
              </w:rPr>
              <w:t xml:space="preserve">semaglutide[tiab]</w:t>
            </w:r>
          </w:p>
        </w:tc>
      </w:tr>
      <w:tr>
        <w:tc>
          <w:tcPr/>
          <w:p>
            <w:pPr>
              <w:pStyle w:val="Compact"/>
              <w:jc w:val="left"/>
            </w:pPr>
            <w:r>
              <w:t xml:space="preserve">Tirzepatida</w:t>
            </w:r>
          </w:p>
        </w:tc>
        <w:tc>
          <w:tcPr/>
          <w:p>
            <w:pPr>
              <w:pStyle w:val="Compact"/>
              <w:jc w:val="left"/>
            </w:pPr>
            <w:r>
              <w:rPr>
                <w:rStyle w:val="VerbatimChar"/>
              </w:rPr>
              <w:t xml:space="preserve">tirzepatide[tiab]</w:t>
            </w:r>
          </w:p>
        </w:tc>
      </w:tr>
      <w:tr>
        <w:tc>
          <w:tcPr/>
          <w:p>
            <w:pPr>
              <w:pStyle w:val="Compact"/>
              <w:jc w:val="left"/>
            </w:pPr>
            <w:r>
              <w:t xml:space="preserve">Retatrutida</w:t>
            </w:r>
          </w:p>
        </w:tc>
        <w:tc>
          <w:tcPr/>
          <w:p>
            <w:pPr>
              <w:pStyle w:val="Compact"/>
              <w:jc w:val="left"/>
            </w:pPr>
            <w:r>
              <w:rPr>
                <w:rStyle w:val="VerbatimChar"/>
              </w:rPr>
              <w:t xml:space="preserve">retatrutide[tiab]</w:t>
            </w:r>
          </w:p>
        </w:tc>
      </w:tr>
      <w:tr>
        <w:tc>
          <w:tcPr/>
          <w:p>
            <w:pPr>
              <w:pStyle w:val="Compact"/>
              <w:jc w:val="left"/>
            </w:pPr>
            <w:r>
              <w:t xml:space="preserve">Survodutida</w:t>
            </w:r>
          </w:p>
        </w:tc>
        <w:tc>
          <w:tcPr/>
          <w:p>
            <w:pPr>
              <w:pStyle w:val="Compact"/>
              <w:jc w:val="left"/>
            </w:pPr>
            <w:r>
              <w:rPr>
                <w:rStyle w:val="VerbatimChar"/>
              </w:rPr>
              <w:t xml:space="preserve">survodutide[tiab]</w:t>
            </w:r>
          </w:p>
        </w:tc>
      </w:tr>
      <w:tr>
        <w:tc>
          <w:tcPr/>
          <w:p>
            <w:pPr>
              <w:pStyle w:val="Compact"/>
              <w:jc w:val="left"/>
            </w:pPr>
            <w:r>
              <w:t xml:space="preserve">Mazdutida</w:t>
            </w:r>
          </w:p>
        </w:tc>
        <w:tc>
          <w:tcPr/>
          <w:p>
            <w:pPr>
              <w:pStyle w:val="Compact"/>
              <w:jc w:val="left"/>
            </w:pPr>
            <w:r>
              <w:rPr>
                <w:rStyle w:val="VerbatimChar"/>
              </w:rPr>
              <w:t xml:space="preserve">mazdutide[tiab]</w:t>
            </w:r>
          </w:p>
        </w:tc>
      </w:tr>
      <w:tr>
        <w:tc>
          <w:tcPr/>
          <w:p>
            <w:pPr>
              <w:pStyle w:val="Compact"/>
              <w:jc w:val="left"/>
            </w:pPr>
            <w:r>
              <w:t xml:space="preserve">Cagrilintida o CagriSema</w:t>
            </w:r>
          </w:p>
        </w:tc>
        <w:tc>
          <w:tcPr/>
          <w:p>
            <w:pPr>
              <w:pStyle w:val="Compact"/>
              <w:jc w:val="left"/>
            </w:pPr>
            <w:r>
              <w:rPr>
                <w:rStyle w:val="VerbatimChar"/>
              </w:rPr>
              <w:t xml:space="preserve">cagrilintide[tiab]</w:t>
            </w:r>
          </w:p>
        </w:tc>
      </w:tr>
      <w:tr>
        <w:tc>
          <w:tcPr/>
          <w:p>
            <w:pPr>
              <w:pStyle w:val="Compact"/>
              <w:jc w:val="left"/>
            </w:pPr>
            <w:r>
              <w:t xml:space="preserve">Amicretina</w:t>
            </w:r>
          </w:p>
        </w:tc>
        <w:tc>
          <w:tcPr/>
          <w:p>
            <w:pPr>
              <w:pStyle w:val="Compact"/>
              <w:jc w:val="left"/>
            </w:pPr>
            <w:r>
              <w:rPr>
                <w:rStyle w:val="VerbatimChar"/>
              </w:rPr>
              <w:t xml:space="preserve">amycretin[tiab]</w:t>
            </w:r>
          </w:p>
        </w:tc>
      </w:tr>
      <w:tr>
        <w:tc>
          <w:tcPr/>
          <w:p>
            <w:pPr>
              <w:pStyle w:val="Compact"/>
              <w:jc w:val="left"/>
            </w:pPr>
            <w:r>
              <w:t xml:space="preserve">Maridebart cafraglutida (MariTide)</w:t>
            </w:r>
          </w:p>
        </w:tc>
        <w:tc>
          <w:tcPr/>
          <w:p>
            <w:pPr>
              <w:pStyle w:val="Compact"/>
              <w:jc w:val="left"/>
            </w:pPr>
            <w:r>
              <w:rPr>
                <w:rStyle w:val="VerbatimChar"/>
              </w:rPr>
              <w:t xml:space="preserve">maridebart[tiab] OR AMG 133[tiab]</w:t>
            </w:r>
          </w:p>
        </w:tc>
      </w:tr>
      <w:tr>
        <w:tc>
          <w:tcPr/>
          <w:p>
            <w:pPr>
              <w:pStyle w:val="Compact"/>
              <w:jc w:val="left"/>
            </w:pPr>
            <w:r>
              <w:t xml:space="preserve">Pramlintida</w:t>
            </w:r>
          </w:p>
        </w:tc>
        <w:tc>
          <w:tcPr/>
          <w:p>
            <w:pPr>
              <w:pStyle w:val="Compact"/>
              <w:jc w:val="left"/>
            </w:pPr>
            <w:r>
              <w:rPr>
                <w:rStyle w:val="VerbatimChar"/>
              </w:rPr>
              <w:t xml:space="preserve">pramlintide[tiab]</w:t>
            </w:r>
          </w:p>
        </w:tc>
      </w:tr>
      <w:tr>
        <w:tc>
          <w:tcPr/>
          <w:p>
            <w:pPr>
              <w:pStyle w:val="Compact"/>
              <w:jc w:val="left"/>
            </w:pPr>
            <w:r>
              <w:t xml:space="preserve">Setmelanotida</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(comparación)</w:t>
            </w:r>
          </w:p>
        </w:tc>
        <w:tc>
          <w:tcPr/>
          <w:p>
            <w:pPr>
              <w:pStyle w:val="Compact"/>
              <w:jc w:val="left"/>
            </w:pPr>
            <w:r>
              <w:rPr>
                <w:rStyle w:val="VerbatimChar"/>
              </w:rPr>
              <w:t xml:space="preserve">orforglipron[tiab]</w:t>
            </w:r>
          </w:p>
        </w:tc>
      </w:tr>
    </w:tbl>
    <w:bookmarkEnd w:id="2999"/>
    <w:bookmarkStart w:id="3000" w:name="X3b8bc0c110d11438a6373a26bcd0e351f8a8826"/>
    <w:p>
      <w:pPr>
        <w:pStyle w:val="Heading4"/>
      </w:pPr>
      <w:r>
        <w:t xml:space="preserve">B. Curación, regeneración y sistema inmunitario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 timosina beta 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Timosina alfa 1 (timalfasina)</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(cibinetida)</w:t>
            </w:r>
          </w:p>
        </w:tc>
        <w:tc>
          <w:tcPr/>
          <w:p>
            <w:pPr>
              <w:pStyle w:val="Compact"/>
              <w:jc w:val="left"/>
            </w:pPr>
            <w:r>
              <w:rPr>
                <w:rStyle w:val="VerbatimChar"/>
              </w:rPr>
              <w:t xml:space="preserve">ARA 290[tiab] OR ARA290[tiab] OR cibinetide[tiab]</w:t>
            </w:r>
          </w:p>
        </w:tc>
      </w:tr>
      <w:tr>
        <w:tc>
          <w:tcPr/>
          <w:p>
            <w:pPr>
              <w:pStyle w:val="Compact"/>
              <w:jc w:val="left"/>
            </w:pPr>
            <w:r>
              <w:t xml:space="preserve">Larazotida</w:t>
            </w:r>
          </w:p>
        </w:tc>
        <w:tc>
          <w:tcPr/>
          <w:p>
            <w:pPr>
              <w:pStyle w:val="Compact"/>
              <w:jc w:val="left"/>
            </w:pPr>
            <w:r>
              <w:rPr>
                <w:rStyle w:val="VerbatimChar"/>
              </w:rPr>
              <w:t xml:space="preserve">larazotide[tiab]</w:t>
            </w:r>
          </w:p>
        </w:tc>
      </w:tr>
      <w:tr>
        <w:tc>
          <w:tcPr/>
          <w:p>
            <w:pPr>
              <w:pStyle w:val="Compact"/>
              <w:jc w:val="left"/>
            </w:pPr>
            <w:r>
              <w:t xml:space="preserve">Timalina o timógeno</w:t>
            </w:r>
          </w:p>
        </w:tc>
        <w:tc>
          <w:tcPr/>
          <w:p>
            <w:pPr>
              <w:pStyle w:val="Compact"/>
              <w:jc w:val="left"/>
            </w:pPr>
            <w:r>
              <w:rPr>
                <w:rStyle w:val="VerbatimChar"/>
              </w:rPr>
              <w:t xml:space="preserve">thymalin[tiab] OR thymogen[tiab]</w:t>
            </w:r>
          </w:p>
        </w:tc>
      </w:tr>
    </w:tbl>
    <w:bookmarkEnd w:id="3000"/>
    <w:bookmarkStart w:id="3001" w:name="c.-eje-de-la-hormona-del-crecimiento-1"/>
    <w:p>
      <w:pPr>
        <w:pStyle w:val="Heading4"/>
      </w:pPr>
      <w:r>
        <w:t xml:space="preserve">C. Eje de la hormona del crecimiento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Sermorelina</w:t>
            </w:r>
          </w:p>
        </w:tc>
        <w:tc>
          <w:tcPr/>
          <w:p>
            <w:pPr>
              <w:pStyle w:val="Compact"/>
              <w:jc w:val="left"/>
            </w:pPr>
            <w:r>
              <w:rPr>
                <w:rStyle w:val="VerbatimChar"/>
              </w:rPr>
              <w:t xml:space="preserve">sermorelin[tiab]</w:t>
            </w:r>
          </w:p>
        </w:tc>
      </w:tr>
      <w:tr>
        <w:tc>
          <w:tcPr/>
          <w:p>
            <w:pPr>
              <w:pStyle w:val="Compact"/>
              <w:jc w:val="left"/>
            </w:pPr>
            <w:r>
              <w:t xml:space="preserve">Tesamorelina</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Ipamorelina</w:t>
            </w:r>
          </w:p>
        </w:tc>
        <w:tc>
          <w:tcPr/>
          <w:p>
            <w:pPr>
              <w:pStyle w:val="Compact"/>
              <w:jc w:val="left"/>
            </w:pPr>
            <w:r>
              <w:rPr>
                <w:rStyle w:val="VerbatimChar"/>
              </w:rPr>
              <w:t xml:space="preserve">ipamorelin[tiab]</w:t>
            </w:r>
          </w:p>
        </w:tc>
      </w:tr>
      <w:tr>
        <w:tc>
          <w:tcPr/>
          <w:p>
            <w:pPr>
              <w:pStyle w:val="Compact"/>
              <w:jc w:val="left"/>
            </w:pPr>
            <w:r>
              <w:t xml:space="preserve">GHRP-2 (pralmorelina)</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Hexarelina</w:t>
            </w:r>
          </w:p>
        </w:tc>
        <w:tc>
          <w:tcPr/>
          <w:p>
            <w:pPr>
              <w:pStyle w:val="Compact"/>
              <w:jc w:val="left"/>
            </w:pPr>
            <w:r>
              <w:rPr>
                <w:rStyle w:val="VerbatimChar"/>
              </w:rPr>
              <w:t xml:space="preserve">hexarelin[tiab]</w:t>
            </w:r>
          </w:p>
        </w:tc>
      </w:tr>
      <w:tr>
        <w:tc>
          <w:tcPr/>
          <w:p>
            <w:pPr>
              <w:pStyle w:val="Compact"/>
              <w:jc w:val="left"/>
            </w:pPr>
            <w:r>
              <w:t xml:space="preserve">Macimorelina</w:t>
            </w:r>
          </w:p>
        </w:tc>
        <w:tc>
          <w:tcPr/>
          <w:p>
            <w:pPr>
              <w:pStyle w:val="Compact"/>
              <w:jc w:val="left"/>
            </w:pPr>
            <w:r>
              <w:rPr>
                <w:rStyle w:val="VerbatimChar"/>
              </w:rPr>
              <w:t xml:space="preserve">macimorelin[tiab]</w:t>
            </w:r>
          </w:p>
        </w:tc>
      </w:tr>
      <w:tr>
        <w:tc>
          <w:tcPr/>
          <w:p>
            <w:pPr>
              <w:pStyle w:val="Compact"/>
              <w:jc w:val="left"/>
            </w:pPr>
            <w:r>
              <w:t xml:space="preserve">Mecasermina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Ibutamoreno (MK-677) (comparación)</w:t>
            </w:r>
          </w:p>
        </w:tc>
        <w:tc>
          <w:tcPr/>
          <w:p>
            <w:pPr>
              <w:pStyle w:val="Compact"/>
              <w:jc w:val="left"/>
            </w:pPr>
            <w:r>
              <w:rPr>
                <w:rStyle w:val="VerbatimChar"/>
              </w:rPr>
              <w:t xml:space="preserve">ibutamoren[tiab] OR MK-677[tiab] OR MK-0677[tiab]</w:t>
            </w:r>
          </w:p>
        </w:tc>
      </w:tr>
    </w:tbl>
    <w:bookmarkEnd w:id="3001"/>
    <w:bookmarkStart w:id="3002" w:name="d.-cerebro-sueño-y-longevidad-1"/>
    <w:p>
      <w:pPr>
        <w:pStyle w:val="Heading4"/>
      </w:pPr>
      <w:r>
        <w:t xml:space="preserve">D. Cerebro, sueño y longevidad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Cerebrolisina</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Humanina</w:t>
            </w:r>
          </w:p>
        </w:tc>
        <w:tc>
          <w:tcPr/>
          <w:p>
            <w:pPr>
              <w:pStyle w:val="Compact"/>
              <w:jc w:val="left"/>
            </w:pPr>
            <w:r>
              <w:rPr>
                <w:rStyle w:val="VerbatimChar"/>
              </w:rPr>
              <w:t xml:space="preserve">humanin[tiab]</w:t>
            </w:r>
          </w:p>
        </w:tc>
      </w:tr>
      <w:tr>
        <w:tc>
          <w:tcPr/>
          <w:p>
            <w:pPr>
              <w:pStyle w:val="Compact"/>
              <w:jc w:val="left"/>
            </w:pPr>
            <w:r>
              <w:t xml:space="preserve">SS-31 (elamipretida)</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Glutatión</w:t>
            </w:r>
          </w:p>
        </w:tc>
        <w:tc>
          <w:tcPr/>
          <w:p>
            <w:pPr>
              <w:pStyle w:val="Compact"/>
              <w:jc w:val="left"/>
            </w:pPr>
            <w:r>
              <w:rPr>
                <w:rStyle w:val="VerbatimChar"/>
              </w:rPr>
              <w:t xml:space="preserve">glutathione[ti] AND (supplementation[tiab] OR oral[tiab] OR intravenous[tiab])</w:t>
            </w:r>
          </w:p>
        </w:tc>
      </w:tr>
    </w:tbl>
    <w:bookmarkEnd w:id="3002"/>
    <w:bookmarkStart w:id="3003" w:name="e.-hormonas-sexualidad-y-pigmentación-1"/>
    <w:p>
      <w:pPr>
        <w:pStyle w:val="Heading4"/>
      </w:pPr>
      <w:r>
        <w:t xml:space="preserve">E. Hormonas, sexualidad y pigmentación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Bremelanotida (PT-141)</w:t>
            </w:r>
          </w:p>
        </w:tc>
        <w:tc>
          <w:tcPr/>
          <w:p>
            <w:pPr>
              <w:pStyle w:val="Compact"/>
              <w:jc w:val="left"/>
            </w:pPr>
            <w:r>
              <w:rPr>
                <w:rStyle w:val="VerbatimChar"/>
              </w:rPr>
              <w:t xml:space="preserve">bremelanotide[tiab] OR PT-141[tiab]</w:t>
            </w:r>
          </w:p>
        </w:tc>
      </w:tr>
      <w:tr>
        <w:tc>
          <w:tcPr/>
          <w:p>
            <w:pPr>
              <w:pStyle w:val="Compact"/>
              <w:jc w:val="left"/>
            </w:pPr>
            <w:r>
              <w:t xml:space="preserve">Melanotán II</w:t>
            </w:r>
          </w:p>
        </w:tc>
        <w:tc>
          <w:tcPr/>
          <w:p>
            <w:pPr>
              <w:pStyle w:val="Compact"/>
              <w:jc w:val="left"/>
            </w:pPr>
            <w:r>
              <w:rPr>
                <w:rStyle w:val="VerbatimChar"/>
              </w:rPr>
              <w:t xml:space="preserve">melanotan[tiab]</w:t>
            </w:r>
          </w:p>
        </w:tc>
      </w:tr>
      <w:tr>
        <w:tc>
          <w:tcPr/>
          <w:p>
            <w:pPr>
              <w:pStyle w:val="Compact"/>
              <w:jc w:val="left"/>
            </w:pPr>
            <w:r>
              <w:t xml:space="preserve">Afamelanotida</w:t>
            </w:r>
          </w:p>
        </w:tc>
        <w:tc>
          <w:tcPr/>
          <w:p>
            <w:pPr>
              <w:pStyle w:val="Compact"/>
              <w:jc w:val="left"/>
            </w:pPr>
            <w:r>
              <w:rPr>
                <w:rStyle w:val="VerbatimChar"/>
              </w:rPr>
              <w:t xml:space="preserve">afamelanotide[tiab]</w:t>
            </w:r>
          </w:p>
        </w:tc>
      </w:tr>
      <w:tr>
        <w:tc>
          <w:tcPr/>
          <w:p>
            <w:pPr>
              <w:pStyle w:val="Compact"/>
              <w:jc w:val="left"/>
            </w:pPr>
            <w:r>
              <w:t xml:space="preserve">Kisspeptina</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Oxitocina (intranasal)</w:t>
            </w:r>
          </w:p>
        </w:tc>
        <w:tc>
          <w:tcPr/>
          <w:p>
            <w:pPr>
              <w:pStyle w:val="Compact"/>
              <w:jc w:val="left"/>
            </w:pPr>
            <w:r>
              <w:rPr>
                <w:rStyle w:val="VerbatimChar"/>
              </w:rPr>
              <w:t xml:space="preserve">intranasal oxytocin[tiab]</w:t>
            </w:r>
          </w:p>
        </w:tc>
      </w:tr>
      <w:tr>
        <w:tc>
          <w:tcPr/>
          <w:p>
            <w:pPr>
              <w:pStyle w:val="Compact"/>
              <w:jc w:val="left"/>
            </w:pPr>
            <w:r>
              <w:t xml:space="preserve">Gonadorelina</w:t>
            </w:r>
          </w:p>
        </w:tc>
        <w:tc>
          <w:tcPr/>
          <w:p>
            <w:pPr>
              <w:pStyle w:val="Compact"/>
              <w:jc w:val="left"/>
            </w:pPr>
            <w:r>
              <w:rPr>
                <w:rStyle w:val="VerbatimChar"/>
              </w:rPr>
              <w:t xml:space="preserve">gonadorelin[tiab]</w:t>
            </w:r>
          </w:p>
        </w:tc>
      </w:tr>
    </w:tbl>
    <w:bookmarkEnd w:id="3003"/>
    <w:bookmarkStart w:id="3004" w:name="f.-colágeno-nutrición-y-cosmética-1"/>
    <w:p>
      <w:pPr>
        <w:pStyle w:val="Heading4"/>
      </w:pPr>
      <w:r>
        <w:t xml:space="preserve">F. Colágeno, nutrición y cosmética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Colágeno hidrolizado o péptidos de colágeno</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Lactotripéptidos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Carnosina</w:t>
            </w:r>
          </w:p>
        </w:tc>
        <w:tc>
          <w:tcPr/>
          <w:p>
            <w:pPr>
              <w:pStyle w:val="Compact"/>
              <w:jc w:val="left"/>
            </w:pPr>
            <w:r>
              <w:rPr>
                <w:rStyle w:val="VerbatimChar"/>
              </w:rPr>
              <w:t xml:space="preserve">carnosine[ti] AND (supplementation[tiab] OR oral[tiab])</w:t>
            </w:r>
          </w:p>
        </w:tc>
      </w:tr>
      <w:tr>
        <w:tc>
          <w:tcPr/>
          <w:p>
            <w:pPr>
              <w:pStyle w:val="Compact"/>
              <w:jc w:val="left"/>
            </w:pPr>
            <w:r>
              <w:t xml:space="preserve">GHK-Cu (péptido de cobre)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Palmitoil pentapéptido-4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Acetil hexapéptido-8 (Argireline)</w:t>
            </w:r>
          </w:p>
        </w:tc>
        <w:tc>
          <w:tcPr/>
          <w:p>
            <w:pPr>
              <w:pStyle w:val="Compact"/>
              <w:jc w:val="left"/>
            </w:pPr>
            <w:r>
              <w:rPr>
                <w:rStyle w:val="VerbatimChar"/>
              </w:rPr>
              <w:t xml:space="preserve">acetyl hexapeptide[tiab] OR argireline[tiab]</w:t>
            </w:r>
          </w:p>
        </w:tc>
      </w:tr>
    </w:tbl>
    <w:bookmarkEnd w:id="3004"/>
    <w:bookmarkEnd w:id="3005"/>
    <w:bookmarkStart w:id="3006" w:name="volumen-de-resultados"/>
    <w:p>
      <w:pPr>
        <w:pStyle w:val="Heading3"/>
      </w:pPr>
      <w:r>
        <w:t xml:space="preserve">Volumen de resultados</w:t>
      </w:r>
    </w:p>
    <w:p>
      <w:pPr>
        <w:pStyle w:val="FirstParagraph"/>
      </w:pPr>
      <w:r>
        <w:t xml:space="preserve">En total, las 58 consultas dieron 3216 resultados con el filtro de estudios en humanos y 1739 resultados con el filtro de metaanálisis y revisiones. En ClinicalTrials.gov se encontraron 4879 entradas de registro. Estas sumas contienen recuentos múltiples, porque algunos estudios se refieren a varios péptidos, por ejemplo los estudios comparativos entre semaglutida y tirzepatida. Las cifras por péptido se indican al comienzo del apartado «Estudios en seres humanos» del capítulo correspondiente.</w:t>
      </w:r>
    </w:p>
    <w:p>
      <w:pPr>
        <w:pStyle w:val="BodyText"/>
      </w:pPr>
      <w:r>
        <w:t xml:space="preserve">La distribución es muy desigual: a los medicamentos GLP-1 autorizados les corresponden cientos de estudios en humanos; a muchos péptidos del mercado gris, en cambio, ninguno o solo un puñado.</w:t>
      </w:r>
    </w:p>
    <w:bookmarkEnd w:id="3006"/>
    <w:bookmarkStart w:id="3007" w:name="selección-y-análisis"/>
    <w:p>
      <w:pPr>
        <w:pStyle w:val="Heading3"/>
      </w:pPr>
      <w:r>
        <w:t xml:space="preserve">Selección y análisis</w:t>
      </w:r>
    </w:p>
    <w:p>
      <w:pPr>
        <w:pStyle w:val="FirstParagraph"/>
      </w:pPr>
      <w:r>
        <w:t xml:space="preserve">Para cada péptido, todos los resultados con el filtro de estudios en humanos se recogieron en una lista breve (título, año, revista, primer autor); constituyen la base del índice de estudios del anexo. Los estudios en humanos y las revisiones más importantes según la relevancia de PubMed se leyeron y analizaron a partir de sus resúmenes, complementados con los trabajos buscados específicamente.</w:t>
      </w:r>
    </w:p>
    <w:p>
      <w:pPr>
        <w:pStyle w:val="BodyText"/>
      </w:pPr>
      <w:r>
        <w:t xml:space="preserve">Para la presentación en el texto se aplica:</w:t>
      </w:r>
    </w:p>
    <w:p>
      <w:pPr>
        <w:numPr>
          <w:ilvl w:val="0"/>
          <w:numId w:val="1374"/>
        </w:numPr>
        <w:pStyle w:val="Compact"/>
      </w:pPr>
      <w:r>
        <w:t xml:space="preserve">Cada estudio mencionado se leyó a partir de su entrada en PubMed o de su entrada en el registro.</w:t>
      </w:r>
    </w:p>
    <w:p>
      <w:pPr>
        <w:numPr>
          <w:ilvl w:val="0"/>
          <w:numId w:val="1374"/>
        </w:numPr>
        <w:pStyle w:val="Compact"/>
      </w:pPr>
      <w:r>
        <w:t xml:space="preserve">Las cifras (por ejemplo, número de participantes, porcentajes, variaciones de peso o valores p) proceden exclusivamente del resumen de la publicación o de la entrada del registro. Lo que no está documentado allí no se menciona como cifra.</w:t>
      </w:r>
    </w:p>
    <w:p>
      <w:pPr>
        <w:numPr>
          <w:ilvl w:val="0"/>
          <w:numId w:val="1374"/>
        </w:numPr>
        <w:pStyle w:val="Compact"/>
      </w:pPr>
      <w:r>
        <w:t xml:space="preserve">Los textos completos no se analizaron de forma sistemática. Por eso faltan en parte detalles que solo figuran en el texto completo, como tasas concretas de efectos adversos o subgrupos.</w:t>
      </w:r>
    </w:p>
    <w:p>
      <w:pPr>
        <w:numPr>
          <w:ilvl w:val="0"/>
          <w:numId w:val="1374"/>
        </w:numPr>
        <w:pStyle w:val="Compact"/>
      </w:pPr>
      <w:r>
        <w:t xml:space="preserve">Los resultados con animales y de laboratorio se identifican expresamente como tales.</w:t>
      </w:r>
    </w:p>
    <w:p>
      <w:pPr>
        <w:numPr>
          <w:ilvl w:val="0"/>
          <w:numId w:val="1374"/>
        </w:numPr>
        <w:pStyle w:val="Compact"/>
      </w:pPr>
      <w:r>
        <w:t xml:space="preserve">En los estudios en curso solo se informa de lo que figura en el registro. Se identifican como</w:t>
      </w:r>
      <w:r>
        <w:t xml:space="preserve"> </w:t>
      </w:r>
      <w:r>
        <w:rPr>
          <w:iCs/>
          <w:i/>
        </w:rPr>
        <w:t xml:space="preserve">confirmados</w:t>
      </w:r>
      <w:r>
        <w:t xml:space="preserve"> </w:t>
      </w:r>
      <w:r>
        <w:t xml:space="preserve">(registrados, en curso), y los pronósticos propios como</w:t>
      </w:r>
      <w:r>
        <w:t xml:space="preserve"> </w:t>
      </w:r>
      <w:r>
        <w:rPr>
          <w:iCs/>
          <w:i/>
        </w:rPr>
        <w:t xml:space="preserve">valoración</w:t>
      </w:r>
      <w:r>
        <w:t xml:space="preserve">.</w:t>
      </w:r>
    </w:p>
    <w:bookmarkEnd w:id="3007"/>
    <w:bookmarkStart w:id="3008" w:name="niveles-de-evidencia"/>
    <w:p>
      <w:pPr>
        <w:pStyle w:val="Heading3"/>
      </w:pPr>
      <w:r>
        <w:t xml:space="preserve">Niveles de evidencia</w:t>
      </w:r>
    </w:p>
    <w:p>
      <w:pPr>
        <w:pStyle w:val="FirstParagraph"/>
      </w:pPr>
      <w:r>
        <w:t xml:space="preserve">Cada péptido recibió un nivel de evidencia según los siguientes criterios: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Nivel</w:t>
            </w:r>
          </w:p>
        </w:tc>
        <w:tc>
          <w:tcPr/>
          <w:p>
            <w:pPr>
              <w:pStyle w:val="Compact"/>
              <w:jc w:val="left"/>
            </w:pPr>
            <w:r>
              <w:t xml:space="preserve">Criterio</w:t>
            </w:r>
          </w:p>
        </w:tc>
      </w:tr>
      <w:tr>
        <w:tc>
          <w:tcPr/>
          <w:p>
            <w:pPr>
              <w:pStyle w:val="Compact"/>
              <w:jc w:val="left"/>
            </w:pPr>
            <w:r>
              <w:t xml:space="preserve">A</w:t>
            </w:r>
          </w:p>
        </w:tc>
        <w:tc>
          <w:tcPr/>
          <w:p>
            <w:pPr>
              <w:pStyle w:val="Compact"/>
              <w:jc w:val="left"/>
            </w:pPr>
            <w:r>
              <w:t xml:space="preserve">varios grandes estudios aleatorizados en humanos, autorización como medicamento</w:t>
            </w:r>
          </w:p>
        </w:tc>
      </w:tr>
      <w:tr>
        <w:tc>
          <w:tcPr/>
          <w:p>
            <w:pPr>
              <w:pStyle w:val="Compact"/>
              <w:jc w:val="left"/>
            </w:pPr>
            <w:r>
              <w:t xml:space="preserve">B</w:t>
            </w:r>
          </w:p>
        </w:tc>
        <w:tc>
          <w:tcPr/>
          <w:p>
            <w:pPr>
              <w:pStyle w:val="Compact"/>
              <w:jc w:val="left"/>
            </w:pPr>
            <w:r>
              <w:t xml:space="preserve">estudios aleatorizados aislados en humanos</w:t>
            </w:r>
          </w:p>
        </w:tc>
      </w:tr>
      <w:tr>
        <w:tc>
          <w:tcPr/>
          <w:p>
            <w:pPr>
              <w:pStyle w:val="Compact"/>
              <w:jc w:val="left"/>
            </w:pPr>
            <w:r>
              <w:t xml:space="preserve">C</w:t>
            </w:r>
          </w:p>
        </w:tc>
        <w:tc>
          <w:tcPr/>
          <w:p>
            <w:pPr>
              <w:pStyle w:val="Compact"/>
              <w:jc w:val="left"/>
            </w:pPr>
            <w:r>
              <w:t xml:space="preserve">solo estudios pequeños o no controlados en humanos</w:t>
            </w:r>
          </w:p>
        </w:tc>
      </w:tr>
      <w:tr>
        <w:tc>
          <w:tcPr/>
          <w:p>
            <w:pPr>
              <w:pStyle w:val="Compact"/>
              <w:jc w:val="left"/>
            </w:pPr>
            <w:r>
              <w:t xml:space="preserve">D</w:t>
            </w:r>
          </w:p>
        </w:tc>
        <w:tc>
          <w:tcPr/>
          <w:p>
            <w:pPr>
              <w:pStyle w:val="Compact"/>
              <w:jc w:val="left"/>
            </w:pPr>
            <w:r>
              <w:t xml:space="preserve">solo estudios con animales y de laboratorio</w:t>
            </w:r>
          </w:p>
        </w:tc>
      </w:tr>
    </w:tbl>
    <w:p>
      <w:pPr>
        <w:pStyle w:val="BodyText"/>
      </w:pPr>
      <w:r>
        <w:t xml:space="preserve">La clasificación se refiere al conjunto de los datos disponibles en humanos y al uso estudiado más importante. Es una valoración del autor basada en los estudios analizados y no una clasificación oficial.</w:t>
      </w:r>
    </w:p>
    <w:bookmarkEnd w:id="3008"/>
    <w:bookmarkStart w:id="3009" w:name="límites-de-la-metodología"/>
    <w:p>
      <w:pPr>
        <w:pStyle w:val="Heading3"/>
      </w:pPr>
      <w:r>
        <w:t xml:space="preserve">Límites de la metodología</w:t>
      </w:r>
    </w:p>
    <w:p>
      <w:pPr>
        <w:pStyle w:val="FirstParagraph"/>
      </w:pPr>
      <w:r>
        <w:t xml:space="preserve">Como toda búsqueda bibliográfica, también esta tiene límites que conviene que tengas en cuenta durante la lectura:</w:t>
      </w:r>
    </w:p>
    <w:p>
      <w:pPr>
        <w:pStyle w:val="BodyText"/>
      </w:pPr>
      <w:r>
        <w:rPr>
          <w:bCs/>
          <w:b/>
        </w:rPr>
        <w:t xml:space="preserve">Los resultados no equivalen a estudios independientes.</w:t>
      </w:r>
      <w:r>
        <w:t xml:space="preserve"> </w:t>
      </w:r>
      <w:r>
        <w:t xml:space="preserve">Un gran estudio se publica a menudo en varios artículos: resultado principal, subgrupos, seguimiento, calidad de vida. Cada uno de estos artículos es un resultado propio. A la inversa, varios estudios pueden resumirse en un solo artículo. Por eso, el número de resultados refleja el orden de magnitud de la investigación, no el número exacto de estudios independientes.</w:t>
      </w:r>
    </w:p>
    <w:p>
      <w:pPr>
        <w:pStyle w:val="BodyText"/>
      </w:pPr>
      <w:r>
        <w:rPr>
          <w:bCs/>
          <w:b/>
        </w:rPr>
        <w:t xml:space="preserve">Los tipos de publicación no siempre son correctos.</w:t>
      </w:r>
      <w:r>
        <w:t xml:space="preserve"> </w:t>
      </w:r>
      <w:r>
        <w:t xml:space="preserve">El filtro de estudios en humanos se basa en la indización de PubMed. Algunos estudios no están identificados como ensayo clínico y por eso faltan; algunos trabajos identificados como ensayo clínico resultan ser, al examinarlos con más detalle, estudios observacionales o trabajos de laboratorio con material humano. Los artículos muy recientes a menudo todavía no están indizados por completo.</w:t>
      </w:r>
    </w:p>
    <w:p>
      <w:pPr>
        <w:pStyle w:val="BodyText"/>
      </w:pPr>
      <w:r>
        <w:rPr>
          <w:bCs/>
          <w:b/>
        </w:rPr>
        <w:t xml:space="preserve">Los términos de búsqueda pueden tener lagunas.</w:t>
      </w:r>
      <w:r>
        <w:t xml:space="preserve"> </w:t>
      </w:r>
      <w:r>
        <w:t xml:space="preserve">Un término de búsqueda solo encuentra lo que se describe en el título o el resumen con las palabras elegidas. Pueden faltar estudios que mencionan una sustancia solo con un nombre de código o con otra grafía. A la inversa, abreviaturas ambiguas como «KPV» o «SS-31» pueden recoger también trabajos sobre temas completamente distintos. Por eso, para los capítulos los resultados se revisaron y no se adoptaron sin comprobación.</w:t>
      </w:r>
    </w:p>
    <w:p>
      <w:pPr>
        <w:pStyle w:val="BodyText"/>
      </w:pPr>
      <w:r>
        <w:rPr>
          <w:bCs/>
          <w:b/>
        </w:rPr>
        <w:t xml:space="preserve">Idiomas.</w:t>
      </w:r>
      <w:r>
        <w:t xml:space="preserve"> </w:t>
      </w:r>
      <w:r>
        <w:t xml:space="preserve">PubMed recoge sobre todo revistas en inglés. Los trabajos publicados solo en otros idiomas y en revistas no indizadas faltan en gran medida. Esto afecta especialmente a algunos péptidos que se investigan y utilizan sobre todo en Rusia o en otros países de Europa del Este, como Semax, Selank, epitalon o timalina. Para ellos, la situación real de los estudios es posiblemente más amplia, pero difícil de verificar para los lectores internacionales.</w:t>
      </w:r>
    </w:p>
    <w:p>
      <w:pPr>
        <w:pStyle w:val="BodyText"/>
      </w:pPr>
      <w:r>
        <w:rPr>
          <w:bCs/>
          <w:b/>
        </w:rPr>
        <w:t xml:space="preserve">Estudios no publicados.</w:t>
      </w:r>
      <w:r>
        <w:t xml:space="preserve"> </w:t>
      </w:r>
      <w:r>
        <w:t xml:space="preserve">Los estudios que nunca se publicaron no figuran en PubMed. El registro ClinicalTrials.gov ayuda a detectar estas lagunas, pero no recoge todos los estudios del mundo.</w:t>
      </w:r>
    </w:p>
    <w:p>
      <w:pPr>
        <w:pStyle w:val="BodyText"/>
      </w:pPr>
      <w:r>
        <w:rPr>
          <w:bCs/>
          <w:b/>
        </w:rPr>
        <w:t xml:space="preserve">Solo resúmenes.</w:t>
      </w:r>
      <w:r>
        <w:t xml:space="preserve"> </w:t>
      </w:r>
      <w:r>
        <w:t xml:space="preserve">El análisis se basa en los resúmenes. Estos recogen los resultados principales, pero pueden presentar de forma abreviada las limitaciones, los efectos adversos o las debilidades metodológicas.</w:t>
      </w:r>
    </w:p>
    <w:p>
      <w:pPr>
        <w:pStyle w:val="BodyText"/>
      </w:pPr>
      <w:r>
        <w:rPr>
          <w:bCs/>
          <w:b/>
        </w:rPr>
        <w:t xml:space="preserve">Instantánea.</w:t>
      </w:r>
      <w:r>
        <w:t xml:space="preserve"> </w:t>
      </w:r>
      <w:r>
        <w:t xml:space="preserve">La investigación refleja la situación de octubre de 2026. En campos de rápido crecimiento como el de los medicamentos GLP-1 se publican nuevos estudios cada semana.</w:t>
      </w:r>
    </w:p>
    <w:bookmarkEnd w:id="3009"/>
    <w:bookmarkStart w:id="3010" w:name="control-de-calidad"/>
    <w:p>
      <w:pPr>
        <w:pStyle w:val="Heading3"/>
      </w:pPr>
      <w:r>
        <w:t xml:space="preserve">Control de calidad</w:t>
      </w:r>
    </w:p>
    <w:p>
      <w:pPr>
        <w:pStyle w:val="FirstParagraph"/>
      </w:pPr>
      <w:r>
        <w:t xml:space="preserve">Las consultas a las bases de datos se realizaron a través de las interfaces mencionadas, con programas auxiliares escritos expresamente para ello. Para el análisis se aplicaron reglas vinculantes: cada estudio del texto se cita con su PMID o número NCT; cada cifra debe proceder de un resumen o de una entrada de registro realmente consultados; los estudios solo pueden mencionarse si su entrada se ha consultado y leído previamente.</w:t>
      </w:r>
    </w:p>
    <w:p>
      <w:pPr>
        <w:pStyle w:val="BodyText"/>
      </w:pPr>
      <w:r>
        <w:t xml:space="preserve">Además, cada capítulo se controló con un programa de verificación. Este consulta, para cada PMID y número NCT mencionado en el texto, la entrada en PubMed o en ClinicalTrials.gov y señala como error que un número no exista. Compara además el primer autor y el año de publicación que figuran en el texto antes del PMID con la entrada de la base de datos y advierte de las discrepancias. Por último, busca formulaciones no admisibles, como promesas de curación, recomendaciones de dosis o indicaciones de fuentes de suministro. Un capítulo solo se consideraba terminado cuando esta verificación se completaba sin errores. Además, el programa comprueba si un trabajo citado ha sido retractado entretanto; estos trabajos están señalados expresamente en el texto. Para terminar, se compararon una a una con los resúmenes unos 1450 pasajes del texto con cifras y, donde fue necesario, se corrigieron.</w:t>
      </w:r>
    </w:p>
    <w:p>
      <w:pPr>
        <w:pStyle w:val="BodyText"/>
      </w:pPr>
      <w:r>
        <w:t xml:space="preserve">Esta verificación garantiza que cada fuente citada existe y está correctamente asignada. No puede descartar por completo que un resultado se reproduzca en el texto de forma abreviada o equívoca. Por eso, todas las fuentes se indican de modo que tú mismo puedas consultarlas; cómo hacerlo se explica en el apartado «Sobre este libro» al principio.</w:t>
      </w:r>
    </w:p>
    <w:bookmarkEnd w:id="3010"/>
    <w:bookmarkEnd w:id="3011"/>
    <w:bookmarkStart w:id="3070" w:name="índice-de-estudios"/>
    <w:p>
      <w:pPr>
        <w:pStyle w:val="Heading1"/>
      </w:pPr>
      <w:r>
        <w:t xml:space="preserve">Índice de estudios</w:t>
      </w:r>
    </w:p>
    <w:p>
      <w:pPr>
        <w:pStyle w:val="FirstParagraph"/>
      </w:pPr>
      <w:r>
        <w:t xml:space="preserve">Este índice recoge todas las publicaciones de estudios clínicos en humanos que la búsqueda encontró en PubMed para cada péptido (consulta de octubre de 2026; filtros, véase Metodología). Los títulos y las revistas figuran en su idioma original. Cada estudio puede consultarse por su PMID en pubmed.ncbi.nlm.nih.gov. No todas las entradas son estudios independientes: algunos estudios se analizaron y publicaron varias veces.</w:t>
      </w:r>
      <w:r>
        <w:t xml:space="preserve"> </w:t>
      </w:r>
      <w:r>
        <w:t xml:space="preserve">Total: 3.216 entradas.</w:t>
      </w:r>
    </w:p>
    <w:bookmarkStart w:id="3012" w:name="exenatida-437"/>
    <w:p>
      <w:pPr>
        <w:pStyle w:val="Heading2"/>
      </w:pPr>
      <w:r>
        <w:t xml:space="preserve">Exenatida (437)</w:t>
      </w:r>
    </w:p>
    <w:p>
      <w:pPr>
        <w:numPr>
          <w:ilvl w:val="0"/>
          <w:numId w:val="1375"/>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5"/>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5"/>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5"/>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5"/>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5"/>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5"/>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5"/>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5"/>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5"/>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5"/>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5"/>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5"/>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5"/>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5"/>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5"/>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5"/>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5"/>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5"/>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5"/>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5"/>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5"/>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5"/>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5"/>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5"/>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5"/>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5"/>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5"/>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5"/>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5"/>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5"/>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5"/>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5"/>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5"/>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5"/>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5"/>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5"/>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5"/>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5"/>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5"/>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5"/>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5"/>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5"/>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5"/>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5"/>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5"/>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5"/>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5"/>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5"/>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5"/>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5"/>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5"/>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5"/>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5"/>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5"/>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5"/>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5"/>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5"/>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5"/>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5"/>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5"/>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5"/>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5"/>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5"/>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5"/>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5"/>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5"/>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5"/>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5"/>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5"/>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5"/>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5"/>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5"/>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5"/>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5"/>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5"/>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5"/>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5"/>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5"/>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5"/>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5"/>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5"/>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5"/>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5"/>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5"/>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5"/>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5"/>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5"/>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5"/>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5"/>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5"/>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5"/>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5"/>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5"/>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5"/>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5"/>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5"/>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5"/>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5"/>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5"/>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5"/>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5"/>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5"/>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5"/>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5"/>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5"/>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5"/>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5"/>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5"/>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5"/>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5"/>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5"/>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5"/>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5"/>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5"/>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5"/>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5"/>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5"/>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5"/>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5"/>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5"/>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5"/>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5"/>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5"/>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5"/>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5"/>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5"/>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5"/>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5"/>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5"/>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5"/>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5"/>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5"/>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5"/>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5"/>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5"/>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5"/>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5"/>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5"/>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5"/>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5"/>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5"/>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5"/>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5"/>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5"/>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5"/>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5"/>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5"/>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5"/>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5"/>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5"/>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5"/>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5"/>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5"/>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5"/>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5"/>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5"/>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5"/>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5"/>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5"/>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5"/>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5"/>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5"/>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5"/>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5"/>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5"/>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5"/>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5"/>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5"/>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5"/>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5"/>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5"/>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5"/>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5"/>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5"/>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5"/>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5"/>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5"/>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5"/>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5"/>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5"/>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5"/>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5"/>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5"/>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5"/>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5"/>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5"/>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5"/>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5"/>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5"/>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5"/>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5"/>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5"/>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5"/>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5"/>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5"/>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5"/>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5"/>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5"/>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5"/>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5"/>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5"/>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5"/>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5"/>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5"/>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5"/>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5"/>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5"/>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5"/>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5"/>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5"/>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5"/>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5"/>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5"/>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5"/>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5"/>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5"/>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5"/>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5"/>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5"/>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5"/>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5"/>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5"/>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5"/>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5"/>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5"/>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5"/>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5"/>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5"/>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5"/>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5"/>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5"/>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5"/>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5"/>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5"/>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5"/>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5"/>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5"/>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5"/>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5"/>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5"/>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5"/>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5"/>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5"/>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5"/>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5"/>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5"/>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5"/>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5"/>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5"/>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5"/>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5"/>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5"/>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5"/>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5"/>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5"/>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5"/>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5"/>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5"/>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5"/>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5"/>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5"/>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5"/>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5"/>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5"/>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5"/>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5"/>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5"/>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5"/>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5"/>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5"/>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5"/>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5"/>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5"/>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5"/>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5"/>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5"/>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5"/>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5"/>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5"/>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5"/>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5"/>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5"/>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5"/>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5"/>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5"/>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5"/>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5"/>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5"/>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5"/>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5"/>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5"/>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5"/>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5"/>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5"/>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5"/>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5"/>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5"/>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5"/>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5"/>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5"/>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5"/>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5"/>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5"/>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5"/>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5"/>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5"/>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5"/>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5"/>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5"/>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5"/>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5"/>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5"/>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5"/>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5"/>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5"/>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5"/>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5"/>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5"/>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5"/>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5"/>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5"/>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5"/>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5"/>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5"/>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5"/>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5"/>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5"/>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5"/>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5"/>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5"/>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5"/>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5"/>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5"/>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5"/>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5"/>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5"/>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5"/>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5"/>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5"/>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5"/>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5"/>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5"/>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5"/>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5"/>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5"/>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5"/>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5"/>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5"/>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5"/>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5"/>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5"/>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5"/>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5"/>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5"/>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5"/>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5"/>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5"/>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5"/>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5"/>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5"/>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5"/>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5"/>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5"/>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5"/>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5"/>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5"/>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5"/>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5"/>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5"/>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5"/>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5"/>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5"/>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5"/>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5"/>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5"/>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5"/>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5"/>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5"/>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5"/>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5"/>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5"/>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5"/>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5"/>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5"/>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5"/>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5"/>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5"/>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5"/>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5"/>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5"/>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5"/>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5"/>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5"/>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5"/>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5"/>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5"/>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5"/>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5"/>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5"/>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5"/>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5"/>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5"/>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5"/>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5"/>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5"/>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5"/>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5"/>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5"/>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5"/>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5"/>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5"/>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5"/>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5"/>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5"/>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5"/>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5"/>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5"/>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5"/>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5"/>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5"/>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5"/>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5"/>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5"/>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5"/>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5"/>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5"/>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5"/>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5"/>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5"/>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5"/>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5"/>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5"/>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2"/>
    <w:bookmarkStart w:id="3013" w:name="liraglutida-613"/>
    <w:p>
      <w:pPr>
        <w:pStyle w:val="Heading2"/>
      </w:pPr>
      <w:r>
        <w:t xml:space="preserve">Liraglutida (613)</w:t>
      </w:r>
    </w:p>
    <w:p>
      <w:pPr>
        <w:numPr>
          <w:ilvl w:val="0"/>
          <w:numId w:val="1376"/>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6"/>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6"/>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6"/>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6"/>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6"/>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6"/>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6"/>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6"/>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6"/>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6"/>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6"/>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6"/>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6"/>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6"/>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6"/>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6"/>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6"/>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6"/>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6"/>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6"/>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6"/>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6"/>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6"/>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6"/>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6"/>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6"/>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6"/>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6"/>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6"/>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6"/>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6"/>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6"/>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6"/>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6"/>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6"/>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6"/>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6"/>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6"/>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6"/>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6"/>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6"/>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6"/>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6"/>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6"/>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6"/>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6"/>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6"/>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6"/>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6"/>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6"/>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6"/>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6"/>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6"/>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6"/>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6"/>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6"/>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6"/>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6"/>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6"/>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6"/>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6"/>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6"/>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6"/>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6"/>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6"/>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6"/>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6"/>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6"/>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6"/>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6"/>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6"/>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6"/>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6"/>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6"/>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6"/>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6"/>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6"/>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6"/>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6"/>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6"/>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6"/>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6"/>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6"/>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6"/>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6"/>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6"/>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6"/>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6"/>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6"/>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6"/>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6"/>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6"/>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6"/>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6"/>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6"/>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6"/>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6"/>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6"/>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6"/>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6"/>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6"/>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6"/>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6"/>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6"/>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6"/>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6"/>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6"/>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6"/>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6"/>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6"/>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6"/>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6"/>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6"/>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6"/>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6"/>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6"/>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6"/>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6"/>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6"/>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6"/>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6"/>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6"/>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6"/>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6"/>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6"/>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6"/>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6"/>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6"/>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6"/>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6"/>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6"/>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6"/>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6"/>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6"/>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6"/>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6"/>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6"/>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6"/>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6"/>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6"/>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6"/>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6"/>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6"/>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6"/>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6"/>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6"/>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6"/>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6"/>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6"/>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6"/>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6"/>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6"/>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6"/>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6"/>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6"/>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6"/>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6"/>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6"/>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6"/>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6"/>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6"/>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6"/>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6"/>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6"/>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6"/>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6"/>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6"/>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6"/>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6"/>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6"/>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6"/>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6"/>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6"/>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6"/>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6"/>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6"/>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6"/>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6"/>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6"/>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6"/>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6"/>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6"/>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6"/>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6"/>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6"/>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6"/>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6"/>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6"/>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6"/>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6"/>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6"/>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6"/>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6"/>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6"/>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6"/>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6"/>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6"/>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6"/>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6"/>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6"/>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6"/>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6"/>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6"/>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6"/>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6"/>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6"/>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6"/>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6"/>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6"/>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6"/>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6"/>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6"/>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6"/>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6"/>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6"/>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6"/>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6"/>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6"/>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6"/>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6"/>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6"/>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6"/>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6"/>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6"/>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6"/>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6"/>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6"/>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6"/>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6"/>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6"/>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6"/>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6"/>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6"/>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6"/>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6"/>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6"/>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6"/>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6"/>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6"/>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6"/>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6"/>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6"/>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6"/>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6"/>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6"/>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6"/>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6"/>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6"/>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6"/>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6"/>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6"/>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6"/>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6"/>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6"/>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6"/>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6"/>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6"/>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6"/>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6"/>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6"/>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6"/>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6"/>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6"/>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6"/>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6"/>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6"/>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6"/>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6"/>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6"/>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6"/>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6"/>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6"/>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6"/>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6"/>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6"/>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6"/>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6"/>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6"/>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6"/>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6"/>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6"/>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6"/>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6"/>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6"/>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6"/>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6"/>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6"/>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6"/>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6"/>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6"/>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6"/>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6"/>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6"/>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6"/>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6"/>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6"/>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6"/>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6"/>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6"/>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6"/>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6"/>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6"/>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6"/>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6"/>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6"/>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6"/>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6"/>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6"/>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6"/>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6"/>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6"/>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6"/>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6"/>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6"/>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6"/>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6"/>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6"/>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6"/>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6"/>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6"/>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6"/>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6"/>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6"/>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6"/>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6"/>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6"/>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6"/>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6"/>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6"/>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6"/>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6"/>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6"/>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6"/>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6"/>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6"/>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6"/>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6"/>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6"/>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6"/>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6"/>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6"/>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6"/>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6"/>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6"/>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6"/>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6"/>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6"/>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6"/>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6"/>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6"/>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6"/>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6"/>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6"/>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6"/>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6"/>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6"/>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6"/>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6"/>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6"/>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6"/>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6"/>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6"/>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6"/>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6"/>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6"/>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6"/>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6"/>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6"/>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6"/>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6"/>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6"/>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6"/>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6"/>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6"/>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6"/>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6"/>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6"/>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6"/>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6"/>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6"/>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6"/>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6"/>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6"/>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6"/>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6"/>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6"/>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6"/>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6"/>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6"/>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6"/>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6"/>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6"/>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6"/>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6"/>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6"/>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6"/>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6"/>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6"/>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6"/>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6"/>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6"/>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6"/>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6"/>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6"/>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6"/>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6"/>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6"/>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6"/>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6"/>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6"/>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6"/>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6"/>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6"/>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6"/>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6"/>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6"/>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6"/>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6"/>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6"/>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6"/>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6"/>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6"/>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6"/>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6"/>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6"/>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6"/>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6"/>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6"/>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6"/>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6"/>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6"/>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6"/>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6"/>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6"/>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6"/>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6"/>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6"/>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6"/>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6"/>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6"/>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6"/>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6"/>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6"/>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6"/>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6"/>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6"/>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6"/>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6"/>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6"/>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6"/>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6"/>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6"/>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6"/>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6"/>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6"/>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6"/>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6"/>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6"/>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6"/>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6"/>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6"/>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6"/>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6"/>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6"/>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6"/>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6"/>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6"/>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6"/>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6"/>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6"/>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6"/>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6"/>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6"/>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6"/>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6"/>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6"/>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6"/>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6"/>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6"/>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6"/>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6"/>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6"/>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6"/>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6"/>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6"/>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6"/>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6"/>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6"/>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6"/>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6"/>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6"/>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6"/>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6"/>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6"/>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6"/>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6"/>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6"/>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6"/>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6"/>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6"/>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6"/>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6"/>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6"/>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6"/>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6"/>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6"/>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6"/>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6"/>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6"/>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6"/>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6"/>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6"/>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6"/>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6"/>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6"/>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6"/>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6"/>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6"/>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6"/>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6"/>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6"/>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6"/>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6"/>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6"/>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6"/>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6"/>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6"/>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6"/>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6"/>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6"/>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6"/>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6"/>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6"/>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6"/>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6"/>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6"/>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6"/>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6"/>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6"/>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6"/>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6"/>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6"/>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6"/>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6"/>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6"/>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6"/>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6"/>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6"/>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6"/>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6"/>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6"/>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6"/>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6"/>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6"/>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6"/>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6"/>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6"/>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6"/>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6"/>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3"/>
    <w:bookmarkStart w:id="3014" w:name="dulaglutida-158"/>
    <w:p>
      <w:pPr>
        <w:pStyle w:val="Heading2"/>
      </w:pPr>
      <w:r>
        <w:t xml:space="preserve">Dulaglutida (158)</w:t>
      </w:r>
    </w:p>
    <w:p>
      <w:pPr>
        <w:numPr>
          <w:ilvl w:val="0"/>
          <w:numId w:val="1377"/>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7"/>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7"/>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7"/>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7"/>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7"/>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7"/>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7"/>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7"/>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7"/>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7"/>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7"/>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7"/>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7"/>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7"/>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7"/>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7"/>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7"/>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7"/>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7"/>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7"/>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7"/>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7"/>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7"/>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7"/>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7"/>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7"/>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7"/>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7"/>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7"/>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7"/>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7"/>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7"/>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7"/>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7"/>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7"/>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7"/>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7"/>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7"/>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7"/>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7"/>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7"/>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7"/>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7"/>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7"/>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7"/>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7"/>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7"/>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7"/>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7"/>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7"/>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7"/>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7"/>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7"/>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7"/>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7"/>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7"/>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7"/>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7"/>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7"/>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7"/>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7"/>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7"/>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7"/>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7"/>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7"/>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7"/>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7"/>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7"/>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7"/>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7"/>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7"/>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7"/>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7"/>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7"/>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7"/>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7"/>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7"/>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7"/>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7"/>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7"/>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7"/>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7"/>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7"/>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7"/>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7"/>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7"/>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7"/>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7"/>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7"/>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7"/>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7"/>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7"/>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7"/>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7"/>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7"/>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7"/>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7"/>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7"/>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7"/>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7"/>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7"/>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7"/>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7"/>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7"/>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7"/>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7"/>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7"/>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7"/>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7"/>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7"/>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7"/>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7"/>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7"/>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7"/>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7"/>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7"/>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7"/>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7"/>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4"/>
    <w:bookmarkStart w:id="3015" w:name="semaglutida-342"/>
    <w:p>
      <w:pPr>
        <w:pStyle w:val="Heading2"/>
      </w:pPr>
      <w:r>
        <w:t xml:space="preserve">Semaglutida (342)</w:t>
      </w:r>
    </w:p>
    <w:p>
      <w:pPr>
        <w:numPr>
          <w:ilvl w:val="0"/>
          <w:numId w:val="1378"/>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8"/>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8"/>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8"/>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8"/>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8"/>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8"/>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8"/>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8"/>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8"/>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8"/>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8"/>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8"/>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8"/>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8"/>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8"/>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8"/>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8"/>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8"/>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8"/>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8"/>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8"/>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8"/>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8"/>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8"/>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8"/>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8"/>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8"/>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8"/>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8"/>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8"/>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8"/>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8"/>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8"/>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8"/>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8"/>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8"/>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8"/>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8"/>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8"/>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8"/>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8"/>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8"/>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8"/>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8"/>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8"/>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8"/>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8"/>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8"/>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8"/>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8"/>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8"/>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8"/>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8"/>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8"/>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8"/>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8"/>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8"/>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8"/>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8"/>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8"/>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8"/>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8"/>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8"/>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8"/>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8"/>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8"/>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8"/>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8"/>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8"/>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8"/>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8"/>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8"/>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8"/>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8"/>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8"/>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8"/>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8"/>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8"/>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8"/>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8"/>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8"/>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8"/>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8"/>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8"/>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8"/>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8"/>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8"/>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8"/>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8"/>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8"/>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8"/>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8"/>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8"/>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8"/>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8"/>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8"/>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8"/>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8"/>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8"/>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8"/>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8"/>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8"/>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8"/>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8"/>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8"/>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8"/>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8"/>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8"/>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8"/>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8"/>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8"/>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8"/>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8"/>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8"/>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8"/>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8"/>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8"/>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8"/>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8"/>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8"/>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8"/>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8"/>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8"/>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8"/>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8"/>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8"/>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8"/>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8"/>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8"/>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8"/>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8"/>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8"/>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8"/>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8"/>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8"/>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8"/>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8"/>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8"/>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8"/>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8"/>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8"/>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8"/>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8"/>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8"/>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8"/>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8"/>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8"/>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8"/>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8"/>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8"/>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8"/>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8"/>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8"/>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8"/>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8"/>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8"/>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8"/>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8"/>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8"/>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8"/>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8"/>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8"/>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8"/>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8"/>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8"/>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8"/>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8"/>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8"/>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8"/>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8"/>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8"/>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8"/>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8"/>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8"/>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8"/>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8"/>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8"/>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8"/>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8"/>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8"/>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8"/>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8"/>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8"/>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8"/>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8"/>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8"/>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8"/>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8"/>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8"/>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8"/>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8"/>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8"/>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8"/>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8"/>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8"/>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8"/>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8"/>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8"/>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8"/>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8"/>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8"/>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8"/>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8"/>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8"/>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8"/>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8"/>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8"/>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8"/>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8"/>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8"/>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8"/>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8"/>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8"/>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8"/>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8"/>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8"/>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8"/>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8"/>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8"/>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8"/>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8"/>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8"/>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8"/>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8"/>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8"/>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8"/>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8"/>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8"/>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8"/>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8"/>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8"/>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8"/>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8"/>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8"/>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8"/>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8"/>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8"/>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8"/>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8"/>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8"/>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8"/>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8"/>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8"/>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8"/>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8"/>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8"/>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8"/>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8"/>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8"/>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8"/>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8"/>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8"/>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8"/>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8"/>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8"/>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8"/>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8"/>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8"/>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8"/>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8"/>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8"/>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8"/>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8"/>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8"/>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8"/>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8"/>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8"/>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8"/>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8"/>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8"/>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8"/>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8"/>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8"/>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8"/>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8"/>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8"/>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8"/>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8"/>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8"/>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8"/>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5"/>
    <w:bookmarkStart w:id="3016" w:name="tirzepatida-144"/>
    <w:p>
      <w:pPr>
        <w:pStyle w:val="Heading2"/>
      </w:pPr>
      <w:r>
        <w:t xml:space="preserve">Tirzepatida (144)</w:t>
      </w:r>
    </w:p>
    <w:p>
      <w:pPr>
        <w:numPr>
          <w:ilvl w:val="0"/>
          <w:numId w:val="1379"/>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79"/>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79"/>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79"/>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79"/>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79"/>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79"/>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79"/>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79"/>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79"/>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79"/>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79"/>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79"/>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79"/>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79"/>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79"/>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79"/>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79"/>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79"/>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79"/>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79"/>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79"/>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79"/>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79"/>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79"/>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79"/>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79"/>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79"/>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79"/>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79"/>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79"/>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79"/>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79"/>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79"/>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79"/>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79"/>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79"/>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9"/>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79"/>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79"/>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79"/>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79"/>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79"/>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79"/>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79"/>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79"/>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79"/>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79"/>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79"/>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79"/>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79"/>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79"/>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79"/>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79"/>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79"/>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79"/>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79"/>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79"/>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79"/>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79"/>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79"/>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79"/>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79"/>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79"/>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79"/>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79"/>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79"/>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79"/>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79"/>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79"/>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79"/>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79"/>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79"/>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6"/>
    <w:bookmarkStart w:id="3017" w:name="retatrutida-10"/>
    <w:p>
      <w:pPr>
        <w:pStyle w:val="Heading2"/>
      </w:pPr>
      <w:r>
        <w:t xml:space="preserve">Retatrutida (10)</w:t>
      </w:r>
    </w:p>
    <w:p>
      <w:pPr>
        <w:numPr>
          <w:ilvl w:val="0"/>
          <w:numId w:val="1380"/>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0"/>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0"/>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0"/>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0"/>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0"/>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0"/>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0"/>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0"/>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0"/>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17"/>
    <w:bookmarkStart w:id="3018" w:name="survodutida-10"/>
    <w:p>
      <w:pPr>
        <w:pStyle w:val="Heading2"/>
      </w:pPr>
      <w:r>
        <w:t xml:space="preserve">Survodutida (10)</w:t>
      </w:r>
    </w:p>
    <w:p>
      <w:pPr>
        <w:numPr>
          <w:ilvl w:val="0"/>
          <w:numId w:val="1381"/>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1"/>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1"/>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1"/>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1"/>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1"/>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1"/>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1"/>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1"/>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1"/>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18"/>
    <w:bookmarkStart w:id="3019" w:name="mazdutida-9"/>
    <w:p>
      <w:pPr>
        <w:pStyle w:val="Heading2"/>
      </w:pPr>
      <w:r>
        <w:t xml:space="preserve">Mazdutida (9)</w:t>
      </w:r>
    </w:p>
    <w:p>
      <w:pPr>
        <w:numPr>
          <w:ilvl w:val="0"/>
          <w:numId w:val="1382"/>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2"/>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2"/>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2"/>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2"/>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2"/>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2"/>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2"/>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2"/>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19"/>
    <w:bookmarkStart w:id="3020" w:name="cagrilintida-y-cagrisema-15"/>
    <w:p>
      <w:pPr>
        <w:pStyle w:val="Heading2"/>
      </w:pPr>
      <w:r>
        <w:t xml:space="preserve">Cagrilintida y CagriSema (15)</w:t>
      </w:r>
    </w:p>
    <w:p>
      <w:pPr>
        <w:numPr>
          <w:ilvl w:val="0"/>
          <w:numId w:val="1383"/>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3"/>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3"/>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3"/>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3"/>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3"/>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3"/>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3"/>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3"/>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3"/>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3"/>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3"/>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3"/>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3"/>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3"/>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0"/>
    <w:bookmarkStart w:id="3021" w:name="amicretina-zenagamtida-4"/>
    <w:p>
      <w:pPr>
        <w:pStyle w:val="Heading2"/>
      </w:pPr>
      <w:r>
        <w:t xml:space="preserve">Amicretina (zenagamtida) (4)</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4"/>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4"/>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1"/>
    <w:bookmarkStart w:id="3022" w:name="maridebart-cafraglutida-maritide-2"/>
    <w:p>
      <w:pPr>
        <w:pStyle w:val="Heading2"/>
      </w:pPr>
      <w:r>
        <w:t xml:space="preserve">Maridebart cafraglutida (MariTide) (2)</w:t>
      </w:r>
    </w:p>
    <w:p>
      <w:pPr>
        <w:numPr>
          <w:ilvl w:val="0"/>
          <w:numId w:val="1385"/>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5"/>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2"/>
    <w:bookmarkStart w:id="3023" w:name="pramlintida-76"/>
    <w:p>
      <w:pPr>
        <w:pStyle w:val="Heading2"/>
      </w:pPr>
      <w:r>
        <w:t xml:space="preserve">Pramlintida (76)</w:t>
      </w:r>
    </w:p>
    <w:p>
      <w:pPr>
        <w:numPr>
          <w:ilvl w:val="0"/>
          <w:numId w:val="1386"/>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6"/>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6"/>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6"/>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6"/>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6"/>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6"/>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6"/>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6"/>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6"/>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6"/>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6"/>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6"/>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6"/>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6"/>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6"/>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6"/>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6"/>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6"/>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6"/>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6"/>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6"/>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6"/>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6"/>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6"/>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6"/>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6"/>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6"/>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6"/>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6"/>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6"/>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6"/>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6"/>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6"/>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6"/>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6"/>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6"/>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6"/>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6"/>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6"/>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6"/>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6"/>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6"/>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6"/>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6"/>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6"/>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6"/>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6"/>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6"/>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6"/>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6"/>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6"/>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6"/>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6"/>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6"/>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6"/>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6"/>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6"/>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6"/>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6"/>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6"/>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6"/>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6"/>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6"/>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6"/>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6"/>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6"/>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6"/>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6"/>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6"/>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6"/>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6"/>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6"/>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3"/>
    <w:bookmarkStart w:id="3024" w:name="setmelanotida-15"/>
    <w:p>
      <w:pPr>
        <w:pStyle w:val="Heading2"/>
      </w:pPr>
      <w:r>
        <w:t xml:space="preserve">Setmelanotida (15)</w:t>
      </w:r>
    </w:p>
    <w:p>
      <w:pPr>
        <w:numPr>
          <w:ilvl w:val="0"/>
          <w:numId w:val="1387"/>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7"/>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7"/>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7"/>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7"/>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7"/>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7"/>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7"/>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7"/>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7"/>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7"/>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7"/>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7"/>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7"/>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7"/>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4"/>
    <w:bookmarkStart w:id="3025" w:name="aod-9604-0"/>
    <w:p>
      <w:pPr>
        <w:pStyle w:val="Heading2"/>
      </w:pPr>
      <w:r>
        <w:t xml:space="preserve">AOD-9604 (0)</w:t>
      </w:r>
    </w:p>
    <w:p>
      <w:pPr>
        <w:pStyle w:val="FirstParagraph"/>
      </w:pPr>
      <w:r>
        <w:t xml:space="preserve">No se encontraron publicaciones de estudios clínicos en humanos.</w:t>
      </w:r>
    </w:p>
    <w:bookmarkEnd w:id="3025"/>
    <w:bookmarkStart w:id="3026" w:name="orforglipron-a-modo-de-comparación-20"/>
    <w:p>
      <w:pPr>
        <w:pStyle w:val="Heading2"/>
      </w:pPr>
      <w:r>
        <w:t xml:space="preserve">Orforglipron (a modo de comparación) (20)</w:t>
      </w:r>
    </w:p>
    <w:p>
      <w:pPr>
        <w:numPr>
          <w:ilvl w:val="0"/>
          <w:numId w:val="1388"/>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8"/>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8"/>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8"/>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8"/>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8"/>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8"/>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8"/>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8"/>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8"/>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8"/>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8"/>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6"/>
    <w:bookmarkStart w:id="3027" w:name="bpc-157-0"/>
    <w:p>
      <w:pPr>
        <w:pStyle w:val="Heading2"/>
      </w:pPr>
      <w:r>
        <w:t xml:space="preserve">BPC-157 (0)</w:t>
      </w:r>
    </w:p>
    <w:p>
      <w:pPr>
        <w:pStyle w:val="FirstParagraph"/>
      </w:pPr>
      <w:r>
        <w:t xml:space="preserve">No se encontraron publicaciones de estudios clínicos en humanos.</w:t>
      </w:r>
    </w:p>
    <w:bookmarkEnd w:id="3027"/>
    <w:bookmarkStart w:id="3028" w:name="tb-500-y-timosina-beta-4-9"/>
    <w:p>
      <w:pPr>
        <w:pStyle w:val="Heading2"/>
      </w:pPr>
      <w:r>
        <w:t xml:space="preserve">TB-500 y timosina beta 4 (9)</w:t>
      </w:r>
    </w:p>
    <w:p>
      <w:pPr>
        <w:numPr>
          <w:ilvl w:val="0"/>
          <w:numId w:val="1389"/>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89"/>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89"/>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89"/>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89"/>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89"/>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89"/>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89"/>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89"/>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28"/>
    <w:bookmarkStart w:id="3029" w:name="timosina-alfa-1-timalfasina-90"/>
    <w:p>
      <w:pPr>
        <w:pStyle w:val="Heading2"/>
      </w:pPr>
      <w:r>
        <w:t xml:space="preserve">Timosina alfa 1 (timalfasina) (90)</w:t>
      </w:r>
    </w:p>
    <w:p>
      <w:pPr>
        <w:numPr>
          <w:ilvl w:val="0"/>
          <w:numId w:val="1390"/>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0"/>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0"/>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0"/>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0"/>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0"/>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0"/>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0"/>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0"/>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0"/>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0"/>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0"/>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0"/>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0"/>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0"/>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0"/>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0"/>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0"/>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0"/>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0"/>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0"/>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0"/>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0"/>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0"/>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0"/>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0"/>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0"/>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0"/>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0"/>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0"/>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0"/>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0"/>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0"/>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0"/>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0"/>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0"/>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0"/>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0"/>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0"/>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0"/>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0"/>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0"/>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0"/>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0"/>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0"/>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0"/>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0"/>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0"/>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0"/>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0"/>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0"/>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0"/>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0"/>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0"/>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0"/>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0"/>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0"/>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0"/>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0"/>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0"/>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0"/>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0"/>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0"/>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0"/>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0"/>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0"/>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0"/>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0"/>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0"/>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0"/>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0"/>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0"/>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0"/>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0"/>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0"/>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0"/>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0"/>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0"/>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0"/>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0"/>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0"/>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0"/>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0"/>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0"/>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0"/>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0"/>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0"/>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0"/>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29"/>
    <w:bookmarkStart w:id="3030" w:name="kpv-0"/>
    <w:p>
      <w:pPr>
        <w:pStyle w:val="Heading2"/>
      </w:pPr>
      <w:r>
        <w:t xml:space="preserve">KPV (0)</w:t>
      </w:r>
    </w:p>
    <w:p>
      <w:pPr>
        <w:pStyle w:val="FirstParagraph"/>
      </w:pPr>
      <w:r>
        <w:t xml:space="preserve">No se encontraron publicaciones de estudios clínicos en humanos.</w:t>
      </w:r>
    </w:p>
    <w:bookmarkEnd w:id="3030"/>
    <w:bookmarkStart w:id="3031" w:name="ll-37-91"/>
    <w:p>
      <w:pPr>
        <w:pStyle w:val="Heading2"/>
      </w:pPr>
      <w:r>
        <w:t xml:space="preserve">LL-37 (91)</w:t>
      </w:r>
    </w:p>
    <w:p>
      <w:pPr>
        <w:numPr>
          <w:ilvl w:val="0"/>
          <w:numId w:val="1391"/>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1"/>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1"/>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1"/>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1"/>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1"/>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1"/>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1"/>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1"/>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1"/>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1"/>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1"/>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1"/>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1"/>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1"/>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1"/>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1"/>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1"/>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1"/>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1"/>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1"/>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1"/>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1"/>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1"/>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1"/>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1"/>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1"/>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1"/>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1"/>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1"/>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1"/>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1"/>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1"/>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1"/>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1"/>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1"/>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1"/>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1"/>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1"/>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1"/>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1"/>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1"/>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1"/>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1"/>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1"/>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1"/>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1"/>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1"/>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1"/>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1"/>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1"/>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1"/>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1"/>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1"/>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1"/>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1"/>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1"/>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1"/>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1"/>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1"/>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1"/>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1"/>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1"/>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1"/>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1"/>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1"/>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1"/>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1"/>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1"/>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1"/>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1"/>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1"/>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1"/>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1"/>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1"/>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1"/>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1"/>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1"/>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1"/>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1"/>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1"/>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1"/>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1"/>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1"/>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1"/>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1"/>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1"/>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1"/>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1"/>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1"/>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1"/>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1"/>
    <w:bookmarkStart w:id="3032" w:name="ara-290-cibinetida-5"/>
    <w:p>
      <w:pPr>
        <w:pStyle w:val="Heading2"/>
      </w:pPr>
      <w:r>
        <w:t xml:space="preserve">ARA-290 (cibinetida) (5)</w:t>
      </w:r>
    </w:p>
    <w:p>
      <w:pPr>
        <w:numPr>
          <w:ilvl w:val="0"/>
          <w:numId w:val="1392"/>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2"/>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2"/>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2"/>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2"/>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2"/>
    <w:bookmarkStart w:id="3033" w:name="larazotida-4"/>
    <w:p>
      <w:pPr>
        <w:pStyle w:val="Heading2"/>
      </w:pPr>
      <w:r>
        <w:t xml:space="preserve">Larazotida (4)</w:t>
      </w:r>
    </w:p>
    <w:p>
      <w:pPr>
        <w:numPr>
          <w:ilvl w:val="0"/>
          <w:numId w:val="1393"/>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3"/>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3"/>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3"/>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3"/>
    <w:bookmarkStart w:id="3034" w:name="timalina-y-timógeno-17"/>
    <w:p>
      <w:pPr>
        <w:pStyle w:val="Heading2"/>
      </w:pPr>
      <w:r>
        <w:t xml:space="preserve">Timalina y timógeno (17)</w:t>
      </w:r>
    </w:p>
    <w:p>
      <w:pPr>
        <w:numPr>
          <w:ilvl w:val="0"/>
          <w:numId w:val="1394"/>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4"/>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4"/>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4"/>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4"/>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4"/>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4"/>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4"/>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4"/>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4"/>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4"/>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4"/>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4"/>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4"/>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4"/>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4"/>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4"/>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4"/>
    <w:bookmarkStart w:id="3035" w:name="sermorelina-0"/>
    <w:p>
      <w:pPr>
        <w:pStyle w:val="Heading2"/>
      </w:pPr>
      <w:r>
        <w:t xml:space="preserve">Sermorelina (0)</w:t>
      </w:r>
    </w:p>
    <w:p>
      <w:pPr>
        <w:pStyle w:val="FirstParagraph"/>
      </w:pPr>
      <w:r>
        <w:t xml:space="preserve">No se encontraron publicaciones de estudios clínicos en humanos.</w:t>
      </w:r>
    </w:p>
    <w:bookmarkEnd w:id="3035"/>
    <w:bookmarkStart w:id="3036" w:name="tesamorelina-23"/>
    <w:p>
      <w:pPr>
        <w:pStyle w:val="Heading2"/>
      </w:pPr>
      <w:r>
        <w:t xml:space="preserve">Tesamorelina (23)</w:t>
      </w:r>
    </w:p>
    <w:p>
      <w:pPr>
        <w:numPr>
          <w:ilvl w:val="0"/>
          <w:numId w:val="1395"/>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5"/>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5"/>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5"/>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5"/>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5"/>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5"/>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5"/>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5"/>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5"/>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5"/>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5"/>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5"/>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5"/>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5"/>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5"/>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5"/>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5"/>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5"/>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5"/>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5"/>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5"/>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5"/>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6"/>
    <w:bookmarkStart w:id="3037" w:name="cjc-1295-2"/>
    <w:p>
      <w:pPr>
        <w:pStyle w:val="Heading2"/>
      </w:pPr>
      <w:r>
        <w:t xml:space="preserve">CJC-1295 (2)</w:t>
      </w:r>
    </w:p>
    <w:p>
      <w:pPr>
        <w:numPr>
          <w:ilvl w:val="0"/>
          <w:numId w:val="1396"/>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6"/>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37"/>
    <w:bookmarkStart w:id="3038" w:name="ipamorelina-2"/>
    <w:p>
      <w:pPr>
        <w:pStyle w:val="Heading2"/>
      </w:pPr>
      <w:r>
        <w:t xml:space="preserve">Ipamorelina (2)</w:t>
      </w:r>
    </w:p>
    <w:p>
      <w:pPr>
        <w:numPr>
          <w:ilvl w:val="0"/>
          <w:numId w:val="1397"/>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7"/>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38"/>
    <w:bookmarkStart w:id="3039" w:name="ghrp-2-pralmorelina-55"/>
    <w:p>
      <w:pPr>
        <w:pStyle w:val="Heading2"/>
      </w:pPr>
      <w:r>
        <w:t xml:space="preserve">GHRP-2 (pralmorelina) (55)</w:t>
      </w:r>
    </w:p>
    <w:p>
      <w:pPr>
        <w:numPr>
          <w:ilvl w:val="0"/>
          <w:numId w:val="1398"/>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8"/>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8"/>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8"/>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8"/>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8"/>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8"/>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8"/>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8"/>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8"/>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8"/>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8"/>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8"/>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8"/>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8"/>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8"/>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8"/>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8"/>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8"/>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8"/>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8"/>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8"/>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8"/>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8"/>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8"/>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8"/>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8"/>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8"/>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8"/>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8"/>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8"/>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8"/>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8"/>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8"/>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8"/>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8"/>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8"/>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8"/>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8"/>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8"/>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8"/>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8"/>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8"/>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8"/>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39"/>
    <w:bookmarkStart w:id="3040" w:name="ghrp-6-40"/>
    <w:p>
      <w:pPr>
        <w:pStyle w:val="Heading2"/>
      </w:pPr>
      <w:r>
        <w:t xml:space="preserve">GHRP-6 (40)</w:t>
      </w:r>
    </w:p>
    <w:p>
      <w:pPr>
        <w:numPr>
          <w:ilvl w:val="0"/>
          <w:numId w:val="1399"/>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399"/>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399"/>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399"/>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399"/>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399"/>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399"/>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399"/>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399"/>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399"/>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399"/>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399"/>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399"/>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399"/>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399"/>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399"/>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399"/>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399"/>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399"/>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399"/>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399"/>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399"/>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399"/>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399"/>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399"/>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399"/>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399"/>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399"/>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399"/>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399"/>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399"/>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399"/>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399"/>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399"/>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399"/>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399"/>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399"/>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399"/>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0"/>
    <w:bookmarkStart w:id="3041" w:name="hexarelina-58"/>
    <w:p>
      <w:pPr>
        <w:pStyle w:val="Heading2"/>
      </w:pPr>
      <w:r>
        <w:t xml:space="preserve">Hexarelina (58)</w:t>
      </w:r>
    </w:p>
    <w:p>
      <w:pPr>
        <w:numPr>
          <w:ilvl w:val="0"/>
          <w:numId w:val="1400"/>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0"/>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0"/>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0"/>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0"/>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0"/>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0"/>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0"/>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0"/>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0"/>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0"/>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0"/>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0"/>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0"/>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0"/>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0"/>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0"/>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0"/>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0"/>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0"/>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0"/>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0"/>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0"/>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0"/>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0"/>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0"/>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0"/>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0"/>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0"/>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0"/>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0"/>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0"/>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0"/>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0"/>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0"/>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0"/>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0"/>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0"/>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0"/>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0"/>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0"/>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0"/>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0"/>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0"/>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0"/>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0"/>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0"/>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0"/>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1"/>
    <w:bookmarkStart w:id="3042" w:name="macimorelina-4"/>
    <w:p>
      <w:pPr>
        <w:pStyle w:val="Heading2"/>
      </w:pPr>
      <w:r>
        <w:t xml:space="preserve">Macimorelina (4)</w:t>
      </w:r>
    </w:p>
    <w:p>
      <w:pPr>
        <w:numPr>
          <w:ilvl w:val="0"/>
          <w:numId w:val="1401"/>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1"/>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1"/>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1"/>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2"/>
    <w:bookmarkStart w:id="3043" w:name="mecasermina-igf-1-21"/>
    <w:p>
      <w:pPr>
        <w:pStyle w:val="Heading2"/>
      </w:pPr>
      <w:r>
        <w:t xml:space="preserve">Mecasermina (IGF-1) (21)</w:t>
      </w:r>
    </w:p>
    <w:p>
      <w:pPr>
        <w:numPr>
          <w:ilvl w:val="0"/>
          <w:numId w:val="1402"/>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2"/>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2"/>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2"/>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2"/>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2"/>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2"/>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2"/>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2"/>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2"/>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2"/>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2"/>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2"/>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2"/>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2"/>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2"/>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2"/>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2"/>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2"/>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2"/>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2"/>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3"/>
    <w:bookmarkStart w:id="3044" w:name="igf-1-lr3-0"/>
    <w:p>
      <w:pPr>
        <w:pStyle w:val="Heading2"/>
      </w:pPr>
      <w:r>
        <w:t xml:space="preserve">IGF-1 LR3 (0)</w:t>
      </w:r>
    </w:p>
    <w:p>
      <w:pPr>
        <w:pStyle w:val="FirstParagraph"/>
      </w:pPr>
      <w:r>
        <w:t xml:space="preserve">No se encontraron publicaciones de estudios clínicos en humanos.</w:t>
      </w:r>
    </w:p>
    <w:bookmarkEnd w:id="3044"/>
    <w:bookmarkStart w:id="3045" w:name="ibutamoreno-mk-677-19"/>
    <w:p>
      <w:pPr>
        <w:pStyle w:val="Heading2"/>
      </w:pPr>
      <w:r>
        <w:t xml:space="preserve">Ibutamoreno (MK-677) (19)</w:t>
      </w:r>
    </w:p>
    <w:p>
      <w:pPr>
        <w:numPr>
          <w:ilvl w:val="0"/>
          <w:numId w:val="1403"/>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3"/>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3"/>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3"/>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3"/>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3"/>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3"/>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3"/>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3"/>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3"/>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3"/>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3"/>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3"/>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3"/>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3"/>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3"/>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3"/>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3"/>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3"/>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5"/>
    <w:bookmarkStart w:id="3046" w:name="semax-4"/>
    <w:p>
      <w:pPr>
        <w:pStyle w:val="Heading2"/>
      </w:pPr>
      <w:r>
        <w:t xml:space="preserve">Semax (4)</w:t>
      </w:r>
    </w:p>
    <w:p>
      <w:pPr>
        <w:numPr>
          <w:ilvl w:val="0"/>
          <w:numId w:val="1404"/>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4"/>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4"/>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4"/>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6"/>
    <w:bookmarkStart w:id="3047" w:name="selank-3"/>
    <w:p>
      <w:pPr>
        <w:pStyle w:val="Heading2"/>
      </w:pPr>
      <w:r>
        <w:t xml:space="preserve">Selank (3)</w:t>
      </w:r>
    </w:p>
    <w:p>
      <w:pPr>
        <w:numPr>
          <w:ilvl w:val="0"/>
          <w:numId w:val="1405"/>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5"/>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5"/>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47"/>
    <w:bookmarkStart w:id="3048" w:name="cerebrolisina-88"/>
    <w:p>
      <w:pPr>
        <w:pStyle w:val="Heading2"/>
      </w:pPr>
      <w:r>
        <w:t xml:space="preserve">Cerebrolisina (88)</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6"/>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6"/>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6"/>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6"/>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6"/>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6"/>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6"/>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6"/>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6"/>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6"/>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6"/>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6"/>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6"/>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6"/>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6"/>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6"/>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6"/>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6"/>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6"/>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6"/>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6"/>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6"/>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6"/>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6"/>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6"/>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6"/>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6"/>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6"/>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6"/>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6"/>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6"/>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6"/>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6"/>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6"/>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6"/>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6"/>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6"/>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6"/>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6"/>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6"/>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6"/>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6"/>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6"/>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6"/>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6"/>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6"/>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6"/>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6"/>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6"/>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6"/>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6"/>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6"/>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6"/>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6"/>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6"/>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6"/>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6"/>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6"/>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6"/>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6"/>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6"/>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6"/>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6"/>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6"/>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6"/>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6"/>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6"/>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6"/>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6"/>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6"/>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6"/>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6"/>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6"/>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6"/>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6"/>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6"/>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6"/>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6"/>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6"/>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6"/>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6"/>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6"/>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6"/>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6"/>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48"/>
    <w:bookmarkStart w:id="3049" w:name="dihexa-0"/>
    <w:p>
      <w:pPr>
        <w:pStyle w:val="Heading2"/>
      </w:pPr>
      <w:r>
        <w:t xml:space="preserve">Dihexa (0)</w:t>
      </w:r>
    </w:p>
    <w:p>
      <w:pPr>
        <w:pStyle w:val="FirstParagraph"/>
      </w:pPr>
      <w:r>
        <w:t xml:space="preserve">No se encontraron publicaciones de estudios clínicos en humanos.</w:t>
      </w:r>
    </w:p>
    <w:bookmarkEnd w:id="3049"/>
    <w:bookmarkStart w:id="3050" w:name="dsip-péptido-inductor-del-sueño-delta-18"/>
    <w:p>
      <w:pPr>
        <w:pStyle w:val="Heading2"/>
      </w:pPr>
      <w:r>
        <w:t xml:space="preserve">DSIP (péptido inductor del sueño delta) (18)</w:t>
      </w:r>
    </w:p>
    <w:p>
      <w:pPr>
        <w:numPr>
          <w:ilvl w:val="0"/>
          <w:numId w:val="1407"/>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7"/>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7"/>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7"/>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7"/>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7"/>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7"/>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7"/>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7"/>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7"/>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7"/>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7"/>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7"/>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7"/>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7"/>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7"/>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7"/>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7"/>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0"/>
    <w:bookmarkStart w:id="3051" w:name="epitalon-epithalon-1"/>
    <w:p>
      <w:pPr>
        <w:pStyle w:val="Heading2"/>
      </w:pPr>
      <w:r>
        <w:t xml:space="preserve">Epitalon (Epithalon) (1)</w:t>
      </w:r>
    </w:p>
    <w:p>
      <w:pPr>
        <w:numPr>
          <w:ilvl w:val="0"/>
          <w:numId w:val="1408"/>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1"/>
    <w:bookmarkStart w:id="3052" w:name="pinealon-1"/>
    <w:p>
      <w:pPr>
        <w:pStyle w:val="Heading2"/>
      </w:pPr>
      <w:r>
        <w:t xml:space="preserve">Pinealon (1)</w:t>
      </w:r>
    </w:p>
    <w:p>
      <w:pPr>
        <w:numPr>
          <w:ilvl w:val="0"/>
          <w:numId w:val="1409"/>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2"/>
    <w:bookmarkStart w:id="3053" w:name="mots-c-5"/>
    <w:p>
      <w:pPr>
        <w:pStyle w:val="Heading2"/>
      </w:pPr>
      <w:r>
        <w:t xml:space="preserve">MOTS-c (5)</w:t>
      </w:r>
    </w:p>
    <w:p>
      <w:pPr>
        <w:numPr>
          <w:ilvl w:val="0"/>
          <w:numId w:val="1410"/>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0"/>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0"/>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0"/>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0"/>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3"/>
    <w:bookmarkStart w:id="3054" w:name="humanina-8"/>
    <w:p>
      <w:pPr>
        <w:pStyle w:val="Heading2"/>
      </w:pPr>
      <w:r>
        <w:t xml:space="preserve">Humanina (8)</w:t>
      </w:r>
    </w:p>
    <w:p>
      <w:pPr>
        <w:numPr>
          <w:ilvl w:val="0"/>
          <w:numId w:val="1411"/>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1"/>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1"/>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1"/>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1"/>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1"/>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4"/>
    <w:bookmarkStart w:id="3055" w:name="ss-31-elamipretida-19"/>
    <w:p>
      <w:pPr>
        <w:pStyle w:val="Heading2"/>
      </w:pPr>
      <w:r>
        <w:t xml:space="preserve">SS-31 (elamipretida) (19)</w:t>
      </w:r>
    </w:p>
    <w:p>
      <w:pPr>
        <w:numPr>
          <w:ilvl w:val="0"/>
          <w:numId w:val="1412"/>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2"/>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2"/>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2"/>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2"/>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2"/>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2"/>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2"/>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2"/>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2"/>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2"/>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2"/>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2"/>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2"/>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2"/>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2"/>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2"/>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2"/>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2"/>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5"/>
    <w:bookmarkStart w:id="3056" w:name="foxo4-dri-0"/>
    <w:p>
      <w:pPr>
        <w:pStyle w:val="Heading2"/>
      </w:pPr>
      <w:r>
        <w:t xml:space="preserve">FOXO4-DRI (0)</w:t>
      </w:r>
    </w:p>
    <w:p>
      <w:pPr>
        <w:pStyle w:val="FirstParagraph"/>
      </w:pPr>
      <w:r>
        <w:t xml:space="preserve">No se encontraron publicaciones de estudios clínicos en humanos.</w:t>
      </w:r>
    </w:p>
    <w:bookmarkEnd w:id="3056"/>
    <w:bookmarkStart w:id="3057" w:name="glutatión-161"/>
    <w:p>
      <w:pPr>
        <w:pStyle w:val="Heading2"/>
      </w:pPr>
      <w:r>
        <w:t xml:space="preserve">Glutatión (161)</w:t>
      </w:r>
    </w:p>
    <w:p>
      <w:pPr>
        <w:numPr>
          <w:ilvl w:val="0"/>
          <w:numId w:val="1413"/>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3"/>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3"/>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3"/>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3"/>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3"/>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3"/>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3"/>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3"/>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3"/>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3"/>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3"/>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3"/>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3"/>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3"/>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3"/>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3"/>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3"/>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3"/>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3"/>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3"/>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3"/>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3"/>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3"/>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3"/>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3"/>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3"/>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3"/>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3"/>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3"/>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3"/>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3"/>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3"/>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3"/>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3"/>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3"/>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3"/>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3"/>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3"/>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3"/>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3"/>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3"/>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3"/>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3"/>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3"/>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3"/>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3"/>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3"/>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3"/>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3"/>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3"/>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3"/>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3"/>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3"/>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3"/>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3"/>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3"/>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3"/>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3"/>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3"/>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3"/>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3"/>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3"/>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3"/>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3"/>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3"/>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3"/>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3"/>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3"/>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3"/>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3"/>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3"/>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3"/>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3"/>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3"/>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3"/>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3"/>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3"/>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3"/>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3"/>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3"/>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3"/>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3"/>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3"/>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3"/>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3"/>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3"/>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3"/>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3"/>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3"/>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3"/>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3"/>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3"/>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3"/>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3"/>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3"/>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3"/>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3"/>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3"/>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3"/>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3"/>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3"/>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3"/>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3"/>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3"/>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3"/>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3"/>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3"/>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3"/>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3"/>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3"/>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3"/>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3"/>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3"/>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3"/>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3"/>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3"/>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3"/>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3"/>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3"/>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3"/>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3"/>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3"/>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3"/>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3"/>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3"/>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3"/>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3"/>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3"/>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3"/>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3"/>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3"/>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3"/>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3"/>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3"/>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3"/>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3"/>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3"/>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3"/>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3"/>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3"/>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3"/>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3"/>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3"/>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3"/>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3"/>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3"/>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3"/>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3"/>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3"/>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3"/>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3"/>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3"/>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3"/>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3"/>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3"/>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3"/>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3"/>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3"/>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3"/>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3"/>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57"/>
    <w:bookmarkStart w:id="3058" w:name="bremelanotida-pt-141-16"/>
    <w:p>
      <w:pPr>
        <w:pStyle w:val="Heading2"/>
      </w:pPr>
      <w:r>
        <w:t xml:space="preserve">Bremelanotida (PT-141) (16)</w:t>
      </w:r>
    </w:p>
    <w:p>
      <w:pPr>
        <w:numPr>
          <w:ilvl w:val="0"/>
          <w:numId w:val="1414"/>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4"/>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4"/>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4"/>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4"/>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4"/>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4"/>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4"/>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4"/>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4"/>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4"/>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4"/>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4"/>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4"/>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4"/>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4"/>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58"/>
    <w:bookmarkStart w:id="3059" w:name="melanotán-ii-8"/>
    <w:p>
      <w:pPr>
        <w:pStyle w:val="Heading2"/>
      </w:pPr>
      <w:r>
        <w:t xml:space="preserve">Melanotán II (8)</w:t>
      </w:r>
    </w:p>
    <w:p>
      <w:pPr>
        <w:numPr>
          <w:ilvl w:val="0"/>
          <w:numId w:val="1415"/>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5"/>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5"/>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5"/>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5"/>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5"/>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5"/>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5"/>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59"/>
    <w:bookmarkStart w:id="3060" w:name="afamelanotida-10"/>
    <w:p>
      <w:pPr>
        <w:pStyle w:val="Heading2"/>
      </w:pPr>
      <w:r>
        <w:t xml:space="preserve">Afamelanotida (10)</w:t>
      </w:r>
    </w:p>
    <w:p>
      <w:pPr>
        <w:numPr>
          <w:ilvl w:val="0"/>
          <w:numId w:val="1416"/>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6"/>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6"/>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6"/>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6"/>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6"/>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6"/>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6"/>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6"/>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6"/>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0"/>
    <w:bookmarkStart w:id="3061" w:name="kisspeptina-37"/>
    <w:p>
      <w:pPr>
        <w:pStyle w:val="Heading2"/>
      </w:pPr>
      <w:r>
        <w:t xml:space="preserve">Kisspeptina (37)</w:t>
      </w:r>
    </w:p>
    <w:p>
      <w:pPr>
        <w:numPr>
          <w:ilvl w:val="0"/>
          <w:numId w:val="1417"/>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7"/>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7"/>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7"/>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7"/>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7"/>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7"/>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7"/>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7"/>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7"/>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7"/>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7"/>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7"/>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7"/>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7"/>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7"/>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7"/>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7"/>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7"/>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7"/>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7"/>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7"/>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7"/>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7"/>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7"/>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7"/>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7"/>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7"/>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7"/>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7"/>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7"/>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7"/>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7"/>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7"/>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7"/>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7"/>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7"/>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1"/>
    <w:bookmarkStart w:id="3062" w:name="oxitocina-espray-nasal-349"/>
    <w:p>
      <w:pPr>
        <w:pStyle w:val="Heading2"/>
      </w:pPr>
      <w:r>
        <w:t xml:space="preserve">Oxitocina (espray nasal) (349)</w:t>
      </w:r>
    </w:p>
    <w:p>
      <w:pPr>
        <w:numPr>
          <w:ilvl w:val="0"/>
          <w:numId w:val="1418"/>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8"/>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8"/>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8"/>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8"/>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8"/>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8"/>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8"/>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8"/>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8"/>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8"/>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8"/>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8"/>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8"/>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8"/>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8"/>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8"/>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8"/>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8"/>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8"/>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8"/>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8"/>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8"/>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8"/>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8"/>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8"/>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8"/>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8"/>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8"/>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8"/>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8"/>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8"/>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8"/>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8"/>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8"/>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8"/>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8"/>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8"/>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8"/>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8"/>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8"/>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8"/>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8"/>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8"/>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8"/>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8"/>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8"/>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8"/>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8"/>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8"/>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8"/>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8"/>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8"/>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8"/>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8"/>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8"/>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8"/>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8"/>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8"/>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8"/>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8"/>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8"/>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8"/>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8"/>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8"/>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8"/>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8"/>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8"/>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8"/>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8"/>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8"/>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8"/>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8"/>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8"/>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8"/>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8"/>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8"/>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8"/>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8"/>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8"/>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8"/>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8"/>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8"/>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8"/>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8"/>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8"/>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8"/>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8"/>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8"/>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8"/>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8"/>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8"/>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8"/>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8"/>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8"/>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8"/>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8"/>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8"/>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8"/>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8"/>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8"/>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8"/>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8"/>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8"/>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8"/>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8"/>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8"/>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8"/>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8"/>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8"/>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8"/>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8"/>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8"/>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8"/>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8"/>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8"/>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8"/>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8"/>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8"/>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8"/>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8"/>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8"/>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8"/>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8"/>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8"/>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8"/>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8"/>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8"/>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8"/>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8"/>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8"/>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8"/>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8"/>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8"/>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8"/>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8"/>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8"/>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8"/>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8"/>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8"/>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8"/>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8"/>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8"/>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8"/>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8"/>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8"/>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8"/>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8"/>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8"/>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8"/>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8"/>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8"/>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8"/>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8"/>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8"/>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8"/>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8"/>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8"/>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8"/>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8"/>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8"/>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8"/>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8"/>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8"/>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8"/>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8"/>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8"/>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8"/>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8"/>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8"/>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8"/>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8"/>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8"/>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8"/>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8"/>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8"/>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8"/>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8"/>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8"/>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8"/>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8"/>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8"/>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8"/>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8"/>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8"/>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8"/>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8"/>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8"/>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8"/>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8"/>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8"/>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8"/>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8"/>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8"/>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8"/>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8"/>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8"/>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8"/>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8"/>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8"/>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8"/>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8"/>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8"/>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8"/>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8"/>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8"/>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8"/>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8"/>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8"/>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8"/>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8"/>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8"/>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8"/>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8"/>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8"/>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8"/>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8"/>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8"/>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8"/>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8"/>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8"/>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8"/>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8"/>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8"/>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8"/>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8"/>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8"/>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8"/>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8"/>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8"/>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8"/>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8"/>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8"/>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8"/>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8"/>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8"/>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8"/>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8"/>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8"/>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8"/>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8"/>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8"/>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8"/>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8"/>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8"/>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8"/>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8"/>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8"/>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8"/>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8"/>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8"/>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8"/>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8"/>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8"/>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8"/>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8"/>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8"/>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8"/>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8"/>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8"/>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8"/>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8"/>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8"/>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8"/>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8"/>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8"/>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8"/>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8"/>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8"/>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8"/>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8"/>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8"/>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8"/>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8"/>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8"/>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8"/>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8"/>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8"/>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8"/>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8"/>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8"/>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8"/>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8"/>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8"/>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8"/>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8"/>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8"/>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8"/>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8"/>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8"/>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8"/>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8"/>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8"/>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8"/>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8"/>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8"/>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8"/>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8"/>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8"/>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8"/>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8"/>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8"/>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8"/>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8"/>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8"/>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8"/>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8"/>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8"/>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8"/>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8"/>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8"/>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8"/>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8"/>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8"/>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8"/>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8"/>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8"/>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8"/>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8"/>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8"/>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8"/>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8"/>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8"/>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8"/>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8"/>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8"/>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8"/>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8"/>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8"/>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8"/>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8"/>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8"/>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8"/>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8"/>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8"/>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8"/>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8"/>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8"/>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8"/>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8"/>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8"/>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8"/>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8"/>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8"/>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8"/>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8"/>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8"/>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2"/>
    <w:bookmarkStart w:id="3063" w:name="gonadorelina-9"/>
    <w:p>
      <w:pPr>
        <w:pStyle w:val="Heading2"/>
      </w:pPr>
      <w:r>
        <w:t xml:space="preserve">Gonadorelina (9)</w:t>
      </w:r>
    </w:p>
    <w:p>
      <w:pPr>
        <w:numPr>
          <w:ilvl w:val="0"/>
          <w:numId w:val="1419"/>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19"/>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19"/>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19"/>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19"/>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19"/>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19"/>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19"/>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19"/>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3"/>
    <w:bookmarkStart w:id="3064" w:name="Xefac3dfbcc4b80f2e614ff3f32fd63dcc1b3db6"/>
    <w:p>
      <w:pPr>
        <w:pStyle w:val="Heading2"/>
      </w:pPr>
      <w:r>
        <w:t xml:space="preserve">Péptidos de colágeno (colágeno hidrolizado) (101)</w:t>
      </w:r>
    </w:p>
    <w:p>
      <w:pPr>
        <w:numPr>
          <w:ilvl w:val="0"/>
          <w:numId w:val="1420"/>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0"/>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0"/>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0"/>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0"/>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0"/>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0"/>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0"/>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0"/>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0"/>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0"/>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0"/>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0"/>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0"/>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0"/>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0"/>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0"/>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0"/>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0"/>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0"/>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0"/>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0"/>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0"/>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0"/>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0"/>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0"/>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0"/>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0"/>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0"/>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0"/>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0"/>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0"/>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0"/>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0"/>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0"/>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0"/>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0"/>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0"/>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0"/>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0"/>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0"/>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0"/>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0"/>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0"/>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0"/>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0"/>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0"/>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0"/>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0"/>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0"/>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0"/>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0"/>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0"/>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0"/>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0"/>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0"/>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0"/>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0"/>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0"/>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0"/>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0"/>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0"/>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0"/>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0"/>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0"/>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0"/>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0"/>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0"/>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0"/>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0"/>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0"/>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0"/>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0"/>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0"/>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0"/>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0"/>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0"/>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0"/>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0"/>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0"/>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0"/>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0"/>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0"/>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0"/>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0"/>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0"/>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0"/>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0"/>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0"/>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0"/>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0"/>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0"/>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0"/>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0"/>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0"/>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0"/>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0"/>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0"/>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0"/>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4"/>
    <w:bookmarkStart w:id="3065" w:name="lactotripéptidos-vpp-e-ipp-21"/>
    <w:p>
      <w:pPr>
        <w:pStyle w:val="Heading2"/>
      </w:pPr>
      <w:r>
        <w:t xml:space="preserve">Lactotripéptidos (VPP e IPP) (21)</w:t>
      </w:r>
    </w:p>
    <w:p>
      <w:pPr>
        <w:numPr>
          <w:ilvl w:val="0"/>
          <w:numId w:val="1421"/>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1"/>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1"/>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1"/>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1"/>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1"/>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1"/>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1"/>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1"/>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1"/>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1"/>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1"/>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1"/>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1"/>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1"/>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1"/>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1"/>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1"/>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1"/>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1"/>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1"/>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5"/>
    <w:bookmarkStart w:id="3066" w:name="carnosina-57"/>
    <w:p>
      <w:pPr>
        <w:pStyle w:val="Heading2"/>
      </w:pPr>
      <w:r>
        <w:t xml:space="preserve">Carnosina (57)</w:t>
      </w:r>
    </w:p>
    <w:p>
      <w:pPr>
        <w:numPr>
          <w:ilvl w:val="0"/>
          <w:numId w:val="1422"/>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2"/>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2"/>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2"/>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2"/>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2"/>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2"/>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2"/>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2"/>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2"/>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2"/>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2"/>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2"/>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2"/>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2"/>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2"/>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2"/>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2"/>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2"/>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2"/>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2"/>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2"/>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2"/>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2"/>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2"/>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2"/>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2"/>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2"/>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2"/>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2"/>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2"/>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2"/>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2"/>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2"/>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2"/>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2"/>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2"/>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2"/>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2"/>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2"/>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2"/>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2"/>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2"/>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2"/>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2"/>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2"/>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2"/>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2"/>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2"/>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2"/>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2"/>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2"/>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2"/>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2"/>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2"/>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2"/>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2"/>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6"/>
    <w:bookmarkStart w:id="3067" w:name="ghk-cu-péptido-de-cobre-1"/>
    <w:p>
      <w:pPr>
        <w:pStyle w:val="Heading2"/>
      </w:pPr>
      <w:r>
        <w:t xml:space="preserve">GHK-Cu (péptido de cobre) (1)</w:t>
      </w:r>
    </w:p>
    <w:p>
      <w:pPr>
        <w:numPr>
          <w:ilvl w:val="0"/>
          <w:numId w:val="1423"/>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67"/>
    <w:bookmarkStart w:id="3068" w:name="palmitoil-pentapéptido-4-matrixyl-1"/>
    <w:p>
      <w:pPr>
        <w:pStyle w:val="Heading2"/>
      </w:pPr>
      <w:r>
        <w:t xml:space="preserve">Palmitoil pentapéptido-4 (Matrixyl) (1)</w:t>
      </w:r>
    </w:p>
    <w:p>
      <w:pPr>
        <w:numPr>
          <w:ilvl w:val="0"/>
          <w:numId w:val="1424"/>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68"/>
    <w:bookmarkStart w:id="3069" w:name="acetil-hexapéptido-8-argireline-3"/>
    <w:p>
      <w:pPr>
        <w:pStyle w:val="Heading2"/>
      </w:pPr>
      <w:r>
        <w:t xml:space="preserve">Acetil hexapéptido-8 (Argireline) (3)</w:t>
      </w:r>
    </w:p>
    <w:p>
      <w:pPr>
        <w:numPr>
          <w:ilvl w:val="0"/>
          <w:numId w:val="1425"/>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5"/>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5"/>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69"/>
    <w:bookmarkEnd w:id="3070"/>
    <w:bookmarkStart w:id="3071" w:name="sobre-el-autor"/>
    <w:p>
      <w:pPr>
        <w:pStyle w:val="Heading1"/>
      </w:pPr>
      <w:r>
        <w:t xml:space="preserve">Sobre el autor</w:t>
      </w:r>
    </w:p>
    <w:p>
      <w:pPr>
        <w:pStyle w:val="FirstParagraph"/>
      </w:pPr>
      <w:r>
        <w:t xml:space="preserve">Josef Gallab se dedica desde hace más de cinco años de forma intensa a los péptidos, el deporte y el biohacking. Le interesa lo que realmente hace avanzar la salud y el rendimiento, y lo que se queda en una mera promesa.</w:t>
      </w:r>
    </w:p>
    <w:p>
      <w:pPr>
        <w:pStyle w:val="BodyText"/>
      </w:pPr>
      <w:r>
        <w:t xml:space="preserve">Conoce de cerca el ambiente, las promesas y los testimonios en torno a muchos de los péptidos descritos en este libro. Precisamente por eso le importa separar con claridad el entusiasmo de las pruebas: tomar en serio el potencial de los péptidos sin callar las preguntas abiertas.</w:t>
      </w:r>
    </w:p>
    <w:p>
      <w:pPr>
        <w:pStyle w:val="BodyText"/>
      </w:pPr>
      <w:r>
        <w:t xml:space="preserve">Con</w:t>
      </w:r>
      <w:r>
        <w:t xml:space="preserve"> </w:t>
      </w:r>
      <w:r>
        <w:rPr>
          <w:iCs/>
          <w:i/>
        </w:rPr>
        <w:t xml:space="preserve">El manual de los péptidos</w:t>
      </w:r>
      <w:r>
        <w:t xml:space="preserve"> </w:t>
      </w:r>
      <w:r>
        <w:t xml:space="preserve">quiere dar a sus lectoras y lectores la herramienta que a él mismo le faltó al principio: una visión de conjunto honesta de lo que los estudios muestran realmente.</w:t>
      </w:r>
    </w:p>
    <w:bookmarkEnd w:id="30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Krug 2018, PMID 29864719.</w:t>
      </w:r>
    </w:p>
  </w:footnote>
  <w:footnote w:id="41">
    <w:p>
      <w:pPr>
        <w:pStyle w:val="FootnoteText"/>
      </w:pPr>
      <w:r>
        <w:rPr>
          <w:rStyle w:val="FootnoteReference"/>
        </w:rPr>
        <w:footnoteRef/>
      </w:r>
      <w:r>
        <w:t xml:space="preserve"> </w:t>
      </w:r>
      <w:r>
        <w:t xml:space="preserve">Eng 1992, PMID 1313797.</w:t>
      </w:r>
    </w:p>
  </w:footnote>
  <w:footnote w:id="43">
    <w:p>
      <w:pPr>
        <w:pStyle w:val="FootnoteText"/>
      </w:pPr>
      <w:r>
        <w:rPr>
          <w:rStyle w:val="FootnoteReference"/>
        </w:rPr>
        <w:footnoteRef/>
      </w:r>
      <w:r>
        <w:t xml:space="preserve"> </w:t>
      </w:r>
      <w:r>
        <w:t xml:space="preserve">Knudsen 2019, PMID 31031702.</w:t>
      </w:r>
    </w:p>
  </w:footnote>
  <w:footnote w:id="45">
    <w:p>
      <w:pPr>
        <w:pStyle w:val="FootnoteText"/>
      </w:pPr>
      <w:r>
        <w:rPr>
          <w:rStyle w:val="FootnoteReference"/>
        </w:rPr>
        <w:footnoteRef/>
      </w:r>
      <w:r>
        <w:t xml:space="preserve"> </w:t>
      </w:r>
      <w:r>
        <w:t xml:space="preserve">Deacon 1995, PMID 7883856.</w:t>
      </w:r>
    </w:p>
  </w:footnote>
  <w:footnote w:id="46">
    <w:p>
      <w:pPr>
        <w:pStyle w:val="FootnoteText"/>
      </w:pPr>
      <w:r>
        <w:rPr>
          <w:rStyle w:val="FootnoteReference"/>
        </w:rPr>
        <w:footnoteRef/>
      </w:r>
      <w:r>
        <w:t xml:space="preserve"> </w:t>
      </w:r>
      <w:r>
        <w:t xml:space="preserve">Lau 2015, PMID 26308095.</w:t>
      </w:r>
    </w:p>
  </w:footnote>
  <w:footnote w:id="47">
    <w:p>
      <w:pPr>
        <w:pStyle w:val="FootnoteText"/>
      </w:pPr>
      <w:r>
        <w:rPr>
          <w:rStyle w:val="FootnoteReference"/>
        </w:rPr>
        <w:footnoteRef/>
      </w:r>
      <w:r>
        <w:t xml:space="preserve"> </w:t>
      </w:r>
      <w:r>
        <w:t xml:space="preserve">Marso 2016, PMID 27633186.</w:t>
      </w:r>
    </w:p>
  </w:footnote>
  <w:footnote w:id="49">
    <w:p>
      <w:pPr>
        <w:pStyle w:val="FootnoteText"/>
      </w:pPr>
      <w:r>
        <w:rPr>
          <w:rStyle w:val="FootnoteReference"/>
        </w:rPr>
        <w:footnoteRef/>
      </w:r>
      <w:r>
        <w:t xml:space="preserve"> </w:t>
      </w:r>
      <w:r>
        <w:t xml:space="preserve">Merrifield 1969, PMID 4307033.</w:t>
      </w:r>
    </w:p>
  </w:footnote>
  <w:footnote w:id="50">
    <w:p>
      <w:pPr>
        <w:pStyle w:val="FootnoteText"/>
      </w:pPr>
      <w:r>
        <w:rPr>
          <w:rStyle w:val="FootnoteReference"/>
        </w:rPr>
        <w:footnoteRef/>
      </w:r>
      <w:r>
        <w:t xml:space="preserve"> </w:t>
      </w:r>
      <w:r>
        <w:t xml:space="preserve">The 1989, PMID 2690608.</w:t>
      </w:r>
    </w:p>
  </w:footnote>
  <w:footnote w:id="51">
    <w:p>
      <w:pPr>
        <w:pStyle w:val="FootnoteText"/>
      </w:pPr>
      <w:r>
        <w:rPr>
          <w:rStyle w:val="FootnoteReference"/>
        </w:rPr>
        <w:footnoteRef/>
      </w:r>
      <w:r>
        <w:t xml:space="preserve"> </w:t>
      </w:r>
      <w:r>
        <w:t xml:space="preserve">Hach 2024, PMID 39379664.</w:t>
      </w:r>
    </w:p>
  </w:footnote>
  <w:footnote w:id="53">
    <w:p>
      <w:pPr>
        <w:pStyle w:val="FootnoteText"/>
      </w:pPr>
      <w:r>
        <w:rPr>
          <w:rStyle w:val="FootnoteReference"/>
        </w:rPr>
        <w:footnoteRef/>
      </w:r>
      <w:r>
        <w:t xml:space="preserve"> </w:t>
      </w:r>
      <w:r>
        <w:t xml:space="preserve">Muttenthaler 2021, PMID 33536635.</w:t>
      </w:r>
    </w:p>
  </w:footnote>
  <w:footnote w:id="54">
    <w:p>
      <w:pPr>
        <w:pStyle w:val="FootnoteText"/>
      </w:pPr>
      <w:r>
        <w:rPr>
          <w:rStyle w:val="FootnoteReference"/>
        </w:rPr>
        <w:footnoteRef/>
      </w:r>
      <w:r>
        <w:t xml:space="preserve"> </w:t>
      </w:r>
      <w:r>
        <w:t xml:space="preserve">Lau 2018, PMID 28720325.</w:t>
      </w:r>
    </w:p>
  </w:footnote>
  <w:footnote w:id="56">
    <w:p>
      <w:pPr>
        <w:pStyle w:val="FootnoteText"/>
      </w:pPr>
      <w:r>
        <w:rPr>
          <w:rStyle w:val="FootnoteReference"/>
        </w:rPr>
        <w:footnoteRef/>
      </w:r>
      <w:r>
        <w:t xml:space="preserve"> </w:t>
      </w:r>
      <w:r>
        <w:t xml:space="preserve">Cox 2017, PMID 28035768.</w:t>
      </w:r>
    </w:p>
  </w:footnote>
  <w:footnote w:id="59">
    <w:p>
      <w:pPr>
        <w:pStyle w:val="FootnoteText"/>
      </w:pPr>
      <w:r>
        <w:rPr>
          <w:rStyle w:val="FootnoteReference"/>
        </w:rPr>
        <w:footnoteRef/>
      </w:r>
      <w:r>
        <w:t xml:space="preserve"> </w:t>
      </w:r>
      <w:r>
        <w:t xml:space="preserve">Wilding 2021, PMID 33567185.</w:t>
      </w:r>
    </w:p>
  </w:footnote>
  <w:footnote w:id="60">
    <w:p>
      <w:pPr>
        <w:pStyle w:val="FootnoteText"/>
      </w:pPr>
      <w:r>
        <w:rPr>
          <w:rStyle w:val="FootnoteReference"/>
        </w:rPr>
        <w:footnoteRef/>
      </w:r>
      <w:r>
        <w:t xml:space="preserve"> </w:t>
      </w:r>
      <w:r>
        <w:t xml:space="preserve">Hailu 2026, PMID 42437212.</w:t>
      </w:r>
    </w:p>
  </w:footnote>
  <w:footnote w:id="65">
    <w:p>
      <w:pPr>
        <w:pStyle w:val="FootnoteText"/>
      </w:pPr>
      <w:r>
        <w:rPr>
          <w:rStyle w:val="FootnoteReference"/>
        </w:rPr>
        <w:footnoteRef/>
      </w:r>
      <w:r>
        <w:t xml:space="preserve"> </w:t>
      </w:r>
      <w:r>
        <w:t xml:space="preserve">Banting 1922, PMID 20314060.</w:t>
      </w:r>
    </w:p>
  </w:footnote>
  <w:footnote w:id="66">
    <w:p>
      <w:pPr>
        <w:pStyle w:val="FootnoteText"/>
      </w:pPr>
      <w:r>
        <w:rPr>
          <w:rStyle w:val="FootnoteReference"/>
        </w:rPr>
        <w:footnoteRef/>
      </w:r>
      <w:r>
        <w:t xml:space="preserve"> </w:t>
      </w:r>
      <w:r>
        <w:t xml:space="preserve">Sims 2021, PMID 34267380.</w:t>
      </w:r>
    </w:p>
  </w:footnote>
  <w:footnote w:id="67">
    <w:p>
      <w:pPr>
        <w:pStyle w:val="FootnoteText"/>
      </w:pPr>
      <w:r>
        <w:rPr>
          <w:rStyle w:val="FootnoteReference"/>
        </w:rPr>
        <w:footnoteRef/>
      </w:r>
      <w:r>
        <w:t xml:space="preserve"> </w:t>
      </w:r>
      <w:r>
        <w:t xml:space="preserve">Owens 2022, PMID 34708913.</w:t>
      </w:r>
    </w:p>
  </w:footnote>
  <w:footnote w:id="69">
    <w:p>
      <w:pPr>
        <w:pStyle w:val="FootnoteText"/>
      </w:pPr>
      <w:r>
        <w:rPr>
          <w:rStyle w:val="FootnoteReference"/>
        </w:rPr>
        <w:footnoteRef/>
      </w:r>
      <w:r>
        <w:t xml:space="preserve"> </w:t>
      </w:r>
      <w:r>
        <w:t xml:space="preserve">Sanger 1952, PMID 13018185.</w:t>
      </w:r>
    </w:p>
  </w:footnote>
  <w:footnote w:id="70">
    <w:p>
      <w:pPr>
        <w:pStyle w:val="FootnoteText"/>
      </w:pPr>
      <w:r>
        <w:rPr>
          <w:rStyle w:val="FootnoteReference"/>
        </w:rPr>
        <w:footnoteRef/>
      </w:r>
      <w:r>
        <w:t xml:space="preserve"> </w:t>
      </w:r>
      <w:r>
        <w:t xml:space="preserve">Merrifield 1969, PMID 4307033.</w:t>
      </w:r>
    </w:p>
  </w:footnote>
  <w:footnote w:id="72">
    <w:p>
      <w:pPr>
        <w:pStyle w:val="FootnoteText"/>
      </w:pPr>
      <w:r>
        <w:rPr>
          <w:rStyle w:val="FootnoteReference"/>
        </w:rPr>
        <w:footnoteRef/>
      </w:r>
      <w:r>
        <w:t xml:space="preserve"> </w:t>
      </w:r>
      <w:r>
        <w:t xml:space="preserve">Yalow 1960, PMID 13846364.</w:t>
      </w:r>
    </w:p>
  </w:footnote>
  <w:footnote w:id="74">
    <w:p>
      <w:pPr>
        <w:pStyle w:val="FootnoteText"/>
      </w:pPr>
      <w:r>
        <w:rPr>
          <w:rStyle w:val="FootnoteReference"/>
        </w:rPr>
        <w:footnoteRef/>
      </w:r>
      <w:r>
        <w:t xml:space="preserve"> </w:t>
      </w:r>
      <w:r>
        <w:t xml:space="preserve">Ranke 2018, PMID 29546874.</w:t>
      </w:r>
    </w:p>
  </w:footnote>
  <w:footnote w:id="75">
    <w:p>
      <w:pPr>
        <w:pStyle w:val="FootnoteText"/>
      </w:pPr>
      <w:r>
        <w:rPr>
          <w:rStyle w:val="FootnoteReference"/>
        </w:rPr>
        <w:footnoteRef/>
      </w:r>
      <w:r>
        <w:t xml:space="preserve"> </w:t>
      </w:r>
      <w:r>
        <w:t xml:space="preserve">The 1989, PMID 2690608.</w:t>
      </w:r>
    </w:p>
  </w:footnote>
  <w:footnote w:id="76">
    <w:p>
      <w:pPr>
        <w:pStyle w:val="FootnoteText"/>
      </w:pPr>
      <w:r>
        <w:rPr>
          <w:rStyle w:val="FootnoteReference"/>
        </w:rPr>
        <w:footnoteRef/>
      </w:r>
      <w:r>
        <w:t xml:space="preserve"> </w:t>
      </w:r>
      <w:r>
        <w:t xml:space="preserve">Neer 2001, PMID 11346808.</w:t>
      </w:r>
    </w:p>
  </w:footnote>
  <w:footnote w:id="78">
    <w:p>
      <w:pPr>
        <w:pStyle w:val="FootnoteText"/>
      </w:pPr>
      <w:r>
        <w:rPr>
          <w:rStyle w:val="FootnoteReference"/>
        </w:rPr>
        <w:footnoteRef/>
      </w:r>
      <w:r>
        <w:t xml:space="preserve"> </w:t>
      </w:r>
      <w:r>
        <w:t xml:space="preserve">Kreymann 1987, PMID 2890903.</w:t>
      </w:r>
    </w:p>
  </w:footnote>
  <w:footnote w:id="79">
    <w:p>
      <w:pPr>
        <w:pStyle w:val="FootnoteText"/>
      </w:pPr>
      <w:r>
        <w:rPr>
          <w:rStyle w:val="FootnoteReference"/>
        </w:rPr>
        <w:footnoteRef/>
      </w:r>
      <w:r>
        <w:t xml:space="preserve"> </w:t>
      </w:r>
      <w:r>
        <w:t xml:space="preserve">Deacon 1995, PMID 7883856.</w:t>
      </w:r>
    </w:p>
  </w:footnote>
  <w:footnote w:id="81">
    <w:p>
      <w:pPr>
        <w:pStyle w:val="FootnoteText"/>
      </w:pPr>
      <w:r>
        <w:rPr>
          <w:rStyle w:val="FootnoteReference"/>
        </w:rPr>
        <w:footnoteRef/>
      </w:r>
      <w:r>
        <w:t xml:space="preserve"> </w:t>
      </w:r>
      <w:r>
        <w:t xml:space="preserve">Eng 1992, PMID 1313797.</w:t>
      </w:r>
    </w:p>
  </w:footnote>
  <w:footnote w:id="82">
    <w:p>
      <w:pPr>
        <w:pStyle w:val="FootnoteText"/>
      </w:pPr>
      <w:r>
        <w:rPr>
          <w:rStyle w:val="FootnoteReference"/>
        </w:rPr>
        <w:footnoteRef/>
      </w:r>
      <w:r>
        <w:t xml:space="preserve"> </w:t>
      </w:r>
      <w:r>
        <w:t xml:space="preserve">DeFronzo 2005, PMID 15855572.</w:t>
      </w:r>
    </w:p>
  </w:footnote>
  <w:footnote w:id="84">
    <w:p>
      <w:pPr>
        <w:pStyle w:val="FootnoteText"/>
      </w:pPr>
      <w:r>
        <w:rPr>
          <w:rStyle w:val="FootnoteReference"/>
        </w:rPr>
        <w:footnoteRef/>
      </w:r>
      <w:r>
        <w:t xml:space="preserve"> </w:t>
      </w:r>
      <w:r>
        <w:t xml:space="preserve">Knudsen 2019, PMID 31031702.</w:t>
      </w:r>
    </w:p>
  </w:footnote>
  <w:footnote w:id="85">
    <w:p>
      <w:pPr>
        <w:pStyle w:val="FootnoteText"/>
      </w:pPr>
      <w:r>
        <w:rPr>
          <w:rStyle w:val="FootnoteReference"/>
        </w:rPr>
        <w:footnoteRef/>
      </w:r>
      <w:r>
        <w:t xml:space="preserve"> </w:t>
      </w:r>
      <w:r>
        <w:t xml:space="preserve">Pi-Sunyer 2015, PMID 26132939.</w:t>
      </w:r>
    </w:p>
  </w:footnote>
  <w:footnote w:id="86">
    <w:p>
      <w:pPr>
        <w:pStyle w:val="FootnoteText"/>
      </w:pPr>
      <w:r>
        <w:rPr>
          <w:rStyle w:val="FootnoteReference"/>
        </w:rPr>
        <w:footnoteRef/>
      </w:r>
      <w:r>
        <w:t xml:space="preserve"> </w:t>
      </w:r>
      <w:r>
        <w:t xml:space="preserve">Lau 2015, PMID 26308095.</w:t>
      </w:r>
    </w:p>
  </w:footnote>
  <w:footnote w:id="87">
    <w:p>
      <w:pPr>
        <w:pStyle w:val="FootnoteText"/>
      </w:pPr>
      <w:r>
        <w:rPr>
          <w:rStyle w:val="FootnoteReference"/>
        </w:rPr>
        <w:footnoteRef/>
      </w:r>
      <w:r>
        <w:t xml:space="preserve"> </w:t>
      </w:r>
      <w:r>
        <w:t xml:space="preserve">Wilding 2021, PMID 33567185.</w:t>
      </w:r>
    </w:p>
  </w:footnote>
  <w:footnote w:id="89">
    <w:p>
      <w:pPr>
        <w:pStyle w:val="FootnoteText"/>
      </w:pPr>
      <w:r>
        <w:rPr>
          <w:rStyle w:val="FootnoteReference"/>
        </w:rPr>
        <w:footnoteRef/>
      </w:r>
      <w:r>
        <w:t xml:space="preserve"> </w:t>
      </w:r>
      <w:r>
        <w:t xml:space="preserve">Marso 2016, PMID 27295427.</w:t>
      </w:r>
    </w:p>
  </w:footnote>
  <w:footnote w:id="90">
    <w:p>
      <w:pPr>
        <w:pStyle w:val="FootnoteText"/>
      </w:pPr>
      <w:r>
        <w:rPr>
          <w:rStyle w:val="FootnoteReference"/>
        </w:rPr>
        <w:footnoteRef/>
      </w:r>
      <w:r>
        <w:t xml:space="preserve"> </w:t>
      </w:r>
      <w:r>
        <w:t xml:space="preserve">Marso 2016, PMID 27633186.</w:t>
      </w:r>
    </w:p>
  </w:footnote>
  <w:footnote w:id="91">
    <w:p>
      <w:pPr>
        <w:pStyle w:val="FootnoteText"/>
      </w:pPr>
      <w:r>
        <w:rPr>
          <w:rStyle w:val="FootnoteReference"/>
        </w:rPr>
        <w:footnoteRef/>
      </w:r>
      <w:r>
        <w:t xml:space="preserve"> </w:t>
      </w:r>
      <w:r>
        <w:t xml:space="preserve">Lincoff 2023, PMID 37952131.</w:t>
      </w:r>
    </w:p>
  </w:footnote>
  <w:footnote w:id="93">
    <w:p>
      <w:pPr>
        <w:pStyle w:val="FootnoteText"/>
      </w:pPr>
      <w:r>
        <w:rPr>
          <w:rStyle w:val="FootnoteReference"/>
        </w:rPr>
        <w:footnoteRef/>
      </w:r>
      <w:r>
        <w:t xml:space="preserve"> </w:t>
      </w:r>
      <w:r>
        <w:t xml:space="preserve">Aroda 2019, PMID 31186300.</w:t>
      </w:r>
    </w:p>
  </w:footnote>
  <w:footnote w:id="94">
    <w:p>
      <w:pPr>
        <w:pStyle w:val="FootnoteText"/>
      </w:pPr>
      <w:r>
        <w:rPr>
          <w:rStyle w:val="FootnoteReference"/>
        </w:rPr>
        <w:footnoteRef/>
      </w:r>
      <w:r>
        <w:t xml:space="preserve"> </w:t>
      </w:r>
      <w:r>
        <w:t xml:space="preserve">Jastreboff 2022, PMID 35658024.</w:t>
      </w:r>
    </w:p>
  </w:footnote>
  <w:footnote w:id="95">
    <w:p>
      <w:pPr>
        <w:pStyle w:val="FootnoteText"/>
      </w:pPr>
      <w:r>
        <w:rPr>
          <w:rStyle w:val="FootnoteReference"/>
        </w:rPr>
        <w:footnoteRef/>
      </w:r>
      <w:r>
        <w:t xml:space="preserve"> </w:t>
      </w:r>
      <w:r>
        <w:t xml:space="preserve">Kreymann 1987, PMID 2890903.</w:t>
      </w:r>
    </w:p>
  </w:footnote>
  <w:footnote w:id="101">
    <w:p>
      <w:pPr>
        <w:pStyle w:val="FootnoteText"/>
      </w:pPr>
      <w:r>
        <w:rPr>
          <w:rStyle w:val="FootnoteReference"/>
        </w:rPr>
        <w:footnoteRef/>
      </w:r>
      <w:r>
        <w:t xml:space="preserve"> </w:t>
      </w:r>
      <w:r>
        <w:t xml:space="preserve">Drucker 2020, PMID 31848464.</w:t>
      </w:r>
    </w:p>
  </w:footnote>
  <w:footnote w:id="103">
    <w:p>
      <w:pPr>
        <w:pStyle w:val="FootnoteText"/>
      </w:pPr>
      <w:r>
        <w:rPr>
          <w:rStyle w:val="FootnoteReference"/>
        </w:rPr>
        <w:footnoteRef/>
      </w:r>
      <w:r>
        <w:t xml:space="preserve"> </w:t>
      </w:r>
      <w:r>
        <w:t xml:space="preserve">Knudsen 2019, PMID 31031702.</w:t>
      </w:r>
    </w:p>
  </w:footnote>
  <w:footnote w:id="104">
    <w:p>
      <w:pPr>
        <w:pStyle w:val="FootnoteText"/>
      </w:pPr>
      <w:r>
        <w:rPr>
          <w:rStyle w:val="FootnoteReference"/>
        </w:rPr>
        <w:footnoteRef/>
      </w:r>
      <w:r>
        <w:t xml:space="preserve"> </w:t>
      </w:r>
      <w:r>
        <w:t xml:space="preserve">Marso 2016, PMID 27633186.</w:t>
      </w:r>
    </w:p>
  </w:footnote>
  <w:footnote w:id="105">
    <w:p>
      <w:pPr>
        <w:pStyle w:val="FootnoteText"/>
      </w:pPr>
      <w:r>
        <w:rPr>
          <w:rStyle w:val="FootnoteReference"/>
        </w:rPr>
        <w:footnoteRef/>
      </w:r>
      <w:r>
        <w:t xml:space="preserve"> </w:t>
      </w:r>
      <w:r>
        <w:t xml:space="preserve">Lambson 2023, PMID 37392810.</w:t>
      </w:r>
    </w:p>
  </w:footnote>
  <w:footnote w:id="107">
    <w:p>
      <w:pPr>
        <w:pStyle w:val="FootnoteText"/>
      </w:pPr>
      <w:r>
        <w:rPr>
          <w:rStyle w:val="FootnoteReference"/>
        </w:rPr>
        <w:footnoteRef/>
      </w:r>
      <w:r>
        <w:t xml:space="preserve"> </w:t>
      </w:r>
      <w:r>
        <w:t xml:space="preserve">Drucker 2020, PMID 31848464.</w:t>
      </w:r>
    </w:p>
  </w:footnote>
  <w:footnote w:id="109">
    <w:p>
      <w:pPr>
        <w:pStyle w:val="FootnoteText"/>
      </w:pPr>
      <w:r>
        <w:rPr>
          <w:rStyle w:val="FootnoteReference"/>
        </w:rPr>
        <w:footnoteRef/>
      </w:r>
      <w:r>
        <w:t xml:space="preserve"> </w:t>
      </w:r>
      <w:r>
        <w:t xml:space="preserve">Buckley 2018, PMID 30429357.</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Vahora 2026, PMID 42687069.</w:t>
      </w:r>
    </w:p>
  </w:footnote>
  <w:footnote w:id="112">
    <w:p>
      <w:pPr>
        <w:pStyle w:val="FootnoteText"/>
      </w:pPr>
      <w:r>
        <w:rPr>
          <w:rStyle w:val="FootnoteReference"/>
        </w:rPr>
        <w:footnoteRef/>
      </w:r>
      <w:r>
        <w:t xml:space="preserve"> </w:t>
      </w:r>
      <w:r>
        <w:t xml:space="preserve">Marso 2016, PMID 27633186.</w:t>
      </w:r>
    </w:p>
  </w:footnote>
  <w:footnote w:id="113">
    <w:p>
      <w:pPr>
        <w:pStyle w:val="FootnoteText"/>
      </w:pPr>
      <w:r>
        <w:rPr>
          <w:rStyle w:val="FootnoteReference"/>
        </w:rPr>
        <w:footnoteRef/>
      </w:r>
      <w:r>
        <w:t xml:space="preserve"> </w:t>
      </w:r>
      <w:r>
        <w:t xml:space="preserve">Aroda 2019, PMID 31186300.</w:t>
      </w:r>
    </w:p>
  </w:footnote>
  <w:footnote w:id="114">
    <w:p>
      <w:pPr>
        <w:pStyle w:val="FootnoteText"/>
      </w:pPr>
      <w:r>
        <w:rPr>
          <w:rStyle w:val="FootnoteReference"/>
        </w:rPr>
        <w:footnoteRef/>
      </w:r>
      <w:r>
        <w:t xml:space="preserve"> </w:t>
      </w:r>
      <w:r>
        <w:t xml:space="preserve">Vahora 2026, PMID 42687069.</w:t>
      </w:r>
    </w:p>
  </w:footnote>
  <w:footnote w:id="115">
    <w:p>
      <w:pPr>
        <w:pStyle w:val="FootnoteText"/>
      </w:pPr>
      <w:r>
        <w:rPr>
          <w:rStyle w:val="FootnoteReference"/>
        </w:rPr>
        <w:footnoteRef/>
      </w:r>
      <w:r>
        <w:t xml:space="preserve"> </w:t>
      </w:r>
      <w:r>
        <w:t xml:space="preserve">Aroda 2019, PMID 31186300.</w:t>
      </w:r>
    </w:p>
  </w:footnote>
  <w:footnote w:id="116">
    <w:p>
      <w:pPr>
        <w:pStyle w:val="FootnoteText"/>
      </w:pPr>
      <w:r>
        <w:rPr>
          <w:rStyle w:val="FootnoteReference"/>
        </w:rPr>
        <w:footnoteRef/>
      </w:r>
      <w:r>
        <w:t xml:space="preserve"> </w:t>
      </w:r>
      <w:r>
        <w:t xml:space="preserve">Knop 2023, PMID 37385278.</w:t>
      </w:r>
    </w:p>
  </w:footnote>
  <w:footnote w:id="117">
    <w:p>
      <w:pPr>
        <w:pStyle w:val="FootnoteText"/>
      </w:pPr>
      <w:r>
        <w:rPr>
          <w:rStyle w:val="FootnoteReference"/>
        </w:rPr>
        <w:footnoteRef/>
      </w:r>
      <w:r>
        <w:t xml:space="preserve"> </w:t>
      </w:r>
      <w:r>
        <w:t xml:space="preserve">Hach 2024, PMID 39379664.</w:t>
      </w:r>
    </w:p>
  </w:footnote>
  <w:footnote w:id="119">
    <w:p>
      <w:pPr>
        <w:pStyle w:val="FootnoteText"/>
      </w:pPr>
      <w:r>
        <w:rPr>
          <w:rStyle w:val="FootnoteReference"/>
        </w:rPr>
        <w:footnoteRef/>
      </w:r>
      <w:r>
        <w:t xml:space="preserve"> </w:t>
      </w:r>
      <w:r>
        <w:t xml:space="preserve">Sugihara 2012, PMID 22040651.</w:t>
      </w:r>
    </w:p>
  </w:footnote>
  <w:footnote w:id="121">
    <w:p>
      <w:pPr>
        <w:pStyle w:val="FootnoteText"/>
      </w:pPr>
      <w:r>
        <w:rPr>
          <w:rStyle w:val="FootnoteReference"/>
        </w:rPr>
        <w:footnoteRef/>
      </w:r>
      <w:r>
        <w:t xml:space="preserve"> </w:t>
      </w:r>
      <w:r>
        <w:t xml:space="preserve">Belcourt 2026, PMID 41689811.</w:t>
      </w:r>
    </w:p>
  </w:footnote>
  <w:footnote w:id="123">
    <w:p>
      <w:pPr>
        <w:pStyle w:val="FootnoteText"/>
      </w:pPr>
      <w:r>
        <w:rPr>
          <w:rStyle w:val="FootnoteReference"/>
        </w:rPr>
        <w:footnoteRef/>
      </w:r>
      <w:r>
        <w:t xml:space="preserve"> </w:t>
      </w:r>
      <w:r>
        <w:t xml:space="preserve">Leng 2016, PMID 26049207.</w:t>
      </w:r>
    </w:p>
  </w:footnote>
  <w:footnote w:id="125">
    <w:p>
      <w:pPr>
        <w:pStyle w:val="FootnoteText"/>
      </w:pPr>
      <w:r>
        <w:rPr>
          <w:rStyle w:val="FootnoteReference"/>
        </w:rPr>
        <w:footnoteRef/>
      </w:r>
      <w:r>
        <w:t xml:space="preserve"> </w:t>
      </w:r>
      <w:r>
        <w:t xml:space="preserve">Heinemann 2008, PMID 19885220.</w:t>
      </w:r>
    </w:p>
  </w:footnote>
  <w:footnote w:id="127">
    <w:p>
      <w:pPr>
        <w:pStyle w:val="FootnoteText"/>
      </w:pPr>
      <w:r>
        <w:rPr>
          <w:rStyle w:val="FootnoteReference"/>
        </w:rPr>
        <w:footnoteRef/>
      </w:r>
      <w:r>
        <w:t xml:space="preserve"> </w:t>
      </w:r>
      <w:r>
        <w:t xml:space="preserve">Bos 2000, PMID 10839713.</w:t>
      </w:r>
    </w:p>
  </w:footnote>
  <w:footnote w:id="129">
    <w:p>
      <w:pPr>
        <w:pStyle w:val="FootnoteText"/>
      </w:pPr>
      <w:r>
        <w:rPr>
          <w:rStyle w:val="FootnoteReference"/>
        </w:rPr>
        <w:footnoteRef/>
      </w:r>
      <w:r>
        <w:t xml:space="preserve"> </w:t>
      </w:r>
      <w:r>
        <w:t xml:space="preserve">Hach 2024, PMID 39379664.</w:t>
      </w:r>
    </w:p>
  </w:footnote>
  <w:footnote w:id="131">
    <w:p>
      <w:pPr>
        <w:pStyle w:val="FootnoteText"/>
      </w:pPr>
      <w:r>
        <w:rPr>
          <w:rStyle w:val="FootnoteReference"/>
        </w:rPr>
        <w:footnoteRef/>
      </w:r>
      <w:r>
        <w:t xml:space="preserve"> </w:t>
      </w:r>
      <w:r>
        <w:t xml:space="preserve">Hach 2024, PMID 39379664.</w:t>
      </w:r>
    </w:p>
  </w:footnote>
  <w:footnote w:id="138">
    <w:p>
      <w:pPr>
        <w:pStyle w:val="FootnoteText"/>
      </w:pPr>
      <w:r>
        <w:rPr>
          <w:rStyle w:val="FootnoteReference"/>
        </w:rPr>
        <w:footnoteRef/>
      </w:r>
      <w:r>
        <w:t xml:space="preserve"> </w:t>
      </w:r>
      <w:r>
        <w:t xml:space="preserve">Perel 2007, PMID 17175568.</w:t>
      </w:r>
    </w:p>
  </w:footnote>
  <w:footnote w:id="142">
    <w:p>
      <w:pPr>
        <w:pStyle w:val="FootnoteText"/>
      </w:pPr>
      <w:r>
        <w:rPr>
          <w:rStyle w:val="FootnoteReference"/>
        </w:rPr>
        <w:footnoteRef/>
      </w:r>
      <w:r>
        <w:t xml:space="preserve"> </w:t>
      </w:r>
      <w:r>
        <w:t xml:space="preserve">Wilding 2021, PMID 33567185.</w:t>
      </w:r>
    </w:p>
  </w:footnote>
  <w:footnote w:id="143">
    <w:p>
      <w:pPr>
        <w:pStyle w:val="FootnoteText"/>
      </w:pPr>
      <w:r>
        <w:rPr>
          <w:rStyle w:val="FootnoteReference"/>
        </w:rPr>
        <w:footnoteRef/>
      </w:r>
      <w:r>
        <w:t xml:space="preserve"> </w:t>
      </w:r>
      <w:r>
        <w:t xml:space="preserve">Mendias 2026, PMID 41966639.</w:t>
      </w:r>
    </w:p>
  </w:footnote>
  <w:footnote w:id="146">
    <w:p>
      <w:pPr>
        <w:pStyle w:val="FootnoteText"/>
      </w:pPr>
      <w:r>
        <w:rPr>
          <w:rStyle w:val="FootnoteReference"/>
        </w:rPr>
        <w:footnoteRef/>
      </w:r>
      <w:r>
        <w:t xml:space="preserve"> </w:t>
      </w:r>
      <w:r>
        <w:t xml:space="preserve">Echt 1991, PMID 1900101.</w:t>
      </w:r>
    </w:p>
  </w:footnote>
  <w:footnote w:id="148">
    <w:p>
      <w:pPr>
        <w:pStyle w:val="FootnoteText"/>
      </w:pPr>
      <w:r>
        <w:rPr>
          <w:rStyle w:val="FootnoteReference"/>
        </w:rPr>
        <w:footnoteRef/>
      </w:r>
      <w:r>
        <w:t xml:space="preserve"> </w:t>
      </w:r>
      <w:r>
        <w:t xml:space="preserve">Lincoff 2023, PMID 37952131.</w:t>
      </w:r>
    </w:p>
  </w:footnote>
  <w:footnote w:id="149">
    <w:p>
      <w:pPr>
        <w:pStyle w:val="FootnoteText"/>
      </w:pPr>
      <w:r>
        <w:rPr>
          <w:rStyle w:val="FootnoteReference"/>
        </w:rPr>
        <w:footnoteRef/>
      </w:r>
      <w:r>
        <w:t xml:space="preserve"> </w:t>
      </w:r>
      <w:r>
        <w:t xml:space="preserve">Lincoff 2023, PMID 37952131.</w:t>
      </w:r>
    </w:p>
  </w:footnote>
  <w:footnote w:id="151">
    <w:p>
      <w:pPr>
        <w:pStyle w:val="FootnoteText"/>
      </w:pPr>
      <w:r>
        <w:rPr>
          <w:rStyle w:val="FootnoteReference"/>
        </w:rPr>
        <w:footnoteRef/>
      </w:r>
      <w:r>
        <w:t xml:space="preserve"> </w:t>
      </w:r>
      <w:r>
        <w:t xml:space="preserve">Wilding 2021, PMID 33567185.</w:t>
      </w:r>
    </w:p>
  </w:footnote>
  <w:footnote w:id="153">
    <w:p>
      <w:pPr>
        <w:pStyle w:val="FootnoteText"/>
      </w:pPr>
      <w:r>
        <w:rPr>
          <w:rStyle w:val="FootnoteReference"/>
        </w:rPr>
        <w:footnoteRef/>
      </w:r>
      <w:r>
        <w:t xml:space="preserve"> </w:t>
      </w:r>
      <w:r>
        <w:t xml:space="preserve">Aroda 2019, PMID 31186300.</w:t>
      </w:r>
    </w:p>
  </w:footnote>
  <w:footnote w:id="155">
    <w:p>
      <w:pPr>
        <w:pStyle w:val="FootnoteText"/>
      </w:pPr>
      <w:r>
        <w:rPr>
          <w:rStyle w:val="FootnoteReference"/>
        </w:rPr>
        <w:footnoteRef/>
      </w:r>
      <w:r>
        <w:t xml:space="preserve"> </w:t>
      </w:r>
      <w:r>
        <w:t xml:space="preserve">Ioannidis 2005, PMID 16060722.</w:t>
      </w:r>
    </w:p>
  </w:footnote>
  <w:footnote w:id="157">
    <w:p>
      <w:pPr>
        <w:pStyle w:val="FootnoteText"/>
      </w:pPr>
      <w:r>
        <w:rPr>
          <w:rStyle w:val="FootnoteReference"/>
        </w:rPr>
        <w:footnoteRef/>
      </w:r>
      <w:r>
        <w:t xml:space="preserve"> </w:t>
      </w:r>
      <w:r>
        <w:t xml:space="preserve">Lundh 2017, PMID 28207928.</w:t>
      </w:r>
    </w:p>
  </w:footnote>
  <w:footnote w:id="159">
    <w:p>
      <w:pPr>
        <w:pStyle w:val="FootnoteText"/>
      </w:pPr>
      <w:r>
        <w:rPr>
          <w:rStyle w:val="FootnoteReference"/>
        </w:rPr>
        <w:footnoteRef/>
      </w:r>
      <w:r>
        <w:t xml:space="preserve"> </w:t>
      </w:r>
      <w:r>
        <w:t xml:space="preserve">Turner 2008, PMID 18199864.</w:t>
      </w:r>
    </w:p>
  </w:footnote>
  <w:footnote w:id="161">
    <w:p>
      <w:pPr>
        <w:pStyle w:val="FootnoteText"/>
      </w:pPr>
      <w:r>
        <w:rPr>
          <w:rStyle w:val="FootnoteReference"/>
        </w:rPr>
        <w:footnoteRef/>
      </w:r>
      <w:r>
        <w:t xml:space="preserve"> </w:t>
      </w:r>
      <w:r>
        <w:t xml:space="preserve">DeAngelis 2004, PMID 15355936.</w:t>
      </w:r>
    </w:p>
  </w:footnote>
  <w:footnote w:id="168">
    <w:p>
      <w:pPr>
        <w:pStyle w:val="FootnoteText"/>
      </w:pPr>
      <w:r>
        <w:rPr>
          <w:rStyle w:val="FootnoteReference"/>
        </w:rPr>
        <w:footnoteRef/>
      </w:r>
      <w:r>
        <w:t xml:space="preserve"> </w:t>
      </w:r>
      <w:r>
        <w:t xml:space="preserve">Belcourt 2025, PMID 39285774.</w:t>
      </w:r>
    </w:p>
  </w:footnote>
  <w:footnote w:id="169">
    <w:p>
      <w:pPr>
        <w:pStyle w:val="FootnoteText"/>
      </w:pPr>
      <w:r>
        <w:rPr>
          <w:rStyle w:val="FootnoteReference"/>
        </w:rPr>
        <w:footnoteRef/>
      </w:r>
      <w:r>
        <w:t xml:space="preserve"> </w:t>
      </w:r>
      <w:r>
        <w:t xml:space="preserve">Sedensky 2026, PMID 42541373.</w:t>
      </w:r>
    </w:p>
  </w:footnote>
  <w:footnote w:id="171">
    <w:p>
      <w:pPr>
        <w:pStyle w:val="FootnoteText"/>
      </w:pPr>
      <w:r>
        <w:rPr>
          <w:rStyle w:val="FootnoteReference"/>
        </w:rPr>
        <w:footnoteRef/>
      </w:r>
      <w:r>
        <w:t xml:space="preserve"> </w:t>
      </w:r>
      <w:r>
        <w:t xml:space="preserve">Ashraf 2024, PMID 39509151.</w:t>
      </w:r>
    </w:p>
  </w:footnote>
  <w:footnote w:id="173">
    <w:p>
      <w:pPr>
        <w:pStyle w:val="FootnoteText"/>
      </w:pPr>
      <w:r>
        <w:rPr>
          <w:rStyle w:val="FootnoteReference"/>
        </w:rPr>
        <w:footnoteRef/>
      </w:r>
      <w:r>
        <w:t xml:space="preserve"> </w:t>
      </w:r>
      <w:r>
        <w:t xml:space="preserve">Hach 2024, PMID 39379664.</w:t>
      </w:r>
    </w:p>
  </w:footnote>
  <w:footnote w:id="175">
    <w:p>
      <w:pPr>
        <w:pStyle w:val="FootnoteText"/>
      </w:pPr>
      <w:r>
        <w:rPr>
          <w:rStyle w:val="FootnoteReference"/>
        </w:rPr>
        <w:footnoteRef/>
      </w:r>
      <w:r>
        <w:t xml:space="preserve"> </w:t>
      </w:r>
      <w:r>
        <w:t xml:space="preserve">Breindahl 2015, PMID 24771717.</w:t>
      </w:r>
    </w:p>
  </w:footnote>
  <w:footnote w:id="177">
    <w:p>
      <w:pPr>
        <w:pStyle w:val="FootnoteText"/>
      </w:pPr>
      <w:r>
        <w:rPr>
          <w:rStyle w:val="FootnoteReference"/>
        </w:rPr>
        <w:footnoteRef/>
      </w:r>
      <w:r>
        <w:t xml:space="preserve"> </w:t>
      </w:r>
      <w:r>
        <w:t xml:space="preserve">Kohler 2010, PMID 21204286.</w:t>
      </w:r>
    </w:p>
  </w:footnote>
  <w:footnote w:id="178">
    <w:p>
      <w:pPr>
        <w:pStyle w:val="FootnoteText"/>
      </w:pPr>
      <w:r>
        <w:rPr>
          <w:rStyle w:val="FootnoteReference"/>
        </w:rPr>
        <w:footnoteRef/>
      </w:r>
      <w:r>
        <w:t xml:space="preserve"> </w:t>
      </w:r>
      <w:r>
        <w:t xml:space="preserve">Thomas 2010, PMID 20878896.</w:t>
      </w:r>
    </w:p>
  </w:footnote>
  <w:footnote w:id="179">
    <w:p>
      <w:pPr>
        <w:pStyle w:val="FootnoteText"/>
      </w:pPr>
      <w:r>
        <w:rPr>
          <w:rStyle w:val="FootnoteReference"/>
        </w:rPr>
        <w:footnoteRef/>
      </w:r>
      <w:r>
        <w:t xml:space="preserve"> </w:t>
      </w:r>
      <w:r>
        <w:t xml:space="preserve">Krug 2014, PMID 25168622.</w:t>
      </w:r>
    </w:p>
  </w:footnote>
  <w:footnote w:id="180">
    <w:p>
      <w:pPr>
        <w:pStyle w:val="FootnoteText"/>
      </w:pPr>
      <w:r>
        <w:rPr>
          <w:rStyle w:val="FootnoteReference"/>
        </w:rPr>
        <w:footnoteRef/>
      </w:r>
      <w:r>
        <w:t xml:space="preserve"> </w:t>
      </w:r>
      <w:r>
        <w:t xml:space="preserve">Hullstein 2015, PMID 26607218.</w:t>
      </w:r>
    </w:p>
  </w:footnote>
  <w:footnote w:id="181">
    <w:p>
      <w:pPr>
        <w:pStyle w:val="FootnoteText"/>
      </w:pPr>
      <w:r>
        <w:rPr>
          <w:rStyle w:val="FootnoteReference"/>
        </w:rPr>
        <w:footnoteRef/>
      </w:r>
      <w:r>
        <w:t xml:space="preserve"> </w:t>
      </w:r>
      <w:r>
        <w:t xml:space="preserve">Krug 2018, PMID 29864719.</w:t>
      </w:r>
    </w:p>
  </w:footnote>
  <w:footnote w:id="182">
    <w:p>
      <w:pPr>
        <w:pStyle w:val="FootnoteText"/>
      </w:pPr>
      <w:r>
        <w:rPr>
          <w:rStyle w:val="FootnoteReference"/>
        </w:rPr>
        <w:footnoteRef/>
      </w:r>
      <w:r>
        <w:t xml:space="preserve"> </w:t>
      </w:r>
      <w:r>
        <w:t xml:space="preserve">Cox 2017, PMID 28035768.</w:t>
      </w:r>
    </w:p>
  </w:footnote>
  <w:footnote w:id="183">
    <w:p>
      <w:pPr>
        <w:pStyle w:val="FootnoteText"/>
      </w:pPr>
      <w:r>
        <w:rPr>
          <w:rStyle w:val="FootnoteReference"/>
        </w:rPr>
        <w:footnoteRef/>
      </w:r>
      <w:r>
        <w:t xml:space="preserve"> </w:t>
      </w:r>
      <w:r>
        <w:t xml:space="preserve">Janvier 2018, PMID 30165334.</w:t>
      </w:r>
    </w:p>
  </w:footnote>
  <w:footnote w:id="187">
    <w:p>
      <w:pPr>
        <w:pStyle w:val="FootnoteText"/>
      </w:pPr>
      <w:r>
        <w:rPr>
          <w:rStyle w:val="FootnoteReference"/>
        </w:rPr>
        <w:footnoteRef/>
      </w:r>
      <w:r>
        <w:t xml:space="preserve"> </w:t>
      </w:r>
      <w:r>
        <w:t xml:space="preserve">Ashraf 2024, PMID 39509151.</w:t>
      </w:r>
    </w:p>
  </w:footnote>
  <w:footnote w:id="189">
    <w:p>
      <w:pPr>
        <w:pStyle w:val="FootnoteText"/>
      </w:pPr>
      <w:r>
        <w:rPr>
          <w:rStyle w:val="FootnoteReference"/>
        </w:rPr>
        <w:footnoteRef/>
      </w:r>
      <w:r>
        <w:t xml:space="preserve"> </w:t>
      </w:r>
      <w:r>
        <w:t xml:space="preserve">Ashraf 2024, PMID 39509151.</w:t>
      </w:r>
    </w:p>
  </w:footnote>
  <w:footnote w:id="191">
    <w:p>
      <w:pPr>
        <w:pStyle w:val="FootnoteText"/>
      </w:pPr>
      <w:r>
        <w:rPr>
          <w:rStyle w:val="FootnoteReference"/>
        </w:rPr>
        <w:footnoteRef/>
      </w:r>
      <w:r>
        <w:t xml:space="preserve"> </w:t>
      </w:r>
      <w:r>
        <w:t xml:space="preserve">Lambson 2023, PMID 37392810.</w:t>
      </w:r>
    </w:p>
  </w:footnote>
  <w:footnote w:id="193">
    <w:p>
      <w:pPr>
        <w:pStyle w:val="FootnoteText"/>
      </w:pPr>
      <w:r>
        <w:rPr>
          <w:rStyle w:val="FootnoteReference"/>
        </w:rPr>
        <w:footnoteRef/>
      </w:r>
      <w:r>
        <w:t xml:space="preserve"> </w:t>
      </w:r>
      <w:r>
        <w:t xml:space="preserve">Ruder 2024, PMID 39028647.</w:t>
      </w:r>
    </w:p>
  </w:footnote>
  <w:footnote w:id="194">
    <w:p>
      <w:pPr>
        <w:pStyle w:val="FootnoteText"/>
      </w:pPr>
      <w:r>
        <w:rPr>
          <w:rStyle w:val="FootnoteReference"/>
        </w:rPr>
        <w:footnoteRef/>
      </w:r>
      <w:r>
        <w:t xml:space="preserve"> </w:t>
      </w:r>
      <w:r>
        <w:t xml:space="preserve">Antonacci 2026, PMID 41125326.</w:t>
      </w:r>
    </w:p>
  </w:footnote>
  <w:footnote w:id="195">
    <w:p>
      <w:pPr>
        <w:pStyle w:val="FootnoteText"/>
      </w:pPr>
      <w:r>
        <w:rPr>
          <w:rStyle w:val="FootnoteReference"/>
        </w:rPr>
        <w:footnoteRef/>
      </w:r>
      <w:r>
        <w:t xml:space="preserve"> </w:t>
      </w:r>
      <w:r>
        <w:t xml:space="preserve">Stammers 2026, PMID 42390457.</w:t>
      </w:r>
    </w:p>
  </w:footnote>
  <w:footnote w:id="196">
    <w:p>
      <w:pPr>
        <w:pStyle w:val="FootnoteText"/>
      </w:pPr>
      <w:r>
        <w:rPr>
          <w:rStyle w:val="FootnoteReference"/>
        </w:rPr>
        <w:footnoteRef/>
      </w:r>
      <w:r>
        <w:t xml:space="preserve"> </w:t>
      </w:r>
      <w:r>
        <w:t xml:space="preserve">Zinzi 2026, PMID 42137313.</w:t>
      </w:r>
    </w:p>
  </w:footnote>
  <w:footnote w:id="198">
    <w:p>
      <w:pPr>
        <w:pStyle w:val="FootnoteText"/>
      </w:pPr>
      <w:r>
        <w:rPr>
          <w:rStyle w:val="FootnoteReference"/>
        </w:rPr>
        <w:footnoteRef/>
      </w:r>
      <w:r>
        <w:t xml:space="preserve"> </w:t>
      </w:r>
      <w:r>
        <w:t xml:space="preserve">Rubin 2026, PMID 42853576.</w:t>
      </w:r>
    </w:p>
  </w:footnote>
  <w:footnote w:id="199">
    <w:p>
      <w:pPr>
        <w:pStyle w:val="FootnoteText"/>
      </w:pPr>
      <w:r>
        <w:rPr>
          <w:rStyle w:val="FootnoteReference"/>
        </w:rPr>
        <w:footnoteRef/>
      </w:r>
      <w:r>
        <w:t xml:space="preserve"> </w:t>
      </w:r>
      <w:r>
        <w:t xml:space="preserve">Buzzi 2026, PMID 42843917.</w:t>
      </w:r>
    </w:p>
  </w:footnote>
  <w:footnote w:id="201">
    <w:p>
      <w:pPr>
        <w:pStyle w:val="FootnoteText"/>
      </w:pPr>
      <w:r>
        <w:rPr>
          <w:rStyle w:val="FootnoteReference"/>
        </w:rPr>
        <w:footnoteRef/>
      </w:r>
      <w:r>
        <w:t xml:space="preserve"> </w:t>
      </w:r>
      <w:r>
        <w:t xml:space="preserve">Nelson 2012, PMID 23121206.</w:t>
      </w:r>
    </w:p>
  </w:footnote>
  <w:footnote w:id="202">
    <w:p>
      <w:pPr>
        <w:pStyle w:val="FootnoteText"/>
      </w:pPr>
      <w:r>
        <w:rPr>
          <w:rStyle w:val="FootnoteReference"/>
        </w:rPr>
        <w:footnoteRef/>
      </w:r>
      <w:r>
        <w:t xml:space="preserve"> </w:t>
      </w:r>
      <w:r>
        <w:t xml:space="preserve">Moiz 2026, PMID 42757290.</w:t>
      </w:r>
    </w:p>
  </w:footnote>
  <w:footnote w:id="203">
    <w:p>
      <w:pPr>
        <w:pStyle w:val="FootnoteText"/>
      </w:pPr>
      <w:r>
        <w:rPr>
          <w:rStyle w:val="FootnoteReference"/>
        </w:rPr>
        <w:footnoteRef/>
      </w:r>
      <w:r>
        <w:t xml:space="preserve"> </w:t>
      </w:r>
      <w:r>
        <w:t xml:space="preserve">Mendias 2026, PMID 41966639.</w:t>
      </w:r>
    </w:p>
  </w:footnote>
  <w:footnote w:id="205">
    <w:p>
      <w:pPr>
        <w:pStyle w:val="FootnoteText"/>
      </w:pPr>
      <w:r>
        <w:rPr>
          <w:rStyle w:val="FootnoteReference"/>
        </w:rPr>
        <w:footnoteRef/>
      </w:r>
      <w:r>
        <w:t xml:space="preserve"> </w:t>
      </w:r>
      <w:r>
        <w:t xml:space="preserve">McCall 2026, PMID 40285721.</w:t>
      </w:r>
    </w:p>
  </w:footnote>
  <w:footnote w:id="206">
    <w:p>
      <w:pPr>
        <w:pStyle w:val="FootnoteText"/>
      </w:pPr>
      <w:r>
        <w:rPr>
          <w:rStyle w:val="FootnoteReference"/>
        </w:rPr>
        <w:footnoteRef/>
      </w:r>
      <w:r>
        <w:t xml:space="preserve"> </w:t>
      </w:r>
      <w:r>
        <w:t xml:space="preserve">Belcourt 2026, PMID 41689811.</w:t>
      </w:r>
    </w:p>
  </w:footnote>
  <w:footnote w:id="208">
    <w:p>
      <w:pPr>
        <w:pStyle w:val="FootnoteText"/>
      </w:pPr>
      <w:r>
        <w:rPr>
          <w:rStyle w:val="FootnoteReference"/>
        </w:rPr>
        <w:footnoteRef/>
      </w:r>
      <w:r>
        <w:t xml:space="preserve"> </w:t>
      </w:r>
      <w:r>
        <w:t xml:space="preserve">Hailu 2026, PMID 42437212.</w:t>
      </w:r>
    </w:p>
  </w:footnote>
  <w:footnote w:id="216">
    <w:p>
      <w:pPr>
        <w:pStyle w:val="FootnoteText"/>
      </w:pPr>
      <w:r>
        <w:rPr>
          <w:rStyle w:val="FootnoteReference"/>
        </w:rPr>
        <w:footnoteRef/>
      </w:r>
      <w:r>
        <w:t xml:space="preserve"> </w:t>
      </w:r>
      <w:r>
        <w:t xml:space="preserve">Thomas 2010, PMID 20878896.</w:t>
      </w:r>
    </w:p>
  </w:footnote>
  <w:footnote w:id="222">
    <w:p>
      <w:pPr>
        <w:pStyle w:val="FootnoteText"/>
      </w:pPr>
      <w:r>
        <w:rPr>
          <w:rStyle w:val="FootnoteReference"/>
        </w:rPr>
        <w:footnoteRef/>
      </w:r>
      <w:r>
        <w:t xml:space="preserve"> </w:t>
      </w:r>
      <w:r>
        <w:t xml:space="preserve">Belcourt 2026, PMID 41689811.</w:t>
      </w:r>
    </w:p>
  </w:footnote>
  <w:footnote w:id="223">
    <w:p>
      <w:pPr>
        <w:pStyle w:val="FootnoteText"/>
      </w:pPr>
      <w:r>
        <w:rPr>
          <w:rStyle w:val="FootnoteReference"/>
        </w:rPr>
        <w:footnoteRef/>
      </w:r>
      <w:r>
        <w:t xml:space="preserve"> </w:t>
      </w:r>
      <w:r>
        <w:t xml:space="preserve">Belcourt 2025, PMID 39285774.</w:t>
      </w:r>
    </w:p>
  </w:footnote>
  <w:footnote w:id="225">
    <w:p>
      <w:pPr>
        <w:pStyle w:val="FootnoteText"/>
      </w:pPr>
      <w:r>
        <w:rPr>
          <w:rStyle w:val="FootnoteReference"/>
        </w:rPr>
        <w:footnoteRef/>
      </w:r>
      <w:r>
        <w:t xml:space="preserve"> </w:t>
      </w:r>
      <w:r>
        <w:t xml:space="preserve">Cox 2017, PMID 28035768.</w:t>
      </w:r>
    </w:p>
  </w:footnote>
  <w:footnote w:id="235">
    <w:p>
      <w:pPr>
        <w:pStyle w:val="FootnoteText"/>
      </w:pPr>
      <w:r>
        <w:rPr>
          <w:rStyle w:val="FootnoteReference"/>
        </w:rPr>
        <w:footnoteRef/>
      </w:r>
      <w:r>
        <w:t xml:space="preserve"> </w:t>
      </w:r>
      <w:r>
        <w:t xml:space="preserve">Eng 1992, PMID 1313797.</w:t>
      </w:r>
    </w:p>
  </w:footnote>
  <w:footnote w:id="238">
    <w:p>
      <w:pPr>
        <w:pStyle w:val="FootnoteText"/>
      </w:pPr>
      <w:r>
        <w:rPr>
          <w:rStyle w:val="FootnoteReference"/>
        </w:rPr>
        <w:footnoteRef/>
      </w:r>
      <w:r>
        <w:t xml:space="preserve"> </w:t>
      </w:r>
      <w:r>
        <w:t xml:space="preserve">Heine 2005, PMID 16230722.</w:t>
      </w:r>
    </w:p>
  </w:footnote>
  <w:footnote w:id="240">
    <w:p>
      <w:pPr>
        <w:pStyle w:val="FootnoteText"/>
      </w:pPr>
      <w:r>
        <w:rPr>
          <w:rStyle w:val="FootnoteReference"/>
        </w:rPr>
        <w:footnoteRef/>
      </w:r>
      <w:r>
        <w:t xml:space="preserve"> </w:t>
      </w:r>
      <w:r>
        <w:t xml:space="preserve">Wysham 2015, PMID 25744115.</w:t>
      </w:r>
    </w:p>
  </w:footnote>
  <w:footnote w:id="241">
    <w:p>
      <w:pPr>
        <w:pStyle w:val="FootnoteText"/>
      </w:pPr>
      <w:r>
        <w:rPr>
          <w:rStyle w:val="FootnoteReference"/>
        </w:rPr>
        <w:footnoteRef/>
      </w:r>
      <w:r>
        <w:t xml:space="preserve"> </w:t>
      </w:r>
      <w:r>
        <w:t xml:space="preserve">Bergenstal 2010, PMID 20580422.</w:t>
      </w:r>
    </w:p>
  </w:footnote>
  <w:footnote w:id="242">
    <w:p>
      <w:pPr>
        <w:pStyle w:val="FootnoteText"/>
      </w:pPr>
      <w:r>
        <w:rPr>
          <w:rStyle w:val="FootnoteReference"/>
        </w:rPr>
        <w:footnoteRef/>
      </w:r>
      <w:r>
        <w:t xml:space="preserve"> </w:t>
      </w:r>
      <w:r>
        <w:t xml:space="preserve">Diamant 2010, PMID 20609969.</w:t>
      </w:r>
    </w:p>
  </w:footnote>
  <w:footnote w:id="244">
    <w:p>
      <w:pPr>
        <w:pStyle w:val="FootnoteText"/>
      </w:pPr>
      <w:r>
        <w:rPr>
          <w:rStyle w:val="FootnoteReference"/>
        </w:rPr>
        <w:footnoteRef/>
      </w:r>
      <w:r>
        <w:t xml:space="preserve"> </w:t>
      </w:r>
      <w:r>
        <w:t xml:space="preserve">Buse 2013, PMID 23141817.</w:t>
      </w:r>
    </w:p>
  </w:footnote>
  <w:footnote w:id="245">
    <w:p>
      <w:pPr>
        <w:pStyle w:val="FootnoteText"/>
      </w:pPr>
      <w:r>
        <w:rPr>
          <w:rStyle w:val="FootnoteReference"/>
        </w:rPr>
        <w:footnoteRef/>
      </w:r>
      <w:r>
        <w:t xml:space="preserve"> </w:t>
      </w:r>
      <w:r>
        <w:t xml:space="preserve">Ahmann 2018, PMID 29246950.</w:t>
      </w:r>
    </w:p>
  </w:footnote>
  <w:footnote w:id="247">
    <w:p>
      <w:pPr>
        <w:pStyle w:val="FootnoteText"/>
      </w:pPr>
      <w:r>
        <w:rPr>
          <w:rStyle w:val="FootnoteReference"/>
        </w:rPr>
        <w:footnoteRef/>
      </w:r>
      <w:r>
        <w:t xml:space="preserve"> </w:t>
      </w:r>
      <w:r>
        <w:t xml:space="preserve">Holman 2017, PMID 28910237.</w:t>
      </w:r>
    </w:p>
  </w:footnote>
  <w:footnote w:id="248">
    <w:p>
      <w:pPr>
        <w:pStyle w:val="FootnoteText"/>
      </w:pPr>
      <w:r>
        <w:rPr>
          <w:rStyle w:val="FootnoteReference"/>
        </w:rPr>
        <w:footnoteRef/>
      </w:r>
      <w:r>
        <w:t xml:space="preserve"> </w:t>
      </w:r>
      <w:r>
        <w:t xml:space="preserve">Kristensen 2019, PMID 31422062.</w:t>
      </w:r>
    </w:p>
  </w:footnote>
  <w:footnote w:id="249">
    <w:p>
      <w:pPr>
        <w:pStyle w:val="FootnoteText"/>
      </w:pPr>
      <w:r>
        <w:rPr>
          <w:rStyle w:val="FootnoteReference"/>
        </w:rPr>
        <w:footnoteRef/>
      </w:r>
      <w:r>
        <w:t xml:space="preserve"> </w:t>
      </w:r>
      <w:r>
        <w:t xml:space="preserve">Ruff 2022, PMID 34873344.</w:t>
      </w:r>
    </w:p>
  </w:footnote>
  <w:footnote w:id="251">
    <w:p>
      <w:pPr>
        <w:pStyle w:val="FootnoteText"/>
      </w:pPr>
      <w:r>
        <w:rPr>
          <w:rStyle w:val="FootnoteReference"/>
        </w:rPr>
        <w:footnoteRef/>
      </w:r>
      <w:r>
        <w:t xml:space="preserve"> </w:t>
      </w:r>
      <w:r>
        <w:t xml:space="preserve">Rosenstock 2010, PMID 20332357.</w:t>
      </w:r>
    </w:p>
  </w:footnote>
  <w:footnote w:id="252">
    <w:p>
      <w:pPr>
        <w:pStyle w:val="FootnoteText"/>
      </w:pPr>
      <w:r>
        <w:rPr>
          <w:rStyle w:val="FootnoteReference"/>
        </w:rPr>
        <w:footnoteRef/>
      </w:r>
      <w:r>
        <w:t xml:space="preserve"> </w:t>
      </w:r>
      <w:r>
        <w:t xml:space="preserve">Su 2016, PMID 27343423.</w:t>
      </w:r>
    </w:p>
  </w:footnote>
  <w:footnote w:id="253">
    <w:p>
      <w:pPr>
        <w:pStyle w:val="FootnoteText"/>
      </w:pPr>
      <w:r>
        <w:rPr>
          <w:rStyle w:val="FootnoteReference"/>
        </w:rPr>
        <w:footnoteRef/>
      </w:r>
      <w:r>
        <w:t xml:space="preserve"> </w:t>
      </w:r>
      <w:r>
        <w:t xml:space="preserve">Tamborlane 2022, PMID 35679098.</w:t>
      </w:r>
    </w:p>
  </w:footnote>
  <w:footnote w:id="255">
    <w:p>
      <w:pPr>
        <w:pStyle w:val="FootnoteText"/>
      </w:pPr>
      <w:r>
        <w:rPr>
          <w:rStyle w:val="FootnoteReference"/>
        </w:rPr>
        <w:footnoteRef/>
      </w:r>
      <w:r>
        <w:t xml:space="preserve"> </w:t>
      </w:r>
      <w:r>
        <w:t xml:space="preserve">PMID 28781108.</w:t>
      </w:r>
    </w:p>
  </w:footnote>
  <w:footnote w:id="256">
    <w:p>
      <w:pPr>
        <w:pStyle w:val="FootnoteText"/>
      </w:pPr>
      <w:r>
        <w:rPr>
          <w:rStyle w:val="FootnoteReference"/>
        </w:rPr>
        <w:footnoteRef/>
      </w:r>
      <w:r>
        <w:t xml:space="preserve"> </w:t>
      </w:r>
      <w:r>
        <w:t xml:space="preserve">Vijiaratnam 2025, PMID 39919773.</w:t>
      </w:r>
    </w:p>
  </w:footnote>
  <w:footnote w:id="257">
    <w:p>
      <w:pPr>
        <w:pStyle w:val="FootnoteText"/>
      </w:pPr>
      <w:r>
        <w:rPr>
          <w:rStyle w:val="FootnoteReference"/>
        </w:rPr>
        <w:footnoteRef/>
      </w:r>
      <w:r>
        <w:t xml:space="preserve"> </w:t>
      </w:r>
      <w:r>
        <w:t xml:space="preserve">McGarry 2024, PMID 38101901.</w:t>
      </w:r>
    </w:p>
  </w:footnote>
  <w:footnote w:id="258">
    <w:p>
      <w:pPr>
        <w:pStyle w:val="FootnoteText"/>
      </w:pPr>
      <w:r>
        <w:rPr>
          <w:rStyle w:val="FootnoteReference"/>
        </w:rPr>
        <w:footnoteRef/>
      </w:r>
      <w:r>
        <w:t xml:space="preserve"> </w:t>
      </w:r>
      <w:r>
        <w:t xml:space="preserve">Vijiaratnam 2025, PMID 40727970.</w:t>
      </w:r>
    </w:p>
  </w:footnote>
  <w:footnote w:id="260">
    <w:p>
      <w:pPr>
        <w:pStyle w:val="FootnoteText"/>
      </w:pPr>
      <w:r>
        <w:rPr>
          <w:rStyle w:val="FootnoteReference"/>
        </w:rPr>
        <w:footnoteRef/>
      </w:r>
      <w:r>
        <w:t xml:space="preserve"> </w:t>
      </w:r>
      <w:r>
        <w:t xml:space="preserve">Mullins 2019, PMID 31518224.</w:t>
      </w:r>
    </w:p>
  </w:footnote>
  <w:footnote w:id="261">
    <w:p>
      <w:pPr>
        <w:pStyle w:val="FootnoteText"/>
      </w:pPr>
      <w:r>
        <w:rPr>
          <w:rStyle w:val="FootnoteReference"/>
        </w:rPr>
        <w:footnoteRef/>
      </w:r>
      <w:r>
        <w:t xml:space="preserve"> </w:t>
      </w:r>
      <w:r>
        <w:t xml:space="preserve">Dei Cas 2024, PMID 38565814.</w:t>
      </w:r>
    </w:p>
  </w:footnote>
  <w:footnote w:id="262">
    <w:p>
      <w:pPr>
        <w:pStyle w:val="FootnoteText"/>
      </w:pPr>
      <w:r>
        <w:rPr>
          <w:rStyle w:val="FootnoteReference"/>
        </w:rPr>
        <w:footnoteRef/>
      </w:r>
      <w:r>
        <w:t xml:space="preserve"> </w:t>
      </w:r>
      <w:r>
        <w:t xml:space="preserve">Klausen 2022, PMID 36066977.</w:t>
      </w:r>
    </w:p>
  </w:footnote>
  <w:footnote w:id="263">
    <w:p>
      <w:pPr>
        <w:pStyle w:val="FootnoteText"/>
      </w:pPr>
      <w:r>
        <w:rPr>
          <w:rStyle w:val="FootnoteReference"/>
        </w:rPr>
        <w:footnoteRef/>
      </w:r>
      <w:r>
        <w:t xml:space="preserve"> </w:t>
      </w:r>
      <w:r>
        <w:t xml:space="preserve">Mitchell 2023, PMID 36907221.</w:t>
      </w:r>
    </w:p>
  </w:footnote>
  <w:footnote w:id="266">
    <w:p>
      <w:pPr>
        <w:pStyle w:val="FootnoteText"/>
      </w:pPr>
      <w:r>
        <w:rPr>
          <w:rStyle w:val="FootnoteReference"/>
        </w:rPr>
        <w:footnoteRef/>
      </w:r>
      <w:r>
        <w:t xml:space="preserve"> </w:t>
      </w:r>
      <w:r>
        <w:t xml:space="preserve">Eng 1992, PMID 1313797.</w:t>
      </w:r>
    </w:p>
  </w:footnote>
  <w:footnote w:id="267">
    <w:p>
      <w:pPr>
        <w:pStyle w:val="FootnoteText"/>
      </w:pPr>
      <w:r>
        <w:rPr>
          <w:rStyle w:val="FootnoteReference"/>
        </w:rPr>
        <w:footnoteRef/>
      </w:r>
      <w:r>
        <w:t xml:space="preserve"> </w:t>
      </w:r>
      <w:r>
        <w:t xml:space="preserve">Xu 1999, PMID 10580413.</w:t>
      </w:r>
    </w:p>
  </w:footnote>
  <w:footnote w:id="268">
    <w:p>
      <w:pPr>
        <w:pStyle w:val="FootnoteText"/>
      </w:pPr>
      <w:r>
        <w:rPr>
          <w:rStyle w:val="FootnoteReference"/>
        </w:rPr>
        <w:footnoteRef/>
      </w:r>
      <w:r>
        <w:t xml:space="preserve"> </w:t>
      </w:r>
      <w:r>
        <w:t xml:space="preserve">Bjerre Knudsen 2010, PMID 20203154.</w:t>
      </w:r>
    </w:p>
  </w:footnote>
  <w:footnote w:id="270">
    <w:p>
      <w:pPr>
        <w:pStyle w:val="FootnoteText"/>
      </w:pPr>
      <w:r>
        <w:rPr>
          <w:rStyle w:val="FootnoteReference"/>
        </w:rPr>
        <w:footnoteRef/>
      </w:r>
      <w:r>
        <w:t xml:space="preserve"> </w:t>
      </w:r>
      <w:r>
        <w:t xml:space="preserve">Heine 2005, PMID 16230722.</w:t>
      </w:r>
    </w:p>
  </w:footnote>
  <w:footnote w:id="271">
    <w:p>
      <w:pPr>
        <w:pStyle w:val="FootnoteText"/>
      </w:pPr>
      <w:r>
        <w:rPr>
          <w:rStyle w:val="FootnoteReference"/>
        </w:rPr>
        <w:footnoteRef/>
      </w:r>
      <w:r>
        <w:t xml:space="preserve"> </w:t>
      </w:r>
      <w:r>
        <w:t xml:space="preserve">Buse 2013, PMID 23141817.</w:t>
      </w:r>
    </w:p>
  </w:footnote>
  <w:footnote w:id="272">
    <w:p>
      <w:pPr>
        <w:pStyle w:val="FootnoteText"/>
      </w:pPr>
      <w:r>
        <w:rPr>
          <w:rStyle w:val="FootnoteReference"/>
        </w:rPr>
        <w:footnoteRef/>
      </w:r>
      <w:r>
        <w:t xml:space="preserve"> </w:t>
      </w:r>
      <w:r>
        <w:t xml:space="preserve">Kendall 2005, PMID 15855571.</w:t>
      </w:r>
    </w:p>
  </w:footnote>
  <w:footnote w:id="273">
    <w:p>
      <w:pPr>
        <w:pStyle w:val="FootnoteText"/>
      </w:pPr>
      <w:r>
        <w:rPr>
          <w:rStyle w:val="FootnoteReference"/>
        </w:rPr>
        <w:footnoteRef/>
      </w:r>
      <w:r>
        <w:t xml:space="preserve"> </w:t>
      </w:r>
      <w:r>
        <w:t xml:space="preserve">Wysham 2015, PMID 25744115.</w:t>
      </w:r>
    </w:p>
  </w:footnote>
  <w:footnote w:id="274">
    <w:p>
      <w:pPr>
        <w:pStyle w:val="FootnoteText"/>
      </w:pPr>
      <w:r>
        <w:rPr>
          <w:rStyle w:val="FootnoteReference"/>
        </w:rPr>
        <w:footnoteRef/>
      </w:r>
      <w:r>
        <w:t xml:space="preserve"> </w:t>
      </w:r>
      <w:r>
        <w:t xml:space="preserve">Dore 2013, PMID 23981106.</w:t>
      </w:r>
    </w:p>
  </w:footnote>
  <w:footnote w:id="275">
    <w:p>
      <w:pPr>
        <w:pStyle w:val="FootnoteText"/>
      </w:pPr>
      <w:r>
        <w:rPr>
          <w:rStyle w:val="FootnoteReference"/>
        </w:rPr>
        <w:footnoteRef/>
      </w:r>
      <w:r>
        <w:t xml:space="preserve"> </w:t>
      </w:r>
      <w:r>
        <w:t xml:space="preserve">Holman 2017, PMID 28910237.</w:t>
      </w:r>
    </w:p>
  </w:footnote>
  <w:footnote w:id="276">
    <w:p>
      <w:pPr>
        <w:pStyle w:val="FootnoteText"/>
      </w:pPr>
      <w:r>
        <w:rPr>
          <w:rStyle w:val="FootnoteReference"/>
        </w:rPr>
        <w:footnoteRef/>
      </w:r>
      <w:r>
        <w:t xml:space="preserve"> </w:t>
      </w:r>
      <w:r>
        <w:t xml:space="preserve">Liang 2019, PMID 30474347.</w:t>
      </w:r>
    </w:p>
  </w:footnote>
  <w:footnote w:id="277">
    <w:p>
      <w:pPr>
        <w:pStyle w:val="FootnoteText"/>
      </w:pPr>
      <w:r>
        <w:rPr>
          <w:rStyle w:val="FootnoteReference"/>
        </w:rPr>
        <w:footnoteRef/>
      </w:r>
      <w:r>
        <w:t xml:space="preserve"> </w:t>
      </w:r>
      <w:r>
        <w:t xml:space="preserve">Silverii 2025, PMID 40437949.</w:t>
      </w:r>
    </w:p>
  </w:footnote>
  <w:footnote w:id="278">
    <w:p>
      <w:pPr>
        <w:pStyle w:val="FootnoteText"/>
      </w:pPr>
      <w:r>
        <w:rPr>
          <w:rStyle w:val="FootnoteReference"/>
        </w:rPr>
        <w:footnoteRef/>
      </w:r>
      <w:r>
        <w:t xml:space="preserve"> </w:t>
      </w:r>
      <w:r>
        <w:t xml:space="preserve">NCT05663515.</w:t>
      </w:r>
    </w:p>
  </w:footnote>
  <w:footnote w:id="281">
    <w:p>
      <w:pPr>
        <w:pStyle w:val="FootnoteText"/>
      </w:pPr>
      <w:r>
        <w:rPr>
          <w:rStyle w:val="FootnoteReference"/>
        </w:rPr>
        <w:footnoteRef/>
      </w:r>
      <w:r>
        <w:t xml:space="preserve"> </w:t>
      </w:r>
      <w:r>
        <w:t xml:space="preserve">Ji 2021, PMID 33687487.</w:t>
      </w:r>
    </w:p>
  </w:footnote>
  <w:footnote w:id="282">
    <w:p>
      <w:pPr>
        <w:pStyle w:val="FootnoteText"/>
      </w:pPr>
      <w:r>
        <w:rPr>
          <w:rStyle w:val="FootnoteReference"/>
        </w:rPr>
        <w:footnoteRef/>
      </w:r>
      <w:r>
        <w:t xml:space="preserve"> </w:t>
      </w:r>
      <w:r>
        <w:t xml:space="preserve">NCT06254014, NCT06257966.</w:t>
      </w:r>
    </w:p>
  </w:footnote>
  <w:footnote w:id="283">
    <w:p>
      <w:pPr>
        <w:pStyle w:val="FootnoteText"/>
      </w:pPr>
      <w:r>
        <w:rPr>
          <w:rStyle w:val="FootnoteReference"/>
        </w:rPr>
        <w:footnoteRef/>
      </w:r>
      <w:r>
        <w:t xml:space="preserve"> </w:t>
      </w:r>
      <w:r>
        <w:t xml:space="preserve">NCT07497399.</w:t>
      </w:r>
    </w:p>
  </w:footnote>
  <w:footnote w:id="284">
    <w:p>
      <w:pPr>
        <w:pStyle w:val="FootnoteText"/>
      </w:pPr>
      <w:r>
        <w:rPr>
          <w:rStyle w:val="FootnoteReference"/>
        </w:rPr>
        <w:footnoteRef/>
      </w:r>
      <w:r>
        <w:t xml:space="preserve"> </w:t>
      </w:r>
      <w:r>
        <w:t xml:space="preserve">NCT05663515.</w:t>
      </w:r>
    </w:p>
  </w:footnote>
  <w:footnote w:id="285">
    <w:p>
      <w:pPr>
        <w:pStyle w:val="FootnoteText"/>
      </w:pPr>
      <w:r>
        <w:rPr>
          <w:rStyle w:val="FootnoteReference"/>
        </w:rPr>
        <w:footnoteRef/>
      </w:r>
      <w:r>
        <w:t xml:space="preserve"> </w:t>
      </w:r>
      <w:r>
        <w:t xml:space="preserve">NCT01511393.</w:t>
      </w:r>
    </w:p>
  </w:footnote>
  <w:footnote w:id="286">
    <w:p>
      <w:pPr>
        <w:pStyle w:val="FootnoteText"/>
      </w:pPr>
      <w:r>
        <w:rPr>
          <w:rStyle w:val="FootnoteReference"/>
        </w:rPr>
        <w:footnoteRef/>
      </w:r>
      <w:r>
        <w:t xml:space="preserve"> </w:t>
      </w:r>
      <w:r>
        <w:t xml:space="preserve">NCT07808879.</w:t>
      </w:r>
    </w:p>
  </w:footnote>
  <w:footnote w:id="290">
    <w:p>
      <w:pPr>
        <w:pStyle w:val="FootnoteText"/>
      </w:pPr>
      <w:r>
        <w:rPr>
          <w:rStyle w:val="FootnoteReference"/>
        </w:rPr>
        <w:footnoteRef/>
      </w:r>
      <w:r>
        <w:t xml:space="preserve"> </w:t>
      </w:r>
      <w:r>
        <w:t xml:space="preserve">Knudsen 2019, PMID 31031702.</w:t>
      </w:r>
    </w:p>
  </w:footnote>
  <w:footnote w:id="292">
    <w:p>
      <w:pPr>
        <w:pStyle w:val="FootnoteText"/>
      </w:pPr>
      <w:r>
        <w:rPr>
          <w:rStyle w:val="FootnoteReference"/>
        </w:rPr>
        <w:footnoteRef/>
      </w:r>
      <w:r>
        <w:t xml:space="preserve"> </w:t>
      </w:r>
      <w:r>
        <w:t xml:space="preserve">Secher 2014, PMID 25202980.</w:t>
      </w:r>
    </w:p>
  </w:footnote>
  <w:footnote w:id="293">
    <w:p>
      <w:pPr>
        <w:pStyle w:val="FootnoteText"/>
      </w:pPr>
      <w:r>
        <w:rPr>
          <w:rStyle w:val="FootnoteReference"/>
        </w:rPr>
        <w:footnoteRef/>
      </w:r>
      <w:r>
        <w:t xml:space="preserve"> </w:t>
      </w:r>
      <w:r>
        <w:t xml:space="preserve">Knudsen 2019, PMID 31031702.</w:t>
      </w:r>
    </w:p>
  </w:footnote>
  <w:footnote w:id="295">
    <w:p>
      <w:pPr>
        <w:pStyle w:val="FootnoteText"/>
      </w:pPr>
      <w:r>
        <w:rPr>
          <w:rStyle w:val="FootnoteReference"/>
        </w:rPr>
        <w:footnoteRef/>
      </w:r>
      <w:r>
        <w:t xml:space="preserve"> </w:t>
      </w:r>
      <w:r>
        <w:t xml:space="preserve">Garber 2009, PMID 18819705.</w:t>
      </w:r>
    </w:p>
  </w:footnote>
  <w:footnote w:id="296">
    <w:p>
      <w:pPr>
        <w:pStyle w:val="FootnoteText"/>
      </w:pPr>
      <w:r>
        <w:rPr>
          <w:rStyle w:val="FootnoteReference"/>
        </w:rPr>
        <w:footnoteRef/>
      </w:r>
      <w:r>
        <w:t xml:space="preserve"> </w:t>
      </w:r>
      <w:r>
        <w:t xml:space="preserve">Pratley 2010, PMID 20417856.</w:t>
      </w:r>
    </w:p>
  </w:footnote>
  <w:footnote w:id="298">
    <w:p>
      <w:pPr>
        <w:pStyle w:val="FootnoteText"/>
      </w:pPr>
      <w:r>
        <w:rPr>
          <w:rStyle w:val="FootnoteReference"/>
        </w:rPr>
        <w:footnoteRef/>
      </w:r>
      <w:r>
        <w:t xml:space="preserve"> </w:t>
      </w:r>
      <w:r>
        <w:t xml:space="preserve">Buse 2009, PMID 19515413.</w:t>
      </w:r>
    </w:p>
  </w:footnote>
  <w:footnote w:id="299">
    <w:p>
      <w:pPr>
        <w:pStyle w:val="FootnoteText"/>
      </w:pPr>
      <w:r>
        <w:rPr>
          <w:rStyle w:val="FootnoteReference"/>
        </w:rPr>
        <w:footnoteRef/>
      </w:r>
      <w:r>
        <w:t xml:space="preserve"> </w:t>
      </w:r>
      <w:r>
        <w:t xml:space="preserve">Dungan 2014, PMID 25018121.</w:t>
      </w:r>
    </w:p>
  </w:footnote>
  <w:footnote w:id="300">
    <w:p>
      <w:pPr>
        <w:pStyle w:val="FootnoteText"/>
      </w:pPr>
      <w:r>
        <w:rPr>
          <w:rStyle w:val="FootnoteReference"/>
        </w:rPr>
        <w:footnoteRef/>
      </w:r>
      <w:r>
        <w:t xml:space="preserve"> </w:t>
      </w:r>
      <w:r>
        <w:t xml:space="preserve">Rubino 2022, PMID 35015037.</w:t>
      </w:r>
    </w:p>
  </w:footnote>
  <w:footnote w:id="301">
    <w:p>
      <w:pPr>
        <w:pStyle w:val="FootnoteText"/>
      </w:pPr>
      <w:r>
        <w:rPr>
          <w:rStyle w:val="FootnoteReference"/>
        </w:rPr>
        <w:footnoteRef/>
      </w:r>
      <w:r>
        <w:t xml:space="preserve"> </w:t>
      </w:r>
      <w:r>
        <w:t xml:space="preserve">Pratley 2019, PMID 31186120.</w:t>
      </w:r>
    </w:p>
  </w:footnote>
  <w:footnote w:id="303">
    <w:p>
      <w:pPr>
        <w:pStyle w:val="FootnoteText"/>
      </w:pPr>
      <w:r>
        <w:rPr>
          <w:rStyle w:val="FootnoteReference"/>
        </w:rPr>
        <w:footnoteRef/>
      </w:r>
      <w:r>
        <w:t xml:space="preserve"> </w:t>
      </w:r>
      <w:r>
        <w:t xml:space="preserve">Marso 2016, PMID 27295427.</w:t>
      </w:r>
    </w:p>
  </w:footnote>
  <w:footnote w:id="304">
    <w:p>
      <w:pPr>
        <w:pStyle w:val="FootnoteText"/>
      </w:pPr>
      <w:r>
        <w:rPr>
          <w:rStyle w:val="FootnoteReference"/>
        </w:rPr>
        <w:footnoteRef/>
      </w:r>
      <w:r>
        <w:t xml:space="preserve"> </w:t>
      </w:r>
      <w:r>
        <w:t xml:space="preserve">Mann 2017, PMID 28854085.</w:t>
      </w:r>
    </w:p>
  </w:footnote>
  <w:footnote w:id="305">
    <w:p>
      <w:pPr>
        <w:pStyle w:val="FootnoteText"/>
      </w:pPr>
      <w:r>
        <w:rPr>
          <w:rStyle w:val="FootnoteReference"/>
        </w:rPr>
        <w:footnoteRef/>
      </w:r>
      <w:r>
        <w:t xml:space="preserve"> </w:t>
      </w:r>
      <w:r>
        <w:t xml:space="preserve">Margulies 2016, PMID 27483064.</w:t>
      </w:r>
    </w:p>
  </w:footnote>
  <w:footnote w:id="307">
    <w:p>
      <w:pPr>
        <w:pStyle w:val="FootnoteText"/>
      </w:pPr>
      <w:r>
        <w:rPr>
          <w:rStyle w:val="FootnoteReference"/>
        </w:rPr>
        <w:footnoteRef/>
      </w:r>
      <w:r>
        <w:t xml:space="preserve"> </w:t>
      </w:r>
      <w:r>
        <w:t xml:space="preserve">Pi-Sunyer 2015, PMID 26132939.</w:t>
      </w:r>
    </w:p>
  </w:footnote>
  <w:footnote w:id="308">
    <w:p>
      <w:pPr>
        <w:pStyle w:val="FootnoteText"/>
      </w:pPr>
      <w:r>
        <w:rPr>
          <w:rStyle w:val="FootnoteReference"/>
        </w:rPr>
        <w:footnoteRef/>
      </w:r>
      <w:r>
        <w:t xml:space="preserve"> </w:t>
      </w:r>
      <w:r>
        <w:t xml:space="preserve">le Roux 2017, PMID 28237263.</w:t>
      </w:r>
    </w:p>
  </w:footnote>
  <w:footnote w:id="309">
    <w:p>
      <w:pPr>
        <w:pStyle w:val="FootnoteText"/>
      </w:pPr>
      <w:r>
        <w:rPr>
          <w:rStyle w:val="FootnoteReference"/>
        </w:rPr>
        <w:footnoteRef/>
      </w:r>
      <w:r>
        <w:t xml:space="preserve"> </w:t>
      </w:r>
      <w:r>
        <w:t xml:space="preserve">Davies 2015, PMID 26284720.</w:t>
      </w:r>
    </w:p>
  </w:footnote>
  <w:footnote w:id="310">
    <w:p>
      <w:pPr>
        <w:pStyle w:val="FootnoteText"/>
      </w:pPr>
      <w:r>
        <w:rPr>
          <w:rStyle w:val="FootnoteReference"/>
        </w:rPr>
        <w:footnoteRef/>
      </w:r>
      <w:r>
        <w:t xml:space="preserve"> </w:t>
      </w:r>
      <w:r>
        <w:t xml:space="preserve">Wadden 2013, PMID 23812094.</w:t>
      </w:r>
    </w:p>
  </w:footnote>
  <w:footnote w:id="312">
    <w:p>
      <w:pPr>
        <w:pStyle w:val="FootnoteText"/>
      </w:pPr>
      <w:r>
        <w:rPr>
          <w:rStyle w:val="FootnoteReference"/>
        </w:rPr>
        <w:footnoteRef/>
      </w:r>
      <w:r>
        <w:t xml:space="preserve"> </w:t>
      </w:r>
      <w:r>
        <w:t xml:space="preserve">Kelly 2020, PMID 32233338.</w:t>
      </w:r>
    </w:p>
  </w:footnote>
  <w:footnote w:id="313">
    <w:p>
      <w:pPr>
        <w:pStyle w:val="FootnoteText"/>
      </w:pPr>
      <w:r>
        <w:rPr>
          <w:rStyle w:val="FootnoteReference"/>
        </w:rPr>
        <w:footnoteRef/>
      </w:r>
      <w:r>
        <w:t xml:space="preserve"> </w:t>
      </w:r>
      <w:r>
        <w:t xml:space="preserve">Fox 2025, PMID 39258838.</w:t>
      </w:r>
    </w:p>
  </w:footnote>
  <w:footnote w:id="314">
    <w:p>
      <w:pPr>
        <w:pStyle w:val="FootnoteText"/>
      </w:pPr>
      <w:r>
        <w:rPr>
          <w:rStyle w:val="FootnoteReference"/>
        </w:rPr>
        <w:footnoteRef/>
      </w:r>
      <w:r>
        <w:t xml:space="preserve"> </w:t>
      </w:r>
      <w:r>
        <w:t xml:space="preserve">NCT06903923.</w:t>
      </w:r>
    </w:p>
  </w:footnote>
  <w:footnote w:id="316">
    <w:p>
      <w:pPr>
        <w:pStyle w:val="FootnoteText"/>
      </w:pPr>
      <w:r>
        <w:rPr>
          <w:rStyle w:val="FootnoteReference"/>
        </w:rPr>
        <w:footnoteRef/>
      </w:r>
      <w:r>
        <w:t xml:space="preserve"> </w:t>
      </w:r>
      <w:r>
        <w:t xml:space="preserve">Armstrong 2016, PMID 26608256.</w:t>
      </w:r>
    </w:p>
  </w:footnote>
  <w:footnote w:id="317">
    <w:p>
      <w:pPr>
        <w:pStyle w:val="FootnoteText"/>
      </w:pPr>
      <w:r>
        <w:rPr>
          <w:rStyle w:val="FootnoteReference"/>
        </w:rPr>
        <w:footnoteRef/>
      </w:r>
      <w:r>
        <w:t xml:space="preserve"> </w:t>
      </w:r>
      <w:r>
        <w:t xml:space="preserve">Edison 2026, PMID 41326666.</w:t>
      </w:r>
    </w:p>
  </w:footnote>
  <w:footnote w:id="318">
    <w:p>
      <w:pPr>
        <w:pStyle w:val="FootnoteText"/>
      </w:pPr>
      <w:r>
        <w:rPr>
          <w:rStyle w:val="FootnoteReference"/>
        </w:rPr>
        <w:footnoteRef/>
      </w:r>
      <w:r>
        <w:t xml:space="preserve"> </w:t>
      </w:r>
      <w:r>
        <w:t xml:space="preserve">Lähteenvuo 2025, PMID 39535805.</w:t>
      </w:r>
    </w:p>
  </w:footnote>
  <w:footnote w:id="321">
    <w:p>
      <w:pPr>
        <w:pStyle w:val="FootnoteText"/>
      </w:pPr>
      <w:r>
        <w:rPr>
          <w:rStyle w:val="FootnoteReference"/>
        </w:rPr>
        <w:footnoteRef/>
      </w:r>
      <w:r>
        <w:t xml:space="preserve"> </w:t>
      </w:r>
      <w:r>
        <w:t xml:space="preserve">Secher 2014, PMID 25202980.</w:t>
      </w:r>
    </w:p>
  </w:footnote>
  <w:footnote w:id="322">
    <w:p>
      <w:pPr>
        <w:pStyle w:val="FootnoteText"/>
      </w:pPr>
      <w:r>
        <w:rPr>
          <w:rStyle w:val="FootnoteReference"/>
        </w:rPr>
        <w:footnoteRef/>
      </w:r>
      <w:r>
        <w:t xml:space="preserve"> </w:t>
      </w:r>
      <w:r>
        <w:t xml:space="preserve">Bjerre Knudsen 2010, PMID 20203154.</w:t>
      </w:r>
    </w:p>
  </w:footnote>
  <w:footnote w:id="324">
    <w:p>
      <w:pPr>
        <w:pStyle w:val="FootnoteText"/>
      </w:pPr>
      <w:r>
        <w:rPr>
          <w:rStyle w:val="FootnoteReference"/>
        </w:rPr>
        <w:footnoteRef/>
      </w:r>
      <w:r>
        <w:t xml:space="preserve"> </w:t>
      </w:r>
      <w:r>
        <w:t xml:space="preserve">Marso 2016, PMID 27295427.</w:t>
      </w:r>
    </w:p>
  </w:footnote>
  <w:footnote w:id="325">
    <w:p>
      <w:pPr>
        <w:pStyle w:val="FootnoteText"/>
      </w:pPr>
      <w:r>
        <w:rPr>
          <w:rStyle w:val="FootnoteReference"/>
        </w:rPr>
        <w:footnoteRef/>
      </w:r>
      <w:r>
        <w:t xml:space="preserve"> </w:t>
      </w:r>
      <w:r>
        <w:t xml:space="preserve">Davies 2015, PMID 26284720.</w:t>
      </w:r>
    </w:p>
  </w:footnote>
  <w:footnote w:id="326">
    <w:p>
      <w:pPr>
        <w:pStyle w:val="FootnoteText"/>
      </w:pPr>
      <w:r>
        <w:rPr>
          <w:rStyle w:val="FootnoteReference"/>
        </w:rPr>
        <w:footnoteRef/>
      </w:r>
      <w:r>
        <w:t xml:space="preserve"> </w:t>
      </w:r>
      <w:r>
        <w:t xml:space="preserve">He 2022, PMID 35344001.</w:t>
      </w:r>
    </w:p>
  </w:footnote>
  <w:footnote w:id="327">
    <w:p>
      <w:pPr>
        <w:pStyle w:val="FootnoteText"/>
      </w:pPr>
      <w:r>
        <w:rPr>
          <w:rStyle w:val="FootnoteReference"/>
        </w:rPr>
        <w:footnoteRef/>
      </w:r>
      <w:r>
        <w:t xml:space="preserve"> </w:t>
      </w:r>
      <w:r>
        <w:t xml:space="preserve">Marso 2016, PMID 27295427.</w:t>
      </w:r>
    </w:p>
  </w:footnote>
  <w:footnote w:id="328">
    <w:p>
      <w:pPr>
        <w:pStyle w:val="FootnoteText"/>
      </w:pPr>
      <w:r>
        <w:rPr>
          <w:rStyle w:val="FootnoteReference"/>
        </w:rPr>
        <w:footnoteRef/>
      </w:r>
      <w:r>
        <w:t xml:space="preserve"> </w:t>
      </w:r>
      <w:r>
        <w:t xml:space="preserve">Alves 2012, PMID 23010561.</w:t>
      </w:r>
    </w:p>
  </w:footnote>
  <w:footnote w:id="329">
    <w:p>
      <w:pPr>
        <w:pStyle w:val="FootnoteText"/>
      </w:pPr>
      <w:r>
        <w:rPr>
          <w:rStyle w:val="FootnoteReference"/>
        </w:rPr>
        <w:footnoteRef/>
      </w:r>
      <w:r>
        <w:t xml:space="preserve"> </w:t>
      </w:r>
      <w:r>
        <w:t xml:space="preserve">Bezin 2023, PMID 36356111.</w:t>
      </w:r>
    </w:p>
  </w:footnote>
  <w:footnote w:id="330">
    <w:p>
      <w:pPr>
        <w:pStyle w:val="FootnoteText"/>
      </w:pPr>
      <w:r>
        <w:rPr>
          <w:rStyle w:val="FootnoteReference"/>
        </w:rPr>
        <w:footnoteRef/>
      </w:r>
      <w:r>
        <w:t xml:space="preserve"> </w:t>
      </w:r>
      <w:r>
        <w:t xml:space="preserve">Silverii 2025, PMID 40437949.</w:t>
      </w:r>
    </w:p>
  </w:footnote>
  <w:footnote w:id="331">
    <w:p>
      <w:pPr>
        <w:pStyle w:val="FootnoteText"/>
      </w:pPr>
      <w:r>
        <w:rPr>
          <w:rStyle w:val="FootnoteReference"/>
        </w:rPr>
        <w:footnoteRef/>
      </w:r>
      <w:r>
        <w:t xml:space="preserve"> </w:t>
      </w:r>
      <w:r>
        <w:t xml:space="preserve">Ueda 2024, PMID 39226030.</w:t>
      </w:r>
    </w:p>
  </w:footnote>
  <w:footnote w:id="332">
    <w:p>
      <w:pPr>
        <w:pStyle w:val="FootnoteText"/>
      </w:pPr>
      <w:r>
        <w:rPr>
          <w:rStyle w:val="FootnoteReference"/>
        </w:rPr>
        <w:footnoteRef/>
      </w:r>
      <w:r>
        <w:t xml:space="preserve"> </w:t>
      </w:r>
      <w:r>
        <w:t xml:space="preserve">Choudhury 2026, PMID 41862354.</w:t>
      </w:r>
    </w:p>
  </w:footnote>
  <w:footnote w:id="335">
    <w:p>
      <w:pPr>
        <w:pStyle w:val="FootnoteText"/>
      </w:pPr>
      <w:r>
        <w:rPr>
          <w:rStyle w:val="FootnoteReference"/>
        </w:rPr>
        <w:footnoteRef/>
      </w:r>
      <w:r>
        <w:t xml:space="preserve"> </w:t>
      </w:r>
      <w:r>
        <w:t xml:space="preserve">NCT06742710.</w:t>
      </w:r>
    </w:p>
  </w:footnote>
  <w:footnote w:id="336">
    <w:p>
      <w:pPr>
        <w:pStyle w:val="FootnoteText"/>
      </w:pPr>
      <w:r>
        <w:rPr>
          <w:rStyle w:val="FootnoteReference"/>
        </w:rPr>
        <w:footnoteRef/>
      </w:r>
      <w:r>
        <w:t xml:space="preserve"> </w:t>
      </w:r>
      <w:r>
        <w:t xml:space="preserve">NCT06361238.</w:t>
      </w:r>
    </w:p>
  </w:footnote>
  <w:footnote w:id="337">
    <w:p>
      <w:pPr>
        <w:pStyle w:val="FootnoteText"/>
      </w:pPr>
      <w:r>
        <w:rPr>
          <w:rStyle w:val="FootnoteReference"/>
        </w:rPr>
        <w:footnoteRef/>
      </w:r>
      <w:r>
        <w:t xml:space="preserve"> </w:t>
      </w:r>
      <w:r>
        <w:t xml:space="preserve">NCT07029009.</w:t>
      </w:r>
    </w:p>
  </w:footnote>
  <w:footnote w:id="338">
    <w:p>
      <w:pPr>
        <w:pStyle w:val="FootnoteText"/>
      </w:pPr>
      <w:r>
        <w:rPr>
          <w:rStyle w:val="FootnoteReference"/>
        </w:rPr>
        <w:footnoteRef/>
      </w:r>
      <w:r>
        <w:t xml:space="preserve"> </w:t>
      </w:r>
      <w:r>
        <w:t xml:space="preserve">NCT05390892.</w:t>
      </w:r>
    </w:p>
  </w:footnote>
  <w:footnote w:id="339">
    <w:p>
      <w:pPr>
        <w:pStyle w:val="FootnoteText"/>
      </w:pPr>
      <w:r>
        <w:rPr>
          <w:rStyle w:val="FootnoteReference"/>
        </w:rPr>
        <w:footnoteRef/>
      </w:r>
      <w:r>
        <w:t xml:space="preserve"> </w:t>
      </w:r>
      <w:r>
        <w:t xml:space="preserve">NCT04775082.</w:t>
      </w:r>
    </w:p>
  </w:footnote>
  <w:footnote w:id="343">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Glaesner 2010, PMID 20503261.</w:t>
      </w:r>
    </w:p>
  </w:footnote>
  <w:footnote w:id="346">
    <w:p>
      <w:pPr>
        <w:pStyle w:val="FootnoteText"/>
      </w:pPr>
      <w:r>
        <w:rPr>
          <w:rStyle w:val="FootnoteReference"/>
        </w:rPr>
        <w:footnoteRef/>
      </w:r>
      <w:r>
        <w:t xml:space="preserve"> </w:t>
      </w:r>
      <w:r>
        <w:t xml:space="preserve">Milicevic 2016, PMID 26847401.</w:t>
      </w:r>
    </w:p>
  </w:footnote>
  <w:footnote w:id="348">
    <w:p>
      <w:pPr>
        <w:pStyle w:val="FootnoteText"/>
      </w:pPr>
      <w:r>
        <w:rPr>
          <w:rStyle w:val="FootnoteReference"/>
        </w:rPr>
        <w:footnoteRef/>
      </w:r>
      <w:r>
        <w:t xml:space="preserve"> </w:t>
      </w:r>
      <w:r>
        <w:t xml:space="preserve">Giorgino 2015, PMID 26089386; Blonde 2015, PMID 26009229.</w:t>
      </w:r>
    </w:p>
  </w:footnote>
  <w:footnote w:id="349">
    <w:p>
      <w:pPr>
        <w:pStyle w:val="FootnoteText"/>
      </w:pPr>
      <w:r>
        <w:rPr>
          <w:rStyle w:val="FootnoteReference"/>
        </w:rPr>
        <w:footnoteRef/>
      </w:r>
      <w:r>
        <w:t xml:space="preserve"> </w:t>
      </w:r>
      <w:r>
        <w:t xml:space="preserve">Tuttle 2018, PMID 29910024.</w:t>
      </w:r>
    </w:p>
  </w:footnote>
  <w:footnote w:id="350">
    <w:p>
      <w:pPr>
        <w:pStyle w:val="FootnoteText"/>
      </w:pPr>
      <w:r>
        <w:rPr>
          <w:rStyle w:val="FootnoteReference"/>
        </w:rPr>
        <w:footnoteRef/>
      </w:r>
      <w:r>
        <w:t xml:space="preserve"> </w:t>
      </w:r>
      <w:r>
        <w:t xml:space="preserve">Dungan 2016, PMID 26799540.</w:t>
      </w:r>
    </w:p>
  </w:footnote>
  <w:footnote w:id="351">
    <w:p>
      <w:pPr>
        <w:pStyle w:val="FootnoteText"/>
      </w:pPr>
      <w:r>
        <w:rPr>
          <w:rStyle w:val="FootnoteReference"/>
        </w:rPr>
        <w:footnoteRef/>
      </w:r>
      <w:r>
        <w:t xml:space="preserve"> </w:t>
      </w:r>
      <w:r>
        <w:t xml:space="preserve">Frias 2021, PMID 33397768.</w:t>
      </w:r>
    </w:p>
  </w:footnote>
  <w:footnote w:id="353">
    <w:p>
      <w:pPr>
        <w:pStyle w:val="FootnoteText"/>
      </w:pPr>
      <w:r>
        <w:rPr>
          <w:rStyle w:val="FootnoteReference"/>
        </w:rPr>
        <w:footnoteRef/>
      </w:r>
      <w:r>
        <w:t xml:space="preserve"> </w:t>
      </w:r>
      <w:r>
        <w:t xml:space="preserve">Wysham 2014, PMID 24879836.</w:t>
      </w:r>
    </w:p>
  </w:footnote>
  <w:footnote w:id="354">
    <w:p>
      <w:pPr>
        <w:pStyle w:val="FootnoteText"/>
      </w:pPr>
      <w:r>
        <w:rPr>
          <w:rStyle w:val="FootnoteReference"/>
        </w:rPr>
        <w:footnoteRef/>
      </w:r>
      <w:r>
        <w:t xml:space="preserve"> </w:t>
      </w:r>
      <w:r>
        <w:t xml:space="preserve">Dungan 2014, PMID 25018121.</w:t>
      </w:r>
    </w:p>
  </w:footnote>
  <w:footnote w:id="355">
    <w:p>
      <w:pPr>
        <w:pStyle w:val="FootnoteText"/>
      </w:pPr>
      <w:r>
        <w:rPr>
          <w:rStyle w:val="FootnoteReference"/>
        </w:rPr>
        <w:footnoteRef/>
      </w:r>
      <w:r>
        <w:t xml:space="preserve"> </w:t>
      </w:r>
      <w:r>
        <w:t xml:space="preserve">Pratley 2018, PMID 29397376.</w:t>
      </w:r>
    </w:p>
  </w:footnote>
  <w:footnote w:id="357">
    <w:p>
      <w:pPr>
        <w:pStyle w:val="FootnoteText"/>
      </w:pPr>
      <w:r>
        <w:rPr>
          <w:rStyle w:val="FootnoteReference"/>
        </w:rPr>
        <w:footnoteRef/>
      </w:r>
      <w:r>
        <w:t xml:space="preserve"> </w:t>
      </w:r>
      <w:r>
        <w:t xml:space="preserve">Gerstein 2019, PMID 31189511.</w:t>
      </w:r>
    </w:p>
  </w:footnote>
  <w:footnote w:id="358">
    <w:p>
      <w:pPr>
        <w:pStyle w:val="FootnoteText"/>
      </w:pPr>
      <w:r>
        <w:rPr>
          <w:rStyle w:val="FootnoteReference"/>
        </w:rPr>
        <w:footnoteRef/>
      </w:r>
      <w:r>
        <w:t xml:space="preserve"> </w:t>
      </w:r>
      <w:r>
        <w:t xml:space="preserve">Gerstein 2019, PMID 31189509.</w:t>
      </w:r>
    </w:p>
  </w:footnote>
  <w:footnote w:id="359">
    <w:p>
      <w:pPr>
        <w:pStyle w:val="FootnoteText"/>
      </w:pPr>
      <w:r>
        <w:rPr>
          <w:rStyle w:val="FootnoteReference"/>
        </w:rPr>
        <w:footnoteRef/>
      </w:r>
      <w:r>
        <w:t xml:space="preserve"> </w:t>
      </w:r>
      <w:r>
        <w:t xml:space="preserve">Cukierman-Yaffe 2020, PMID 32562683.</w:t>
      </w:r>
    </w:p>
  </w:footnote>
  <w:footnote w:id="360">
    <w:p>
      <w:pPr>
        <w:pStyle w:val="FootnoteText"/>
      </w:pPr>
      <w:r>
        <w:rPr>
          <w:rStyle w:val="FootnoteReference"/>
        </w:rPr>
        <w:footnoteRef/>
      </w:r>
      <w:r>
        <w:t xml:space="preserve"> </w:t>
      </w:r>
      <w:r>
        <w:t xml:space="preserve">Kristensen 2019, PMID 31422062.</w:t>
      </w:r>
    </w:p>
  </w:footnote>
  <w:footnote w:id="362">
    <w:p>
      <w:pPr>
        <w:pStyle w:val="FootnoteText"/>
      </w:pPr>
      <w:r>
        <w:rPr>
          <w:rStyle w:val="FootnoteReference"/>
        </w:rPr>
        <w:footnoteRef/>
      </w:r>
      <w:r>
        <w:t xml:space="preserve"> </w:t>
      </w:r>
      <w:r>
        <w:t xml:space="preserve">Raubenheimer 2022, PMID 34984808.</w:t>
      </w:r>
    </w:p>
  </w:footnote>
  <w:footnote w:id="363">
    <w:p>
      <w:pPr>
        <w:pStyle w:val="FootnoteText"/>
      </w:pPr>
      <w:r>
        <w:rPr>
          <w:rStyle w:val="FootnoteReference"/>
        </w:rPr>
        <w:footnoteRef/>
      </w:r>
      <w:r>
        <w:t xml:space="preserve"> </w:t>
      </w:r>
      <w:r>
        <w:t xml:space="preserve">PMID 34563178.</w:t>
      </w:r>
    </w:p>
  </w:footnote>
  <w:footnote w:id="364">
    <w:p>
      <w:pPr>
        <w:pStyle w:val="FootnoteText"/>
      </w:pPr>
      <w:r>
        <w:rPr>
          <w:rStyle w:val="FootnoteReference"/>
        </w:rPr>
        <w:footnoteRef/>
      </w:r>
      <w:r>
        <w:t xml:space="preserve"> </w:t>
      </w:r>
      <w:r>
        <w:t xml:space="preserve">Branch 2022, PMID 36073143.</w:t>
      </w:r>
    </w:p>
  </w:footnote>
  <w:footnote w:id="365">
    <w:p>
      <w:pPr>
        <w:pStyle w:val="FootnoteText"/>
      </w:pPr>
      <w:r>
        <w:rPr>
          <w:rStyle w:val="FootnoteReference"/>
        </w:rPr>
        <w:footnoteRef/>
      </w:r>
      <w:r>
        <w:t xml:space="preserve"> </w:t>
      </w:r>
      <w:r>
        <w:t xml:space="preserve">Raubenheimer 2022, PMID 34984808.</w:t>
      </w:r>
    </w:p>
  </w:footnote>
  <w:footnote w:id="367">
    <w:p>
      <w:pPr>
        <w:pStyle w:val="FootnoteText"/>
      </w:pPr>
      <w:r>
        <w:rPr>
          <w:rStyle w:val="FootnoteReference"/>
        </w:rPr>
        <w:footnoteRef/>
      </w:r>
      <w:r>
        <w:t xml:space="preserve"> </w:t>
      </w:r>
      <w:r>
        <w:t xml:space="preserve">Nicholls 2025, PMID 41406444.</w:t>
      </w:r>
    </w:p>
  </w:footnote>
  <w:footnote w:id="368">
    <w:p>
      <w:pPr>
        <w:pStyle w:val="FootnoteText"/>
      </w:pPr>
      <w:r>
        <w:rPr>
          <w:rStyle w:val="FootnoteReference"/>
        </w:rPr>
        <w:footnoteRef/>
      </w:r>
      <w:r>
        <w:t xml:space="preserve"> </w:t>
      </w:r>
      <w:r>
        <w:t xml:space="preserve">Nissen 2026, PMID 41903177.</w:t>
      </w:r>
    </w:p>
  </w:footnote>
  <w:footnote w:id="370">
    <w:p>
      <w:pPr>
        <w:pStyle w:val="FootnoteText"/>
      </w:pPr>
      <w:r>
        <w:rPr>
          <w:rStyle w:val="FootnoteReference"/>
        </w:rPr>
        <w:footnoteRef/>
      </w:r>
      <w:r>
        <w:t xml:space="preserve"> </w:t>
      </w:r>
      <w:r>
        <w:t xml:space="preserve">Matfin 2015, PMID 25901022.</w:t>
      </w:r>
    </w:p>
  </w:footnote>
  <w:footnote w:id="371">
    <w:p>
      <w:pPr>
        <w:pStyle w:val="FootnoteText"/>
      </w:pPr>
      <w:r>
        <w:rPr>
          <w:rStyle w:val="FootnoteReference"/>
        </w:rPr>
        <w:footnoteRef/>
      </w:r>
      <w:r>
        <w:t xml:space="preserve"> </w:t>
      </w:r>
      <w:r>
        <w:t xml:space="preserve">Matza 2020, PMID 31646727.</w:t>
      </w:r>
    </w:p>
  </w:footnote>
  <w:footnote w:id="373">
    <w:p>
      <w:pPr>
        <w:pStyle w:val="FootnoteText"/>
      </w:pPr>
      <w:r>
        <w:rPr>
          <w:rStyle w:val="FootnoteReference"/>
        </w:rPr>
        <w:footnoteRef/>
      </w:r>
      <w:r>
        <w:t xml:space="preserve"> </w:t>
      </w:r>
      <w:r>
        <w:t xml:space="preserve">Arslanian 2022, PMID 35658022.</w:t>
      </w:r>
    </w:p>
  </w:footnote>
  <w:footnote w:id="375">
    <w:p>
      <w:pPr>
        <w:pStyle w:val="FootnoteText"/>
      </w:pPr>
      <w:r>
        <w:rPr>
          <w:rStyle w:val="FootnoteReference"/>
        </w:rPr>
        <w:footnoteRef/>
      </w:r>
      <w:r>
        <w:t xml:space="preserve"> </w:t>
      </w:r>
      <w:r>
        <w:t xml:space="preserve">Lüthi 2024, PMID 38371479.</w:t>
      </w:r>
    </w:p>
  </w:footnote>
  <w:footnote w:id="376">
    <w:p>
      <w:pPr>
        <w:pStyle w:val="FootnoteText"/>
      </w:pPr>
      <w:r>
        <w:rPr>
          <w:rStyle w:val="FootnoteReference"/>
        </w:rPr>
        <w:footnoteRef/>
      </w:r>
      <w:r>
        <w:t xml:space="preserve"> </w:t>
      </w:r>
      <w:r>
        <w:t xml:space="preserve">Probst 2023, PMID 37991022.</w:t>
      </w:r>
    </w:p>
  </w:footnote>
  <w:footnote w:id="377">
    <w:p>
      <w:pPr>
        <w:pStyle w:val="FootnoteText"/>
      </w:pPr>
      <w:r>
        <w:rPr>
          <w:rStyle w:val="FootnoteReference"/>
        </w:rPr>
        <w:footnoteRef/>
      </w:r>
      <w:r>
        <w:t xml:space="preserve"> </w:t>
      </w:r>
      <w:r>
        <w:t xml:space="preserve">Winzeler 2021, PMID 34473645.</w:t>
      </w:r>
    </w:p>
  </w:footnote>
  <w:footnote w:id="380">
    <w:p>
      <w:pPr>
        <w:pStyle w:val="FootnoteText"/>
      </w:pPr>
      <w:r>
        <w:rPr>
          <w:rStyle w:val="FootnoteReference"/>
        </w:rPr>
        <w:footnoteRef/>
      </w:r>
      <w:r>
        <w:t xml:space="preserve"> </w:t>
      </w:r>
      <w:r>
        <w:t xml:space="preserve">Glaesner 2010, PMID 20503261.</w:t>
      </w:r>
    </w:p>
  </w:footnote>
  <w:footnote w:id="381">
    <w:p>
      <w:pPr>
        <w:pStyle w:val="FootnoteText"/>
      </w:pPr>
      <w:r>
        <w:rPr>
          <w:rStyle w:val="FootnoteReference"/>
        </w:rPr>
        <w:footnoteRef/>
      </w:r>
      <w:r>
        <w:t xml:space="preserve"> </w:t>
      </w:r>
      <w:r>
        <w:t xml:space="preserve">Bjerre Knudsen 2010, PMID 20203154.</w:t>
      </w:r>
    </w:p>
  </w:footnote>
  <w:footnote w:id="383">
    <w:p>
      <w:pPr>
        <w:pStyle w:val="FootnoteText"/>
      </w:pPr>
      <w:r>
        <w:rPr>
          <w:rStyle w:val="FootnoteReference"/>
        </w:rPr>
        <w:footnoteRef/>
      </w:r>
      <w:r>
        <w:t xml:space="preserve"> </w:t>
      </w:r>
      <w:r>
        <w:t xml:space="preserve">Gerstein 2019, PMID 31189511.</w:t>
      </w:r>
    </w:p>
  </w:footnote>
  <w:footnote w:id="384">
    <w:p>
      <w:pPr>
        <w:pStyle w:val="FootnoteText"/>
      </w:pPr>
      <w:r>
        <w:rPr>
          <w:rStyle w:val="FootnoteReference"/>
        </w:rPr>
        <w:footnoteRef/>
      </w:r>
      <w:r>
        <w:t xml:space="preserve"> </w:t>
      </w:r>
      <w:r>
        <w:t xml:space="preserve">Frias 2021, PMID 33397768.</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Giorgino 2015, PMID 26089386.</w:t>
      </w:r>
    </w:p>
  </w:footnote>
  <w:footnote w:id="387">
    <w:p>
      <w:pPr>
        <w:pStyle w:val="FootnoteText"/>
      </w:pPr>
      <w:r>
        <w:rPr>
          <w:rStyle w:val="FootnoteReference"/>
        </w:rPr>
        <w:footnoteRef/>
      </w:r>
      <w:r>
        <w:t xml:space="preserve"> </w:t>
      </w:r>
      <w:r>
        <w:t xml:space="preserve">Milicevic 2016, PMID 26847401.</w:t>
      </w:r>
    </w:p>
  </w:footnote>
  <w:footnote w:id="388">
    <w:p>
      <w:pPr>
        <w:pStyle w:val="FootnoteText"/>
      </w:pPr>
      <w:r>
        <w:rPr>
          <w:rStyle w:val="FootnoteReference"/>
        </w:rPr>
        <w:footnoteRef/>
      </w:r>
      <w:r>
        <w:t xml:space="preserve"> </w:t>
      </w:r>
      <w:r>
        <w:t xml:space="preserve">He 2022, PMID 35344001.</w:t>
      </w:r>
    </w:p>
  </w:footnote>
  <w:footnote w:id="389">
    <w:p>
      <w:pPr>
        <w:pStyle w:val="FootnoteText"/>
      </w:pPr>
      <w:r>
        <w:rPr>
          <w:rStyle w:val="FootnoteReference"/>
        </w:rPr>
        <w:footnoteRef/>
      </w:r>
      <w:r>
        <w:t xml:space="preserve"> </w:t>
      </w:r>
      <w:r>
        <w:t xml:space="preserve">Kristensen 2019, PMID 31422062.</w:t>
      </w:r>
    </w:p>
  </w:footnote>
  <w:footnote w:id="390">
    <w:p>
      <w:pPr>
        <w:pStyle w:val="FootnoteText"/>
      </w:pPr>
      <w:r>
        <w:rPr>
          <w:rStyle w:val="FootnoteReference"/>
        </w:rPr>
        <w:footnoteRef/>
      </w:r>
      <w:r>
        <w:t xml:space="preserve"> </w:t>
      </w:r>
      <w:r>
        <w:t xml:space="preserve">Silverii 2025, PMID 40437949.</w:t>
      </w:r>
    </w:p>
  </w:footnote>
  <w:footnote w:id="391">
    <w:p>
      <w:pPr>
        <w:pStyle w:val="FootnoteText"/>
      </w:pPr>
      <w:r>
        <w:rPr>
          <w:rStyle w:val="FootnoteReference"/>
        </w:rPr>
        <w:footnoteRef/>
      </w:r>
      <w:r>
        <w:t xml:space="preserve"> </w:t>
      </w:r>
      <w:r>
        <w:t xml:space="preserve">NCT07276763.</w:t>
      </w:r>
    </w:p>
  </w:footnote>
  <w:footnote w:id="394">
    <w:p>
      <w:pPr>
        <w:pStyle w:val="FootnoteText"/>
      </w:pPr>
      <w:r>
        <w:rPr>
          <w:rStyle w:val="FootnoteReference"/>
        </w:rPr>
        <w:footnoteRef/>
      </w:r>
      <w:r>
        <w:t xml:space="preserve"> </w:t>
      </w:r>
      <w:r>
        <w:t xml:space="preserve">NCT06739122.</w:t>
      </w:r>
    </w:p>
  </w:footnote>
  <w:footnote w:id="395">
    <w:p>
      <w:pPr>
        <w:pStyle w:val="FootnoteText"/>
      </w:pPr>
      <w:r>
        <w:rPr>
          <w:rStyle w:val="FootnoteReference"/>
        </w:rPr>
        <w:footnoteRef/>
      </w:r>
      <w:r>
        <w:t xml:space="preserve"> </w:t>
      </w:r>
      <w:r>
        <w:t xml:space="preserve">NCT07668336.</w:t>
      </w:r>
    </w:p>
  </w:footnote>
  <w:footnote w:id="396">
    <w:p>
      <w:pPr>
        <w:pStyle w:val="FootnoteText"/>
      </w:pPr>
      <w:r>
        <w:rPr>
          <w:rStyle w:val="FootnoteReference"/>
        </w:rPr>
        <w:footnoteRef/>
      </w:r>
      <w:r>
        <w:t xml:space="preserve"> </w:t>
      </w:r>
      <w:r>
        <w:t xml:space="preserve">NCT07282041.</w:t>
      </w:r>
    </w:p>
  </w:footnote>
  <w:footnote w:id="397">
    <w:p>
      <w:pPr>
        <w:pStyle w:val="FootnoteText"/>
      </w:pPr>
      <w:r>
        <w:rPr>
          <w:rStyle w:val="FootnoteReference"/>
        </w:rPr>
        <w:footnoteRef/>
      </w:r>
      <w:r>
        <w:t xml:space="preserve"> </w:t>
      </w:r>
      <w:r>
        <w:t xml:space="preserve">NCT06324461.</w:t>
      </w:r>
    </w:p>
  </w:footnote>
  <w:footnote w:id="398">
    <w:p>
      <w:pPr>
        <w:pStyle w:val="FootnoteText"/>
      </w:pPr>
      <w:r>
        <w:rPr>
          <w:rStyle w:val="FootnoteReference"/>
        </w:rPr>
        <w:footnoteRef/>
      </w:r>
      <w:r>
        <w:t xml:space="preserve"> </w:t>
      </w:r>
      <w:r>
        <w:t xml:space="preserve">NCT04731272.</w:t>
      </w:r>
    </w:p>
  </w:footnote>
  <w:footnote w:id="399">
    <w:p>
      <w:pPr>
        <w:pStyle w:val="FootnoteText"/>
      </w:pPr>
      <w:r>
        <w:rPr>
          <w:rStyle w:val="FootnoteReference"/>
        </w:rPr>
        <w:footnoteRef/>
      </w:r>
      <w:r>
        <w:t xml:space="preserve"> </w:t>
      </w:r>
      <w:r>
        <w:t xml:space="preserve">NCT06257966.</w:t>
      </w:r>
    </w:p>
  </w:footnote>
  <w:footnote w:id="403">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Lau 2015, PMID 26308095.</w:t>
      </w:r>
    </w:p>
  </w:footnote>
  <w:footnote w:id="406">
    <w:p>
      <w:pPr>
        <w:pStyle w:val="FootnoteText"/>
      </w:pPr>
      <w:r>
        <w:rPr>
          <w:rStyle w:val="FootnoteReference"/>
        </w:rPr>
        <w:footnoteRef/>
      </w:r>
      <w:r>
        <w:t xml:space="preserve"> </w:t>
      </w:r>
      <w:r>
        <w:t xml:space="preserve">Buckley 2018, PMID 30429357.</w:t>
      </w:r>
    </w:p>
  </w:footnote>
  <w:footnote w:id="408">
    <w:p>
      <w:pPr>
        <w:pStyle w:val="FootnoteText"/>
      </w:pPr>
      <w:r>
        <w:rPr>
          <w:rStyle w:val="FootnoteReference"/>
        </w:rPr>
        <w:footnoteRef/>
      </w:r>
      <w:r>
        <w:t xml:space="preserve"> </w:t>
      </w:r>
      <w:r>
        <w:t xml:space="preserve">Sorli 2017, PMID 28110911.</w:t>
      </w:r>
    </w:p>
  </w:footnote>
  <w:footnote w:id="409">
    <w:p>
      <w:pPr>
        <w:pStyle w:val="FootnoteText"/>
      </w:pPr>
      <w:r>
        <w:rPr>
          <w:rStyle w:val="FootnoteReference"/>
        </w:rPr>
        <w:footnoteRef/>
      </w:r>
      <w:r>
        <w:t xml:space="preserve"> </w:t>
      </w:r>
      <w:r>
        <w:t xml:space="preserve">Frías 2021, PMID 34293304.</w:t>
      </w:r>
    </w:p>
  </w:footnote>
  <w:footnote w:id="410">
    <w:p>
      <w:pPr>
        <w:pStyle w:val="FootnoteText"/>
      </w:pPr>
      <w:r>
        <w:rPr>
          <w:rStyle w:val="FootnoteReference"/>
        </w:rPr>
        <w:footnoteRef/>
      </w:r>
      <w:r>
        <w:t xml:space="preserve"> </w:t>
      </w:r>
      <w:r>
        <w:t xml:space="preserve">Marso 2016, PMID 27633186.</w:t>
      </w:r>
    </w:p>
  </w:footnote>
  <w:footnote w:id="412">
    <w:p>
      <w:pPr>
        <w:pStyle w:val="FootnoteText"/>
      </w:pPr>
      <w:r>
        <w:rPr>
          <w:rStyle w:val="FootnoteReference"/>
        </w:rPr>
        <w:footnoteRef/>
      </w:r>
      <w:r>
        <w:t xml:space="preserve"> </w:t>
      </w:r>
      <w:r>
        <w:t xml:space="preserve">Rubino 2022, PMID 35015037.</w:t>
      </w:r>
    </w:p>
  </w:footnote>
  <w:footnote w:id="413">
    <w:p>
      <w:pPr>
        <w:pStyle w:val="FootnoteText"/>
      </w:pPr>
      <w:r>
        <w:rPr>
          <w:rStyle w:val="FootnoteReference"/>
        </w:rPr>
        <w:footnoteRef/>
      </w:r>
      <w:r>
        <w:t xml:space="preserve"> </w:t>
      </w:r>
      <w:r>
        <w:t xml:space="preserve">Capehorn 2020, PMID 31539622.</w:t>
      </w:r>
    </w:p>
  </w:footnote>
  <w:footnote w:id="414">
    <w:p>
      <w:pPr>
        <w:pStyle w:val="FootnoteText"/>
      </w:pPr>
      <w:r>
        <w:rPr>
          <w:rStyle w:val="FootnoteReference"/>
        </w:rPr>
        <w:footnoteRef/>
      </w:r>
      <w:r>
        <w:t xml:space="preserve"> </w:t>
      </w:r>
      <w:r>
        <w:t xml:space="preserve">Ahmann 2018, PMID 29246950.</w:t>
      </w:r>
    </w:p>
  </w:footnote>
  <w:footnote w:id="415">
    <w:p>
      <w:pPr>
        <w:pStyle w:val="FootnoteText"/>
      </w:pPr>
      <w:r>
        <w:rPr>
          <w:rStyle w:val="FootnoteReference"/>
        </w:rPr>
        <w:footnoteRef/>
      </w:r>
      <w:r>
        <w:t xml:space="preserve"> </w:t>
      </w:r>
      <w:r>
        <w:t xml:space="preserve">Pratley 2019, PMID 31186120.</w:t>
      </w:r>
    </w:p>
  </w:footnote>
  <w:footnote w:id="416">
    <w:p>
      <w:pPr>
        <w:pStyle w:val="FootnoteText"/>
      </w:pPr>
      <w:r>
        <w:rPr>
          <w:rStyle w:val="FootnoteReference"/>
        </w:rPr>
        <w:footnoteRef/>
      </w:r>
      <w:r>
        <w:t xml:space="preserve"> </w:t>
      </w:r>
      <w:r>
        <w:t xml:space="preserve">Aronne 2025, PMID 40353578.</w:t>
      </w:r>
    </w:p>
  </w:footnote>
  <w:footnote w:id="418">
    <w:p>
      <w:pPr>
        <w:pStyle w:val="FootnoteText"/>
      </w:pPr>
      <w:r>
        <w:rPr>
          <w:rStyle w:val="FootnoteReference"/>
        </w:rPr>
        <w:footnoteRef/>
      </w:r>
      <w:r>
        <w:t xml:space="preserve"> </w:t>
      </w:r>
      <w:r>
        <w:t xml:space="preserve">Aroda 2023, PMID 37385279.</w:t>
      </w:r>
    </w:p>
  </w:footnote>
  <w:footnote w:id="419">
    <w:p>
      <w:pPr>
        <w:pStyle w:val="FootnoteText"/>
      </w:pPr>
      <w:r>
        <w:rPr>
          <w:rStyle w:val="FootnoteReference"/>
        </w:rPr>
        <w:footnoteRef/>
      </w:r>
      <w:r>
        <w:t xml:space="preserve"> </w:t>
      </w:r>
      <w:r>
        <w:t xml:space="preserve">Husain 2019, PMID 31185157.</w:t>
      </w:r>
    </w:p>
  </w:footnote>
  <w:footnote w:id="420">
    <w:p>
      <w:pPr>
        <w:pStyle w:val="FootnoteText"/>
      </w:pPr>
      <w:r>
        <w:rPr>
          <w:rStyle w:val="FootnoteReference"/>
        </w:rPr>
        <w:footnoteRef/>
      </w:r>
      <w:r>
        <w:t xml:space="preserve"> </w:t>
      </w:r>
      <w:r>
        <w:t xml:space="preserve">McGuire 2025, PMID 40162642.</w:t>
      </w:r>
    </w:p>
  </w:footnote>
  <w:footnote w:id="422">
    <w:p>
      <w:pPr>
        <w:pStyle w:val="FootnoteText"/>
      </w:pPr>
      <w:r>
        <w:rPr>
          <w:rStyle w:val="FootnoteReference"/>
        </w:rPr>
        <w:footnoteRef/>
      </w:r>
      <w:r>
        <w:t xml:space="preserve"> </w:t>
      </w:r>
      <w:r>
        <w:t xml:space="preserve">Wilding 2021, PMID 33567185.</w:t>
      </w:r>
    </w:p>
  </w:footnote>
  <w:footnote w:id="423">
    <w:p>
      <w:pPr>
        <w:pStyle w:val="FootnoteText"/>
      </w:pPr>
      <w:r>
        <w:rPr>
          <w:rStyle w:val="FootnoteReference"/>
        </w:rPr>
        <w:footnoteRef/>
      </w:r>
      <w:r>
        <w:t xml:space="preserve"> </w:t>
      </w:r>
      <w:r>
        <w:t xml:space="preserve">Garvey 2022, PMID 36216945.</w:t>
      </w:r>
    </w:p>
  </w:footnote>
  <w:footnote w:id="424">
    <w:p>
      <w:pPr>
        <w:pStyle w:val="FootnoteText"/>
      </w:pPr>
      <w:r>
        <w:rPr>
          <w:rStyle w:val="FootnoteReference"/>
        </w:rPr>
        <w:footnoteRef/>
      </w:r>
      <w:r>
        <w:t xml:space="preserve"> </w:t>
      </w:r>
      <w:r>
        <w:t xml:space="preserve">Rubino 2021, PMID 33755728.</w:t>
      </w:r>
    </w:p>
  </w:footnote>
  <w:footnote w:id="425">
    <w:p>
      <w:pPr>
        <w:pStyle w:val="FootnoteText"/>
      </w:pPr>
      <w:r>
        <w:rPr>
          <w:rStyle w:val="FootnoteReference"/>
        </w:rPr>
        <w:footnoteRef/>
      </w:r>
      <w:r>
        <w:t xml:space="preserve"> </w:t>
      </w:r>
      <w:r>
        <w:t xml:space="preserve">Wilding 2022, PMID 35441470.</w:t>
      </w:r>
    </w:p>
  </w:footnote>
  <w:footnote w:id="426">
    <w:p>
      <w:pPr>
        <w:pStyle w:val="FootnoteText"/>
      </w:pPr>
      <w:r>
        <w:rPr>
          <w:rStyle w:val="FootnoteReference"/>
        </w:rPr>
        <w:footnoteRef/>
      </w:r>
      <w:r>
        <w:t xml:space="preserve"> </w:t>
      </w:r>
      <w:r>
        <w:t xml:space="preserve">Wharton 2025, PMID 40961952.</w:t>
      </w:r>
    </w:p>
  </w:footnote>
  <w:footnote w:id="428">
    <w:p>
      <w:pPr>
        <w:pStyle w:val="FootnoteText"/>
      </w:pPr>
      <w:r>
        <w:rPr>
          <w:rStyle w:val="FootnoteReference"/>
        </w:rPr>
        <w:footnoteRef/>
      </w:r>
      <w:r>
        <w:t xml:space="preserve"> </w:t>
      </w:r>
      <w:r>
        <w:t xml:space="preserve">Knop 2023, PMID 37385278; Wharton 2025, PMID 40934115.</w:t>
      </w:r>
    </w:p>
  </w:footnote>
  <w:footnote w:id="430">
    <w:p>
      <w:pPr>
        <w:pStyle w:val="FootnoteText"/>
      </w:pPr>
      <w:r>
        <w:rPr>
          <w:rStyle w:val="FootnoteReference"/>
        </w:rPr>
        <w:footnoteRef/>
      </w:r>
      <w:r>
        <w:t xml:space="preserve"> </w:t>
      </w:r>
      <w:r>
        <w:t xml:space="preserve">Weghuber 2022, PMID 36322838.</w:t>
      </w:r>
    </w:p>
  </w:footnote>
  <w:footnote w:id="431">
    <w:p>
      <w:pPr>
        <w:pStyle w:val="FootnoteText"/>
      </w:pPr>
      <w:r>
        <w:rPr>
          <w:rStyle w:val="FootnoteReference"/>
        </w:rPr>
        <w:footnoteRef/>
      </w:r>
      <w:r>
        <w:t xml:space="preserve"> </w:t>
      </w:r>
      <w:r>
        <w:t xml:space="preserve">NCT05726227.</w:t>
      </w:r>
    </w:p>
  </w:footnote>
  <w:footnote w:id="433">
    <w:p>
      <w:pPr>
        <w:pStyle w:val="FootnoteText"/>
      </w:pPr>
      <w:r>
        <w:rPr>
          <w:rStyle w:val="FootnoteReference"/>
        </w:rPr>
        <w:footnoteRef/>
      </w:r>
      <w:r>
        <w:t xml:space="preserve"> </w:t>
      </w:r>
      <w:r>
        <w:t xml:space="preserve">Lincoff 2023, PMID 37952131.</w:t>
      </w:r>
    </w:p>
  </w:footnote>
  <w:footnote w:id="435">
    <w:p>
      <w:pPr>
        <w:pStyle w:val="FootnoteText"/>
      </w:pPr>
      <w:r>
        <w:rPr>
          <w:rStyle w:val="FootnoteReference"/>
        </w:rPr>
        <w:footnoteRef/>
      </w:r>
      <w:r>
        <w:t xml:space="preserve"> </w:t>
      </w:r>
      <w:r>
        <w:t xml:space="preserve">Perkovic 2024, PMID 38785209.</w:t>
      </w:r>
    </w:p>
  </w:footnote>
  <w:footnote w:id="437">
    <w:p>
      <w:pPr>
        <w:pStyle w:val="FootnoteText"/>
      </w:pPr>
      <w:r>
        <w:rPr>
          <w:rStyle w:val="FootnoteReference"/>
        </w:rPr>
        <w:footnoteRef/>
      </w:r>
      <w:r>
        <w:t xml:space="preserve"> </w:t>
      </w:r>
      <w:r>
        <w:t xml:space="preserve">Sanyal 2025, PMID 40305708.</w:t>
      </w:r>
    </w:p>
  </w:footnote>
  <w:footnote w:id="438">
    <w:p>
      <w:pPr>
        <w:pStyle w:val="FootnoteText"/>
      </w:pPr>
      <w:r>
        <w:rPr>
          <w:rStyle w:val="FootnoteReference"/>
        </w:rPr>
        <w:footnoteRef/>
      </w:r>
      <w:r>
        <w:t xml:space="preserve"> </w:t>
      </w:r>
      <w:r>
        <w:t xml:space="preserve">NCT04822181.</w:t>
      </w:r>
    </w:p>
  </w:footnote>
  <w:footnote w:id="439">
    <w:p>
      <w:pPr>
        <w:pStyle w:val="FootnoteText"/>
      </w:pPr>
      <w:r>
        <w:rPr>
          <w:rStyle w:val="FootnoteReference"/>
        </w:rPr>
        <w:footnoteRef/>
      </w:r>
      <w:r>
        <w:t xml:space="preserve"> </w:t>
      </w:r>
      <w:r>
        <w:t xml:space="preserve">Kosiborod 2023, PMID 37622681.</w:t>
      </w:r>
    </w:p>
  </w:footnote>
  <w:footnote w:id="440">
    <w:p>
      <w:pPr>
        <w:pStyle w:val="FootnoteText"/>
      </w:pPr>
      <w:r>
        <w:rPr>
          <w:rStyle w:val="FootnoteReference"/>
        </w:rPr>
        <w:footnoteRef/>
      </w:r>
      <w:r>
        <w:t xml:space="preserve"> </w:t>
      </w:r>
      <w:r>
        <w:t xml:space="preserve">Bonaca 2025, PMID 40169145.</w:t>
      </w:r>
    </w:p>
  </w:footnote>
  <w:footnote w:id="441">
    <w:p>
      <w:pPr>
        <w:pStyle w:val="FootnoteText"/>
      </w:pPr>
      <w:r>
        <w:rPr>
          <w:rStyle w:val="FootnoteReference"/>
        </w:rPr>
        <w:footnoteRef/>
      </w:r>
      <w:r>
        <w:t xml:space="preserve"> </w:t>
      </w:r>
      <w:r>
        <w:t xml:space="preserve">Bliddal 2024, PMID 39476339.</w:t>
      </w:r>
    </w:p>
  </w:footnote>
  <w:footnote w:id="443">
    <w:p>
      <w:pPr>
        <w:pStyle w:val="FootnoteText"/>
      </w:pPr>
      <w:r>
        <w:rPr>
          <w:rStyle w:val="FootnoteReference"/>
        </w:rPr>
        <w:footnoteRef/>
      </w:r>
      <w:r>
        <w:t xml:space="preserve"> </w:t>
      </w:r>
      <w:r>
        <w:t xml:space="preserve">Cummings 2026, PMID 41865758.</w:t>
      </w:r>
    </w:p>
  </w:footnote>
  <w:footnote w:id="444">
    <w:p>
      <w:pPr>
        <w:pStyle w:val="FootnoteText"/>
      </w:pPr>
      <w:r>
        <w:rPr>
          <w:rStyle w:val="FootnoteReference"/>
        </w:rPr>
        <w:footnoteRef/>
      </w:r>
      <w:r>
        <w:t xml:space="preserve"> </w:t>
      </w:r>
      <w:r>
        <w:t xml:space="preserve">Schneider 2026, PMID 41865757.</w:t>
      </w:r>
    </w:p>
  </w:footnote>
  <w:footnote w:id="445">
    <w:p>
      <w:pPr>
        <w:pStyle w:val="FootnoteText"/>
      </w:pPr>
      <w:r>
        <w:rPr>
          <w:rStyle w:val="FootnoteReference"/>
        </w:rPr>
        <w:footnoteRef/>
      </w:r>
      <w:r>
        <w:t xml:space="preserve"> </w:t>
      </w:r>
      <w:r>
        <w:t xml:space="preserve">Hendershot 2025, PMID 39937469.</w:t>
      </w:r>
    </w:p>
  </w:footnote>
  <w:footnote w:id="446">
    <w:p>
      <w:pPr>
        <w:pStyle w:val="FootnoteText"/>
      </w:pPr>
      <w:r>
        <w:rPr>
          <w:rStyle w:val="FootnoteReference"/>
        </w:rPr>
        <w:footnoteRef/>
      </w:r>
      <w:r>
        <w:t xml:space="preserve"> </w:t>
      </w:r>
      <w:r>
        <w:t xml:space="preserve">Lähteenvuo 2025, PMID 39535805.</w:t>
      </w:r>
    </w:p>
  </w:footnote>
  <w:footnote w:id="449">
    <w:p>
      <w:pPr>
        <w:pStyle w:val="FootnoteText"/>
      </w:pPr>
      <w:r>
        <w:rPr>
          <w:rStyle w:val="FootnoteReference"/>
        </w:rPr>
        <w:footnoteRef/>
      </w:r>
      <w:r>
        <w:t xml:space="preserve"> </w:t>
      </w:r>
      <w:r>
        <w:t xml:space="preserve">Lau 2015, PMID 26308095.</w:t>
      </w:r>
    </w:p>
  </w:footnote>
  <w:footnote w:id="450">
    <w:p>
      <w:pPr>
        <w:pStyle w:val="FootnoteText"/>
      </w:pPr>
      <w:r>
        <w:rPr>
          <w:rStyle w:val="FootnoteReference"/>
        </w:rPr>
        <w:footnoteRef/>
      </w:r>
      <w:r>
        <w:t xml:space="preserve"> </w:t>
      </w:r>
      <w:r>
        <w:t xml:space="preserve">Buckley 2018, PMID 30429357.</w:t>
      </w:r>
    </w:p>
  </w:footnote>
  <w:footnote w:id="451">
    <w:p>
      <w:pPr>
        <w:pStyle w:val="FootnoteText"/>
      </w:pPr>
      <w:r>
        <w:rPr>
          <w:rStyle w:val="FootnoteReference"/>
        </w:rPr>
        <w:footnoteRef/>
      </w:r>
      <w:r>
        <w:t xml:space="preserve"> </w:t>
      </w:r>
      <w:r>
        <w:t xml:space="preserve">Bjerre Knudsen 2010, PMID 20203154.</w:t>
      </w:r>
    </w:p>
  </w:footnote>
  <w:footnote w:id="453">
    <w:p>
      <w:pPr>
        <w:pStyle w:val="FootnoteText"/>
      </w:pPr>
      <w:r>
        <w:rPr>
          <w:rStyle w:val="FootnoteReference"/>
        </w:rPr>
        <w:footnoteRef/>
      </w:r>
      <w:r>
        <w:t xml:space="preserve"> </w:t>
      </w:r>
      <w:r>
        <w:t xml:space="preserve">Wilding 2021, PMID 33567185.</w:t>
      </w:r>
    </w:p>
  </w:footnote>
  <w:footnote w:id="454">
    <w:p>
      <w:pPr>
        <w:pStyle w:val="FootnoteText"/>
      </w:pPr>
      <w:r>
        <w:rPr>
          <w:rStyle w:val="FootnoteReference"/>
        </w:rPr>
        <w:footnoteRef/>
      </w:r>
      <w:r>
        <w:t xml:space="preserve"> </w:t>
      </w:r>
      <w:r>
        <w:t xml:space="preserve">He 2022, PMID 35344001.</w:t>
      </w:r>
    </w:p>
  </w:footnote>
  <w:footnote w:id="455">
    <w:p>
      <w:pPr>
        <w:pStyle w:val="FootnoteText"/>
      </w:pPr>
      <w:r>
        <w:rPr>
          <w:rStyle w:val="FootnoteReference"/>
        </w:rPr>
        <w:footnoteRef/>
      </w:r>
      <w:r>
        <w:t xml:space="preserve"> </w:t>
      </w:r>
      <w:r>
        <w:t xml:space="preserve">Weghuber 2022, PMID 36322838.</w:t>
      </w:r>
    </w:p>
  </w:footnote>
  <w:footnote w:id="456">
    <w:p>
      <w:pPr>
        <w:pStyle w:val="FootnoteText"/>
      </w:pPr>
      <w:r>
        <w:rPr>
          <w:rStyle w:val="FootnoteReference"/>
        </w:rPr>
        <w:footnoteRef/>
      </w:r>
      <w:r>
        <w:t xml:space="preserve"> </w:t>
      </w:r>
      <w:r>
        <w:t xml:space="preserve">Marso 2016, PMID 27633186.</w:t>
      </w:r>
    </w:p>
  </w:footnote>
  <w:footnote w:id="457">
    <w:p>
      <w:pPr>
        <w:pStyle w:val="FootnoteText"/>
      </w:pPr>
      <w:r>
        <w:rPr>
          <w:rStyle w:val="FootnoteReference"/>
        </w:rPr>
        <w:footnoteRef/>
      </w:r>
      <w:r>
        <w:t xml:space="preserve"> </w:t>
      </w:r>
      <w:r>
        <w:t xml:space="preserve">NCT03811561.</w:t>
      </w:r>
    </w:p>
  </w:footnote>
  <w:footnote w:id="458">
    <w:p>
      <w:pPr>
        <w:pStyle w:val="FootnoteText"/>
      </w:pPr>
      <w:r>
        <w:rPr>
          <w:rStyle w:val="FootnoteReference"/>
        </w:rPr>
        <w:footnoteRef/>
      </w:r>
      <w:r>
        <w:t xml:space="preserve"> </w:t>
      </w:r>
      <w:r>
        <w:t xml:space="preserve">Hathaway 2024, PMID 38958939.</w:t>
      </w:r>
    </w:p>
  </w:footnote>
  <w:footnote w:id="459">
    <w:p>
      <w:pPr>
        <w:pStyle w:val="FootnoteText"/>
      </w:pPr>
      <w:r>
        <w:rPr>
          <w:rStyle w:val="FootnoteReference"/>
        </w:rPr>
        <w:footnoteRef/>
      </w:r>
      <w:r>
        <w:t xml:space="preserve"> </w:t>
      </w:r>
      <w:r>
        <w:t xml:space="preserve">Simonsen 2025, PMID 40098249.</w:t>
      </w:r>
    </w:p>
  </w:footnote>
  <w:footnote w:id="460">
    <w:p>
      <w:pPr>
        <w:pStyle w:val="FootnoteText"/>
      </w:pPr>
      <w:r>
        <w:rPr>
          <w:rStyle w:val="FootnoteReference"/>
        </w:rPr>
        <w:footnoteRef/>
      </w:r>
      <w:r>
        <w:t xml:space="preserve"> </w:t>
      </w:r>
      <w:r>
        <w:t xml:space="preserve">Liu 2026, PMID 41475544.</w:t>
      </w:r>
    </w:p>
  </w:footnote>
  <w:footnote w:id="461">
    <w:p>
      <w:pPr>
        <w:pStyle w:val="FootnoteText"/>
      </w:pPr>
      <w:r>
        <w:rPr>
          <w:rStyle w:val="FootnoteReference"/>
        </w:rPr>
        <w:footnoteRef/>
      </w:r>
      <w:r>
        <w:t xml:space="preserve"> </w:t>
      </w:r>
      <w:r>
        <w:t xml:space="preserve">Sodhi 2023, PMID 37796527.</w:t>
      </w:r>
    </w:p>
  </w:footnote>
  <w:footnote w:id="462">
    <w:p>
      <w:pPr>
        <w:pStyle w:val="FootnoteText"/>
      </w:pPr>
      <w:r>
        <w:rPr>
          <w:rStyle w:val="FootnoteReference"/>
        </w:rPr>
        <w:footnoteRef/>
      </w:r>
      <w:r>
        <w:t xml:space="preserve"> </w:t>
      </w:r>
      <w:r>
        <w:t xml:space="preserve">Bezin 2023, PMID 36356111; Silverii 2025, PMID 40437949.</w:t>
      </w:r>
    </w:p>
  </w:footnote>
  <w:footnote w:id="463">
    <w:p>
      <w:pPr>
        <w:pStyle w:val="FootnoteText"/>
      </w:pPr>
      <w:r>
        <w:rPr>
          <w:rStyle w:val="FootnoteReference"/>
        </w:rPr>
        <w:footnoteRef/>
      </w:r>
      <w:r>
        <w:t xml:space="preserve"> </w:t>
      </w:r>
      <w:r>
        <w:t xml:space="preserve">Wang 2024, PMID 38182782.</w:t>
      </w:r>
    </w:p>
  </w:footnote>
  <w:footnote w:id="465">
    <w:p>
      <w:pPr>
        <w:pStyle w:val="FootnoteText"/>
      </w:pPr>
      <w:r>
        <w:rPr>
          <w:rStyle w:val="FootnoteReference"/>
        </w:rPr>
        <w:footnoteRef/>
      </w:r>
      <w:r>
        <w:t xml:space="preserve"> </w:t>
      </w:r>
      <w:r>
        <w:t xml:space="preserve">Lambson 2023, PMID 37392810.</w:t>
      </w:r>
    </w:p>
  </w:footnote>
  <w:footnote w:id="466">
    <w:p>
      <w:pPr>
        <w:pStyle w:val="FootnoteText"/>
      </w:pPr>
      <w:r>
        <w:rPr>
          <w:rStyle w:val="FootnoteReference"/>
        </w:rPr>
        <w:footnoteRef/>
      </w:r>
      <w:r>
        <w:t xml:space="preserve"> </w:t>
      </w:r>
      <w:r>
        <w:t xml:space="preserve">McCall 2026, PMID 40285721.</w:t>
      </w:r>
    </w:p>
  </w:footnote>
  <w:footnote w:id="467">
    <w:p>
      <w:pPr>
        <w:pStyle w:val="FootnoteText"/>
      </w:pPr>
      <w:r>
        <w:rPr>
          <w:rStyle w:val="FootnoteReference"/>
        </w:rPr>
        <w:footnoteRef/>
      </w:r>
      <w:r>
        <w:t xml:space="preserve"> </w:t>
      </w:r>
      <w:r>
        <w:t xml:space="preserve">Ashraf 2024, PMID 39509151.</w:t>
      </w:r>
    </w:p>
  </w:footnote>
  <w:footnote w:id="470">
    <w:p>
      <w:pPr>
        <w:pStyle w:val="FootnoteText"/>
      </w:pPr>
      <w:r>
        <w:rPr>
          <w:rStyle w:val="FootnoteReference"/>
        </w:rPr>
        <w:footnoteRef/>
      </w:r>
      <w:r>
        <w:t xml:space="preserve"> </w:t>
      </w:r>
      <w:r>
        <w:t xml:space="preserve">NCT03811561.</w:t>
      </w:r>
    </w:p>
  </w:footnote>
  <w:footnote w:id="471">
    <w:p>
      <w:pPr>
        <w:pStyle w:val="FootnoteText"/>
      </w:pPr>
      <w:r>
        <w:rPr>
          <w:rStyle w:val="FootnoteReference"/>
        </w:rPr>
        <w:footnoteRef/>
      </w:r>
      <w:r>
        <w:t xml:space="preserve"> </w:t>
      </w:r>
      <w:r>
        <w:t xml:space="preserve">NCT04822181.</w:t>
      </w:r>
    </w:p>
  </w:footnote>
  <w:footnote w:id="472">
    <w:p>
      <w:pPr>
        <w:pStyle w:val="FootnoteText"/>
      </w:pPr>
      <w:r>
        <w:rPr>
          <w:rStyle w:val="FootnoteReference"/>
        </w:rPr>
        <w:footnoteRef/>
      </w:r>
      <w:r>
        <w:t xml:space="preserve"> </w:t>
      </w:r>
      <w:r>
        <w:t xml:space="preserve">NCT05726227.</w:t>
      </w:r>
    </w:p>
  </w:footnote>
  <w:footnote w:id="473">
    <w:p>
      <w:pPr>
        <w:pStyle w:val="FootnoteText"/>
      </w:pPr>
      <w:r>
        <w:rPr>
          <w:rStyle w:val="FootnoteReference"/>
        </w:rPr>
        <w:footnoteRef/>
      </w:r>
      <w:r>
        <w:t xml:space="preserve"> </w:t>
      </w:r>
      <w:r>
        <w:t xml:space="preserve">NCT07770841.</w:t>
      </w:r>
    </w:p>
  </w:footnote>
  <w:footnote w:id="474">
    <w:p>
      <w:pPr>
        <w:pStyle w:val="FootnoteText"/>
      </w:pPr>
      <w:r>
        <w:rPr>
          <w:rStyle w:val="FootnoteReference"/>
        </w:rPr>
        <w:footnoteRef/>
      </w:r>
      <w:r>
        <w:t xml:space="preserve"> </w:t>
      </w:r>
      <w:r>
        <w:t xml:space="preserve">NCT05669755.</w:t>
      </w:r>
    </w:p>
  </w:footnote>
  <w:footnote w:id="479">
    <w:p>
      <w:pPr>
        <w:pStyle w:val="FootnoteText"/>
      </w:pPr>
      <w:r>
        <w:rPr>
          <w:rStyle w:val="FootnoteReference"/>
        </w:rPr>
        <w:footnoteRef/>
      </w:r>
      <w:r>
        <w:t xml:space="preserve"> </w:t>
      </w:r>
      <w:r>
        <w:t xml:space="preserve">Willard 2020, PMID 32730231.</w:t>
      </w:r>
    </w:p>
  </w:footnote>
  <w:footnote w:id="480">
    <w:p>
      <w:pPr>
        <w:pStyle w:val="FootnoteText"/>
      </w:pPr>
      <w:r>
        <w:rPr>
          <w:rStyle w:val="FootnoteReference"/>
        </w:rPr>
        <w:footnoteRef/>
      </w:r>
      <w:r>
        <w:t xml:space="preserve"> </w:t>
      </w:r>
      <w:r>
        <w:t xml:space="preserve">Samms 2021, PMID 34003802.</w:t>
      </w:r>
    </w:p>
  </w:footnote>
  <w:footnote w:id="481">
    <w:p>
      <w:pPr>
        <w:pStyle w:val="FootnoteText"/>
      </w:pPr>
      <w:r>
        <w:rPr>
          <w:rStyle w:val="FootnoteReference"/>
        </w:rPr>
        <w:footnoteRef/>
      </w:r>
      <w:r>
        <w:t xml:space="preserve"> </w:t>
      </w:r>
      <w:r>
        <w:t xml:space="preserve">Heise 2023, PMID 36857477.</w:t>
      </w:r>
    </w:p>
  </w:footnote>
  <w:footnote w:id="483">
    <w:p>
      <w:pPr>
        <w:pStyle w:val="FootnoteText"/>
      </w:pPr>
      <w:r>
        <w:rPr>
          <w:rStyle w:val="FootnoteReference"/>
        </w:rPr>
        <w:footnoteRef/>
      </w:r>
      <w:r>
        <w:t xml:space="preserve"> </w:t>
      </w:r>
      <w:r>
        <w:t xml:space="preserve">Coskun 2018, PMID 30473097.</w:t>
      </w:r>
    </w:p>
  </w:footnote>
  <w:footnote w:id="484">
    <w:p>
      <w:pPr>
        <w:pStyle w:val="FootnoteText"/>
      </w:pPr>
      <w:r>
        <w:rPr>
          <w:rStyle w:val="FootnoteReference"/>
        </w:rPr>
        <w:footnoteRef/>
      </w:r>
      <w:r>
        <w:t xml:space="preserve"> </w:t>
      </w:r>
      <w:r>
        <w:t xml:space="preserve">Frias 2018, PMID 30293770.</w:t>
      </w:r>
    </w:p>
  </w:footnote>
  <w:footnote w:id="486">
    <w:p>
      <w:pPr>
        <w:pStyle w:val="FootnoteText"/>
      </w:pPr>
      <w:r>
        <w:rPr>
          <w:rStyle w:val="FootnoteReference"/>
        </w:rPr>
        <w:footnoteRef/>
      </w:r>
      <w:r>
        <w:t xml:space="preserve"> </w:t>
      </w:r>
      <w:r>
        <w:t xml:space="preserve">Frías 2021, PMID 34170647.</w:t>
      </w:r>
    </w:p>
  </w:footnote>
  <w:footnote w:id="487">
    <w:p>
      <w:pPr>
        <w:pStyle w:val="FootnoteText"/>
      </w:pPr>
      <w:r>
        <w:rPr>
          <w:rStyle w:val="FootnoteReference"/>
        </w:rPr>
        <w:footnoteRef/>
      </w:r>
      <w:r>
        <w:t xml:space="preserve"> </w:t>
      </w:r>
      <w:r>
        <w:t xml:space="preserve">Ludvik 2021, PMID 34370970.</w:t>
      </w:r>
    </w:p>
  </w:footnote>
  <w:footnote w:id="488">
    <w:p>
      <w:pPr>
        <w:pStyle w:val="FootnoteText"/>
      </w:pPr>
      <w:r>
        <w:rPr>
          <w:rStyle w:val="FootnoteReference"/>
        </w:rPr>
        <w:footnoteRef/>
      </w:r>
      <w:r>
        <w:t xml:space="preserve"> </w:t>
      </w:r>
      <w:r>
        <w:t xml:space="preserve">Hannon 2025, PMID 40975112.</w:t>
      </w:r>
    </w:p>
  </w:footnote>
  <w:footnote w:id="489">
    <w:p>
      <w:pPr>
        <w:pStyle w:val="FootnoteText"/>
      </w:pPr>
      <w:r>
        <w:rPr>
          <w:rStyle w:val="FootnoteReference"/>
        </w:rPr>
        <w:footnoteRef/>
      </w:r>
      <w:r>
        <w:t xml:space="preserve"> </w:t>
      </w:r>
      <w:r>
        <w:t xml:space="preserve">Snaith 2026, PMID 41264593.</w:t>
      </w:r>
    </w:p>
  </w:footnote>
  <w:footnote w:id="490">
    <w:p>
      <w:pPr>
        <w:pStyle w:val="FootnoteText"/>
      </w:pPr>
      <w:r>
        <w:rPr>
          <w:rStyle w:val="FootnoteReference"/>
        </w:rPr>
        <w:footnoteRef/>
      </w:r>
      <w:r>
        <w:t xml:space="preserve"> </w:t>
      </w:r>
      <w:r>
        <w:t xml:space="preserve">Sattar 2022, PMID 35210595.</w:t>
      </w:r>
    </w:p>
  </w:footnote>
  <w:footnote w:id="492">
    <w:p>
      <w:pPr>
        <w:pStyle w:val="FootnoteText"/>
      </w:pPr>
      <w:r>
        <w:rPr>
          <w:rStyle w:val="FootnoteReference"/>
        </w:rPr>
        <w:footnoteRef/>
      </w:r>
      <w:r>
        <w:t xml:space="preserve"> </w:t>
      </w:r>
      <w:r>
        <w:t xml:space="preserve">Nicholls 2025, PMID 41406444.</w:t>
      </w:r>
    </w:p>
  </w:footnote>
  <w:footnote w:id="493">
    <w:p>
      <w:pPr>
        <w:pStyle w:val="FootnoteText"/>
      </w:pPr>
      <w:r>
        <w:rPr>
          <w:rStyle w:val="FootnoteReference"/>
        </w:rPr>
        <w:footnoteRef/>
      </w:r>
      <w:r>
        <w:t xml:space="preserve"> </w:t>
      </w:r>
      <w:r>
        <w:t xml:space="preserve">Nissen 2026, PMID 41903177.</w:t>
      </w:r>
    </w:p>
  </w:footnote>
  <w:footnote w:id="494">
    <w:p>
      <w:pPr>
        <w:pStyle w:val="FootnoteText"/>
      </w:pPr>
      <w:r>
        <w:rPr>
          <w:rStyle w:val="FootnoteReference"/>
        </w:rPr>
        <w:footnoteRef/>
      </w:r>
      <w:r>
        <w:t xml:space="preserve"> </w:t>
      </w:r>
      <w:r>
        <w:t xml:space="preserve">Sattar 2026, PMID 41940793.</w:t>
      </w:r>
    </w:p>
  </w:footnote>
  <w:footnote w:id="496">
    <w:p>
      <w:pPr>
        <w:pStyle w:val="FootnoteText"/>
      </w:pPr>
      <w:r>
        <w:rPr>
          <w:rStyle w:val="FootnoteReference"/>
        </w:rPr>
        <w:footnoteRef/>
      </w:r>
      <w:r>
        <w:t xml:space="preserve"> </w:t>
      </w:r>
      <w:r>
        <w:t xml:space="preserve">Jastreboff 2022, PMID 35658024.</w:t>
      </w:r>
    </w:p>
  </w:footnote>
  <w:footnote w:id="497">
    <w:p>
      <w:pPr>
        <w:pStyle w:val="FootnoteText"/>
      </w:pPr>
      <w:r>
        <w:rPr>
          <w:rStyle w:val="FootnoteReference"/>
        </w:rPr>
        <w:footnoteRef/>
      </w:r>
      <w:r>
        <w:t xml:space="preserve"> </w:t>
      </w:r>
      <w:r>
        <w:t xml:space="preserve">Garvey 2023, PMID 37385275.</w:t>
      </w:r>
    </w:p>
  </w:footnote>
  <w:footnote w:id="498">
    <w:p>
      <w:pPr>
        <w:pStyle w:val="FootnoteText"/>
      </w:pPr>
      <w:r>
        <w:rPr>
          <w:rStyle w:val="FootnoteReference"/>
        </w:rPr>
        <w:footnoteRef/>
      </w:r>
      <w:r>
        <w:t xml:space="preserve"> </w:t>
      </w:r>
      <w:r>
        <w:t xml:space="preserve">Aronne 2024, PMID 38078870.</w:t>
      </w:r>
    </w:p>
  </w:footnote>
  <w:footnote w:id="499">
    <w:p>
      <w:pPr>
        <w:pStyle w:val="FootnoteText"/>
      </w:pPr>
      <w:r>
        <w:rPr>
          <w:rStyle w:val="FootnoteReference"/>
        </w:rPr>
        <w:footnoteRef/>
      </w:r>
      <w:r>
        <w:t xml:space="preserve"> </w:t>
      </w:r>
      <w:r>
        <w:t xml:space="preserve">Horn 2026, PMID 42119587.</w:t>
      </w:r>
    </w:p>
  </w:footnote>
  <w:footnote w:id="500">
    <w:p>
      <w:pPr>
        <w:pStyle w:val="FootnoteText"/>
      </w:pPr>
      <w:r>
        <w:rPr>
          <w:rStyle w:val="FootnoteReference"/>
        </w:rPr>
        <w:footnoteRef/>
      </w:r>
      <w:r>
        <w:t xml:space="preserve"> </w:t>
      </w:r>
      <w:r>
        <w:t xml:space="preserve">Jastreboff 2025, PMID 39536238.</w:t>
      </w:r>
    </w:p>
  </w:footnote>
  <w:footnote w:id="502">
    <w:p>
      <w:pPr>
        <w:pStyle w:val="FootnoteText"/>
      </w:pPr>
      <w:r>
        <w:rPr>
          <w:rStyle w:val="FootnoteReference"/>
        </w:rPr>
        <w:footnoteRef/>
      </w:r>
      <w:r>
        <w:t xml:space="preserve"> </w:t>
      </w:r>
      <w:r>
        <w:t xml:space="preserve">Aronne 2025, PMID 40353578.</w:t>
      </w:r>
    </w:p>
  </w:footnote>
  <w:footnote w:id="503">
    <w:p>
      <w:pPr>
        <w:pStyle w:val="FootnoteText"/>
      </w:pPr>
      <w:r>
        <w:rPr>
          <w:rStyle w:val="FootnoteReference"/>
        </w:rPr>
        <w:footnoteRef/>
      </w:r>
      <w:r>
        <w:t xml:space="preserve"> </w:t>
      </w:r>
      <w:r>
        <w:t xml:space="preserve">Aronne 2026, PMID 41865857.</w:t>
      </w:r>
    </w:p>
  </w:footnote>
  <w:footnote w:id="505">
    <w:p>
      <w:pPr>
        <w:pStyle w:val="FootnoteText"/>
      </w:pPr>
      <w:r>
        <w:rPr>
          <w:rStyle w:val="FootnoteReference"/>
        </w:rPr>
        <w:footnoteRef/>
      </w:r>
      <w:r>
        <w:t xml:space="preserve"> </w:t>
      </w:r>
      <w:r>
        <w:t xml:space="preserve">Packer 2025, PMID 39555826.</w:t>
      </w:r>
    </w:p>
  </w:footnote>
  <w:footnote w:id="506">
    <w:p>
      <w:pPr>
        <w:pStyle w:val="FootnoteText"/>
      </w:pPr>
      <w:r>
        <w:rPr>
          <w:rStyle w:val="FootnoteReference"/>
        </w:rPr>
        <w:footnoteRef/>
      </w:r>
      <w:r>
        <w:t xml:space="preserve"> </w:t>
      </w:r>
      <w:r>
        <w:t xml:space="preserve">Kramer 2025, PMID 39566869.</w:t>
      </w:r>
    </w:p>
  </w:footnote>
  <w:footnote w:id="508">
    <w:p>
      <w:pPr>
        <w:pStyle w:val="FootnoteText"/>
      </w:pPr>
      <w:r>
        <w:rPr>
          <w:rStyle w:val="FootnoteReference"/>
        </w:rPr>
        <w:footnoteRef/>
      </w:r>
      <w:r>
        <w:t xml:space="preserve"> </w:t>
      </w:r>
      <w:r>
        <w:t xml:space="preserve">Malhotra 2024, PMID 38912654.</w:t>
      </w:r>
    </w:p>
  </w:footnote>
  <w:footnote w:id="510">
    <w:p>
      <w:pPr>
        <w:pStyle w:val="FootnoteText"/>
      </w:pPr>
      <w:r>
        <w:rPr>
          <w:rStyle w:val="FootnoteReference"/>
        </w:rPr>
        <w:footnoteRef/>
      </w:r>
      <w:r>
        <w:t xml:space="preserve"> </w:t>
      </w:r>
      <w:r>
        <w:t xml:space="preserve">Loomba 2024, PMID 38856224.</w:t>
      </w:r>
    </w:p>
  </w:footnote>
  <w:footnote w:id="512">
    <w:p>
      <w:pPr>
        <w:pStyle w:val="FootnoteText"/>
      </w:pPr>
      <w:r>
        <w:rPr>
          <w:rStyle w:val="FootnoteReference"/>
        </w:rPr>
        <w:footnoteRef/>
      </w:r>
      <w:r>
        <w:t xml:space="preserve"> </w:t>
      </w:r>
      <w:r>
        <w:t xml:space="preserve">Lebwohl 2026, PMID 42139049.</w:t>
      </w:r>
    </w:p>
  </w:footnote>
  <w:footnote w:id="513">
    <w:p>
      <w:pPr>
        <w:pStyle w:val="FootnoteText"/>
      </w:pPr>
      <w:r>
        <w:rPr>
          <w:rStyle w:val="FootnoteReference"/>
        </w:rPr>
        <w:footnoteRef/>
      </w:r>
      <w:r>
        <w:t xml:space="preserve"> </w:t>
      </w:r>
      <w:r>
        <w:t xml:space="preserve">Look 2025, PMID 39996356.</w:t>
      </w:r>
    </w:p>
  </w:footnote>
  <w:footnote w:id="516">
    <w:p>
      <w:pPr>
        <w:pStyle w:val="FootnoteText"/>
      </w:pPr>
      <w:r>
        <w:rPr>
          <w:rStyle w:val="FootnoteReference"/>
        </w:rPr>
        <w:footnoteRef/>
      </w:r>
      <w:r>
        <w:t xml:space="preserve"> </w:t>
      </w:r>
      <w:r>
        <w:t xml:space="preserve">Coskun 2018, PMID 30473097.</w:t>
      </w:r>
    </w:p>
  </w:footnote>
  <w:footnote w:id="517">
    <w:p>
      <w:pPr>
        <w:pStyle w:val="FootnoteText"/>
      </w:pPr>
      <w:r>
        <w:rPr>
          <w:rStyle w:val="FootnoteReference"/>
        </w:rPr>
        <w:footnoteRef/>
      </w:r>
      <w:r>
        <w:t xml:space="preserve"> </w:t>
      </w:r>
      <w:r>
        <w:t xml:space="preserve">Samms 2021, PMID 34003802.</w:t>
      </w:r>
    </w:p>
  </w:footnote>
  <w:footnote w:id="518">
    <w:p>
      <w:pPr>
        <w:pStyle w:val="FootnoteText"/>
      </w:pPr>
      <w:r>
        <w:rPr>
          <w:rStyle w:val="FootnoteReference"/>
        </w:rPr>
        <w:footnoteRef/>
      </w:r>
      <w:r>
        <w:t xml:space="preserve"> </w:t>
      </w:r>
      <w:r>
        <w:t xml:space="preserve">Martin 2024, PMID 39243911.</w:t>
      </w:r>
    </w:p>
  </w:footnote>
  <w:footnote w:id="520">
    <w:p>
      <w:pPr>
        <w:pStyle w:val="FootnoteText"/>
      </w:pPr>
      <w:r>
        <w:rPr>
          <w:rStyle w:val="FootnoteReference"/>
        </w:rPr>
        <w:footnoteRef/>
      </w:r>
      <w:r>
        <w:t xml:space="preserve"> </w:t>
      </w:r>
      <w:r>
        <w:t xml:space="preserve">Ludvik 2021, PMID 34370970.</w:t>
      </w:r>
    </w:p>
  </w:footnote>
  <w:footnote w:id="521">
    <w:p>
      <w:pPr>
        <w:pStyle w:val="FootnoteText"/>
      </w:pPr>
      <w:r>
        <w:rPr>
          <w:rStyle w:val="FootnoteReference"/>
        </w:rPr>
        <w:footnoteRef/>
      </w:r>
      <w:r>
        <w:t xml:space="preserve"> </w:t>
      </w:r>
      <w:r>
        <w:t xml:space="preserve">Zeng 2023, PMID 37908750.</w:t>
      </w:r>
    </w:p>
  </w:footnote>
  <w:footnote w:id="522">
    <w:p>
      <w:pPr>
        <w:pStyle w:val="FootnoteText"/>
      </w:pPr>
      <w:r>
        <w:rPr>
          <w:rStyle w:val="FootnoteReference"/>
        </w:rPr>
        <w:footnoteRef/>
      </w:r>
      <w:r>
        <w:t xml:space="preserve"> </w:t>
      </w:r>
      <w:r>
        <w:t xml:space="preserve">Del Prato 2021, PMID 34672967.</w:t>
      </w:r>
    </w:p>
  </w:footnote>
  <w:footnote w:id="523">
    <w:p>
      <w:pPr>
        <w:pStyle w:val="FootnoteText"/>
      </w:pPr>
      <w:r>
        <w:rPr>
          <w:rStyle w:val="FootnoteReference"/>
        </w:rPr>
        <w:footnoteRef/>
      </w:r>
      <w:r>
        <w:t xml:space="preserve"> </w:t>
      </w:r>
      <w:r>
        <w:t xml:space="preserve">Wadden 2026, PMID 41537305.</w:t>
      </w:r>
    </w:p>
  </w:footnote>
  <w:footnote w:id="524">
    <w:p>
      <w:pPr>
        <w:pStyle w:val="FootnoteText"/>
      </w:pPr>
      <w:r>
        <w:rPr>
          <w:rStyle w:val="FootnoteReference"/>
        </w:rPr>
        <w:footnoteRef/>
      </w:r>
      <w:r>
        <w:t xml:space="preserve"> </w:t>
      </w:r>
      <w:r>
        <w:t xml:space="preserve">Look 2025, PMID 39996356.</w:t>
      </w:r>
    </w:p>
  </w:footnote>
  <w:footnote w:id="525">
    <w:p>
      <w:pPr>
        <w:pStyle w:val="FootnoteText"/>
      </w:pPr>
      <w:r>
        <w:rPr>
          <w:rStyle w:val="FootnoteReference"/>
        </w:rPr>
        <w:footnoteRef/>
      </w:r>
      <w:r>
        <w:t xml:space="preserve"> </w:t>
      </w:r>
      <w:r>
        <w:t xml:space="preserve">Caruso 2024, PMID 39141075.</w:t>
      </w:r>
    </w:p>
  </w:footnote>
  <w:footnote w:id="526">
    <w:p>
      <w:pPr>
        <w:pStyle w:val="FootnoteText"/>
      </w:pPr>
      <w:r>
        <w:rPr>
          <w:rStyle w:val="FootnoteReference"/>
        </w:rPr>
        <w:footnoteRef/>
      </w:r>
      <w:r>
        <w:t xml:space="preserve"> </w:t>
      </w:r>
      <w:r>
        <w:t xml:space="preserve">Crisafulli 2026, PMID 41183330.</w:t>
      </w:r>
    </w:p>
  </w:footnote>
  <w:footnote w:id="527">
    <w:p>
      <w:pPr>
        <w:pStyle w:val="FootnoteText"/>
      </w:pPr>
      <w:r>
        <w:rPr>
          <w:rStyle w:val="FootnoteReference"/>
        </w:rPr>
        <w:footnoteRef/>
      </w:r>
      <w:r>
        <w:t xml:space="preserve"> </w:t>
      </w:r>
      <w:r>
        <w:t xml:space="preserve">Belcourt 2026, PMID 41689811.</w:t>
      </w:r>
    </w:p>
  </w:footnote>
  <w:footnote w:id="530">
    <w:p>
      <w:pPr>
        <w:pStyle w:val="FootnoteText"/>
      </w:pPr>
      <w:r>
        <w:rPr>
          <w:rStyle w:val="FootnoteReference"/>
        </w:rPr>
        <w:footnoteRef/>
      </w:r>
      <w:r>
        <w:t xml:space="preserve"> </w:t>
      </w:r>
      <w:r>
        <w:t xml:space="preserve">NCT05556512.</w:t>
      </w:r>
    </w:p>
  </w:footnote>
  <w:footnote w:id="531">
    <w:p>
      <w:pPr>
        <w:pStyle w:val="FootnoteText"/>
      </w:pPr>
      <w:r>
        <w:rPr>
          <w:rStyle w:val="FootnoteReference"/>
        </w:rPr>
        <w:footnoteRef/>
      </w:r>
      <w:r>
        <w:t xml:space="preserve"> </w:t>
      </w:r>
      <w:r>
        <w:t xml:space="preserve">Lam 2025, PMID 40545827.</w:t>
      </w:r>
    </w:p>
  </w:footnote>
  <w:footnote w:id="532">
    <w:p>
      <w:pPr>
        <w:pStyle w:val="FootnoteText"/>
      </w:pPr>
      <w:r>
        <w:rPr>
          <w:rStyle w:val="FootnoteReference"/>
        </w:rPr>
        <w:footnoteRef/>
      </w:r>
      <w:r>
        <w:t xml:space="preserve"> </w:t>
      </w:r>
      <w:r>
        <w:t xml:space="preserve">NCT07165028.</w:t>
      </w:r>
    </w:p>
  </w:footnote>
  <w:footnote w:id="533">
    <w:p>
      <w:pPr>
        <w:pStyle w:val="FootnoteText"/>
      </w:pPr>
      <w:r>
        <w:rPr>
          <w:rStyle w:val="FootnoteReference"/>
        </w:rPr>
        <w:footnoteRef/>
      </w:r>
      <w:r>
        <w:t xml:space="preserve"> </w:t>
      </w:r>
      <w:r>
        <w:t xml:space="preserve">NCT06914895, NCT06962280.</w:t>
      </w:r>
    </w:p>
  </w:footnote>
  <w:footnote w:id="534">
    <w:p>
      <w:pPr>
        <w:pStyle w:val="FootnoteText"/>
      </w:pPr>
      <w:r>
        <w:rPr>
          <w:rStyle w:val="FootnoteReference"/>
        </w:rPr>
        <w:footnoteRef/>
      </w:r>
      <w:r>
        <w:t xml:space="preserve"> </w:t>
      </w:r>
      <w:r>
        <w:t xml:space="preserve">NCT07817875.</w:t>
      </w:r>
    </w:p>
  </w:footnote>
  <w:footnote w:id="539">
    <w:p>
      <w:pPr>
        <w:pStyle w:val="FootnoteText"/>
      </w:pPr>
      <w:r>
        <w:rPr>
          <w:rStyle w:val="FootnoteReference"/>
        </w:rPr>
        <w:footnoteRef/>
      </w:r>
      <w:r>
        <w:t xml:space="preserve"> </w:t>
      </w:r>
      <w:r>
        <w:t xml:space="preserve">Coskun 2022, PMID 35985340.</w:t>
      </w:r>
    </w:p>
  </w:footnote>
  <w:footnote w:id="540">
    <w:p>
      <w:pPr>
        <w:pStyle w:val="FootnoteText"/>
      </w:pPr>
      <w:r>
        <w:rPr>
          <w:rStyle w:val="FootnoteReference"/>
        </w:rPr>
        <w:footnoteRef/>
      </w:r>
      <w:r>
        <w:t xml:space="preserve"> </w:t>
      </w:r>
      <w:r>
        <w:t xml:space="preserve">NCT06313528.</w:t>
      </w:r>
    </w:p>
  </w:footnote>
  <w:footnote w:id="541">
    <w:p>
      <w:pPr>
        <w:pStyle w:val="FootnoteText"/>
      </w:pPr>
      <w:r>
        <w:rPr>
          <w:rStyle w:val="FootnoteReference"/>
        </w:rPr>
        <w:footnoteRef/>
      </w:r>
      <w:r>
        <w:t xml:space="preserve"> </w:t>
      </w:r>
      <w:r>
        <w:t xml:space="preserve">Kanu 2025, PMID 40916752.</w:t>
      </w:r>
    </w:p>
  </w:footnote>
  <w:footnote w:id="543">
    <w:p>
      <w:pPr>
        <w:pStyle w:val="FootnoteText"/>
      </w:pPr>
      <w:r>
        <w:rPr>
          <w:rStyle w:val="FootnoteReference"/>
        </w:rPr>
        <w:footnoteRef/>
      </w:r>
      <w:r>
        <w:t xml:space="preserve"> </w:t>
      </w:r>
      <w:r>
        <w:t xml:space="preserve">Coskun 2022, PMID 35985340.</w:t>
      </w:r>
    </w:p>
  </w:footnote>
  <w:footnote w:id="544">
    <w:p>
      <w:pPr>
        <w:pStyle w:val="FootnoteText"/>
      </w:pPr>
      <w:r>
        <w:rPr>
          <w:rStyle w:val="FootnoteReference"/>
        </w:rPr>
        <w:footnoteRef/>
      </w:r>
      <w:r>
        <w:t xml:space="preserve"> </w:t>
      </w:r>
      <w:r>
        <w:t xml:space="preserve">Urva 2022, PMID 36354040.</w:t>
      </w:r>
    </w:p>
  </w:footnote>
  <w:footnote w:id="546">
    <w:p>
      <w:pPr>
        <w:pStyle w:val="FootnoteText"/>
      </w:pPr>
      <w:r>
        <w:rPr>
          <w:rStyle w:val="FootnoteReference"/>
        </w:rPr>
        <w:footnoteRef/>
      </w:r>
      <w:r>
        <w:t xml:space="preserve"> </w:t>
      </w:r>
      <w:r>
        <w:t xml:space="preserve">Jastreboff 2023, PMID 37366315.</w:t>
      </w:r>
    </w:p>
  </w:footnote>
  <w:footnote w:id="547">
    <w:p>
      <w:pPr>
        <w:pStyle w:val="FootnoteText"/>
      </w:pPr>
      <w:r>
        <w:rPr>
          <w:rStyle w:val="FootnoteReference"/>
        </w:rPr>
        <w:footnoteRef/>
      </w:r>
      <w:r>
        <w:t xml:space="preserve"> </w:t>
      </w:r>
      <w:r>
        <w:t xml:space="preserve">Rosenstock 2023, PMID 37385280.</w:t>
      </w:r>
    </w:p>
  </w:footnote>
  <w:footnote w:id="548">
    <w:p>
      <w:pPr>
        <w:pStyle w:val="FootnoteText"/>
      </w:pPr>
      <w:r>
        <w:rPr>
          <w:rStyle w:val="FootnoteReference"/>
        </w:rPr>
        <w:footnoteRef/>
      </w:r>
      <w:r>
        <w:t xml:space="preserve"> </w:t>
      </w:r>
      <w:r>
        <w:t xml:space="preserve">Coskun 2025, PMID 40609566.</w:t>
      </w:r>
    </w:p>
  </w:footnote>
  <w:footnote w:id="549">
    <w:p>
      <w:pPr>
        <w:pStyle w:val="FootnoteText"/>
      </w:pPr>
      <w:r>
        <w:rPr>
          <w:rStyle w:val="FootnoteReference"/>
        </w:rPr>
        <w:footnoteRef/>
      </w:r>
      <w:r>
        <w:t xml:space="preserve"> </w:t>
      </w:r>
      <w:r>
        <w:t xml:space="preserve">Sanyal 2024, PMID 38858523.</w:t>
      </w:r>
    </w:p>
  </w:footnote>
  <w:footnote w:id="550">
    <w:p>
      <w:pPr>
        <w:pStyle w:val="FootnoteText"/>
      </w:pPr>
      <w:r>
        <w:rPr>
          <w:rStyle w:val="FootnoteReference"/>
        </w:rPr>
        <w:footnoteRef/>
      </w:r>
      <w:r>
        <w:t xml:space="preserve"> </w:t>
      </w:r>
      <w:r>
        <w:t xml:space="preserve">Ruotolo 2026, PMID 42608321.</w:t>
      </w:r>
    </w:p>
  </w:footnote>
  <w:footnote w:id="552">
    <w:p>
      <w:pPr>
        <w:pStyle w:val="FootnoteText"/>
      </w:pPr>
      <w:r>
        <w:rPr>
          <w:rStyle w:val="FootnoteReference"/>
        </w:rPr>
        <w:footnoteRef/>
      </w:r>
      <w:r>
        <w:t xml:space="preserve"> </w:t>
      </w:r>
      <w:r>
        <w:t xml:space="preserve">Giblin 2026, PMID 41090431.</w:t>
      </w:r>
    </w:p>
  </w:footnote>
  <w:footnote w:id="553">
    <w:p>
      <w:pPr>
        <w:pStyle w:val="FootnoteText"/>
      </w:pPr>
      <w:r>
        <w:rPr>
          <w:rStyle w:val="FootnoteReference"/>
        </w:rPr>
        <w:footnoteRef/>
      </w:r>
      <w:r>
        <w:t xml:space="preserve"> </w:t>
      </w:r>
      <w:r>
        <w:t xml:space="preserve">Jastreboff 2026, PMID 42814954.</w:t>
      </w:r>
    </w:p>
  </w:footnote>
  <w:footnote w:id="554">
    <w:p>
      <w:pPr>
        <w:pStyle w:val="FootnoteText"/>
      </w:pPr>
      <w:r>
        <w:rPr>
          <w:rStyle w:val="FootnoteReference"/>
        </w:rPr>
        <w:footnoteRef/>
      </w:r>
      <w:r>
        <w:t xml:space="preserve"> </w:t>
      </w:r>
      <w:r>
        <w:t xml:space="preserve">Bellido 2026, PMID 42810372.</w:t>
      </w:r>
    </w:p>
  </w:footnote>
  <w:footnote w:id="555">
    <w:p>
      <w:pPr>
        <w:pStyle w:val="FootnoteText"/>
      </w:pPr>
      <w:r>
        <w:rPr>
          <w:rStyle w:val="FootnoteReference"/>
        </w:rPr>
        <w:footnoteRef/>
      </w:r>
      <w:r>
        <w:t xml:space="preserve"> </w:t>
      </w:r>
      <w:r>
        <w:t xml:space="preserve">Bajaj 2026, PMID 42250575.</w:t>
      </w:r>
    </w:p>
  </w:footnote>
  <w:footnote w:id="558">
    <w:p>
      <w:pPr>
        <w:pStyle w:val="FootnoteText"/>
      </w:pPr>
      <w:r>
        <w:rPr>
          <w:rStyle w:val="FootnoteReference"/>
        </w:rPr>
        <w:footnoteRef/>
      </w:r>
      <w:r>
        <w:t xml:space="preserve"> </w:t>
      </w:r>
      <w:r>
        <w:t xml:space="preserve">Coskun 2022, PMID 35985340.</w:t>
      </w:r>
    </w:p>
  </w:footnote>
  <w:footnote w:id="559">
    <w:p>
      <w:pPr>
        <w:pStyle w:val="FootnoteText"/>
      </w:pPr>
      <w:r>
        <w:rPr>
          <w:rStyle w:val="FootnoteReference"/>
        </w:rPr>
        <w:footnoteRef/>
      </w:r>
      <w:r>
        <w:t xml:space="preserve"> </w:t>
      </w:r>
      <w:r>
        <w:t xml:space="preserve">Marathe 2025, PMID 40094000.</w:t>
      </w:r>
    </w:p>
  </w:footnote>
  <w:footnote w:id="560">
    <w:p>
      <w:pPr>
        <w:pStyle w:val="FootnoteText"/>
      </w:pPr>
      <w:r>
        <w:rPr>
          <w:rStyle w:val="FootnoteReference"/>
        </w:rPr>
        <w:footnoteRef/>
      </w:r>
      <w:r>
        <w:t xml:space="preserve"> </w:t>
      </w:r>
      <w:r>
        <w:t xml:space="preserve">Carneiro 2026, PMID 42745421.</w:t>
      </w:r>
    </w:p>
  </w:footnote>
  <w:footnote w:id="562">
    <w:p>
      <w:pPr>
        <w:pStyle w:val="FootnoteText"/>
      </w:pPr>
      <w:r>
        <w:rPr>
          <w:rStyle w:val="FootnoteReference"/>
        </w:rPr>
        <w:footnoteRef/>
      </w:r>
      <w:r>
        <w:t xml:space="preserve"> </w:t>
      </w:r>
      <w:r>
        <w:t xml:space="preserve">Bellido 2026, PMID 42810372.</w:t>
      </w:r>
    </w:p>
  </w:footnote>
  <w:footnote w:id="563">
    <w:p>
      <w:pPr>
        <w:pStyle w:val="FootnoteText"/>
      </w:pPr>
      <w:r>
        <w:rPr>
          <w:rStyle w:val="FootnoteReference"/>
        </w:rPr>
        <w:footnoteRef/>
      </w:r>
      <w:r>
        <w:t xml:space="preserve"> </w:t>
      </w:r>
      <w:r>
        <w:t xml:space="preserve">Jastreboff 2023, PMID 37366315.</w:t>
      </w:r>
    </w:p>
  </w:footnote>
  <w:footnote w:id="564">
    <w:p>
      <w:pPr>
        <w:pStyle w:val="FootnoteText"/>
      </w:pPr>
      <w:r>
        <w:rPr>
          <w:rStyle w:val="FootnoteReference"/>
        </w:rPr>
        <w:footnoteRef/>
      </w:r>
      <w:r>
        <w:t xml:space="preserve"> </w:t>
      </w:r>
      <w:r>
        <w:t xml:space="preserve">Rubin 2026, PMID 42853576.</w:t>
      </w:r>
    </w:p>
  </w:footnote>
  <w:footnote w:id="566">
    <w:p>
      <w:pPr>
        <w:pStyle w:val="FootnoteText"/>
      </w:pPr>
      <w:r>
        <w:rPr>
          <w:rStyle w:val="FootnoteReference"/>
        </w:rPr>
        <w:footnoteRef/>
      </w:r>
      <w:r>
        <w:t xml:space="preserve"> </w:t>
      </w:r>
      <w:r>
        <w:t xml:space="preserve">NCT07629401.</w:t>
      </w:r>
    </w:p>
  </w:footnote>
  <w:footnote w:id="568">
    <w:p>
      <w:pPr>
        <w:pStyle w:val="FootnoteText"/>
      </w:pPr>
      <w:r>
        <w:rPr>
          <w:rStyle w:val="FootnoteReference"/>
        </w:rPr>
        <w:footnoteRef/>
      </w:r>
      <w:r>
        <w:t xml:space="preserve"> </w:t>
      </w:r>
      <w:r>
        <w:t xml:space="preserve">NCT06383390.</w:t>
      </w:r>
    </w:p>
  </w:footnote>
  <w:footnote w:id="569">
    <w:p>
      <w:pPr>
        <w:pStyle w:val="FootnoteText"/>
      </w:pPr>
      <w:r>
        <w:rPr>
          <w:rStyle w:val="FootnoteReference"/>
        </w:rPr>
        <w:footnoteRef/>
      </w:r>
      <w:r>
        <w:t xml:space="preserve"> </w:t>
      </w:r>
      <w:r>
        <w:t xml:space="preserve">NCT06662383.</w:t>
      </w:r>
    </w:p>
  </w:footnote>
  <w:footnote w:id="570">
    <w:p>
      <w:pPr>
        <w:pStyle w:val="FootnoteText"/>
      </w:pPr>
      <w:r>
        <w:rPr>
          <w:rStyle w:val="FootnoteReference"/>
        </w:rPr>
        <w:footnoteRef/>
      </w:r>
      <w:r>
        <w:t xml:space="preserve"> </w:t>
      </w:r>
      <w:r>
        <w:t xml:space="preserve">NCT06260722.</w:t>
      </w:r>
    </w:p>
  </w:footnote>
  <w:footnote w:id="571">
    <w:p>
      <w:pPr>
        <w:pStyle w:val="FootnoteText"/>
      </w:pPr>
      <w:r>
        <w:rPr>
          <w:rStyle w:val="FootnoteReference"/>
        </w:rPr>
        <w:footnoteRef/>
      </w:r>
      <w:r>
        <w:t xml:space="preserve"> </w:t>
      </w:r>
      <w:r>
        <w:t xml:space="preserve">NCT06859268.</w:t>
      </w:r>
    </w:p>
  </w:footnote>
  <w:footnote w:id="572">
    <w:p>
      <w:pPr>
        <w:pStyle w:val="FootnoteText"/>
      </w:pPr>
      <w:r>
        <w:rPr>
          <w:rStyle w:val="FootnoteReference"/>
        </w:rPr>
        <w:footnoteRef/>
      </w:r>
      <w:r>
        <w:t xml:space="preserve"> </w:t>
      </w:r>
      <w:r>
        <w:t xml:space="preserve">NCT06297603.</w:t>
      </w:r>
    </w:p>
  </w:footnote>
  <w:footnote w:id="573">
    <w:p>
      <w:pPr>
        <w:pStyle w:val="FootnoteText"/>
      </w:pPr>
      <w:r>
        <w:rPr>
          <w:rStyle w:val="FootnoteReference"/>
        </w:rPr>
        <w:footnoteRef/>
      </w:r>
      <w:r>
        <w:t xml:space="preserve"> </w:t>
      </w:r>
      <w:r>
        <w:t xml:space="preserve">NCT07035093.</w:t>
      </w:r>
    </w:p>
  </w:footnote>
  <w:footnote w:id="574">
    <w:p>
      <w:pPr>
        <w:pStyle w:val="FootnoteText"/>
      </w:pPr>
      <w:r>
        <w:rPr>
          <w:rStyle w:val="FootnoteReference"/>
        </w:rPr>
        <w:footnoteRef/>
      </w:r>
      <w:r>
        <w:t xml:space="preserve"> </w:t>
      </w:r>
      <w:r>
        <w:t xml:space="preserve">NCT07165028.</w:t>
      </w:r>
    </w:p>
  </w:footnote>
  <w:footnote w:id="579">
    <w:p>
      <w:pPr>
        <w:pStyle w:val="FootnoteText"/>
      </w:pPr>
      <w:r>
        <w:rPr>
          <w:rStyle w:val="FootnoteReference"/>
        </w:rPr>
        <w:footnoteRef/>
      </w:r>
      <w:r>
        <w:t xml:space="preserve"> </w:t>
      </w:r>
      <w:r>
        <w:t xml:space="preserve">Thomas 2024, PMID 38560764.</w:t>
      </w:r>
    </w:p>
  </w:footnote>
  <w:footnote w:id="580">
    <w:p>
      <w:pPr>
        <w:pStyle w:val="FootnoteText"/>
      </w:pPr>
      <w:r>
        <w:rPr>
          <w:rStyle w:val="FootnoteReference"/>
        </w:rPr>
        <w:footnoteRef/>
      </w:r>
      <w:r>
        <w:t xml:space="preserve"> </w:t>
      </w:r>
      <w:r>
        <w:t xml:space="preserve">Zimmermann 2026, PMID 41638399.</w:t>
      </w:r>
    </w:p>
  </w:footnote>
  <w:footnote w:id="581">
    <w:p>
      <w:pPr>
        <w:pStyle w:val="FootnoteText"/>
      </w:pPr>
      <w:r>
        <w:rPr>
          <w:rStyle w:val="FootnoteReference"/>
        </w:rPr>
        <w:footnoteRef/>
      </w:r>
      <w:r>
        <w:t xml:space="preserve"> </w:t>
      </w:r>
      <w:r>
        <w:t xml:space="preserve">NCT06745284.</w:t>
      </w:r>
    </w:p>
  </w:footnote>
  <w:footnote w:id="583">
    <w:p>
      <w:pPr>
        <w:pStyle w:val="FootnoteText"/>
      </w:pPr>
      <w:r>
        <w:rPr>
          <w:rStyle w:val="FootnoteReference"/>
        </w:rPr>
        <w:footnoteRef/>
      </w:r>
      <w:r>
        <w:t xml:space="preserve"> </w:t>
      </w:r>
      <w:r>
        <w:t xml:space="preserve">le Roux 2024, PMID 38330987.</w:t>
      </w:r>
    </w:p>
  </w:footnote>
  <w:footnote w:id="584">
    <w:p>
      <w:pPr>
        <w:pStyle w:val="FootnoteText"/>
      </w:pPr>
      <w:r>
        <w:rPr>
          <w:rStyle w:val="FootnoteReference"/>
        </w:rPr>
        <w:footnoteRef/>
      </w:r>
      <w:r>
        <w:t xml:space="preserve"> </w:t>
      </w:r>
      <w:r>
        <w:t xml:space="preserve">le Roux 2026, PMID 42253238.</w:t>
      </w:r>
    </w:p>
  </w:footnote>
  <w:footnote w:id="585">
    <w:p>
      <w:pPr>
        <w:pStyle w:val="FootnoteText"/>
      </w:pPr>
      <w:r>
        <w:rPr>
          <w:rStyle w:val="FootnoteReference"/>
        </w:rPr>
        <w:footnoteRef/>
      </w:r>
      <w:r>
        <w:t xml:space="preserve"> </w:t>
      </w:r>
      <w:r>
        <w:t xml:space="preserve">Wharton 2026, PMID 42820639.</w:t>
      </w:r>
    </w:p>
  </w:footnote>
  <w:footnote w:id="586">
    <w:p>
      <w:pPr>
        <w:pStyle w:val="FootnoteText"/>
      </w:pPr>
      <w:r>
        <w:rPr>
          <w:rStyle w:val="FootnoteReference"/>
        </w:rPr>
        <w:footnoteRef/>
      </w:r>
      <w:r>
        <w:t xml:space="preserve"> </w:t>
      </w:r>
      <w:r>
        <w:t xml:space="preserve">Blüher 2024, PMID 38095657.</w:t>
      </w:r>
    </w:p>
  </w:footnote>
  <w:footnote w:id="588">
    <w:p>
      <w:pPr>
        <w:pStyle w:val="FootnoteText"/>
      </w:pPr>
      <w:r>
        <w:rPr>
          <w:rStyle w:val="FootnoteReference"/>
        </w:rPr>
        <w:footnoteRef/>
      </w:r>
      <w:r>
        <w:t xml:space="preserve"> </w:t>
      </w:r>
      <w:r>
        <w:t xml:space="preserve">Sanyal 2024, PMID 38847460.</w:t>
      </w:r>
    </w:p>
  </w:footnote>
  <w:footnote w:id="589">
    <w:p>
      <w:pPr>
        <w:pStyle w:val="FootnoteText"/>
      </w:pPr>
      <w:r>
        <w:rPr>
          <w:rStyle w:val="FootnoteReference"/>
        </w:rPr>
        <w:footnoteRef/>
      </w:r>
      <w:r>
        <w:t xml:space="preserve"> </w:t>
      </w:r>
      <w:r>
        <w:t xml:space="preserve">Kaplan 2026, PMID 42252333.</w:t>
      </w:r>
    </w:p>
  </w:footnote>
  <w:footnote w:id="590">
    <w:p>
      <w:pPr>
        <w:pStyle w:val="FootnoteText"/>
      </w:pPr>
      <w:r>
        <w:rPr>
          <w:rStyle w:val="FootnoteReference"/>
        </w:rPr>
        <w:footnoteRef/>
      </w:r>
      <w:r>
        <w:t xml:space="preserve"> </w:t>
      </w:r>
      <w:r>
        <w:t xml:space="preserve">Lawitz 2024, PMID 38857788.</w:t>
      </w:r>
    </w:p>
  </w:footnote>
  <w:footnote w:id="593">
    <w:p>
      <w:pPr>
        <w:pStyle w:val="FootnoteText"/>
      </w:pPr>
      <w:r>
        <w:rPr>
          <w:rStyle w:val="FootnoteReference"/>
        </w:rPr>
        <w:footnoteRef/>
      </w:r>
      <w:r>
        <w:t xml:space="preserve"> </w:t>
      </w:r>
      <w:r>
        <w:t xml:space="preserve">Thomas 2024, PMID 38560764.</w:t>
      </w:r>
    </w:p>
  </w:footnote>
  <w:footnote w:id="594">
    <w:p>
      <w:pPr>
        <w:pStyle w:val="FootnoteText"/>
      </w:pPr>
      <w:r>
        <w:rPr>
          <w:rStyle w:val="FootnoteReference"/>
        </w:rPr>
        <w:footnoteRef/>
      </w:r>
      <w:r>
        <w:t xml:space="preserve"> </w:t>
      </w:r>
      <w:r>
        <w:t xml:space="preserve">Zimmermann 2026, PMID 41638399.</w:t>
      </w:r>
    </w:p>
  </w:footnote>
  <w:footnote w:id="596">
    <w:p>
      <w:pPr>
        <w:pStyle w:val="FootnoteText"/>
      </w:pPr>
      <w:r>
        <w:rPr>
          <w:rStyle w:val="FootnoteReference"/>
        </w:rPr>
        <w:footnoteRef/>
      </w:r>
      <w:r>
        <w:t xml:space="preserve"> </w:t>
      </w:r>
      <w:r>
        <w:t xml:space="preserve">Sanyal 2024, PMID 38847460.</w:t>
      </w:r>
    </w:p>
  </w:footnote>
  <w:footnote w:id="597">
    <w:p>
      <w:pPr>
        <w:pStyle w:val="FootnoteText"/>
      </w:pPr>
      <w:r>
        <w:rPr>
          <w:rStyle w:val="FootnoteReference"/>
        </w:rPr>
        <w:footnoteRef/>
      </w:r>
      <w:r>
        <w:t xml:space="preserve"> </w:t>
      </w:r>
      <w:r>
        <w:t xml:space="preserve">le Roux 2026, PMID 42253238.</w:t>
      </w:r>
    </w:p>
  </w:footnote>
  <w:footnote w:id="598">
    <w:p>
      <w:pPr>
        <w:pStyle w:val="FootnoteText"/>
      </w:pPr>
      <w:r>
        <w:rPr>
          <w:rStyle w:val="FootnoteReference"/>
        </w:rPr>
        <w:footnoteRef/>
      </w:r>
      <w:r>
        <w:t xml:space="preserve"> </w:t>
      </w:r>
      <w:r>
        <w:t xml:space="preserve">NCT06200467.</w:t>
      </w:r>
    </w:p>
  </w:footnote>
  <w:footnote w:id="601">
    <w:p>
      <w:pPr>
        <w:pStyle w:val="FootnoteText"/>
      </w:pPr>
      <w:r>
        <w:rPr>
          <w:rStyle w:val="FootnoteReference"/>
        </w:rPr>
        <w:footnoteRef/>
      </w:r>
      <w:r>
        <w:t xml:space="preserve"> </w:t>
      </w:r>
      <w:r>
        <w:t xml:space="preserve">NCT06077864.</w:t>
      </w:r>
    </w:p>
  </w:footnote>
  <w:footnote w:id="602">
    <w:p>
      <w:pPr>
        <w:pStyle w:val="FootnoteText"/>
      </w:pPr>
      <w:r>
        <w:rPr>
          <w:rStyle w:val="FootnoteReference"/>
        </w:rPr>
        <w:footnoteRef/>
      </w:r>
      <w:r>
        <w:t xml:space="preserve"> </w:t>
      </w:r>
      <w:r>
        <w:t xml:space="preserve">PMID 39453356.</w:t>
      </w:r>
    </w:p>
  </w:footnote>
  <w:footnote w:id="603">
    <w:p>
      <w:pPr>
        <w:pStyle w:val="FootnoteText"/>
      </w:pPr>
      <w:r>
        <w:rPr>
          <w:rStyle w:val="FootnoteReference"/>
        </w:rPr>
        <w:footnoteRef/>
      </w:r>
      <w:r>
        <w:t xml:space="preserve"> </w:t>
      </w:r>
      <w:r>
        <w:t xml:space="preserve">NCT06632444.</w:t>
      </w:r>
    </w:p>
  </w:footnote>
  <w:footnote w:id="604">
    <w:p>
      <w:pPr>
        <w:pStyle w:val="FootnoteText"/>
      </w:pPr>
      <w:r>
        <w:rPr>
          <w:rStyle w:val="FootnoteReference"/>
        </w:rPr>
        <w:footnoteRef/>
      </w:r>
      <w:r>
        <w:t xml:space="preserve"> </w:t>
      </w:r>
      <w:r>
        <w:t xml:space="preserve">NCT06632457.</w:t>
      </w:r>
    </w:p>
  </w:footnote>
  <w:footnote w:id="605">
    <w:p>
      <w:pPr>
        <w:pStyle w:val="FootnoteText"/>
      </w:pPr>
      <w:r>
        <w:rPr>
          <w:rStyle w:val="FootnoteReference"/>
        </w:rPr>
        <w:footnoteRef/>
      </w:r>
      <w:r>
        <w:t xml:space="preserve"> </w:t>
      </w:r>
      <w:r>
        <w:t xml:space="preserve">NCT07754461.</w:t>
      </w:r>
    </w:p>
  </w:footnote>
  <w:footnote w:id="606">
    <w:p>
      <w:pPr>
        <w:pStyle w:val="FootnoteText"/>
      </w:pPr>
      <w:r>
        <w:rPr>
          <w:rStyle w:val="FootnoteReference"/>
        </w:rPr>
        <w:footnoteRef/>
      </w:r>
      <w:r>
        <w:t xml:space="preserve"> </w:t>
      </w:r>
      <w:r>
        <w:t xml:space="preserve">NCT07850050.</w:t>
      </w:r>
    </w:p>
  </w:footnote>
  <w:footnote w:id="607">
    <w:p>
      <w:pPr>
        <w:pStyle w:val="FootnoteText"/>
      </w:pPr>
      <w:r>
        <w:rPr>
          <w:rStyle w:val="FootnoteReference"/>
        </w:rPr>
        <w:footnoteRef/>
      </w:r>
      <w:r>
        <w:t xml:space="preserve"> </w:t>
      </w:r>
      <w:r>
        <w:t xml:space="preserve">NCT07850063.</w:t>
      </w:r>
    </w:p>
  </w:footnote>
  <w:footnote w:id="608">
    <w:p>
      <w:pPr>
        <w:pStyle w:val="FootnoteText"/>
      </w:pPr>
      <w:r>
        <w:rPr>
          <w:rStyle w:val="FootnoteReference"/>
        </w:rPr>
        <w:footnoteRef/>
      </w:r>
      <w:r>
        <w:t xml:space="preserve"> </w:t>
      </w:r>
      <w:r>
        <w:t xml:space="preserve">NCT07855900.</w:t>
      </w:r>
    </w:p>
  </w:footnote>
  <w:footnote w:id="609">
    <w:p>
      <w:pPr>
        <w:pStyle w:val="FootnoteText"/>
      </w:pPr>
      <w:r>
        <w:rPr>
          <w:rStyle w:val="FootnoteReference"/>
        </w:rPr>
        <w:footnoteRef/>
      </w:r>
      <w:r>
        <w:t xml:space="preserve"> </w:t>
      </w:r>
      <w:r>
        <w:t xml:space="preserve">NCT06214741.</w:t>
      </w:r>
    </w:p>
  </w:footnote>
  <w:footnote w:id="610">
    <w:p>
      <w:pPr>
        <w:pStyle w:val="FootnoteText"/>
      </w:pPr>
      <w:r>
        <w:rPr>
          <w:rStyle w:val="FootnoteReference"/>
        </w:rPr>
        <w:footnoteRef/>
      </w:r>
      <w:r>
        <w:t xml:space="preserve"> </w:t>
      </w:r>
      <w:r>
        <w:t xml:space="preserve">NCT06176365.</w:t>
      </w:r>
    </w:p>
  </w:footnote>
  <w:footnote w:id="616">
    <w:p>
      <w:pPr>
        <w:pStyle w:val="FootnoteText"/>
      </w:pPr>
      <w:r>
        <w:rPr>
          <w:rStyle w:val="FootnoteReference"/>
        </w:rPr>
        <w:footnoteRef/>
      </w:r>
      <w:r>
        <w:t xml:space="preserve"> </w:t>
      </w:r>
      <w:r>
        <w:t xml:space="preserve">Ji 2025, PMID 40421736.</w:t>
      </w:r>
    </w:p>
  </w:footnote>
  <w:footnote w:id="617">
    <w:p>
      <w:pPr>
        <w:pStyle w:val="FootnoteText"/>
      </w:pPr>
      <w:r>
        <w:rPr>
          <w:rStyle w:val="FootnoteReference"/>
        </w:rPr>
        <w:footnoteRef/>
      </w:r>
      <w:r>
        <w:t xml:space="preserve"> </w:t>
      </w:r>
      <w:r>
        <w:t xml:space="preserve">Gao 2026, PMID 42251595.</w:t>
      </w:r>
    </w:p>
  </w:footnote>
  <w:footnote w:id="619">
    <w:p>
      <w:pPr>
        <w:pStyle w:val="FootnoteText"/>
      </w:pPr>
      <w:r>
        <w:rPr>
          <w:rStyle w:val="FootnoteReference"/>
        </w:rPr>
        <w:footnoteRef/>
      </w:r>
      <w:r>
        <w:t xml:space="preserve"> </w:t>
      </w:r>
      <w:r>
        <w:t xml:space="preserve">Zhu 2026, PMID 41407859.</w:t>
      </w:r>
    </w:p>
  </w:footnote>
  <w:footnote w:id="620">
    <w:p>
      <w:pPr>
        <w:pStyle w:val="FootnoteText"/>
      </w:pPr>
      <w:r>
        <w:rPr>
          <w:rStyle w:val="FootnoteReference"/>
        </w:rPr>
        <w:footnoteRef/>
      </w:r>
      <w:r>
        <w:t xml:space="preserve"> </w:t>
      </w:r>
      <w:r>
        <w:t xml:space="preserve">Guo 2026, PMID 41407860.</w:t>
      </w:r>
    </w:p>
  </w:footnote>
  <w:footnote w:id="621">
    <w:p>
      <w:pPr>
        <w:pStyle w:val="FootnoteText"/>
      </w:pPr>
      <w:r>
        <w:rPr>
          <w:rStyle w:val="FootnoteReference"/>
        </w:rPr>
        <w:footnoteRef/>
      </w:r>
      <w:r>
        <w:t xml:space="preserve"> </w:t>
      </w:r>
      <w:r>
        <w:t xml:space="preserve">NCT06184568.</w:t>
      </w:r>
    </w:p>
  </w:footnote>
  <w:footnote w:id="622">
    <w:p>
      <w:pPr>
        <w:pStyle w:val="FootnoteText"/>
      </w:pPr>
      <w:r>
        <w:rPr>
          <w:rStyle w:val="FootnoteReference"/>
        </w:rPr>
        <w:footnoteRef/>
      </w:r>
      <w:r>
        <w:t xml:space="preserve"> </w:t>
      </w:r>
      <w:r>
        <w:t xml:space="preserve">Luo 2026, PMID 41260459.</w:t>
      </w:r>
    </w:p>
  </w:footnote>
  <w:footnote w:id="624">
    <w:p>
      <w:pPr>
        <w:pStyle w:val="FootnoteText"/>
      </w:pPr>
      <w:r>
        <w:rPr>
          <w:rStyle w:val="FootnoteReference"/>
        </w:rPr>
        <w:footnoteRef/>
      </w:r>
      <w:r>
        <w:t xml:space="preserve"> </w:t>
      </w:r>
      <w:r>
        <w:t xml:space="preserve">Bhattachar 2025, PMID 40832785.</w:t>
      </w:r>
    </w:p>
  </w:footnote>
  <w:footnote w:id="625">
    <w:p>
      <w:pPr>
        <w:pStyle w:val="FootnoteText"/>
      </w:pPr>
      <w:r>
        <w:rPr>
          <w:rStyle w:val="FootnoteReference"/>
        </w:rPr>
        <w:footnoteRef/>
      </w:r>
      <w:r>
        <w:t xml:space="preserve"> </w:t>
      </w:r>
      <w:r>
        <w:t xml:space="preserve">Hsia 2026, PMID 42628555.</w:t>
      </w:r>
    </w:p>
  </w:footnote>
  <w:footnote w:id="627">
    <w:p>
      <w:pPr>
        <w:pStyle w:val="FootnoteText"/>
      </w:pPr>
      <w:r>
        <w:rPr>
          <w:rStyle w:val="FootnoteReference"/>
        </w:rPr>
        <w:footnoteRef/>
      </w:r>
      <w:r>
        <w:t xml:space="preserve"> </w:t>
      </w:r>
      <w:r>
        <w:t xml:space="preserve">Cheng 2025, PMID 41030857.</w:t>
      </w:r>
    </w:p>
  </w:footnote>
  <w:footnote w:id="628">
    <w:p>
      <w:pPr>
        <w:pStyle w:val="FootnoteText"/>
      </w:pPr>
      <w:r>
        <w:rPr>
          <w:rStyle w:val="FootnoteReference"/>
        </w:rPr>
        <w:footnoteRef/>
      </w:r>
      <w:r>
        <w:t xml:space="preserve"> </w:t>
      </w:r>
      <w:r>
        <w:t xml:space="preserve">NCT07255209.</w:t>
      </w:r>
    </w:p>
  </w:footnote>
  <w:footnote w:id="631">
    <w:p>
      <w:pPr>
        <w:pStyle w:val="FootnoteText"/>
      </w:pPr>
      <w:r>
        <w:rPr>
          <w:rStyle w:val="FootnoteReference"/>
        </w:rPr>
        <w:footnoteRef/>
      </w:r>
      <w:r>
        <w:t xml:space="preserve"> </w:t>
      </w:r>
      <w:r>
        <w:t xml:space="preserve">Dong 2025, PMID 40479843.</w:t>
      </w:r>
    </w:p>
  </w:footnote>
  <w:footnote w:id="632">
    <w:p>
      <w:pPr>
        <w:pStyle w:val="FootnoteText"/>
      </w:pPr>
      <w:r>
        <w:rPr>
          <w:rStyle w:val="FootnoteReference"/>
        </w:rPr>
        <w:footnoteRef/>
      </w:r>
      <w:r>
        <w:t xml:space="preserve"> </w:t>
      </w:r>
      <w:r>
        <w:t xml:space="preserve">Gan 2026, PMID 41901218.</w:t>
      </w:r>
    </w:p>
  </w:footnote>
  <w:footnote w:id="633">
    <w:p>
      <w:pPr>
        <w:pStyle w:val="FootnoteText"/>
      </w:pPr>
      <w:r>
        <w:rPr>
          <w:rStyle w:val="FootnoteReference"/>
        </w:rPr>
        <w:footnoteRef/>
      </w:r>
      <w:r>
        <w:t xml:space="preserve"> </w:t>
      </w:r>
      <w:r>
        <w:t xml:space="preserve">NCT07083154.</w:t>
      </w:r>
    </w:p>
  </w:footnote>
  <w:footnote w:id="635">
    <w:p>
      <w:pPr>
        <w:pStyle w:val="FootnoteText"/>
      </w:pPr>
      <w:r>
        <w:rPr>
          <w:rStyle w:val="FootnoteReference"/>
        </w:rPr>
        <w:footnoteRef/>
      </w:r>
      <w:r>
        <w:t xml:space="preserve"> </w:t>
      </w:r>
      <w:r>
        <w:t xml:space="preserve">Zhang 2024, PMID 37943529.</w:t>
      </w:r>
    </w:p>
  </w:footnote>
  <w:footnote w:id="636">
    <w:p>
      <w:pPr>
        <w:pStyle w:val="FootnoteText"/>
      </w:pPr>
      <w:r>
        <w:rPr>
          <w:rStyle w:val="FootnoteReference"/>
        </w:rPr>
        <w:footnoteRef/>
      </w:r>
      <w:r>
        <w:t xml:space="preserve"> </w:t>
      </w:r>
      <w:r>
        <w:t xml:space="preserve">Gao 2026, PMID 42251595.</w:t>
      </w:r>
    </w:p>
  </w:footnote>
  <w:footnote w:id="637">
    <w:p>
      <w:pPr>
        <w:pStyle w:val="FootnoteText"/>
      </w:pPr>
      <w:r>
        <w:rPr>
          <w:rStyle w:val="FootnoteReference"/>
        </w:rPr>
        <w:footnoteRef/>
      </w:r>
      <w:r>
        <w:t xml:space="preserve"> </w:t>
      </w:r>
      <w:r>
        <w:t xml:space="preserve">Zhang 2024, PMID 37943529.</w:t>
      </w:r>
    </w:p>
  </w:footnote>
  <w:footnote w:id="638">
    <w:p>
      <w:pPr>
        <w:pStyle w:val="FootnoteText"/>
      </w:pPr>
      <w:r>
        <w:rPr>
          <w:rStyle w:val="FootnoteReference"/>
        </w:rPr>
        <w:footnoteRef/>
      </w:r>
      <w:r>
        <w:t xml:space="preserve"> </w:t>
      </w:r>
      <w:r>
        <w:t xml:space="preserve">Hsia 2026, PMID 42628555.</w:t>
      </w:r>
    </w:p>
  </w:footnote>
  <w:footnote w:id="640">
    <w:p>
      <w:pPr>
        <w:pStyle w:val="FootnoteText"/>
      </w:pPr>
      <w:r>
        <w:rPr>
          <w:rStyle w:val="FootnoteReference"/>
        </w:rPr>
        <w:footnoteRef/>
      </w:r>
      <w:r>
        <w:t xml:space="preserve"> </w:t>
      </w:r>
      <w:r>
        <w:t xml:space="preserve">Shirley 2025, PMID 41028652.</w:t>
      </w:r>
    </w:p>
  </w:footnote>
  <w:footnote w:id="642">
    <w:p>
      <w:pPr>
        <w:pStyle w:val="FootnoteText"/>
      </w:pPr>
      <w:r>
        <w:rPr>
          <w:rStyle w:val="FootnoteReference"/>
        </w:rPr>
        <w:footnoteRef/>
      </w:r>
      <w:r>
        <w:t xml:space="preserve"> </w:t>
      </w:r>
      <w:r>
        <w:t xml:space="preserve">NCT06884293.</w:t>
      </w:r>
    </w:p>
  </w:footnote>
  <w:footnote w:id="643">
    <w:p>
      <w:pPr>
        <w:pStyle w:val="FootnoteText"/>
      </w:pPr>
      <w:r>
        <w:rPr>
          <w:rStyle w:val="FootnoteReference"/>
        </w:rPr>
        <w:footnoteRef/>
      </w:r>
      <w:r>
        <w:t xml:space="preserve"> </w:t>
      </w:r>
      <w:r>
        <w:t xml:space="preserve">NCT06931028.</w:t>
      </w:r>
    </w:p>
  </w:footnote>
  <w:footnote w:id="644">
    <w:p>
      <w:pPr>
        <w:pStyle w:val="FootnoteText"/>
      </w:pPr>
      <w:r>
        <w:rPr>
          <w:rStyle w:val="FootnoteReference"/>
        </w:rPr>
        <w:footnoteRef/>
      </w:r>
      <w:r>
        <w:t xml:space="preserve"> </w:t>
      </w:r>
      <w:r>
        <w:t xml:space="preserve">NCT07469800.</w:t>
      </w:r>
    </w:p>
  </w:footnote>
  <w:footnote w:id="645">
    <w:p>
      <w:pPr>
        <w:pStyle w:val="FootnoteText"/>
      </w:pPr>
      <w:r>
        <w:rPr>
          <w:rStyle w:val="FootnoteReference"/>
        </w:rPr>
        <w:footnoteRef/>
      </w:r>
      <w:r>
        <w:t xml:space="preserve"> </w:t>
      </w:r>
      <w:r>
        <w:t xml:space="preserve">NCT07255209.</w:t>
      </w:r>
    </w:p>
  </w:footnote>
  <w:footnote w:id="646">
    <w:p>
      <w:pPr>
        <w:pStyle w:val="FootnoteText"/>
      </w:pPr>
      <w:r>
        <w:rPr>
          <w:rStyle w:val="FootnoteReference"/>
        </w:rPr>
        <w:footnoteRef/>
      </w:r>
      <w:r>
        <w:t xml:space="preserve"> </w:t>
      </w:r>
      <w:r>
        <w:t xml:space="preserve">NCT06937749.</w:t>
      </w:r>
    </w:p>
  </w:footnote>
  <w:footnote w:id="647">
    <w:p>
      <w:pPr>
        <w:pStyle w:val="FootnoteText"/>
      </w:pPr>
      <w:r>
        <w:rPr>
          <w:rStyle w:val="FootnoteReference"/>
        </w:rPr>
        <w:footnoteRef/>
      </w:r>
      <w:r>
        <w:t xml:space="preserve"> </w:t>
      </w:r>
      <w:r>
        <w:t xml:space="preserve">NCT06862908.</w:t>
      </w:r>
    </w:p>
  </w:footnote>
  <w:footnote w:id="648">
    <w:p>
      <w:pPr>
        <w:pStyle w:val="FootnoteText"/>
      </w:pPr>
      <w:r>
        <w:rPr>
          <w:rStyle w:val="FootnoteReference"/>
        </w:rPr>
        <w:footnoteRef/>
      </w:r>
      <w:r>
        <w:t xml:space="preserve"> </w:t>
      </w:r>
      <w:r>
        <w:t xml:space="preserve">NCT06143956.</w:t>
      </w:r>
    </w:p>
  </w:footnote>
  <w:footnote w:id="653">
    <w:p>
      <w:pPr>
        <w:pStyle w:val="FootnoteText"/>
      </w:pPr>
      <w:r>
        <w:rPr>
          <w:rStyle w:val="FootnoteReference"/>
        </w:rPr>
        <w:footnoteRef/>
      </w:r>
      <w:r>
        <w:t xml:space="preserve"> </w:t>
      </w:r>
      <w:r>
        <w:t xml:space="preserve">Kruse 2021, PMID 34288673.</w:t>
      </w:r>
    </w:p>
  </w:footnote>
  <w:footnote w:id="654">
    <w:p>
      <w:pPr>
        <w:pStyle w:val="FootnoteText"/>
      </w:pPr>
      <w:r>
        <w:rPr>
          <w:rStyle w:val="FootnoteReference"/>
        </w:rPr>
        <w:footnoteRef/>
      </w:r>
      <w:r>
        <w:t xml:space="preserve"> </w:t>
      </w:r>
      <w:r>
        <w:t xml:space="preserve">Enebo 2021, PMID 33894838.</w:t>
      </w:r>
    </w:p>
  </w:footnote>
  <w:footnote w:id="655">
    <w:p>
      <w:pPr>
        <w:pStyle w:val="FootnoteText"/>
      </w:pPr>
      <w:r>
        <w:rPr>
          <w:rStyle w:val="FootnoteReference"/>
        </w:rPr>
        <w:footnoteRef/>
      </w:r>
      <w:r>
        <w:t xml:space="preserve"> </w:t>
      </w:r>
      <w:r>
        <w:t xml:space="preserve">Carvas 2025, PMID 40609154.</w:t>
      </w:r>
    </w:p>
  </w:footnote>
  <w:footnote w:id="656">
    <w:p>
      <w:pPr>
        <w:pStyle w:val="FootnoteText"/>
      </w:pPr>
      <w:r>
        <w:rPr>
          <w:rStyle w:val="FootnoteReference"/>
        </w:rPr>
        <w:footnoteRef/>
      </w:r>
      <w:r>
        <w:t xml:space="preserve"> </w:t>
      </w:r>
      <w:r>
        <w:t xml:space="preserve">Jacobsen 2025, PMID 40629149.</w:t>
      </w:r>
    </w:p>
  </w:footnote>
  <w:footnote w:id="658">
    <w:p>
      <w:pPr>
        <w:pStyle w:val="FootnoteText"/>
      </w:pPr>
      <w:r>
        <w:rPr>
          <w:rStyle w:val="FootnoteReference"/>
        </w:rPr>
        <w:footnoteRef/>
      </w:r>
      <w:r>
        <w:t xml:space="preserve"> </w:t>
      </w:r>
      <w:r>
        <w:t xml:space="preserve">Lau 2021, PMID 34798060.</w:t>
      </w:r>
    </w:p>
  </w:footnote>
  <w:footnote w:id="659">
    <w:p>
      <w:pPr>
        <w:pStyle w:val="FootnoteText"/>
      </w:pPr>
      <w:r>
        <w:rPr>
          <w:rStyle w:val="FootnoteReference"/>
        </w:rPr>
        <w:footnoteRef/>
      </w:r>
      <w:r>
        <w:t xml:space="preserve"> </w:t>
      </w:r>
      <w:r>
        <w:t xml:space="preserve">NCT07220642.</w:t>
      </w:r>
    </w:p>
  </w:footnote>
  <w:footnote w:id="661">
    <w:p>
      <w:pPr>
        <w:pStyle w:val="FootnoteText"/>
      </w:pPr>
      <w:r>
        <w:rPr>
          <w:rStyle w:val="FootnoteReference"/>
        </w:rPr>
        <w:footnoteRef/>
      </w:r>
      <w:r>
        <w:t xml:space="preserve"> </w:t>
      </w:r>
      <w:r>
        <w:t xml:space="preserve">Enebo 2021, PMID 33894838.</w:t>
      </w:r>
    </w:p>
  </w:footnote>
  <w:footnote w:id="662">
    <w:p>
      <w:pPr>
        <w:pStyle w:val="FootnoteText"/>
      </w:pPr>
      <w:r>
        <w:rPr>
          <w:rStyle w:val="FootnoteReference"/>
        </w:rPr>
        <w:footnoteRef/>
      </w:r>
      <w:r>
        <w:t xml:space="preserve"> </w:t>
      </w:r>
      <w:r>
        <w:t xml:space="preserve">Frias 2023, PMID 37364590.</w:t>
      </w:r>
    </w:p>
  </w:footnote>
  <w:footnote w:id="664">
    <w:p>
      <w:pPr>
        <w:pStyle w:val="FootnoteText"/>
      </w:pPr>
      <w:r>
        <w:rPr>
          <w:rStyle w:val="FootnoteReference"/>
        </w:rPr>
        <w:footnoteRef/>
      </w:r>
      <w:r>
        <w:t xml:space="preserve"> </w:t>
      </w:r>
      <w:r>
        <w:t xml:space="preserve">Garvey 2025, PMID 40544433.</w:t>
      </w:r>
    </w:p>
  </w:footnote>
  <w:footnote w:id="665">
    <w:p>
      <w:pPr>
        <w:pStyle w:val="FootnoteText"/>
      </w:pPr>
      <w:r>
        <w:rPr>
          <w:rStyle w:val="FootnoteReference"/>
        </w:rPr>
        <w:footnoteRef/>
      </w:r>
      <w:r>
        <w:t xml:space="preserve"> </w:t>
      </w:r>
      <w:r>
        <w:t xml:space="preserve">Busetto 2026, PMID 42503495.</w:t>
      </w:r>
    </w:p>
  </w:footnote>
  <w:footnote w:id="666">
    <w:p>
      <w:pPr>
        <w:pStyle w:val="FootnoteText"/>
      </w:pPr>
      <w:r>
        <w:rPr>
          <w:rStyle w:val="FootnoteReference"/>
        </w:rPr>
        <w:footnoteRef/>
      </w:r>
      <w:r>
        <w:t xml:space="preserve"> </w:t>
      </w:r>
      <w:r>
        <w:t xml:space="preserve">Verma 2026, PMID 41328546.</w:t>
      </w:r>
    </w:p>
  </w:footnote>
  <w:footnote w:id="667">
    <w:p>
      <w:pPr>
        <w:pStyle w:val="FootnoteText"/>
      </w:pPr>
      <w:r>
        <w:rPr>
          <w:rStyle w:val="FootnoteReference"/>
        </w:rPr>
        <w:footnoteRef/>
      </w:r>
      <w:r>
        <w:t xml:space="preserve"> </w:t>
      </w:r>
      <w:r>
        <w:t xml:space="preserve">Davies 2025, PMID 40544432.</w:t>
      </w:r>
    </w:p>
  </w:footnote>
  <w:footnote w:id="668">
    <w:p>
      <w:pPr>
        <w:pStyle w:val="FootnoteText"/>
      </w:pPr>
      <w:r>
        <w:rPr>
          <w:rStyle w:val="FootnoteReference"/>
        </w:rPr>
        <w:footnoteRef/>
      </w:r>
      <w:r>
        <w:t xml:space="preserve"> </w:t>
      </w:r>
      <w:r>
        <w:t xml:space="preserve">Yamauchi 2026, PMID 42009015.</w:t>
      </w:r>
    </w:p>
  </w:footnote>
  <w:footnote w:id="669">
    <w:p>
      <w:pPr>
        <w:pStyle w:val="FootnoteText"/>
      </w:pPr>
      <w:r>
        <w:rPr>
          <w:rStyle w:val="FootnoteReference"/>
        </w:rPr>
        <w:footnoteRef/>
      </w:r>
      <w:r>
        <w:t xml:space="preserve"> </w:t>
      </w:r>
      <w:r>
        <w:t xml:space="preserve">Buse 2026, PMID 42251859.</w:t>
      </w:r>
    </w:p>
  </w:footnote>
  <w:footnote w:id="670">
    <w:p>
      <w:pPr>
        <w:pStyle w:val="FootnoteText"/>
      </w:pPr>
      <w:r>
        <w:rPr>
          <w:rStyle w:val="FootnoteReference"/>
        </w:rPr>
        <w:footnoteRef/>
      </w:r>
      <w:r>
        <w:t xml:space="preserve"> </w:t>
      </w:r>
      <w:r>
        <w:t xml:space="preserve">NCT06221969, NCT06534411.</w:t>
      </w:r>
    </w:p>
  </w:footnote>
  <w:footnote w:id="673">
    <w:p>
      <w:pPr>
        <w:pStyle w:val="FootnoteText"/>
      </w:pPr>
      <w:r>
        <w:rPr>
          <w:rStyle w:val="FootnoteReference"/>
        </w:rPr>
        <w:footnoteRef/>
      </w:r>
      <w:r>
        <w:t xml:space="preserve"> </w:t>
      </w:r>
      <w:r>
        <w:t xml:space="preserve">Cao 2025, PMID 40204768.</w:t>
      </w:r>
    </w:p>
  </w:footnote>
  <w:footnote w:id="674">
    <w:p>
      <w:pPr>
        <w:pStyle w:val="FootnoteText"/>
      </w:pPr>
      <w:r>
        <w:rPr>
          <w:rStyle w:val="FootnoteReference"/>
        </w:rPr>
        <w:footnoteRef/>
      </w:r>
      <w:r>
        <w:t xml:space="preserve"> </w:t>
      </w:r>
      <w:r>
        <w:t xml:space="preserve">Carvas 2025, PMID 40609154.</w:t>
      </w:r>
    </w:p>
  </w:footnote>
  <w:footnote w:id="675">
    <w:p>
      <w:pPr>
        <w:pStyle w:val="FootnoteText"/>
      </w:pPr>
      <w:r>
        <w:rPr>
          <w:rStyle w:val="FootnoteReference"/>
        </w:rPr>
        <w:footnoteRef/>
      </w:r>
      <w:r>
        <w:t xml:space="preserve"> </w:t>
      </w:r>
      <w:r>
        <w:t xml:space="preserve">Jacobsen 2025, PMID 40629149.</w:t>
      </w:r>
    </w:p>
  </w:footnote>
  <w:footnote w:id="676">
    <w:p>
      <w:pPr>
        <w:pStyle w:val="FootnoteText"/>
      </w:pPr>
      <w:r>
        <w:rPr>
          <w:rStyle w:val="FootnoteReference"/>
        </w:rPr>
        <w:footnoteRef/>
      </w:r>
      <w:r>
        <w:t xml:space="preserve"> </w:t>
      </w:r>
      <w:r>
        <w:t xml:space="preserve">Petersen 2026, PMID 42744908.</w:t>
      </w:r>
    </w:p>
  </w:footnote>
  <w:footnote w:id="678">
    <w:p>
      <w:pPr>
        <w:pStyle w:val="FootnoteText"/>
      </w:pPr>
      <w:r>
        <w:rPr>
          <w:rStyle w:val="FootnoteReference"/>
        </w:rPr>
        <w:footnoteRef/>
      </w:r>
      <w:r>
        <w:t xml:space="preserve"> </w:t>
      </w:r>
      <w:r>
        <w:t xml:space="preserve">Garvey 2025, PMID 40544433.</w:t>
      </w:r>
    </w:p>
  </w:footnote>
  <w:footnote w:id="679">
    <w:p>
      <w:pPr>
        <w:pStyle w:val="FootnoteText"/>
      </w:pPr>
      <w:r>
        <w:rPr>
          <w:rStyle w:val="FootnoteReference"/>
        </w:rPr>
        <w:footnoteRef/>
      </w:r>
      <w:r>
        <w:t xml:space="preserve"> </w:t>
      </w:r>
      <w:r>
        <w:t xml:space="preserve">Davies 2025, PMID 40544432.</w:t>
      </w:r>
    </w:p>
  </w:footnote>
  <w:footnote w:id="680">
    <w:p>
      <w:pPr>
        <w:pStyle w:val="FootnoteText"/>
      </w:pPr>
      <w:r>
        <w:rPr>
          <w:rStyle w:val="FootnoteReference"/>
        </w:rPr>
        <w:footnoteRef/>
      </w:r>
      <w:r>
        <w:t xml:space="preserve"> </w:t>
      </w:r>
      <w:r>
        <w:t xml:space="preserve">Rosenstock 2026, PMID 42251856.</w:t>
      </w:r>
    </w:p>
  </w:footnote>
  <w:footnote w:id="681">
    <w:p>
      <w:pPr>
        <w:pStyle w:val="FootnoteText"/>
      </w:pPr>
      <w:r>
        <w:rPr>
          <w:rStyle w:val="FootnoteReference"/>
        </w:rPr>
        <w:footnoteRef/>
      </w:r>
      <w:r>
        <w:t xml:space="preserve"> </w:t>
      </w:r>
      <w:r>
        <w:t xml:space="preserve">Gabe 2024, PMID 39279639.</w:t>
      </w:r>
    </w:p>
  </w:footnote>
  <w:footnote w:id="682">
    <w:p>
      <w:pPr>
        <w:pStyle w:val="FootnoteText"/>
      </w:pPr>
      <w:r>
        <w:rPr>
          <w:rStyle w:val="FootnoteReference"/>
        </w:rPr>
        <w:footnoteRef/>
      </w:r>
      <w:r>
        <w:t xml:space="preserve"> </w:t>
      </w:r>
      <w:r>
        <w:t xml:space="preserve">Nielsen 2026, PMID 42228334.</w:t>
      </w:r>
    </w:p>
  </w:footnote>
  <w:footnote w:id="683">
    <w:p>
      <w:pPr>
        <w:pStyle w:val="FootnoteText"/>
      </w:pPr>
      <w:r>
        <w:rPr>
          <w:rStyle w:val="FootnoteReference"/>
        </w:rPr>
        <w:footnoteRef/>
      </w:r>
      <w:r>
        <w:t xml:space="preserve"> </w:t>
      </w:r>
      <w:r>
        <w:t xml:space="preserve">NCT07010432.</w:t>
      </w:r>
    </w:p>
  </w:footnote>
  <w:footnote w:id="684">
    <w:p>
      <w:pPr>
        <w:pStyle w:val="FootnoteText"/>
      </w:pPr>
      <w:r>
        <w:rPr>
          <w:rStyle w:val="FootnoteReference"/>
        </w:rPr>
        <w:footnoteRef/>
      </w:r>
      <w:r>
        <w:t xml:space="preserve"> </w:t>
      </w:r>
      <w:r>
        <w:t xml:space="preserve">NCT07527195.</w:t>
      </w:r>
    </w:p>
  </w:footnote>
  <w:footnote w:id="687">
    <w:p>
      <w:pPr>
        <w:pStyle w:val="FootnoteText"/>
      </w:pPr>
      <w:r>
        <w:rPr>
          <w:rStyle w:val="FootnoteReference"/>
        </w:rPr>
        <w:footnoteRef/>
      </w:r>
      <w:r>
        <w:t xml:space="preserve"> </w:t>
      </w:r>
      <w:r>
        <w:t xml:space="preserve">NCT05669755.</w:t>
      </w:r>
    </w:p>
  </w:footnote>
  <w:footnote w:id="688">
    <w:p>
      <w:pPr>
        <w:pStyle w:val="FootnoteText"/>
      </w:pPr>
      <w:r>
        <w:rPr>
          <w:rStyle w:val="FootnoteReference"/>
        </w:rPr>
        <w:footnoteRef/>
      </w:r>
      <w:r>
        <w:t xml:space="preserve"> </w:t>
      </w:r>
      <w:r>
        <w:t xml:space="preserve">Cavender 2026, PMID 42838477.</w:t>
      </w:r>
    </w:p>
  </w:footnote>
  <w:footnote w:id="689">
    <w:p>
      <w:pPr>
        <w:pStyle w:val="FootnoteText"/>
      </w:pPr>
      <w:r>
        <w:rPr>
          <w:rStyle w:val="FootnoteReference"/>
        </w:rPr>
        <w:footnoteRef/>
      </w:r>
      <w:r>
        <w:t xml:space="preserve"> </w:t>
      </w:r>
      <w:r>
        <w:t xml:space="preserve">NCT06131437, NCT06221969, NCT06534411.</w:t>
      </w:r>
    </w:p>
  </w:footnote>
  <w:footnote w:id="690">
    <w:p>
      <w:pPr>
        <w:pStyle w:val="FootnoteText"/>
      </w:pPr>
      <w:r>
        <w:rPr>
          <w:rStyle w:val="FootnoteReference"/>
        </w:rPr>
        <w:footnoteRef/>
      </w:r>
      <w:r>
        <w:t xml:space="preserve"> </w:t>
      </w:r>
      <w:r>
        <w:t xml:space="preserve">NCT07564414.</w:t>
      </w:r>
    </w:p>
  </w:footnote>
  <w:footnote w:id="691">
    <w:p>
      <w:pPr>
        <w:pStyle w:val="FootnoteText"/>
      </w:pPr>
      <w:r>
        <w:rPr>
          <w:rStyle w:val="FootnoteReference"/>
        </w:rPr>
        <w:footnoteRef/>
      </w:r>
      <w:r>
        <w:t xml:space="preserve"> </w:t>
      </w:r>
      <w:r>
        <w:t xml:space="preserve">NCT06780449.</w:t>
      </w:r>
    </w:p>
  </w:footnote>
  <w:footnote w:id="692">
    <w:p>
      <w:pPr>
        <w:pStyle w:val="FootnoteText"/>
      </w:pPr>
      <w:r>
        <w:rPr>
          <w:rStyle w:val="FootnoteReference"/>
        </w:rPr>
        <w:footnoteRef/>
      </w:r>
      <w:r>
        <w:t xml:space="preserve"> </w:t>
      </w:r>
      <w:r>
        <w:t xml:space="preserve">NCT07253285.</w:t>
      </w:r>
    </w:p>
  </w:footnote>
  <w:footnote w:id="693">
    <w:p>
      <w:pPr>
        <w:pStyle w:val="FootnoteText"/>
      </w:pPr>
      <w:r>
        <w:rPr>
          <w:rStyle w:val="FootnoteReference"/>
        </w:rPr>
        <w:footnoteRef/>
      </w:r>
      <w:r>
        <w:t xml:space="preserve"> </w:t>
      </w:r>
      <w:r>
        <w:t xml:space="preserve">NCT07220642.</w:t>
      </w:r>
    </w:p>
  </w:footnote>
  <w:footnote w:id="694">
    <w:p>
      <w:pPr>
        <w:pStyle w:val="FootnoteText"/>
      </w:pPr>
      <w:r>
        <w:rPr>
          <w:rStyle w:val="FootnoteReference"/>
        </w:rPr>
        <w:footnoteRef/>
      </w:r>
      <w:r>
        <w:t xml:space="preserve"> </w:t>
      </w:r>
      <w:r>
        <w:t xml:space="preserve">NCT07010432.</w:t>
      </w:r>
    </w:p>
  </w:footnote>
  <w:footnote w:id="695">
    <w:p>
      <w:pPr>
        <w:pStyle w:val="FootnoteText"/>
      </w:pPr>
      <w:r>
        <w:rPr>
          <w:rStyle w:val="FootnoteReference"/>
        </w:rPr>
        <w:footnoteRef/>
      </w:r>
      <w:r>
        <w:t xml:space="preserve"> </w:t>
      </w:r>
      <w:r>
        <w:t xml:space="preserve">NCT07527195.</w:t>
      </w:r>
    </w:p>
  </w:footnote>
  <w:footnote w:id="696">
    <w:p>
      <w:pPr>
        <w:pStyle w:val="FootnoteText"/>
      </w:pPr>
      <w:r>
        <w:rPr>
          <w:rStyle w:val="FootnoteReference"/>
        </w:rPr>
        <w:footnoteRef/>
      </w:r>
      <w:r>
        <w:t xml:space="preserve"> </w:t>
      </w:r>
      <w:r>
        <w:t xml:space="preserve">NCT07607587.</w:t>
      </w:r>
    </w:p>
  </w:footnote>
  <w:footnote w:id="701">
    <w:p>
      <w:pPr>
        <w:pStyle w:val="FootnoteText"/>
      </w:pPr>
      <w:r>
        <w:rPr>
          <w:rStyle w:val="FootnoteReference"/>
        </w:rPr>
        <w:footnoteRef/>
      </w:r>
      <w:r>
        <w:t xml:space="preserve"> </w:t>
      </w:r>
      <w:r>
        <w:t xml:space="preserve">Kuhre 2025, PMID 40706446.</w:t>
      </w:r>
    </w:p>
  </w:footnote>
  <w:footnote w:id="703">
    <w:p>
      <w:pPr>
        <w:pStyle w:val="FootnoteText"/>
      </w:pPr>
      <w:r>
        <w:rPr>
          <w:rStyle w:val="FootnoteReference"/>
        </w:rPr>
        <w:footnoteRef/>
      </w:r>
      <w:r>
        <w:t xml:space="preserve"> </w:t>
      </w:r>
      <w:r>
        <w:t xml:space="preserve">Gasiorek 2025, PMID 40550229.</w:t>
      </w:r>
    </w:p>
  </w:footnote>
  <w:footnote w:id="705">
    <w:p>
      <w:pPr>
        <w:pStyle w:val="FootnoteText"/>
      </w:pPr>
      <w:r>
        <w:rPr>
          <w:rStyle w:val="FootnoteReference"/>
        </w:rPr>
        <w:footnoteRef/>
      </w:r>
      <w:r>
        <w:t xml:space="preserve"> </w:t>
      </w:r>
      <w:r>
        <w:t xml:space="preserve">Dahl 2025, PMID 40550231.</w:t>
      </w:r>
    </w:p>
  </w:footnote>
  <w:footnote w:id="707">
    <w:p>
      <w:pPr>
        <w:pStyle w:val="FootnoteText"/>
      </w:pPr>
      <w:r>
        <w:rPr>
          <w:rStyle w:val="FootnoteReference"/>
        </w:rPr>
        <w:footnoteRef/>
      </w:r>
      <w:r>
        <w:t xml:space="preserve"> </w:t>
      </w:r>
      <w:r>
        <w:t xml:space="preserve">Mora 2026, PMID 42532079.</w:t>
      </w:r>
    </w:p>
  </w:footnote>
  <w:footnote w:id="708">
    <w:p>
      <w:pPr>
        <w:pStyle w:val="FootnoteText"/>
      </w:pPr>
      <w:r>
        <w:rPr>
          <w:rStyle w:val="FootnoteReference"/>
        </w:rPr>
        <w:footnoteRef/>
      </w:r>
      <w:r>
        <w:t xml:space="preserve"> </w:t>
      </w:r>
      <w:r>
        <w:t xml:space="preserve">Mora 2026, PMID 42532080.</w:t>
      </w:r>
    </w:p>
  </w:footnote>
  <w:footnote w:id="711">
    <w:p>
      <w:pPr>
        <w:pStyle w:val="FootnoteText"/>
      </w:pPr>
      <w:r>
        <w:rPr>
          <w:rStyle w:val="FootnoteReference"/>
        </w:rPr>
        <w:footnoteRef/>
      </w:r>
      <w:r>
        <w:t xml:space="preserve"> </w:t>
      </w:r>
      <w:r>
        <w:t xml:space="preserve">Kuhre 2025, PMID 40706446.</w:t>
      </w:r>
    </w:p>
  </w:footnote>
  <w:footnote w:id="713">
    <w:p>
      <w:pPr>
        <w:pStyle w:val="FootnoteText"/>
      </w:pPr>
      <w:r>
        <w:rPr>
          <w:rStyle w:val="FootnoteReference"/>
        </w:rPr>
        <w:footnoteRef/>
      </w:r>
      <w:r>
        <w:t xml:space="preserve"> </w:t>
      </w:r>
      <w:r>
        <w:t xml:space="preserve">Gasiorek 2025, PMID 40550229; Dahl 2025, PMID 40550231.</w:t>
      </w:r>
    </w:p>
  </w:footnote>
  <w:footnote w:id="714">
    <w:p>
      <w:pPr>
        <w:pStyle w:val="FootnoteText"/>
      </w:pPr>
      <w:r>
        <w:rPr>
          <w:rStyle w:val="FootnoteReference"/>
        </w:rPr>
        <w:footnoteRef/>
      </w:r>
      <w:r>
        <w:t xml:space="preserve"> </w:t>
      </w:r>
      <w:r>
        <w:t xml:space="preserve">Mora 2026, PMID 42532079; PMID 42532080.</w:t>
      </w:r>
    </w:p>
  </w:footnote>
  <w:footnote w:id="715">
    <w:p>
      <w:pPr>
        <w:pStyle w:val="FootnoteText"/>
      </w:pPr>
      <w:r>
        <w:rPr>
          <w:rStyle w:val="FootnoteReference"/>
        </w:rPr>
        <w:footnoteRef/>
      </w:r>
      <w:r>
        <w:t xml:space="preserve"> </w:t>
      </w:r>
      <w:r>
        <w:t xml:space="preserve">Oldenburg 2026, PMID 42443140.</w:t>
      </w:r>
    </w:p>
  </w:footnote>
  <w:footnote w:id="716">
    <w:p>
      <w:pPr>
        <w:pStyle w:val="FootnoteText"/>
      </w:pPr>
      <w:r>
        <w:rPr>
          <w:rStyle w:val="FootnoteReference"/>
        </w:rPr>
        <w:footnoteRef/>
      </w:r>
      <w:r>
        <w:t xml:space="preserve"> </w:t>
      </w:r>
      <w:r>
        <w:t xml:space="preserve">Rubin 2026, PMID 42853576.</w:t>
      </w:r>
    </w:p>
  </w:footnote>
  <w:footnote w:id="719">
    <w:p>
      <w:pPr>
        <w:pStyle w:val="FootnoteText"/>
      </w:pPr>
      <w:r>
        <w:rPr>
          <w:rStyle w:val="FootnoteReference"/>
        </w:rPr>
        <w:footnoteRef/>
      </w:r>
      <w:r>
        <w:t xml:space="preserve"> </w:t>
      </w:r>
      <w:r>
        <w:t xml:space="preserve">NCT07339423.</w:t>
      </w:r>
    </w:p>
  </w:footnote>
  <w:footnote w:id="720">
    <w:p>
      <w:pPr>
        <w:pStyle w:val="FootnoteText"/>
      </w:pPr>
      <w:r>
        <w:rPr>
          <w:rStyle w:val="FootnoteReference"/>
        </w:rPr>
        <w:footnoteRef/>
      </w:r>
      <w:r>
        <w:t xml:space="preserve"> </w:t>
      </w:r>
      <w:r>
        <w:t xml:space="preserve">NCT07533175.</w:t>
      </w:r>
    </w:p>
  </w:footnote>
  <w:footnote w:id="721">
    <w:p>
      <w:pPr>
        <w:pStyle w:val="FootnoteText"/>
      </w:pPr>
      <w:r>
        <w:rPr>
          <w:rStyle w:val="FootnoteReference"/>
        </w:rPr>
        <w:footnoteRef/>
      </w:r>
      <w:r>
        <w:t xml:space="preserve"> </w:t>
      </w:r>
      <w:r>
        <w:t xml:space="preserve">NCT07571005, NCT07571109.</w:t>
      </w:r>
    </w:p>
  </w:footnote>
  <w:footnote w:id="722">
    <w:p>
      <w:pPr>
        <w:pStyle w:val="FootnoteText"/>
      </w:pPr>
      <w:r>
        <w:rPr>
          <w:rStyle w:val="FootnoteReference"/>
        </w:rPr>
        <w:footnoteRef/>
      </w:r>
      <w:r>
        <w:t xml:space="preserve"> </w:t>
      </w:r>
      <w:r>
        <w:t xml:space="preserve">NCT07509307.</w:t>
      </w:r>
    </w:p>
  </w:footnote>
  <w:footnote w:id="723">
    <w:p>
      <w:pPr>
        <w:pStyle w:val="FootnoteText"/>
      </w:pPr>
      <w:r>
        <w:rPr>
          <w:rStyle w:val="FootnoteReference"/>
        </w:rPr>
        <w:footnoteRef/>
      </w:r>
      <w:r>
        <w:t xml:space="preserve"> </w:t>
      </w:r>
      <w:r>
        <w:t xml:space="preserve">NCT07481630.</w:t>
      </w:r>
    </w:p>
  </w:footnote>
  <w:footnote w:id="724">
    <w:p>
      <w:pPr>
        <w:pStyle w:val="FootnoteText"/>
      </w:pPr>
      <w:r>
        <w:rPr>
          <w:rStyle w:val="FootnoteReference"/>
        </w:rPr>
        <w:footnoteRef/>
      </w:r>
      <w:r>
        <w:t xml:space="preserve"> </w:t>
      </w:r>
      <w:r>
        <w:t xml:space="preserve">NCT07720271.</w:t>
      </w:r>
    </w:p>
  </w:footnote>
  <w:footnote w:id="725">
    <w:p>
      <w:pPr>
        <w:pStyle w:val="FootnoteText"/>
      </w:pPr>
      <w:r>
        <w:rPr>
          <w:rStyle w:val="FootnoteReference"/>
        </w:rPr>
        <w:footnoteRef/>
      </w:r>
      <w:r>
        <w:t xml:space="preserve"> </w:t>
      </w:r>
      <w:r>
        <w:t xml:space="preserve">NCT07503210.</w:t>
      </w:r>
    </w:p>
  </w:footnote>
  <w:footnote w:id="730">
    <w:p>
      <w:pPr>
        <w:pStyle w:val="FootnoteText"/>
      </w:pPr>
      <w:r>
        <w:rPr>
          <w:rStyle w:val="FootnoteReference"/>
        </w:rPr>
        <w:footnoteRef/>
      </w:r>
      <w:r>
        <w:t xml:space="preserve"> </w:t>
      </w:r>
      <w:r>
        <w:t xml:space="preserve">Davies 2026, PMID 41287212.</w:t>
      </w:r>
    </w:p>
  </w:footnote>
  <w:footnote w:id="731">
    <w:p>
      <w:pPr>
        <w:pStyle w:val="FootnoteText"/>
      </w:pPr>
      <w:r>
        <w:rPr>
          <w:rStyle w:val="FootnoteReference"/>
        </w:rPr>
        <w:footnoteRef/>
      </w:r>
      <w:r>
        <w:t xml:space="preserve"> </w:t>
      </w:r>
      <w:r>
        <w:t xml:space="preserve">Véniant 2024, PMID 38316982.</w:t>
      </w:r>
    </w:p>
  </w:footnote>
  <w:footnote w:id="732">
    <w:p>
      <w:pPr>
        <w:pStyle w:val="FootnoteText"/>
      </w:pPr>
      <w:r>
        <w:rPr>
          <w:rStyle w:val="FootnoteReference"/>
        </w:rPr>
        <w:footnoteRef/>
      </w:r>
      <w:r>
        <w:t xml:space="preserve"> </w:t>
      </w:r>
      <w:r>
        <w:t xml:space="preserve">Wu 2026, PMID 41941715.</w:t>
      </w:r>
    </w:p>
  </w:footnote>
  <w:footnote w:id="734">
    <w:p>
      <w:pPr>
        <w:pStyle w:val="FootnoteText"/>
      </w:pPr>
      <w:r>
        <w:rPr>
          <w:rStyle w:val="FootnoteReference"/>
        </w:rPr>
        <w:footnoteRef/>
      </w:r>
      <w:r>
        <w:t xml:space="preserve"> </w:t>
      </w:r>
      <w:r>
        <w:t xml:space="preserve">Véniant 2024, PMID 38316982; NCT04478708.</w:t>
      </w:r>
    </w:p>
  </w:footnote>
  <w:footnote w:id="736">
    <w:p>
      <w:pPr>
        <w:pStyle w:val="FootnoteText"/>
      </w:pPr>
      <w:r>
        <w:rPr>
          <w:rStyle w:val="FootnoteReference"/>
        </w:rPr>
        <w:footnoteRef/>
      </w:r>
      <w:r>
        <w:t xml:space="preserve"> </w:t>
      </w:r>
      <w:r>
        <w:t xml:space="preserve">Jastreboff 2025, PMID 40549887.</w:t>
      </w:r>
    </w:p>
  </w:footnote>
  <w:footnote w:id="739">
    <w:p>
      <w:pPr>
        <w:pStyle w:val="FootnoteText"/>
      </w:pPr>
      <w:r>
        <w:rPr>
          <w:rStyle w:val="FootnoteReference"/>
        </w:rPr>
        <w:footnoteRef/>
      </w:r>
      <w:r>
        <w:t xml:space="preserve"> </w:t>
      </w:r>
      <w:r>
        <w:t xml:space="preserve">Véniant 2024, PMID 38316982; Wu 2026, PMID 41941715.</w:t>
      </w:r>
    </w:p>
  </w:footnote>
  <w:footnote w:id="740">
    <w:p>
      <w:pPr>
        <w:pStyle w:val="FootnoteText"/>
      </w:pPr>
      <w:r>
        <w:rPr>
          <w:rStyle w:val="FootnoteReference"/>
        </w:rPr>
        <w:footnoteRef/>
      </w:r>
      <w:r>
        <w:t xml:space="preserve"> </w:t>
      </w:r>
      <w:r>
        <w:t xml:space="preserve">Davies 2026, PMID 41287212.</w:t>
      </w:r>
    </w:p>
  </w:footnote>
  <w:footnote w:id="742">
    <w:p>
      <w:pPr>
        <w:pStyle w:val="FootnoteText"/>
      </w:pPr>
      <w:r>
        <w:rPr>
          <w:rStyle w:val="FootnoteReference"/>
        </w:rPr>
        <w:footnoteRef/>
      </w:r>
      <w:r>
        <w:t xml:space="preserve"> </w:t>
      </w:r>
      <w:r>
        <w:t xml:space="preserve">Jastreboff 2025, PMID 40549887.</w:t>
      </w:r>
    </w:p>
  </w:footnote>
  <w:footnote w:id="743">
    <w:p>
      <w:pPr>
        <w:pStyle w:val="FootnoteText"/>
      </w:pPr>
      <w:r>
        <w:rPr>
          <w:rStyle w:val="FootnoteReference"/>
        </w:rPr>
        <w:footnoteRef/>
      </w:r>
      <w:r>
        <w:t xml:space="preserve"> </w:t>
      </w:r>
      <w:r>
        <w:t xml:space="preserve">Véniant 2024, PMID 38316982.</w:t>
      </w:r>
    </w:p>
  </w:footnote>
  <w:footnote w:id="744">
    <w:p>
      <w:pPr>
        <w:pStyle w:val="FootnoteText"/>
      </w:pPr>
      <w:r>
        <w:rPr>
          <w:rStyle w:val="FootnoteReference"/>
        </w:rPr>
        <w:footnoteRef/>
      </w:r>
      <w:r>
        <w:t xml:space="preserve"> </w:t>
      </w:r>
      <w:r>
        <w:t xml:space="preserve">Davies 2026, PMID 41287212.</w:t>
      </w:r>
    </w:p>
  </w:footnote>
  <w:footnote w:id="747">
    <w:p>
      <w:pPr>
        <w:pStyle w:val="FootnoteText"/>
      </w:pPr>
      <w:r>
        <w:rPr>
          <w:rStyle w:val="FootnoteReference"/>
        </w:rPr>
        <w:footnoteRef/>
      </w:r>
      <w:r>
        <w:t xml:space="preserve"> </w:t>
      </w:r>
      <w:r>
        <w:t xml:space="preserve">NCT06858839.</w:t>
      </w:r>
    </w:p>
  </w:footnote>
  <w:footnote w:id="748">
    <w:p>
      <w:pPr>
        <w:pStyle w:val="FootnoteText"/>
      </w:pPr>
      <w:r>
        <w:rPr>
          <w:rStyle w:val="FootnoteReference"/>
        </w:rPr>
        <w:footnoteRef/>
      </w:r>
      <w:r>
        <w:t xml:space="preserve"> </w:t>
      </w:r>
      <w:r>
        <w:t xml:space="preserve">NCT06858878.</w:t>
      </w:r>
    </w:p>
  </w:footnote>
  <w:footnote w:id="749">
    <w:p>
      <w:pPr>
        <w:pStyle w:val="FootnoteText"/>
      </w:pPr>
      <w:r>
        <w:rPr>
          <w:rStyle w:val="FootnoteReference"/>
        </w:rPr>
        <w:footnoteRef/>
      </w:r>
      <w:r>
        <w:t xml:space="preserve"> </w:t>
      </w:r>
      <w:r>
        <w:t xml:space="preserve">NCT07037433.</w:t>
      </w:r>
    </w:p>
  </w:footnote>
  <w:footnote w:id="750">
    <w:p>
      <w:pPr>
        <w:pStyle w:val="FootnoteText"/>
      </w:pPr>
      <w:r>
        <w:rPr>
          <w:rStyle w:val="FootnoteReference"/>
        </w:rPr>
        <w:footnoteRef/>
      </w:r>
      <w:r>
        <w:t xml:space="preserve"> </w:t>
      </w:r>
      <w:r>
        <w:t xml:space="preserve">NCT07037459.</w:t>
      </w:r>
    </w:p>
  </w:footnote>
  <w:footnote w:id="751">
    <w:p>
      <w:pPr>
        <w:pStyle w:val="FootnoteText"/>
      </w:pPr>
      <w:r>
        <w:rPr>
          <w:rStyle w:val="FootnoteReference"/>
        </w:rPr>
        <w:footnoteRef/>
      </w:r>
      <w:r>
        <w:t xml:space="preserve"> </w:t>
      </w:r>
      <w:r>
        <w:t xml:space="preserve">NCT07226765, NCT07225686.</w:t>
      </w:r>
    </w:p>
  </w:footnote>
  <w:footnote w:id="752">
    <w:p>
      <w:pPr>
        <w:pStyle w:val="FootnoteText"/>
      </w:pPr>
      <w:r>
        <w:rPr>
          <w:rStyle w:val="FootnoteReference"/>
        </w:rPr>
        <w:footnoteRef/>
      </w:r>
      <w:r>
        <w:t xml:space="preserve"> </w:t>
      </w:r>
      <w:r>
        <w:t xml:space="preserve">NCT07866066.</w:t>
      </w:r>
    </w:p>
  </w:footnote>
  <w:footnote w:id="753">
    <w:p>
      <w:pPr>
        <w:pStyle w:val="FootnoteText"/>
      </w:pPr>
      <w:r>
        <w:rPr>
          <w:rStyle w:val="FootnoteReference"/>
        </w:rPr>
        <w:footnoteRef/>
      </w:r>
      <w:r>
        <w:t xml:space="preserve"> </w:t>
      </w:r>
      <w:r>
        <w:t xml:space="preserve">NCT07575399.</w:t>
      </w:r>
    </w:p>
  </w:footnote>
  <w:footnote w:id="754">
    <w:p>
      <w:pPr>
        <w:pStyle w:val="FootnoteText"/>
      </w:pPr>
      <w:r>
        <w:rPr>
          <w:rStyle w:val="FootnoteReference"/>
        </w:rPr>
        <w:footnoteRef/>
      </w:r>
      <w:r>
        <w:t xml:space="preserve"> </w:t>
      </w:r>
      <w:r>
        <w:t xml:space="preserve">NCT06987695.</w:t>
      </w:r>
    </w:p>
  </w:footnote>
  <w:footnote w:id="755">
    <w:p>
      <w:pPr>
        <w:pStyle w:val="FootnoteText"/>
      </w:pPr>
      <w:r>
        <w:rPr>
          <w:rStyle w:val="FootnoteReference"/>
        </w:rPr>
        <w:footnoteRef/>
      </w:r>
      <w:r>
        <w:t xml:space="preserve"> </w:t>
      </w:r>
      <w:r>
        <w:t xml:space="preserve">NCT07429032.</w:t>
      </w:r>
    </w:p>
  </w:footnote>
  <w:footnote w:id="756">
    <w:p>
      <w:pPr>
        <w:pStyle w:val="FootnoteText"/>
      </w:pPr>
      <w:r>
        <w:rPr>
          <w:rStyle w:val="FootnoteReference"/>
        </w:rPr>
        <w:footnoteRef/>
      </w:r>
      <w:r>
        <w:t xml:space="preserve"> </w:t>
      </w:r>
      <w:r>
        <w:t xml:space="preserve">NCT07229157.</w:t>
      </w:r>
    </w:p>
  </w:footnote>
  <w:footnote w:id="757">
    <w:p>
      <w:pPr>
        <w:pStyle w:val="FootnoteText"/>
      </w:pPr>
      <w:r>
        <w:rPr>
          <w:rStyle w:val="FootnoteReference"/>
        </w:rPr>
        <w:footnoteRef/>
      </w:r>
      <w:r>
        <w:t xml:space="preserve"> </w:t>
      </w:r>
      <w:r>
        <w:t xml:space="preserve">NCT07523711.</w:t>
      </w:r>
    </w:p>
  </w:footnote>
  <w:footnote w:id="762">
    <w:p>
      <w:pPr>
        <w:pStyle w:val="FootnoteText"/>
      </w:pPr>
      <w:r>
        <w:rPr>
          <w:rStyle w:val="FootnoteReference"/>
        </w:rPr>
        <w:footnoteRef/>
      </w:r>
      <w:r>
        <w:t xml:space="preserve"> </w:t>
      </w:r>
      <w:r>
        <w:t xml:space="preserve">Vella 2002, PMID 11975712.</w:t>
      </w:r>
    </w:p>
  </w:footnote>
  <w:footnote w:id="764">
    <w:p>
      <w:pPr>
        <w:pStyle w:val="FootnoteText"/>
      </w:pPr>
      <w:r>
        <w:rPr>
          <w:rStyle w:val="FootnoteReference"/>
        </w:rPr>
        <w:footnoteRef/>
      </w:r>
      <w:r>
        <w:t xml:space="preserve"> </w:t>
      </w:r>
      <w:r>
        <w:t xml:space="preserve">Avgerinos 2021, PMID 33300282.</w:t>
      </w:r>
    </w:p>
  </w:footnote>
  <w:footnote w:id="766">
    <w:p>
      <w:pPr>
        <w:pStyle w:val="FootnoteText"/>
      </w:pPr>
      <w:r>
        <w:rPr>
          <w:rStyle w:val="FootnoteReference"/>
        </w:rPr>
        <w:footnoteRef/>
      </w:r>
      <w:r>
        <w:t xml:space="preserve"> </w:t>
      </w:r>
      <w:r>
        <w:t xml:space="preserve">Hollander 2003, PMID 12610038.</w:t>
      </w:r>
    </w:p>
  </w:footnote>
  <w:footnote w:id="767">
    <w:p>
      <w:pPr>
        <w:pStyle w:val="FootnoteText"/>
      </w:pPr>
      <w:r>
        <w:rPr>
          <w:rStyle w:val="FootnoteReference"/>
        </w:rPr>
        <w:footnoteRef/>
      </w:r>
      <w:r>
        <w:t xml:space="preserve"> </w:t>
      </w:r>
      <w:r>
        <w:t xml:space="preserve">Riddle 2009, PMID 19502544.</w:t>
      </w:r>
    </w:p>
  </w:footnote>
  <w:footnote w:id="768">
    <w:p>
      <w:pPr>
        <w:pStyle w:val="FootnoteText"/>
      </w:pPr>
      <w:r>
        <w:rPr>
          <w:rStyle w:val="FootnoteReference"/>
        </w:rPr>
        <w:footnoteRef/>
      </w:r>
      <w:r>
        <w:t xml:space="preserve"> </w:t>
      </w:r>
      <w:r>
        <w:t xml:space="preserve">Singh-Franco 2011, PMID 21199269.</w:t>
      </w:r>
    </w:p>
  </w:footnote>
  <w:footnote w:id="770">
    <w:p>
      <w:pPr>
        <w:pStyle w:val="FootnoteText"/>
      </w:pPr>
      <w:r>
        <w:rPr>
          <w:rStyle w:val="FootnoteReference"/>
        </w:rPr>
        <w:footnoteRef/>
      </w:r>
      <w:r>
        <w:t xml:space="preserve"> </w:t>
      </w:r>
      <w:r>
        <w:t xml:space="preserve">Aronne 2007, PMID 17504894.</w:t>
      </w:r>
    </w:p>
  </w:footnote>
  <w:footnote w:id="771">
    <w:p>
      <w:pPr>
        <w:pStyle w:val="FootnoteText"/>
      </w:pPr>
      <w:r>
        <w:rPr>
          <w:rStyle w:val="FootnoteReference"/>
        </w:rPr>
        <w:footnoteRef/>
      </w:r>
      <w:r>
        <w:t xml:space="preserve"> </w:t>
      </w:r>
      <w:r>
        <w:t xml:space="preserve">Smith 2008, PMID 18753666.</w:t>
      </w:r>
    </w:p>
  </w:footnote>
  <w:footnote w:id="772">
    <w:p>
      <w:pPr>
        <w:pStyle w:val="FootnoteText"/>
      </w:pPr>
      <w:r>
        <w:rPr>
          <w:rStyle w:val="FootnoteReference"/>
        </w:rPr>
        <w:footnoteRef/>
      </w:r>
      <w:r>
        <w:t xml:space="preserve"> </w:t>
      </w:r>
      <w:r>
        <w:t xml:space="preserve">Ravussin 2009, PMID 19521351.</w:t>
      </w:r>
    </w:p>
  </w:footnote>
  <w:footnote w:id="774">
    <w:p>
      <w:pPr>
        <w:pStyle w:val="FootnoteText"/>
      </w:pPr>
      <w:r>
        <w:rPr>
          <w:rStyle w:val="FootnoteReference"/>
        </w:rPr>
        <w:footnoteRef/>
      </w:r>
      <w:r>
        <w:t xml:space="preserve"> </w:t>
      </w:r>
      <w:r>
        <w:t xml:space="preserve">Haidar 2020, PMID 31974099.</w:t>
      </w:r>
    </w:p>
  </w:footnote>
  <w:footnote w:id="775">
    <w:p>
      <w:pPr>
        <w:pStyle w:val="FootnoteText"/>
      </w:pPr>
      <w:r>
        <w:rPr>
          <w:rStyle w:val="FootnoteReference"/>
        </w:rPr>
        <w:footnoteRef/>
      </w:r>
      <w:r>
        <w:t xml:space="preserve"> </w:t>
      </w:r>
      <w:r>
        <w:t xml:space="preserve">Odabassian 2025, PMID 41174925.</w:t>
      </w:r>
    </w:p>
  </w:footnote>
  <w:footnote w:id="776">
    <w:p>
      <w:pPr>
        <w:pStyle w:val="FootnoteText"/>
      </w:pPr>
      <w:r>
        <w:rPr>
          <w:rStyle w:val="FootnoteReference"/>
        </w:rPr>
        <w:footnoteRef/>
      </w:r>
      <w:r>
        <w:t xml:space="preserve"> </w:t>
      </w:r>
      <w:r>
        <w:t xml:space="preserve">Andersen 2024, PMID 39109464.</w:t>
      </w:r>
    </w:p>
  </w:footnote>
  <w:footnote w:id="779">
    <w:p>
      <w:pPr>
        <w:pStyle w:val="FootnoteText"/>
      </w:pPr>
      <w:r>
        <w:rPr>
          <w:rStyle w:val="FootnoteReference"/>
        </w:rPr>
        <w:footnoteRef/>
      </w:r>
      <w:r>
        <w:t xml:space="preserve"> </w:t>
      </w:r>
      <w:r>
        <w:t xml:space="preserve">descrita como punto de partida en Ravussin 2009, PMID 19521351.</w:t>
      </w:r>
    </w:p>
  </w:footnote>
  <w:footnote w:id="780">
    <w:p>
      <w:pPr>
        <w:pStyle w:val="FootnoteText"/>
      </w:pPr>
      <w:r>
        <w:rPr>
          <w:rStyle w:val="FootnoteReference"/>
        </w:rPr>
        <w:footnoteRef/>
      </w:r>
      <w:r>
        <w:t xml:space="preserve"> </w:t>
      </w:r>
      <w:r>
        <w:t xml:space="preserve">Ghanizada 2021, PMID 33772845.</w:t>
      </w:r>
    </w:p>
  </w:footnote>
  <w:footnote w:id="782">
    <w:p>
      <w:pPr>
        <w:pStyle w:val="FootnoteText"/>
      </w:pPr>
      <w:r>
        <w:rPr>
          <w:rStyle w:val="FootnoteReference"/>
        </w:rPr>
        <w:footnoteRef/>
      </w:r>
      <w:r>
        <w:t xml:space="preserve"> </w:t>
      </w:r>
      <w:r>
        <w:t xml:space="preserve">Smith 2008, PMID 18753666; Edelman 2006, PMID 17003291.</w:t>
      </w:r>
    </w:p>
  </w:footnote>
  <w:footnote w:id="783">
    <w:p>
      <w:pPr>
        <w:pStyle w:val="FootnoteText"/>
      </w:pPr>
      <w:r>
        <w:rPr>
          <w:rStyle w:val="FootnoteReference"/>
        </w:rPr>
        <w:footnoteRef/>
      </w:r>
      <w:r>
        <w:t xml:space="preserve"> </w:t>
      </w:r>
      <w:r>
        <w:t xml:space="preserve">Edelman 2006, PMID 17003291.</w:t>
      </w:r>
    </w:p>
  </w:footnote>
  <w:footnote w:id="784">
    <w:p>
      <w:pPr>
        <w:pStyle w:val="FootnoteText"/>
      </w:pPr>
      <w:r>
        <w:rPr>
          <w:rStyle w:val="FootnoteReference"/>
        </w:rPr>
        <w:footnoteRef/>
      </w:r>
      <w:r>
        <w:t xml:space="preserve"> </w:t>
      </w:r>
      <w:r>
        <w:t xml:space="preserve">Ghanizada 2021, PMID 33772845.</w:t>
      </w:r>
    </w:p>
  </w:footnote>
  <w:footnote w:id="787">
    <w:p>
      <w:pPr>
        <w:pStyle w:val="FootnoteText"/>
      </w:pPr>
      <w:r>
        <w:rPr>
          <w:rStyle w:val="FootnoteReference"/>
        </w:rPr>
        <w:footnoteRef/>
      </w:r>
      <w:r>
        <w:t xml:space="preserve"> </w:t>
      </w:r>
      <w:r>
        <w:t xml:space="preserve">NCT07340788.</w:t>
      </w:r>
    </w:p>
  </w:footnote>
  <w:footnote w:id="788">
    <w:p>
      <w:pPr>
        <w:pStyle w:val="FootnoteText"/>
      </w:pPr>
      <w:r>
        <w:rPr>
          <w:rStyle w:val="FootnoteReference"/>
        </w:rPr>
        <w:footnoteRef/>
      </w:r>
      <w:r>
        <w:t xml:space="preserve"> </w:t>
      </w:r>
      <w:r>
        <w:t xml:space="preserve">NCT07340775.</w:t>
      </w:r>
    </w:p>
  </w:footnote>
  <w:footnote w:id="789">
    <w:p>
      <w:pPr>
        <w:pStyle w:val="FootnoteText"/>
      </w:pPr>
      <w:r>
        <w:rPr>
          <w:rStyle w:val="FootnoteReference"/>
        </w:rPr>
        <w:footnoteRef/>
      </w:r>
      <w:r>
        <w:t xml:space="preserve"> </w:t>
      </w:r>
      <w:r>
        <w:t xml:space="preserve">NCT07506369.</w:t>
      </w:r>
    </w:p>
  </w:footnote>
  <w:footnote w:id="790">
    <w:p>
      <w:pPr>
        <w:pStyle w:val="FootnoteText"/>
      </w:pPr>
      <w:r>
        <w:rPr>
          <w:rStyle w:val="FootnoteReference"/>
        </w:rPr>
        <w:footnoteRef/>
      </w:r>
      <w:r>
        <w:t xml:space="preserve"> </w:t>
      </w:r>
      <w:r>
        <w:t xml:space="preserve">Odabassian 2025, PMID 41174925.</w:t>
      </w:r>
    </w:p>
  </w:footnote>
  <w:footnote w:id="794">
    <w:p>
      <w:pPr>
        <w:pStyle w:val="FootnoteText"/>
      </w:pPr>
      <w:r>
        <w:rPr>
          <w:rStyle w:val="FootnoteReference"/>
        </w:rPr>
        <w:footnoteRef/>
      </w:r>
      <w:r>
        <w:t xml:space="preserve"> </w:t>
      </w:r>
      <w:r>
        <w:t xml:space="preserve">Markham 2021, PMID 33638809.</w:t>
      </w:r>
    </w:p>
  </w:footnote>
  <w:footnote w:id="797">
    <w:p>
      <w:pPr>
        <w:pStyle w:val="FootnoteText"/>
      </w:pPr>
      <w:r>
        <w:rPr>
          <w:rStyle w:val="FootnoteReference"/>
        </w:rPr>
        <w:footnoteRef/>
      </w:r>
      <w:r>
        <w:t xml:space="preserve"> </w:t>
      </w:r>
      <w:r>
        <w:t xml:space="preserve">Kühnen 2016, PMID 27468060.</w:t>
      </w:r>
    </w:p>
  </w:footnote>
  <w:footnote w:id="798">
    <w:p>
      <w:pPr>
        <w:pStyle w:val="FootnoteText"/>
      </w:pPr>
      <w:r>
        <w:rPr>
          <w:rStyle w:val="FootnoteReference"/>
        </w:rPr>
        <w:footnoteRef/>
      </w:r>
      <w:r>
        <w:t xml:space="preserve"> </w:t>
      </w:r>
      <w:r>
        <w:t xml:space="preserve">Clément 2018, PMID 29736023.</w:t>
      </w:r>
    </w:p>
  </w:footnote>
  <w:footnote w:id="799">
    <w:p>
      <w:pPr>
        <w:pStyle w:val="FootnoteText"/>
      </w:pPr>
      <w:r>
        <w:rPr>
          <w:rStyle w:val="FootnoteReference"/>
        </w:rPr>
        <w:footnoteRef/>
      </w:r>
      <w:r>
        <w:t xml:space="preserve"> </w:t>
      </w:r>
      <w:r>
        <w:t xml:space="preserve">Clément 2020, PMID 33137293.</w:t>
      </w:r>
    </w:p>
  </w:footnote>
  <w:footnote w:id="801">
    <w:p>
      <w:pPr>
        <w:pStyle w:val="FootnoteText"/>
      </w:pPr>
      <w:r>
        <w:rPr>
          <w:rStyle w:val="FootnoteReference"/>
        </w:rPr>
        <w:footnoteRef/>
      </w:r>
      <w:r>
        <w:t xml:space="preserve"> </w:t>
      </w:r>
      <w:r>
        <w:t xml:space="preserve">Haqq 2022, PMID 36356613.</w:t>
      </w:r>
    </w:p>
  </w:footnote>
  <w:footnote w:id="802">
    <w:p>
      <w:pPr>
        <w:pStyle w:val="FootnoteText"/>
      </w:pPr>
      <w:r>
        <w:rPr>
          <w:rStyle w:val="FootnoteReference"/>
        </w:rPr>
        <w:footnoteRef/>
      </w:r>
      <w:r>
        <w:t xml:space="preserve"> </w:t>
      </w:r>
      <w:r>
        <w:t xml:space="preserve">Argente 2026, PMID 41703984.</w:t>
      </w:r>
    </w:p>
  </w:footnote>
  <w:footnote w:id="804">
    <w:p>
      <w:pPr>
        <w:pStyle w:val="FootnoteText"/>
      </w:pPr>
      <w:r>
        <w:rPr>
          <w:rStyle w:val="FootnoteReference"/>
        </w:rPr>
        <w:footnoteRef/>
      </w:r>
      <w:r>
        <w:t xml:space="preserve"> </w:t>
      </w:r>
      <w:r>
        <w:t xml:space="preserve">Argente 2025, PMID 39549719.</w:t>
      </w:r>
    </w:p>
  </w:footnote>
  <w:footnote w:id="806">
    <w:p>
      <w:pPr>
        <w:pStyle w:val="FootnoteText"/>
      </w:pPr>
      <w:r>
        <w:rPr>
          <w:rStyle w:val="FootnoteReference"/>
        </w:rPr>
        <w:footnoteRef/>
      </w:r>
      <w:r>
        <w:t xml:space="preserve"> </w:t>
      </w:r>
      <w:r>
        <w:t xml:space="preserve">Roth 2024, PMID 38697184.</w:t>
      </w:r>
    </w:p>
  </w:footnote>
  <w:footnote w:id="807">
    <w:p>
      <w:pPr>
        <w:pStyle w:val="FootnoteText"/>
      </w:pPr>
      <w:r>
        <w:rPr>
          <w:rStyle w:val="FootnoteReference"/>
        </w:rPr>
        <w:footnoteRef/>
      </w:r>
      <w:r>
        <w:t xml:space="preserve"> </w:t>
      </w:r>
      <w:r>
        <w:t xml:space="preserve">Miller 2026, PMID 42418774.</w:t>
      </w:r>
    </w:p>
  </w:footnote>
  <w:footnote w:id="809">
    <w:p>
      <w:pPr>
        <w:pStyle w:val="FootnoteText"/>
      </w:pPr>
      <w:r>
        <w:rPr>
          <w:rStyle w:val="FootnoteReference"/>
        </w:rPr>
        <w:footnoteRef/>
      </w:r>
      <w:r>
        <w:t xml:space="preserve"> </w:t>
      </w:r>
      <w:r>
        <w:t xml:space="preserve">Collet 2017, PMID 29031731.</w:t>
      </w:r>
    </w:p>
  </w:footnote>
  <w:footnote w:id="810">
    <w:p>
      <w:pPr>
        <w:pStyle w:val="FootnoteText"/>
      </w:pPr>
      <w:r>
        <w:rPr>
          <w:rStyle w:val="FootnoteReference"/>
        </w:rPr>
        <w:footnoteRef/>
      </w:r>
      <w:r>
        <w:t xml:space="preserve"> </w:t>
      </w:r>
      <w:r>
        <w:t xml:space="preserve">NCT05093634.</w:t>
      </w:r>
    </w:p>
  </w:footnote>
  <w:footnote w:id="813">
    <w:p>
      <w:pPr>
        <w:pStyle w:val="FootnoteText"/>
      </w:pPr>
      <w:r>
        <w:rPr>
          <w:rStyle w:val="FootnoteReference"/>
        </w:rPr>
        <w:footnoteRef/>
      </w:r>
      <w:r>
        <w:t xml:space="preserve"> </w:t>
      </w:r>
      <w:r>
        <w:t xml:space="preserve">Collet 2017, PMID 29031731.</w:t>
      </w:r>
    </w:p>
  </w:footnote>
  <w:footnote w:id="815">
    <w:p>
      <w:pPr>
        <w:pStyle w:val="FootnoteText"/>
      </w:pPr>
      <w:r>
        <w:rPr>
          <w:rStyle w:val="FootnoteReference"/>
        </w:rPr>
        <w:footnoteRef/>
      </w:r>
      <w:r>
        <w:t xml:space="preserve"> </w:t>
      </w:r>
      <w:r>
        <w:t xml:space="preserve">Sridharan 2026, PMID 39924461.</w:t>
      </w:r>
    </w:p>
  </w:footnote>
  <w:footnote w:id="816">
    <w:p>
      <w:pPr>
        <w:pStyle w:val="FootnoteText"/>
      </w:pPr>
      <w:r>
        <w:rPr>
          <w:rStyle w:val="FootnoteReference"/>
        </w:rPr>
        <w:footnoteRef/>
      </w:r>
      <w:r>
        <w:t xml:space="preserve"> </w:t>
      </w:r>
      <w:r>
        <w:t xml:space="preserve">Kanti 2021, PMID 34058738.</w:t>
      </w:r>
    </w:p>
  </w:footnote>
  <w:footnote w:id="817">
    <w:p>
      <w:pPr>
        <w:pStyle w:val="FootnoteText"/>
      </w:pPr>
      <w:r>
        <w:rPr>
          <w:rStyle w:val="FootnoteReference"/>
        </w:rPr>
        <w:footnoteRef/>
      </w:r>
      <w:r>
        <w:t xml:space="preserve"> </w:t>
      </w:r>
      <w:r>
        <w:t xml:space="preserve">Sridharan 2026, PMID 39924461.</w:t>
      </w:r>
    </w:p>
  </w:footnote>
  <w:footnote w:id="818">
    <w:p>
      <w:pPr>
        <w:pStyle w:val="FootnoteText"/>
      </w:pPr>
      <w:r>
        <w:rPr>
          <w:rStyle w:val="FootnoteReference"/>
        </w:rPr>
        <w:footnoteRef/>
      </w:r>
      <w:r>
        <w:t xml:space="preserve"> </w:t>
      </w:r>
      <w:r>
        <w:t xml:space="preserve">Miller 2026, PMID 42418774.</w:t>
      </w:r>
    </w:p>
  </w:footnote>
  <w:footnote w:id="819">
    <w:p>
      <w:pPr>
        <w:pStyle w:val="FootnoteText"/>
      </w:pPr>
      <w:r>
        <w:rPr>
          <w:rStyle w:val="FootnoteReference"/>
        </w:rPr>
        <w:footnoteRef/>
      </w:r>
      <w:r>
        <w:t xml:space="preserve"> </w:t>
      </w:r>
      <w:r>
        <w:t xml:space="preserve">Haqq 2022, PMID 36356613.</w:t>
      </w:r>
    </w:p>
  </w:footnote>
  <w:footnote w:id="822">
    <w:p>
      <w:pPr>
        <w:pStyle w:val="FootnoteText"/>
      </w:pPr>
      <w:r>
        <w:rPr>
          <w:rStyle w:val="FootnoteReference"/>
        </w:rPr>
        <w:footnoteRef/>
      </w:r>
      <w:r>
        <w:t xml:space="preserve"> </w:t>
      </w:r>
      <w:r>
        <w:t xml:space="preserve">NCT05774756.</w:t>
      </w:r>
    </w:p>
  </w:footnote>
  <w:footnote w:id="823">
    <w:p>
      <w:pPr>
        <w:pStyle w:val="FootnoteText"/>
      </w:pPr>
      <w:r>
        <w:rPr>
          <w:rStyle w:val="FootnoteReference"/>
        </w:rPr>
        <w:footnoteRef/>
      </w:r>
      <w:r>
        <w:t xml:space="preserve"> </w:t>
      </w:r>
      <w:r>
        <w:t xml:space="preserve">NCT06760546.</w:t>
      </w:r>
    </w:p>
  </w:footnote>
  <w:footnote w:id="824">
    <w:p>
      <w:pPr>
        <w:pStyle w:val="FootnoteText"/>
      </w:pPr>
      <w:r>
        <w:rPr>
          <w:rStyle w:val="FootnoteReference"/>
        </w:rPr>
        <w:footnoteRef/>
      </w:r>
      <w:r>
        <w:t xml:space="preserve"> </w:t>
      </w:r>
      <w:r>
        <w:t xml:space="preserve">NCT06772597.</w:t>
      </w:r>
    </w:p>
  </w:footnote>
  <w:footnote w:id="825">
    <w:p>
      <w:pPr>
        <w:pStyle w:val="FootnoteText"/>
      </w:pPr>
      <w:r>
        <w:rPr>
          <w:rStyle w:val="FootnoteReference"/>
        </w:rPr>
        <w:footnoteRef/>
      </w:r>
      <w:r>
        <w:t xml:space="preserve"> </w:t>
      </w:r>
      <w:r>
        <w:t xml:space="preserve">NCT07674290.</w:t>
      </w:r>
    </w:p>
  </w:footnote>
  <w:footnote w:id="826">
    <w:p>
      <w:pPr>
        <w:pStyle w:val="FootnoteText"/>
      </w:pPr>
      <w:r>
        <w:rPr>
          <w:rStyle w:val="FootnoteReference"/>
        </w:rPr>
        <w:footnoteRef/>
      </w:r>
      <w:r>
        <w:t xml:space="preserve"> </w:t>
      </w:r>
      <w:r>
        <w:t xml:space="preserve">NCT05093634.</w:t>
      </w:r>
    </w:p>
  </w:footnote>
  <w:footnote w:id="827">
    <w:p>
      <w:pPr>
        <w:pStyle w:val="FootnoteText"/>
      </w:pPr>
      <w:r>
        <w:rPr>
          <w:rStyle w:val="FootnoteReference"/>
        </w:rPr>
        <w:footnoteRef/>
      </w:r>
      <w:r>
        <w:t xml:space="preserve"> </w:t>
      </w:r>
      <w:r>
        <w:t xml:space="preserve">NCT04963231.</w:t>
      </w:r>
    </w:p>
  </w:footnote>
  <w:footnote w:id="831">
    <w:p>
      <w:pPr>
        <w:pStyle w:val="FootnoteText"/>
      </w:pPr>
      <w:r>
        <w:rPr>
          <w:rStyle w:val="FootnoteReference"/>
        </w:rPr>
        <w:footnoteRef/>
      </w:r>
      <w:r>
        <w:t xml:space="preserve"> </w:t>
      </w:r>
      <w:r>
        <w:t xml:space="preserve">Cox 2015, PMID 25208511.</w:t>
      </w:r>
    </w:p>
  </w:footnote>
  <w:footnote w:id="833">
    <w:p>
      <w:pPr>
        <w:pStyle w:val="FootnoteText"/>
      </w:pPr>
      <w:r>
        <w:rPr>
          <w:rStyle w:val="FootnoteReference"/>
        </w:rPr>
        <w:footnoteRef/>
      </w:r>
      <w:r>
        <w:t xml:space="preserve"> </w:t>
      </w:r>
      <w:r>
        <w:t xml:space="preserve">Wade 1982, PMID 6751009.</w:t>
      </w:r>
    </w:p>
  </w:footnote>
  <w:footnote w:id="834">
    <w:p>
      <w:pPr>
        <w:pStyle w:val="FootnoteText"/>
      </w:pPr>
      <w:r>
        <w:rPr>
          <w:rStyle w:val="FootnoteReference"/>
        </w:rPr>
        <w:footnoteRef/>
      </w:r>
      <w:r>
        <w:t xml:space="preserve"> </w:t>
      </w:r>
      <w:r>
        <w:t xml:space="preserve">Heffernan 2001, PMID 11673763.</w:t>
      </w:r>
    </w:p>
  </w:footnote>
  <w:footnote w:id="835">
    <w:p>
      <w:pPr>
        <w:pStyle w:val="FootnoteText"/>
      </w:pPr>
      <w:r>
        <w:rPr>
          <w:rStyle w:val="FootnoteReference"/>
        </w:rPr>
        <w:footnoteRef/>
      </w:r>
      <w:r>
        <w:t xml:space="preserve"> </w:t>
      </w:r>
      <w:r>
        <w:t xml:space="preserve">Heffernan 2001, PMID 11713213.</w:t>
      </w:r>
    </w:p>
  </w:footnote>
  <w:footnote w:id="837">
    <w:p>
      <w:pPr>
        <w:pStyle w:val="FootnoteText"/>
      </w:pPr>
      <w:r>
        <w:rPr>
          <w:rStyle w:val="FootnoteReference"/>
        </w:rPr>
        <w:footnoteRef/>
      </w:r>
      <w:r>
        <w:t xml:space="preserve"> </w:t>
      </w:r>
      <w:r>
        <w:t xml:space="preserve">Wilding 2004, PMID 15134286; Halford 2006, PMID 16625817.</w:t>
      </w:r>
    </w:p>
  </w:footnote>
  <w:footnote w:id="839">
    <w:p>
      <w:pPr>
        <w:pStyle w:val="FootnoteText"/>
      </w:pPr>
      <w:r>
        <w:rPr>
          <w:rStyle w:val="FootnoteReference"/>
        </w:rPr>
        <w:footnoteRef/>
      </w:r>
      <w:r>
        <w:t xml:space="preserve"> </w:t>
      </w:r>
      <w:r>
        <w:t xml:space="preserve">Ng 2000, PMID 11146367.</w:t>
      </w:r>
    </w:p>
  </w:footnote>
  <w:footnote w:id="840">
    <w:p>
      <w:pPr>
        <w:pStyle w:val="FootnoteText"/>
      </w:pPr>
      <w:r>
        <w:rPr>
          <w:rStyle w:val="FootnoteReference"/>
        </w:rPr>
        <w:footnoteRef/>
      </w:r>
      <w:r>
        <w:t xml:space="preserve"> </w:t>
      </w:r>
      <w:r>
        <w:t xml:space="preserve">Heffernan 2001, PMID 11673763.</w:t>
      </w:r>
    </w:p>
  </w:footnote>
  <w:footnote w:id="841">
    <w:p>
      <w:pPr>
        <w:pStyle w:val="FootnoteText"/>
      </w:pPr>
      <w:r>
        <w:rPr>
          <w:rStyle w:val="FootnoteReference"/>
        </w:rPr>
        <w:footnoteRef/>
      </w:r>
      <w:r>
        <w:t xml:space="preserve"> </w:t>
      </w:r>
      <w:r>
        <w:t xml:space="preserve">Natera 1994, PMID 7987248.</w:t>
      </w:r>
    </w:p>
  </w:footnote>
  <w:footnote w:id="842">
    <w:p>
      <w:pPr>
        <w:pStyle w:val="FootnoteText"/>
      </w:pPr>
      <w:r>
        <w:rPr>
          <w:rStyle w:val="FootnoteReference"/>
        </w:rPr>
        <w:footnoteRef/>
      </w:r>
      <w:r>
        <w:t xml:space="preserve"> </w:t>
      </w:r>
      <w:r>
        <w:t xml:space="preserve">Kwon 2015, PMID 26275694.</w:t>
      </w:r>
    </w:p>
  </w:footnote>
  <w:footnote w:id="844">
    <w:p>
      <w:pPr>
        <w:pStyle w:val="FootnoteText"/>
      </w:pPr>
      <w:r>
        <w:rPr>
          <w:rStyle w:val="FootnoteReference"/>
        </w:rPr>
        <w:footnoteRef/>
      </w:r>
      <w:r>
        <w:t xml:space="preserve"> </w:t>
      </w:r>
      <w:r>
        <w:t xml:space="preserve">Cox 2015, PMID 25208511.</w:t>
      </w:r>
    </w:p>
  </w:footnote>
  <w:footnote w:id="845">
    <w:p>
      <w:pPr>
        <w:pStyle w:val="FootnoteText"/>
      </w:pPr>
      <w:r>
        <w:rPr>
          <w:rStyle w:val="FootnoteReference"/>
        </w:rPr>
        <w:footnoteRef/>
      </w:r>
      <w:r>
        <w:t xml:space="preserve"> </w:t>
      </w:r>
      <w:r>
        <w:t xml:space="preserve">Vanhee 2014, PMID 24976118.</w:t>
      </w:r>
    </w:p>
  </w:footnote>
  <w:footnote w:id="846">
    <w:p>
      <w:pPr>
        <w:pStyle w:val="FootnoteText"/>
      </w:pPr>
      <w:r>
        <w:rPr>
          <w:rStyle w:val="FootnoteReference"/>
        </w:rPr>
        <w:footnoteRef/>
      </w:r>
      <w:r>
        <w:t xml:space="preserve"> </w:t>
      </w:r>
      <w:r>
        <w:t xml:space="preserve">Mendias 2026, PMID 41966639; Dominikowski 2026, PMID 42395176.</w:t>
      </w:r>
    </w:p>
  </w:footnote>
  <w:footnote w:id="847">
    <w:p>
      <w:pPr>
        <w:pStyle w:val="FootnoteText"/>
      </w:pPr>
      <w:r>
        <w:rPr>
          <w:rStyle w:val="FootnoteReference"/>
        </w:rPr>
        <w:footnoteRef/>
      </w:r>
      <w:r>
        <w:t xml:space="preserve"> </w:t>
      </w:r>
      <w:r>
        <w:t xml:space="preserve">Coutinho 2026, PMID 41880199.</w:t>
      </w:r>
    </w:p>
  </w:footnote>
  <w:footnote w:id="848">
    <w:p>
      <w:pPr>
        <w:pStyle w:val="FootnoteText"/>
      </w:pPr>
      <w:r>
        <w:rPr>
          <w:rStyle w:val="FootnoteReference"/>
        </w:rPr>
        <w:footnoteRef/>
      </w:r>
      <w:r>
        <w:t xml:space="preserve"> </w:t>
      </w:r>
      <w:r>
        <w:t xml:space="preserve">Heffernan 2001, PMID 11673763.</w:t>
      </w:r>
    </w:p>
  </w:footnote>
  <w:footnote w:id="850">
    <w:p>
      <w:pPr>
        <w:pStyle w:val="FootnoteText"/>
      </w:pPr>
      <w:r>
        <w:rPr>
          <w:rStyle w:val="FootnoteReference"/>
        </w:rPr>
        <w:footnoteRef/>
      </w:r>
      <w:r>
        <w:t xml:space="preserve"> </w:t>
      </w:r>
      <w:r>
        <w:t xml:space="preserve">Cox 2015, PMID 25208511.</w:t>
      </w:r>
    </w:p>
  </w:footnote>
  <w:footnote w:id="851">
    <w:p>
      <w:pPr>
        <w:pStyle w:val="FootnoteText"/>
      </w:pPr>
      <w:r>
        <w:rPr>
          <w:rStyle w:val="FootnoteReference"/>
        </w:rPr>
        <w:footnoteRef/>
      </w:r>
      <w:r>
        <w:t xml:space="preserve"> </w:t>
      </w:r>
      <w:r>
        <w:t xml:space="preserve">Orlovius 2013, PMID 24124033.</w:t>
      </w:r>
    </w:p>
  </w:footnote>
  <w:footnote w:id="857">
    <w:p>
      <w:pPr>
        <w:pStyle w:val="FootnoteText"/>
      </w:pPr>
      <w:r>
        <w:rPr>
          <w:rStyle w:val="FootnoteReference"/>
        </w:rPr>
        <w:footnoteRef/>
      </w:r>
      <w:r>
        <w:t xml:space="preserve"> </w:t>
      </w:r>
      <w:r>
        <w:t xml:space="preserve">Rosenstock 2026, PMID 41765029.</w:t>
      </w:r>
    </w:p>
  </w:footnote>
  <w:footnote w:id="859">
    <w:p>
      <w:pPr>
        <w:pStyle w:val="FootnoteText"/>
      </w:pPr>
      <w:r>
        <w:rPr>
          <w:rStyle w:val="FootnoteReference"/>
        </w:rPr>
        <w:footnoteRef/>
      </w:r>
      <w:r>
        <w:t xml:space="preserve"> </w:t>
      </w:r>
      <w:r>
        <w:t xml:space="preserve">Rosenstock 2025, PMID 40808573.</w:t>
      </w:r>
    </w:p>
  </w:footnote>
  <w:footnote w:id="861">
    <w:p>
      <w:pPr>
        <w:pStyle w:val="FootnoteText"/>
      </w:pPr>
      <w:r>
        <w:rPr>
          <w:rStyle w:val="FootnoteReference"/>
        </w:rPr>
        <w:footnoteRef/>
      </w:r>
      <w:r>
        <w:t xml:space="preserve"> </w:t>
      </w:r>
      <w:r>
        <w:t xml:space="preserve">Wharton 2025, PMID 40960239.</w:t>
      </w:r>
    </w:p>
  </w:footnote>
  <w:footnote w:id="862">
    <w:p>
      <w:pPr>
        <w:pStyle w:val="FootnoteText"/>
      </w:pPr>
      <w:r>
        <w:rPr>
          <w:rStyle w:val="FootnoteReference"/>
        </w:rPr>
        <w:footnoteRef/>
      </w:r>
      <w:r>
        <w:t xml:space="preserve"> </w:t>
      </w:r>
      <w:r>
        <w:t xml:space="preserve">Wharton 2023, PMID 37351564.</w:t>
      </w:r>
    </w:p>
  </w:footnote>
  <w:footnote w:id="863">
    <w:p>
      <w:pPr>
        <w:pStyle w:val="FootnoteText"/>
      </w:pPr>
      <w:r>
        <w:rPr>
          <w:rStyle w:val="FootnoteReference"/>
        </w:rPr>
        <w:footnoteRef/>
      </w:r>
      <w:r>
        <w:t xml:space="preserve"> </w:t>
      </w:r>
      <w:r>
        <w:t xml:space="preserve">Horn 2026, PMID 41275875.</w:t>
      </w:r>
    </w:p>
  </w:footnote>
  <w:footnote w:id="864">
    <w:p>
      <w:pPr>
        <w:pStyle w:val="FootnoteText"/>
      </w:pPr>
      <w:r>
        <w:rPr>
          <w:rStyle w:val="FootnoteReference"/>
        </w:rPr>
        <w:footnoteRef/>
      </w:r>
      <w:r>
        <w:t xml:space="preserve"> </w:t>
      </w:r>
      <w:r>
        <w:t xml:space="preserve">Aronne 2026, PMID 42120723.</w:t>
      </w:r>
    </w:p>
  </w:footnote>
  <w:footnote w:id="866">
    <w:p>
      <w:pPr>
        <w:pStyle w:val="FootnoteText"/>
      </w:pPr>
      <w:r>
        <w:rPr>
          <w:rStyle w:val="FootnoteReference"/>
        </w:rPr>
        <w:footnoteRef/>
      </w:r>
      <w:r>
        <w:t xml:space="preserve"> </w:t>
      </w:r>
      <w:r>
        <w:t xml:space="preserve">Rosenstock 2025, PMID 40544435.</w:t>
      </w:r>
    </w:p>
  </w:footnote>
  <w:footnote w:id="867">
    <w:p>
      <w:pPr>
        <w:pStyle w:val="FootnoteText"/>
      </w:pPr>
      <w:r>
        <w:rPr>
          <w:rStyle w:val="FootnoteReference"/>
        </w:rPr>
        <w:footnoteRef/>
      </w:r>
      <w:r>
        <w:t xml:space="preserve"> </w:t>
      </w:r>
      <w:r>
        <w:t xml:space="preserve">Welch 2026, PMID 42259339.</w:t>
      </w:r>
    </w:p>
  </w:footnote>
  <w:footnote w:id="868">
    <w:p>
      <w:pPr>
        <w:pStyle w:val="FootnoteText"/>
      </w:pPr>
      <w:r>
        <w:rPr>
          <w:rStyle w:val="FootnoteReference"/>
        </w:rPr>
        <w:footnoteRef/>
      </w:r>
      <w:r>
        <w:t xml:space="preserve"> </w:t>
      </w:r>
      <w:r>
        <w:t xml:space="preserve">Rosenstock 2026, PMID 41765029.</w:t>
      </w:r>
    </w:p>
  </w:footnote>
  <w:footnote w:id="869">
    <w:p>
      <w:pPr>
        <w:pStyle w:val="FootnoteText"/>
      </w:pPr>
      <w:r>
        <w:rPr>
          <w:rStyle w:val="FootnoteReference"/>
        </w:rPr>
        <w:footnoteRef/>
      </w:r>
      <w:r>
        <w:t xml:space="preserve"> </w:t>
      </w:r>
      <w:r>
        <w:t xml:space="preserve">Klein 2026, PMID 42815506.</w:t>
      </w:r>
    </w:p>
  </w:footnote>
  <w:footnote w:id="872">
    <w:p>
      <w:pPr>
        <w:pStyle w:val="FootnoteText"/>
      </w:pPr>
      <w:r>
        <w:rPr>
          <w:rStyle w:val="FootnoteReference"/>
        </w:rPr>
        <w:footnoteRef/>
      </w:r>
      <w:r>
        <w:t xml:space="preserve"> </w:t>
      </w:r>
      <w:r>
        <w:t xml:space="preserve">NCT05469126, NCT05573230, NCT06370728, NCT06704763.</w:t>
      </w:r>
    </w:p>
  </w:footnote>
  <w:footnote w:id="874">
    <w:p>
      <w:pPr>
        <w:pStyle w:val="FootnoteText"/>
      </w:pPr>
      <w:r>
        <w:rPr>
          <w:rStyle w:val="FootnoteReference"/>
        </w:rPr>
        <w:footnoteRef/>
      </w:r>
      <w:r>
        <w:t xml:space="preserve"> </w:t>
      </w:r>
      <w:r>
        <w:t xml:space="preserve">Klein 2026, PMID 42815506.</w:t>
      </w:r>
    </w:p>
  </w:footnote>
  <w:footnote w:id="875">
    <w:p>
      <w:pPr>
        <w:pStyle w:val="FootnoteText"/>
      </w:pPr>
      <w:r>
        <w:rPr>
          <w:rStyle w:val="FootnoteReference"/>
        </w:rPr>
        <w:footnoteRef/>
      </w:r>
      <w:r>
        <w:t xml:space="preserve"> </w:t>
      </w:r>
      <w:r>
        <w:t xml:space="preserve">Wharton 2025, PMID 40960239.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Rosenstock 2026, PMID 41765029.</w:t>
      </w:r>
    </w:p>
  </w:footnote>
  <w:footnote w:id="878">
    <w:p>
      <w:pPr>
        <w:pStyle w:val="FootnoteText"/>
      </w:pPr>
      <w:r>
        <w:rPr>
          <w:rStyle w:val="FootnoteReference"/>
        </w:rPr>
        <w:footnoteRef/>
      </w:r>
      <w:r>
        <w:t xml:space="preserve"> </w:t>
      </w:r>
      <w:r>
        <w:t xml:space="preserve">Klein 2026, PMID 42815506.</w:t>
      </w:r>
    </w:p>
  </w:footnote>
  <w:footnote w:id="879">
    <w:p>
      <w:pPr>
        <w:pStyle w:val="FootnoteText"/>
      </w:pPr>
      <w:r>
        <w:rPr>
          <w:rStyle w:val="FootnoteReference"/>
        </w:rPr>
        <w:footnoteRef/>
      </w:r>
      <w:r>
        <w:t xml:space="preserve"> </w:t>
      </w:r>
      <w:r>
        <w:t xml:space="preserve">NCT07241390.</w:t>
      </w:r>
    </w:p>
  </w:footnote>
  <w:footnote w:id="880">
    <w:p>
      <w:pPr>
        <w:pStyle w:val="FootnoteText"/>
      </w:pPr>
      <w:r>
        <w:rPr>
          <w:rStyle w:val="FootnoteReference"/>
        </w:rPr>
        <w:footnoteRef/>
      </w:r>
      <w:r>
        <w:t xml:space="preserve"> </w:t>
      </w:r>
      <w:r>
        <w:t xml:space="preserve">Wharton 2026, PMID 42338042.</w:t>
      </w:r>
    </w:p>
  </w:footnote>
  <w:footnote w:id="883">
    <w:p>
      <w:pPr>
        <w:pStyle w:val="FootnoteText"/>
      </w:pPr>
      <w:r>
        <w:rPr>
          <w:rStyle w:val="FootnoteReference"/>
        </w:rPr>
        <w:footnoteRef/>
      </w:r>
      <w:r>
        <w:t xml:space="preserve"> </w:t>
      </w:r>
      <w:r>
        <w:t xml:space="preserve">NCT07223593.</w:t>
      </w:r>
    </w:p>
  </w:footnote>
  <w:footnote w:id="884">
    <w:p>
      <w:pPr>
        <w:pStyle w:val="FootnoteText"/>
      </w:pPr>
      <w:r>
        <w:rPr>
          <w:rStyle w:val="FootnoteReference"/>
        </w:rPr>
        <w:footnoteRef/>
      </w:r>
      <w:r>
        <w:t xml:space="preserve"> </w:t>
      </w:r>
      <w:r>
        <w:t xml:space="preserve">NCT06948422, NCT06948435, NCT06952530.</w:t>
      </w:r>
    </w:p>
  </w:footnote>
  <w:footnote w:id="885">
    <w:p>
      <w:pPr>
        <w:pStyle w:val="FootnoteText"/>
      </w:pPr>
      <w:r>
        <w:rPr>
          <w:rStyle w:val="FootnoteReference"/>
        </w:rPr>
        <w:footnoteRef/>
      </w:r>
      <w:r>
        <w:t xml:space="preserve"> </w:t>
      </w:r>
      <w:r>
        <w:t xml:space="preserve">NCT07153471.</w:t>
      </w:r>
    </w:p>
  </w:footnote>
  <w:footnote w:id="886">
    <w:p>
      <w:pPr>
        <w:pStyle w:val="FootnoteText"/>
      </w:pPr>
      <w:r>
        <w:rPr>
          <w:rStyle w:val="FootnoteReference"/>
        </w:rPr>
        <w:footnoteRef/>
      </w:r>
      <w:r>
        <w:t xml:space="preserve"> </w:t>
      </w:r>
      <w:r>
        <w:t xml:space="preserve">NCT07202884.</w:t>
      </w:r>
    </w:p>
  </w:footnote>
  <w:footnote w:id="887">
    <w:p>
      <w:pPr>
        <w:pStyle w:val="FootnoteText"/>
      </w:pPr>
      <w:r>
        <w:rPr>
          <w:rStyle w:val="FootnoteReference"/>
        </w:rPr>
        <w:footnoteRef/>
      </w:r>
      <w:r>
        <w:t xml:space="preserve"> </w:t>
      </w:r>
      <w:r>
        <w:t xml:space="preserve">NCT06672939.</w:t>
      </w:r>
    </w:p>
  </w:footnote>
  <w:footnote w:id="888">
    <w:p>
      <w:pPr>
        <w:pStyle w:val="FootnoteText"/>
      </w:pPr>
      <w:r>
        <w:rPr>
          <w:rStyle w:val="FootnoteReference"/>
        </w:rPr>
        <w:footnoteRef/>
      </w:r>
      <w:r>
        <w:t xml:space="preserve"> </w:t>
      </w:r>
      <w:r>
        <w:t xml:space="preserve">NCT07668336.</w:t>
      </w:r>
    </w:p>
  </w:footnote>
  <w:footnote w:id="889">
    <w:p>
      <w:pPr>
        <w:pStyle w:val="FootnoteText"/>
      </w:pPr>
      <w:r>
        <w:rPr>
          <w:rStyle w:val="FootnoteReference"/>
        </w:rPr>
        <w:footnoteRef/>
      </w:r>
      <w:r>
        <w:t xml:space="preserve"> </w:t>
      </w:r>
      <w:r>
        <w:t xml:space="preserve">NCT06649045.</w:t>
      </w:r>
    </w:p>
  </w:footnote>
  <w:footnote w:id="897">
    <w:p>
      <w:pPr>
        <w:pStyle w:val="FootnoteText"/>
      </w:pPr>
      <w:r>
        <w:rPr>
          <w:rStyle w:val="FootnoteReference"/>
        </w:rPr>
        <w:footnoteRef/>
      </w:r>
      <w:r>
        <w:t xml:space="preserve"> </w:t>
      </w:r>
      <w:r>
        <w:t xml:space="preserve">Cox 2017, PMID 28035768.</w:t>
      </w:r>
    </w:p>
  </w:footnote>
  <w:footnote w:id="899">
    <w:p>
      <w:pPr>
        <w:pStyle w:val="FootnoteText"/>
      </w:pPr>
      <w:r>
        <w:rPr>
          <w:rStyle w:val="FootnoteReference"/>
        </w:rPr>
        <w:footnoteRef/>
      </w:r>
      <w:r>
        <w:t xml:space="preserve"> </w:t>
      </w:r>
      <w:r>
        <w:t xml:space="preserve">Hsieh 2017, PMID 27847966.</w:t>
      </w:r>
    </w:p>
  </w:footnote>
  <w:footnote w:id="900">
    <w:p>
      <w:pPr>
        <w:pStyle w:val="FootnoteText"/>
      </w:pPr>
      <w:r>
        <w:rPr>
          <w:rStyle w:val="FootnoteReference"/>
        </w:rPr>
        <w:footnoteRef/>
      </w:r>
      <w:r>
        <w:t xml:space="preserve"> </w:t>
      </w:r>
      <w:r>
        <w:t xml:space="preserve">Zhang 2026, PMID 41606641.</w:t>
      </w:r>
    </w:p>
  </w:footnote>
  <w:footnote w:id="901">
    <w:p>
      <w:pPr>
        <w:pStyle w:val="FootnoteText"/>
      </w:pPr>
      <w:r>
        <w:rPr>
          <w:rStyle w:val="FootnoteReference"/>
        </w:rPr>
        <w:footnoteRef/>
      </w:r>
      <w:r>
        <w:t xml:space="preserve"> </w:t>
      </w:r>
      <w:r>
        <w:t xml:space="preserve">Chang 2011, PMID 21030672.</w:t>
      </w:r>
    </w:p>
  </w:footnote>
  <w:footnote w:id="902">
    <w:p>
      <w:pPr>
        <w:pStyle w:val="FootnoteText"/>
      </w:pPr>
      <w:r>
        <w:rPr>
          <w:rStyle w:val="FootnoteReference"/>
        </w:rPr>
        <w:footnoteRef/>
      </w:r>
      <w:r>
        <w:t xml:space="preserve"> </w:t>
      </w:r>
      <w:r>
        <w:t xml:space="preserve">Chang 2014, PMID 25415472.</w:t>
      </w:r>
    </w:p>
  </w:footnote>
  <w:footnote w:id="903">
    <w:p>
      <w:pPr>
        <w:pStyle w:val="FootnoteText"/>
      </w:pPr>
      <w:r>
        <w:rPr>
          <w:rStyle w:val="FootnoteReference"/>
        </w:rPr>
        <w:footnoteRef/>
      </w:r>
      <w:r>
        <w:t xml:space="preserve"> </w:t>
      </w:r>
      <w:r>
        <w:t xml:space="preserve">Sikiric 2025, PMID 40573323.</w:t>
      </w:r>
    </w:p>
  </w:footnote>
  <w:footnote w:id="904">
    <w:p>
      <w:pPr>
        <w:pStyle w:val="FootnoteText"/>
      </w:pPr>
      <w:r>
        <w:rPr>
          <w:rStyle w:val="FootnoteReference"/>
        </w:rPr>
        <w:footnoteRef/>
      </w:r>
      <w:r>
        <w:t xml:space="preserve"> </w:t>
      </w:r>
      <w:r>
        <w:t xml:space="preserve">Mateescu 2026, PMID 42198317.</w:t>
      </w:r>
    </w:p>
  </w:footnote>
  <w:footnote w:id="906">
    <w:p>
      <w:pPr>
        <w:pStyle w:val="FootnoteText"/>
      </w:pPr>
      <w:r>
        <w:rPr>
          <w:rStyle w:val="FootnoteReference"/>
        </w:rPr>
        <w:footnoteRef/>
      </w:r>
      <w:r>
        <w:t xml:space="preserve"> </w:t>
      </w:r>
      <w:r>
        <w:t xml:space="preserve">Poolton 2026, PMID 42885452.</w:t>
      </w:r>
    </w:p>
  </w:footnote>
  <w:footnote w:id="907">
    <w:p>
      <w:pPr>
        <w:pStyle w:val="FootnoteText"/>
      </w:pPr>
      <w:r>
        <w:rPr>
          <w:rStyle w:val="FootnoteReference"/>
        </w:rPr>
        <w:footnoteRef/>
      </w:r>
      <w:r>
        <w:t xml:space="preserve"> </w:t>
      </w:r>
      <w:r>
        <w:t xml:space="preserve">Lee 2021, PMID 34324435.</w:t>
      </w:r>
    </w:p>
  </w:footnote>
  <w:footnote w:id="908">
    <w:p>
      <w:pPr>
        <w:pStyle w:val="FootnoteText"/>
      </w:pPr>
      <w:r>
        <w:rPr>
          <w:rStyle w:val="FootnoteReference"/>
        </w:rPr>
        <w:footnoteRef/>
      </w:r>
      <w:r>
        <w:t xml:space="preserve"> </w:t>
      </w:r>
      <w:r>
        <w:t xml:space="preserve">Lee 2024, PMID 39325560.</w:t>
      </w:r>
    </w:p>
  </w:footnote>
  <w:footnote w:id="909">
    <w:p>
      <w:pPr>
        <w:pStyle w:val="FootnoteText"/>
      </w:pPr>
      <w:r>
        <w:rPr>
          <w:rStyle w:val="FootnoteReference"/>
        </w:rPr>
        <w:footnoteRef/>
      </w:r>
      <w:r>
        <w:t xml:space="preserve"> </w:t>
      </w:r>
      <w:r>
        <w:t xml:space="preserve">Lee 2025, PMID 40131143.</w:t>
      </w:r>
    </w:p>
  </w:footnote>
  <w:footnote w:id="910">
    <w:p>
      <w:pPr>
        <w:pStyle w:val="FootnoteText"/>
      </w:pPr>
      <w:r>
        <w:rPr>
          <w:rStyle w:val="FootnoteReference"/>
        </w:rPr>
        <w:footnoteRef/>
      </w:r>
      <w:r>
        <w:t xml:space="preserve"> </w:t>
      </w:r>
      <w:r>
        <w:t xml:space="preserve">Poolton 2026, PMID 42885452.</w:t>
      </w:r>
    </w:p>
  </w:footnote>
  <w:footnote w:id="911">
    <w:p>
      <w:pPr>
        <w:pStyle w:val="FootnoteText"/>
      </w:pPr>
      <w:r>
        <w:rPr>
          <w:rStyle w:val="FootnoteReference"/>
        </w:rPr>
        <w:footnoteRef/>
      </w:r>
      <w:r>
        <w:t xml:space="preserve"> </w:t>
      </w:r>
      <w:r>
        <w:t xml:space="preserve">Vasireddi 2025, PMID 40756949.</w:t>
      </w:r>
    </w:p>
  </w:footnote>
  <w:footnote w:id="912">
    <w:p>
      <w:pPr>
        <w:pStyle w:val="FootnoteText"/>
      </w:pPr>
      <w:r>
        <w:rPr>
          <w:rStyle w:val="FootnoteReference"/>
        </w:rPr>
        <w:footnoteRef/>
      </w:r>
      <w:r>
        <w:t xml:space="preserve"> </w:t>
      </w:r>
      <w:r>
        <w:t xml:space="preserve">Tham 2026, PMID 42937313; Tewari 2026, PMID 42578445.</w:t>
      </w:r>
    </w:p>
  </w:footnote>
  <w:footnote w:id="914">
    <w:p>
      <w:pPr>
        <w:pStyle w:val="FootnoteText"/>
      </w:pPr>
      <w:r>
        <w:rPr>
          <w:rStyle w:val="FootnoteReference"/>
        </w:rPr>
        <w:footnoteRef/>
      </w:r>
      <w:r>
        <w:t xml:space="preserve"> </w:t>
      </w:r>
      <w:r>
        <w:t xml:space="preserve">Staresinic 2003, PMID 14554208.</w:t>
      </w:r>
    </w:p>
  </w:footnote>
  <w:footnote w:id="915">
    <w:p>
      <w:pPr>
        <w:pStyle w:val="FootnoteText"/>
      </w:pPr>
      <w:r>
        <w:rPr>
          <w:rStyle w:val="FootnoteReference"/>
        </w:rPr>
        <w:footnoteRef/>
      </w:r>
      <w:r>
        <w:t xml:space="preserve"> </w:t>
      </w:r>
      <w:r>
        <w:t xml:space="preserve">Seiwerth 2021, PMID 34267654.</w:t>
      </w:r>
    </w:p>
  </w:footnote>
  <w:footnote w:id="916">
    <w:p>
      <w:pPr>
        <w:pStyle w:val="FootnoteText"/>
      </w:pPr>
      <w:r>
        <w:rPr>
          <w:rStyle w:val="FootnoteReference"/>
        </w:rPr>
        <w:footnoteRef/>
      </w:r>
      <w:r>
        <w:t xml:space="preserve"> </w:t>
      </w:r>
      <w:r>
        <w:t xml:space="preserve">NCT02637284.</w:t>
      </w:r>
    </w:p>
  </w:footnote>
  <w:footnote w:id="919">
    <w:p>
      <w:pPr>
        <w:pStyle w:val="FootnoteText"/>
      </w:pPr>
      <w:r>
        <w:rPr>
          <w:rStyle w:val="FootnoteReference"/>
        </w:rPr>
        <w:footnoteRef/>
      </w:r>
      <w:r>
        <w:t xml:space="preserve"> </w:t>
      </w:r>
      <w:r>
        <w:t xml:space="preserve">Gwyer 2019, PMID 30915550.</w:t>
      </w:r>
    </w:p>
  </w:footnote>
  <w:footnote w:id="920">
    <w:p>
      <w:pPr>
        <w:pStyle w:val="FootnoteText"/>
      </w:pPr>
      <w:r>
        <w:rPr>
          <w:rStyle w:val="FootnoteReference"/>
        </w:rPr>
        <w:footnoteRef/>
      </w:r>
      <w:r>
        <w:t xml:space="preserve"> </w:t>
      </w:r>
      <w:r>
        <w:t xml:space="preserve">Demirtaş 2026, PMID 42794771.</w:t>
      </w:r>
    </w:p>
  </w:footnote>
  <w:footnote w:id="921">
    <w:p>
      <w:pPr>
        <w:pStyle w:val="FootnoteText"/>
      </w:pPr>
      <w:r>
        <w:rPr>
          <w:rStyle w:val="FootnoteReference"/>
        </w:rPr>
        <w:footnoteRef/>
      </w:r>
      <w:r>
        <w:t xml:space="preserve"> </w:t>
      </w:r>
      <w:r>
        <w:t xml:space="preserve">Whitehouse 2025, PMID 40759852.</w:t>
      </w:r>
    </w:p>
  </w:footnote>
  <w:footnote w:id="924">
    <w:p>
      <w:pPr>
        <w:pStyle w:val="FootnoteText"/>
      </w:pPr>
      <w:r>
        <w:rPr>
          <w:rStyle w:val="FootnoteReference"/>
        </w:rPr>
        <w:footnoteRef/>
      </w:r>
      <w:r>
        <w:t xml:space="preserve"> </w:t>
      </w:r>
      <w:r>
        <w:t xml:space="preserve">He 2022, PMID 36588717.</w:t>
      </w:r>
    </w:p>
  </w:footnote>
  <w:footnote w:id="925">
    <w:p>
      <w:pPr>
        <w:pStyle w:val="FootnoteText"/>
      </w:pPr>
      <w:r>
        <w:rPr>
          <w:rStyle w:val="FootnoteReference"/>
        </w:rPr>
        <w:footnoteRef/>
      </w:r>
      <w:r>
        <w:t xml:space="preserve"> </w:t>
      </w:r>
      <w:r>
        <w:t xml:space="preserve">Xu 2020, PMID 32334036.</w:t>
      </w:r>
    </w:p>
  </w:footnote>
  <w:footnote w:id="928">
    <w:p>
      <w:pPr>
        <w:pStyle w:val="FootnoteText"/>
      </w:pPr>
      <w:r>
        <w:rPr>
          <w:rStyle w:val="FootnoteReference"/>
        </w:rPr>
        <w:footnoteRef/>
      </w:r>
      <w:r>
        <w:t xml:space="preserve"> </w:t>
      </w:r>
      <w:r>
        <w:t xml:space="preserve">Poolton 2026, PMID 42885452.</w:t>
      </w:r>
    </w:p>
  </w:footnote>
  <w:footnote w:id="930">
    <w:p>
      <w:pPr>
        <w:pStyle w:val="FootnoteText"/>
      </w:pPr>
      <w:r>
        <w:rPr>
          <w:rStyle w:val="FootnoteReference"/>
        </w:rPr>
        <w:footnoteRef/>
      </w:r>
      <w:r>
        <w:t xml:space="preserve"> </w:t>
      </w:r>
      <w:r>
        <w:t xml:space="preserve">Hsieh 2017, PMID 27847966.</w:t>
      </w:r>
    </w:p>
  </w:footnote>
  <w:footnote w:id="931">
    <w:p>
      <w:pPr>
        <w:pStyle w:val="FootnoteText"/>
      </w:pPr>
      <w:r>
        <w:rPr>
          <w:rStyle w:val="FootnoteReference"/>
        </w:rPr>
        <w:footnoteRef/>
      </w:r>
      <w:r>
        <w:t xml:space="preserve"> </w:t>
      </w:r>
      <w:r>
        <w:t xml:space="preserve">Moiz 2026, PMID 42757290.</w:t>
      </w:r>
    </w:p>
  </w:footnote>
  <w:footnote w:id="932">
    <w:p>
      <w:pPr>
        <w:pStyle w:val="FootnoteText"/>
      </w:pPr>
      <w:r>
        <w:rPr>
          <w:rStyle w:val="FootnoteReference"/>
        </w:rPr>
        <w:footnoteRef/>
      </w:r>
      <w:r>
        <w:t xml:space="preserve"> </w:t>
      </w:r>
      <w:r>
        <w:t xml:space="preserve">Sikiric 2025, PMID 40573323.</w:t>
      </w:r>
    </w:p>
  </w:footnote>
  <w:footnote w:id="934">
    <w:p>
      <w:pPr>
        <w:pStyle w:val="FootnoteText"/>
      </w:pPr>
      <w:r>
        <w:rPr>
          <w:rStyle w:val="FootnoteReference"/>
        </w:rPr>
        <w:footnoteRef/>
      </w:r>
      <w:r>
        <w:t xml:space="preserve"> </w:t>
      </w:r>
      <w:r>
        <w:t xml:space="preserve">Tham 2026, PMID 42937313; Mendias 2026, PMID 41966639.</w:t>
      </w:r>
    </w:p>
  </w:footnote>
  <w:footnote w:id="935">
    <w:p>
      <w:pPr>
        <w:pStyle w:val="FootnoteText"/>
      </w:pPr>
      <w:r>
        <w:rPr>
          <w:rStyle w:val="FootnoteReference"/>
        </w:rPr>
        <w:footnoteRef/>
      </w:r>
      <w:r>
        <w:t xml:space="preserve"> </w:t>
      </w:r>
      <w:r>
        <w:t xml:space="preserve">Cox 2017, PMID 28035768.</w:t>
      </w:r>
    </w:p>
  </w:footnote>
  <w:footnote w:id="937">
    <w:p>
      <w:pPr>
        <w:pStyle w:val="FootnoteText"/>
      </w:pPr>
      <w:r>
        <w:rPr>
          <w:rStyle w:val="FootnoteReference"/>
        </w:rPr>
        <w:footnoteRef/>
      </w:r>
      <w:r>
        <w:t xml:space="preserve"> </w:t>
      </w:r>
      <w:r>
        <w:t xml:space="preserve">Sikiric 2025, PMID 40573323.</w:t>
      </w:r>
    </w:p>
  </w:footnote>
  <w:footnote w:id="938">
    <w:p>
      <w:pPr>
        <w:pStyle w:val="FootnoteText"/>
      </w:pPr>
      <w:r>
        <w:rPr>
          <w:rStyle w:val="FootnoteReference"/>
        </w:rPr>
        <w:footnoteRef/>
      </w:r>
      <w:r>
        <w:t xml:space="preserve"> </w:t>
      </w:r>
      <w:r>
        <w:t xml:space="preserve">Mendias 2026, PMID 41966639.</w:t>
      </w:r>
    </w:p>
  </w:footnote>
  <w:footnote w:id="941">
    <w:p>
      <w:pPr>
        <w:pStyle w:val="FootnoteText"/>
      </w:pPr>
      <w:r>
        <w:rPr>
          <w:rStyle w:val="FootnoteReference"/>
        </w:rPr>
        <w:footnoteRef/>
      </w:r>
      <w:r>
        <w:t xml:space="preserve"> </w:t>
      </w:r>
      <w:r>
        <w:t xml:space="preserve">Willis 2026, PMID 42752426.</w:t>
      </w:r>
    </w:p>
  </w:footnote>
  <w:footnote w:id="942">
    <w:p>
      <w:pPr>
        <w:pStyle w:val="FootnoteText"/>
      </w:pPr>
      <w:r>
        <w:rPr>
          <w:rStyle w:val="FootnoteReference"/>
        </w:rPr>
        <w:footnoteRef/>
      </w:r>
      <w:r>
        <w:t xml:space="preserve"> </w:t>
      </w:r>
      <w:r>
        <w:t xml:space="preserve">Józwiak 2025, PMID 40005999.</w:t>
      </w:r>
    </w:p>
  </w:footnote>
  <w:footnote w:id="943">
    <w:p>
      <w:pPr>
        <w:pStyle w:val="FootnoteText"/>
      </w:pPr>
      <w:r>
        <w:rPr>
          <w:rStyle w:val="FootnoteReference"/>
        </w:rPr>
        <w:footnoteRef/>
      </w:r>
      <w:r>
        <w:t xml:space="preserve"> </w:t>
      </w:r>
      <w:r>
        <w:t xml:space="preserve">Tian 2023, PMID 37959764.</w:t>
      </w:r>
    </w:p>
  </w:footnote>
  <w:footnote w:id="945">
    <w:p>
      <w:pPr>
        <w:pStyle w:val="FootnoteText"/>
      </w:pPr>
      <w:r>
        <w:rPr>
          <w:rStyle w:val="FootnoteReference"/>
        </w:rPr>
        <w:footnoteRef/>
      </w:r>
      <w:r>
        <w:t xml:space="preserve"> </w:t>
      </w:r>
      <w:r>
        <w:t xml:space="preserve">NCT07437547.</w:t>
      </w:r>
    </w:p>
  </w:footnote>
  <w:footnote w:id="946">
    <w:p>
      <w:pPr>
        <w:pStyle w:val="FootnoteText"/>
      </w:pPr>
      <w:r>
        <w:rPr>
          <w:rStyle w:val="FootnoteReference"/>
        </w:rPr>
        <w:footnoteRef/>
      </w:r>
      <w:r>
        <w:t xml:space="preserve"> </w:t>
      </w:r>
      <w:r>
        <w:t xml:space="preserve">NCT07487363.</w:t>
      </w:r>
    </w:p>
  </w:footnote>
  <w:footnote w:id="947">
    <w:p>
      <w:pPr>
        <w:pStyle w:val="FootnoteText"/>
      </w:pPr>
      <w:r>
        <w:rPr>
          <w:rStyle w:val="FootnoteReference"/>
        </w:rPr>
        <w:footnoteRef/>
      </w:r>
      <w:r>
        <w:t xml:space="preserve"> </w:t>
      </w:r>
      <w:r>
        <w:t xml:space="preserve">NCT07803250.</w:t>
      </w:r>
    </w:p>
  </w:footnote>
  <w:footnote w:id="948">
    <w:p>
      <w:pPr>
        <w:pStyle w:val="FootnoteText"/>
      </w:pPr>
      <w:r>
        <w:rPr>
          <w:rStyle w:val="FootnoteReference"/>
        </w:rPr>
        <w:footnoteRef/>
      </w:r>
      <w:r>
        <w:t xml:space="preserve"> </w:t>
      </w:r>
      <w:r>
        <w:t xml:space="preserve">NCT07752381.</w:t>
      </w:r>
    </w:p>
  </w:footnote>
  <w:footnote w:id="949">
    <w:p>
      <w:pPr>
        <w:pStyle w:val="FootnoteText"/>
      </w:pPr>
      <w:r>
        <w:rPr>
          <w:rStyle w:val="FootnoteReference"/>
        </w:rPr>
        <w:footnoteRef/>
      </w:r>
      <w:r>
        <w:t xml:space="preserve"> </w:t>
      </w:r>
      <w:r>
        <w:t xml:space="preserve">Mateescu 2026, PMID 42198317.</w:t>
      </w:r>
    </w:p>
  </w:footnote>
  <w:footnote w:id="951">
    <w:p>
      <w:pPr>
        <w:pStyle w:val="FootnoteText"/>
      </w:pPr>
      <w:r>
        <w:rPr>
          <w:rStyle w:val="FootnoteReference"/>
        </w:rPr>
        <w:footnoteRef/>
      </w:r>
      <w:r>
        <w:t xml:space="preserve"> </w:t>
      </w:r>
      <w:r>
        <w:t xml:space="preserve">Poolton 2026, PMID 42885452.</w:t>
      </w:r>
    </w:p>
  </w:footnote>
  <w:footnote w:id="952">
    <w:p>
      <w:pPr>
        <w:pStyle w:val="FootnoteText"/>
      </w:pPr>
      <w:r>
        <w:rPr>
          <w:rStyle w:val="FootnoteReference"/>
        </w:rPr>
        <w:footnoteRef/>
      </w:r>
      <w:r>
        <w:t xml:space="preserve"> </w:t>
      </w:r>
      <w:r>
        <w:t xml:space="preserve">NCT07803250.</w:t>
      </w:r>
    </w:p>
  </w:footnote>
  <w:footnote w:id="955">
    <w:p>
      <w:pPr>
        <w:pStyle w:val="FootnoteText"/>
      </w:pPr>
      <w:r>
        <w:rPr>
          <w:rStyle w:val="FootnoteReference"/>
        </w:rPr>
        <w:footnoteRef/>
      </w:r>
      <w:r>
        <w:t xml:space="preserve"> </w:t>
      </w:r>
      <w:r>
        <w:t xml:space="preserve">Esposito 2012, PMID 22962027.</w:t>
      </w:r>
    </w:p>
  </w:footnote>
  <w:footnote w:id="957">
    <w:p>
      <w:pPr>
        <w:pStyle w:val="FootnoteText"/>
      </w:pPr>
      <w:r>
        <w:rPr>
          <w:rStyle w:val="FootnoteReference"/>
        </w:rPr>
        <w:footnoteRef/>
      </w:r>
      <w:r>
        <w:t xml:space="preserve"> </w:t>
      </w:r>
      <w:r>
        <w:t xml:space="preserve">Sosne 2010, PMID 20179146.</w:t>
      </w:r>
    </w:p>
  </w:footnote>
  <w:footnote w:id="958">
    <w:p>
      <w:pPr>
        <w:pStyle w:val="FootnoteText"/>
      </w:pPr>
      <w:r>
        <w:rPr>
          <w:rStyle w:val="FootnoteReference"/>
        </w:rPr>
        <w:footnoteRef/>
      </w:r>
      <w:r>
        <w:t xml:space="preserve"> </w:t>
      </w:r>
      <w:r>
        <w:t xml:space="preserve">Philp 2003, PMID 14500546.</w:t>
      </w:r>
    </w:p>
  </w:footnote>
  <w:footnote w:id="959">
    <w:p>
      <w:pPr>
        <w:pStyle w:val="FootnoteText"/>
      </w:pPr>
      <w:r>
        <w:rPr>
          <w:rStyle w:val="FootnoteReference"/>
        </w:rPr>
        <w:footnoteRef/>
      </w:r>
      <w:r>
        <w:t xml:space="preserve"> </w:t>
      </w:r>
      <w:r>
        <w:t xml:space="preserve">Rahaman 2024, PMID 38382158.</w:t>
      </w:r>
    </w:p>
  </w:footnote>
  <w:footnote w:id="960">
    <w:p>
      <w:pPr>
        <w:pStyle w:val="FootnoteText"/>
      </w:pPr>
      <w:r>
        <w:rPr>
          <w:rStyle w:val="FootnoteReference"/>
        </w:rPr>
        <w:footnoteRef/>
      </w:r>
      <w:r>
        <w:t xml:space="preserve"> </w:t>
      </w:r>
      <w:r>
        <w:t xml:space="preserve">Tham 2026, PMID 42937313.</w:t>
      </w:r>
    </w:p>
  </w:footnote>
  <w:footnote w:id="962">
    <w:p>
      <w:pPr>
        <w:pStyle w:val="FootnoteText"/>
      </w:pPr>
      <w:r>
        <w:rPr>
          <w:rStyle w:val="FootnoteReference"/>
        </w:rPr>
        <w:footnoteRef/>
      </w:r>
      <w:r>
        <w:t xml:space="preserve"> </w:t>
      </w:r>
      <w:r>
        <w:t xml:space="preserve">Sosne 2015, PMID 25826322.</w:t>
      </w:r>
    </w:p>
  </w:footnote>
  <w:footnote w:id="963">
    <w:p>
      <w:pPr>
        <w:pStyle w:val="FootnoteText"/>
      </w:pPr>
      <w:r>
        <w:rPr>
          <w:rStyle w:val="FootnoteReference"/>
        </w:rPr>
        <w:footnoteRef/>
      </w:r>
      <w:r>
        <w:t xml:space="preserve"> </w:t>
      </w:r>
      <w:r>
        <w:t xml:space="preserve">Sosne 2015, PMID 26056426.</w:t>
      </w:r>
    </w:p>
  </w:footnote>
  <w:footnote w:id="964">
    <w:p>
      <w:pPr>
        <w:pStyle w:val="FootnoteText"/>
      </w:pPr>
      <w:r>
        <w:rPr>
          <w:rStyle w:val="FootnoteReference"/>
        </w:rPr>
        <w:footnoteRef/>
      </w:r>
      <w:r>
        <w:t xml:space="preserve"> </w:t>
      </w:r>
      <w:r>
        <w:t xml:space="preserve">NCT02974907; NCT03937882.</w:t>
      </w:r>
    </w:p>
  </w:footnote>
  <w:footnote w:id="965">
    <w:p>
      <w:pPr>
        <w:pStyle w:val="FootnoteText"/>
      </w:pPr>
      <w:r>
        <w:rPr>
          <w:rStyle w:val="FootnoteReference"/>
        </w:rPr>
        <w:footnoteRef/>
      </w:r>
      <w:r>
        <w:t xml:space="preserve"> </w:t>
      </w:r>
      <w:r>
        <w:t xml:space="preserve">Sosne 2022, PMID 36613994.</w:t>
      </w:r>
    </w:p>
  </w:footnote>
  <w:footnote w:id="966">
    <w:p>
      <w:pPr>
        <w:pStyle w:val="FootnoteText"/>
      </w:pPr>
      <w:r>
        <w:rPr>
          <w:rStyle w:val="FootnoteReference"/>
        </w:rPr>
        <w:footnoteRef/>
      </w:r>
      <w:r>
        <w:t xml:space="preserve"> </w:t>
      </w:r>
      <w:r>
        <w:t xml:space="preserve">Kruoch 2025, PMID 41347649.</w:t>
      </w:r>
    </w:p>
  </w:footnote>
  <w:footnote w:id="968">
    <w:p>
      <w:pPr>
        <w:pStyle w:val="FootnoteText"/>
      </w:pPr>
      <w:r>
        <w:rPr>
          <w:rStyle w:val="FootnoteReference"/>
        </w:rPr>
        <w:footnoteRef/>
      </w:r>
      <w:r>
        <w:t xml:space="preserve"> </w:t>
      </w:r>
      <w:r>
        <w:t xml:space="preserve">Zhang 2025, PMID 41229390.</w:t>
      </w:r>
    </w:p>
  </w:footnote>
  <w:footnote w:id="970">
    <w:p>
      <w:pPr>
        <w:pStyle w:val="FootnoteText"/>
      </w:pPr>
      <w:r>
        <w:rPr>
          <w:rStyle w:val="FootnoteReference"/>
        </w:rPr>
        <w:footnoteRef/>
      </w:r>
      <w:r>
        <w:t xml:space="preserve"> </w:t>
      </w:r>
      <w:r>
        <w:t xml:space="preserve">Guarnera 2010, PMID 20536470.</w:t>
      </w:r>
    </w:p>
  </w:footnote>
  <w:footnote w:id="971">
    <w:p>
      <w:pPr>
        <w:pStyle w:val="FootnoteText"/>
      </w:pPr>
      <w:r>
        <w:rPr>
          <w:rStyle w:val="FootnoteReference"/>
        </w:rPr>
        <w:footnoteRef/>
      </w:r>
      <w:r>
        <w:t xml:space="preserve"> </w:t>
      </w:r>
      <w:r>
        <w:t xml:space="preserve">NCT00311766.</w:t>
      </w:r>
    </w:p>
  </w:footnote>
  <w:footnote w:id="973">
    <w:p>
      <w:pPr>
        <w:pStyle w:val="FootnoteText"/>
      </w:pPr>
      <w:r>
        <w:rPr>
          <w:rStyle w:val="FootnoteReference"/>
        </w:rPr>
        <w:footnoteRef/>
      </w:r>
      <w:r>
        <w:t xml:space="preserve"> </w:t>
      </w:r>
      <w:r>
        <w:t xml:space="preserve">NCT07487363.</w:t>
      </w:r>
    </w:p>
  </w:footnote>
  <w:footnote w:id="974">
    <w:p>
      <w:pPr>
        <w:pStyle w:val="FootnoteText"/>
      </w:pPr>
      <w:r>
        <w:rPr>
          <w:rStyle w:val="FootnoteReference"/>
        </w:rPr>
        <w:footnoteRef/>
      </w:r>
      <w:r>
        <w:t xml:space="preserve"> </w:t>
      </w:r>
      <w:r>
        <w:t xml:space="preserve">Lee 2021, PMID 34324435.</w:t>
      </w:r>
    </w:p>
  </w:footnote>
  <w:footnote w:id="977">
    <w:p>
      <w:pPr>
        <w:pStyle w:val="FootnoteText"/>
      </w:pPr>
      <w:r>
        <w:rPr>
          <w:rStyle w:val="FootnoteReference"/>
        </w:rPr>
        <w:footnoteRef/>
      </w:r>
      <w:r>
        <w:t xml:space="preserve"> </w:t>
      </w:r>
      <w:r>
        <w:t xml:space="preserve">Bock-Marquette 2004, PMID 15565145.</w:t>
      </w:r>
    </w:p>
  </w:footnote>
  <w:footnote w:id="978">
    <w:p>
      <w:pPr>
        <w:pStyle w:val="FootnoteText"/>
      </w:pPr>
      <w:r>
        <w:rPr>
          <w:rStyle w:val="FootnoteReference"/>
        </w:rPr>
        <w:footnoteRef/>
      </w:r>
      <w:r>
        <w:t xml:space="preserve"> </w:t>
      </w:r>
      <w:r>
        <w:t xml:space="preserve">Smart 2007, PMID 17108969.</w:t>
      </w:r>
    </w:p>
  </w:footnote>
  <w:footnote w:id="979">
    <w:p>
      <w:pPr>
        <w:pStyle w:val="FootnoteText"/>
      </w:pPr>
      <w:r>
        <w:rPr>
          <w:rStyle w:val="FootnoteReference"/>
        </w:rPr>
        <w:footnoteRef/>
      </w:r>
      <w:r>
        <w:t xml:space="preserve"> </w:t>
      </w:r>
      <w:r>
        <w:t xml:space="preserve">Kispert 2012, PMID 22019445.</w:t>
      </w:r>
    </w:p>
  </w:footnote>
  <w:footnote w:id="980">
    <w:p>
      <w:pPr>
        <w:pStyle w:val="FootnoteText"/>
      </w:pPr>
      <w:r>
        <w:rPr>
          <w:rStyle w:val="FootnoteReference"/>
        </w:rPr>
        <w:footnoteRef/>
      </w:r>
      <w:r>
        <w:t xml:space="preserve"> </w:t>
      </w:r>
      <w:r>
        <w:t xml:space="preserve">Tao 2024, PMID 38757041.</w:t>
      </w:r>
    </w:p>
  </w:footnote>
  <w:footnote w:id="981">
    <w:p>
      <w:pPr>
        <w:pStyle w:val="FootnoteText"/>
      </w:pPr>
      <w:r>
        <w:rPr>
          <w:rStyle w:val="FootnoteReference"/>
        </w:rPr>
        <w:footnoteRef/>
      </w:r>
      <w:r>
        <w:t xml:space="preserve"> </w:t>
      </w:r>
      <w:r>
        <w:t xml:space="preserve">Brady 2014, PMID 25042765.</w:t>
      </w:r>
    </w:p>
  </w:footnote>
  <w:footnote w:id="982">
    <w:p>
      <w:pPr>
        <w:pStyle w:val="FootnoteText"/>
      </w:pPr>
      <w:r>
        <w:rPr>
          <w:rStyle w:val="FootnoteReference"/>
        </w:rPr>
        <w:footnoteRef/>
      </w:r>
      <w:r>
        <w:t xml:space="preserve"> </w:t>
      </w:r>
      <w:r>
        <w:t xml:space="preserve">Tham 2026, PMID 42937313.</w:t>
      </w:r>
    </w:p>
  </w:footnote>
  <w:footnote w:id="983">
    <w:p>
      <w:pPr>
        <w:pStyle w:val="FootnoteText"/>
      </w:pPr>
      <w:r>
        <w:rPr>
          <w:rStyle w:val="FootnoteReference"/>
        </w:rPr>
        <w:footnoteRef/>
      </w:r>
      <w:r>
        <w:t xml:space="preserve"> </w:t>
      </w:r>
      <w:r>
        <w:t xml:space="preserve">Biçer 2026, PMID 42542926.</w:t>
      </w:r>
    </w:p>
  </w:footnote>
  <w:footnote w:id="985">
    <w:p>
      <w:pPr>
        <w:pStyle w:val="FootnoteText"/>
      </w:pPr>
      <w:r>
        <w:rPr>
          <w:rStyle w:val="FootnoteReference"/>
        </w:rPr>
        <w:footnoteRef/>
      </w:r>
      <w:r>
        <w:t xml:space="preserve"> </w:t>
      </w:r>
      <w:r>
        <w:t xml:space="preserve">Ruff 2010, PMID 20536472.</w:t>
      </w:r>
    </w:p>
  </w:footnote>
  <w:footnote w:id="986">
    <w:p>
      <w:pPr>
        <w:pStyle w:val="FootnoteText"/>
      </w:pPr>
      <w:r>
        <w:rPr>
          <w:rStyle w:val="FootnoteReference"/>
        </w:rPr>
        <w:footnoteRef/>
      </w:r>
      <w:r>
        <w:t xml:space="preserve"> </w:t>
      </w:r>
      <w:r>
        <w:t xml:space="preserve">Wang 2021, PMID 34346165.</w:t>
      </w:r>
    </w:p>
  </w:footnote>
  <w:footnote w:id="988">
    <w:p>
      <w:pPr>
        <w:pStyle w:val="FootnoteText"/>
      </w:pPr>
      <w:r>
        <w:rPr>
          <w:rStyle w:val="FootnoteReference"/>
        </w:rPr>
        <w:footnoteRef/>
      </w:r>
      <w:r>
        <w:t xml:space="preserve"> </w:t>
      </w:r>
      <w:r>
        <w:t xml:space="preserve">Wang 2016, PMID 27596300.</w:t>
      </w:r>
    </w:p>
  </w:footnote>
  <w:footnote w:id="989">
    <w:p>
      <w:pPr>
        <w:pStyle w:val="FootnoteText"/>
      </w:pPr>
      <w:r>
        <w:rPr>
          <w:rStyle w:val="FootnoteReference"/>
        </w:rPr>
        <w:footnoteRef/>
      </w:r>
      <w:r>
        <w:t xml:space="preserve"> </w:t>
      </w:r>
      <w:r>
        <w:t xml:space="preserve">Larsson 2007, PMID 17495241.</w:t>
      </w:r>
    </w:p>
  </w:footnote>
  <w:footnote w:id="991">
    <w:p>
      <w:pPr>
        <w:pStyle w:val="FootnoteText"/>
      </w:pPr>
      <w:r>
        <w:rPr>
          <w:rStyle w:val="FootnoteReference"/>
        </w:rPr>
        <w:footnoteRef/>
      </w:r>
      <w:r>
        <w:t xml:space="preserve"> </w:t>
      </w:r>
      <w:r>
        <w:t xml:space="preserve">Delcourt 2023, PMID 36482504.</w:t>
      </w:r>
    </w:p>
  </w:footnote>
  <w:footnote w:id="992">
    <w:p>
      <w:pPr>
        <w:pStyle w:val="FootnoteText"/>
      </w:pPr>
      <w:r>
        <w:rPr>
          <w:rStyle w:val="FootnoteReference"/>
        </w:rPr>
        <w:footnoteRef/>
      </w:r>
      <w:r>
        <w:t xml:space="preserve"> </w:t>
      </w:r>
      <w:r>
        <w:t xml:space="preserve">Ho 2012, PMID 23084823.</w:t>
      </w:r>
    </w:p>
  </w:footnote>
  <w:footnote w:id="995">
    <w:p>
      <w:pPr>
        <w:pStyle w:val="FootnoteText"/>
      </w:pPr>
      <w:r>
        <w:rPr>
          <w:rStyle w:val="FootnoteReference"/>
        </w:rPr>
        <w:footnoteRef/>
      </w:r>
      <w:r>
        <w:t xml:space="preserve"> </w:t>
      </w:r>
      <w:r>
        <w:t xml:space="preserve">Willis 2026, PMID 42752426.</w:t>
      </w:r>
    </w:p>
  </w:footnote>
  <w:footnote w:id="996">
    <w:p>
      <w:pPr>
        <w:pStyle w:val="FootnoteText"/>
      </w:pPr>
      <w:r>
        <w:rPr>
          <w:rStyle w:val="FootnoteReference"/>
        </w:rPr>
        <w:footnoteRef/>
      </w:r>
      <w:r>
        <w:t xml:space="preserve"> </w:t>
      </w:r>
      <w:r>
        <w:t xml:space="preserve">Delcourt 2025, PMID 39314109.</w:t>
      </w:r>
    </w:p>
  </w:footnote>
  <w:footnote w:id="998">
    <w:p>
      <w:pPr>
        <w:pStyle w:val="FootnoteText"/>
      </w:pPr>
      <w:r>
        <w:rPr>
          <w:rStyle w:val="FootnoteReference"/>
        </w:rPr>
        <w:footnoteRef/>
      </w:r>
      <w:r>
        <w:t xml:space="preserve"> </w:t>
      </w:r>
      <w:r>
        <w:t xml:space="preserve">NCT05555589.</w:t>
      </w:r>
    </w:p>
  </w:footnote>
  <w:footnote w:id="999">
    <w:p>
      <w:pPr>
        <w:pStyle w:val="FootnoteText"/>
      </w:pPr>
      <w:r>
        <w:rPr>
          <w:rStyle w:val="FootnoteReference"/>
        </w:rPr>
        <w:footnoteRef/>
      </w:r>
      <w:r>
        <w:t xml:space="preserve"> </w:t>
      </w:r>
      <w:r>
        <w:t xml:space="preserve">NCT07586865.</w:t>
      </w:r>
    </w:p>
  </w:footnote>
  <w:footnote w:id="1000">
    <w:p>
      <w:pPr>
        <w:pStyle w:val="FootnoteText"/>
      </w:pPr>
      <w:r>
        <w:rPr>
          <w:rStyle w:val="FootnoteReference"/>
        </w:rPr>
        <w:footnoteRef/>
      </w:r>
      <w:r>
        <w:t xml:space="preserve"> </w:t>
      </w:r>
      <w:r>
        <w:t xml:space="preserve">NCT05485818; NCT05984134.</w:t>
      </w:r>
    </w:p>
  </w:footnote>
  <w:footnote w:id="1002">
    <w:p>
      <w:pPr>
        <w:pStyle w:val="FootnoteText"/>
      </w:pPr>
      <w:r>
        <w:rPr>
          <w:rStyle w:val="FootnoteReference"/>
        </w:rPr>
        <w:footnoteRef/>
      </w:r>
      <w:r>
        <w:t xml:space="preserve"> </w:t>
      </w:r>
      <w:r>
        <w:t xml:space="preserve">Zhang 2025, PMID 41229390.</w:t>
      </w:r>
    </w:p>
  </w:footnote>
  <w:footnote w:id="1005">
    <w:p>
      <w:pPr>
        <w:pStyle w:val="FootnoteText"/>
      </w:pPr>
      <w:r>
        <w:rPr>
          <w:rStyle w:val="FootnoteReference"/>
        </w:rPr>
        <w:footnoteRef/>
      </w:r>
      <w:r>
        <w:t xml:space="preserve"> </w:t>
      </w:r>
      <w:r>
        <w:t xml:space="preserve">Iino 2005, PMID 15850471.</w:t>
      </w:r>
    </w:p>
  </w:footnote>
  <w:footnote w:id="1006">
    <w:p>
      <w:pPr>
        <w:pStyle w:val="FootnoteText"/>
      </w:pPr>
      <w:r>
        <w:rPr>
          <w:rStyle w:val="FootnoteReference"/>
        </w:rPr>
        <w:footnoteRef/>
      </w:r>
      <w:r>
        <w:t xml:space="preserve"> </w:t>
      </w:r>
      <w:r>
        <w:t xml:space="preserve">Dinetz 2024, PMID 38308608.</w:t>
      </w:r>
    </w:p>
  </w:footnote>
  <w:footnote w:id="1008">
    <w:p>
      <w:pPr>
        <w:pStyle w:val="FootnoteText"/>
      </w:pPr>
      <w:r>
        <w:rPr>
          <w:rStyle w:val="FootnoteReference"/>
        </w:rPr>
        <w:footnoteRef/>
      </w:r>
      <w:r>
        <w:t xml:space="preserve"> </w:t>
      </w:r>
      <w:r>
        <w:t xml:space="preserve">Garaci 2007, PMID 17600290.</w:t>
      </w:r>
    </w:p>
  </w:footnote>
  <w:footnote w:id="1009">
    <w:p>
      <w:pPr>
        <w:pStyle w:val="FootnoteText"/>
      </w:pPr>
      <w:r>
        <w:rPr>
          <w:rStyle w:val="FootnoteReference"/>
        </w:rPr>
        <w:footnoteRef/>
      </w:r>
      <w:r>
        <w:t xml:space="preserve"> </w:t>
      </w:r>
      <w:r>
        <w:t xml:space="preserve">Ancell 2001, PMID 11381492.</w:t>
      </w:r>
    </w:p>
  </w:footnote>
  <w:footnote w:id="1011">
    <w:p>
      <w:pPr>
        <w:pStyle w:val="FootnoteText"/>
      </w:pPr>
      <w:r>
        <w:rPr>
          <w:rStyle w:val="FootnoteReference"/>
        </w:rPr>
        <w:footnoteRef/>
      </w:r>
      <w:r>
        <w:t xml:space="preserve"> </w:t>
      </w:r>
      <w:r>
        <w:t xml:space="preserve">Dinetz 2024, PMID 38308608.</w:t>
      </w:r>
    </w:p>
  </w:footnote>
  <w:footnote w:id="1013">
    <w:p>
      <w:pPr>
        <w:pStyle w:val="FootnoteText"/>
      </w:pPr>
      <w:r>
        <w:rPr>
          <w:rStyle w:val="FootnoteReference"/>
        </w:rPr>
        <w:footnoteRef/>
      </w:r>
      <w:r>
        <w:t xml:space="preserve"> </w:t>
      </w:r>
      <w:r>
        <w:t xml:space="preserve">Chien 1998, PMID 9581695.</w:t>
      </w:r>
    </w:p>
  </w:footnote>
  <w:footnote w:id="1014">
    <w:p>
      <w:pPr>
        <w:pStyle w:val="FootnoteText"/>
      </w:pPr>
      <w:r>
        <w:rPr>
          <w:rStyle w:val="FootnoteReference"/>
        </w:rPr>
        <w:footnoteRef/>
      </w:r>
      <w:r>
        <w:t xml:space="preserve"> </w:t>
      </w:r>
      <w:r>
        <w:t xml:space="preserve">Mutchnick 1999, PMID 10607256.</w:t>
      </w:r>
    </w:p>
  </w:footnote>
  <w:footnote w:id="1015">
    <w:p>
      <w:pPr>
        <w:pStyle w:val="FootnoteText"/>
      </w:pPr>
      <w:r>
        <w:rPr>
          <w:rStyle w:val="FootnoteReference"/>
        </w:rPr>
        <w:footnoteRef/>
      </w:r>
      <w:r>
        <w:t xml:space="preserve"> </w:t>
      </w:r>
      <w:r>
        <w:t xml:space="preserve">Yang 2008, PMID 18078676.</w:t>
      </w:r>
    </w:p>
  </w:footnote>
  <w:footnote w:id="1016">
    <w:p>
      <w:pPr>
        <w:pStyle w:val="FootnoteText"/>
      </w:pPr>
      <w:r>
        <w:rPr>
          <w:rStyle w:val="FootnoteReference"/>
        </w:rPr>
        <w:footnoteRef/>
      </w:r>
      <w:r>
        <w:t xml:space="preserve"> </w:t>
      </w:r>
      <w:r>
        <w:t xml:space="preserve">Wu 2018, PMID 30063860.</w:t>
      </w:r>
    </w:p>
  </w:footnote>
  <w:footnote w:id="1017">
    <w:p>
      <w:pPr>
        <w:pStyle w:val="FootnoteText"/>
      </w:pPr>
      <w:r>
        <w:rPr>
          <w:rStyle w:val="FootnoteReference"/>
        </w:rPr>
        <w:footnoteRef/>
      </w:r>
      <w:r>
        <w:t xml:space="preserve"> </w:t>
      </w:r>
      <w:r>
        <w:t xml:space="preserve">Peng 2020, PMID 33076834.</w:t>
      </w:r>
    </w:p>
  </w:footnote>
  <w:footnote w:id="1018">
    <w:p>
      <w:pPr>
        <w:pStyle w:val="FootnoteText"/>
      </w:pPr>
      <w:r>
        <w:rPr>
          <w:rStyle w:val="FootnoteReference"/>
        </w:rPr>
        <w:footnoteRef/>
      </w:r>
      <w:r>
        <w:t xml:space="preserve"> </w:t>
      </w:r>
      <w:r>
        <w:t xml:space="preserve">Chen 2022, PMID 35616850.</w:t>
      </w:r>
    </w:p>
  </w:footnote>
  <w:footnote w:id="1019">
    <w:p>
      <w:pPr>
        <w:pStyle w:val="FootnoteText"/>
      </w:pPr>
      <w:r>
        <w:rPr>
          <w:rStyle w:val="FootnoteReference"/>
        </w:rPr>
        <w:footnoteRef/>
      </w:r>
      <w:r>
        <w:t xml:space="preserve"> </w:t>
      </w:r>
      <w:r>
        <w:t xml:space="preserve">Sherman 1998, PMID 9537454; Andreone 2004, PMID 14738560.</w:t>
      </w:r>
    </w:p>
  </w:footnote>
  <w:footnote w:id="1021">
    <w:p>
      <w:pPr>
        <w:pStyle w:val="FootnoteText"/>
      </w:pPr>
      <w:r>
        <w:rPr>
          <w:rStyle w:val="FootnoteReference"/>
        </w:rPr>
        <w:footnoteRef/>
      </w:r>
      <w:r>
        <w:t xml:space="preserve"> </w:t>
      </w:r>
      <w:r>
        <w:t xml:space="preserve">Wu 2013, PMID 23327199.</w:t>
      </w:r>
    </w:p>
  </w:footnote>
  <w:footnote w:id="1022">
    <w:p>
      <w:pPr>
        <w:pStyle w:val="FootnoteText"/>
      </w:pPr>
      <w:r>
        <w:rPr>
          <w:rStyle w:val="FootnoteReference"/>
        </w:rPr>
        <w:footnoteRef/>
      </w:r>
      <w:r>
        <w:t xml:space="preserve"> </w:t>
      </w:r>
      <w:r>
        <w:t xml:space="preserve">Wu 2025, PMID 39814420.</w:t>
      </w:r>
    </w:p>
  </w:footnote>
  <w:footnote w:id="1023">
    <w:p>
      <w:pPr>
        <w:pStyle w:val="FootnoteText"/>
      </w:pPr>
      <w:r>
        <w:rPr>
          <w:rStyle w:val="FootnoteReference"/>
        </w:rPr>
        <w:footnoteRef/>
      </w:r>
      <w:r>
        <w:t xml:space="preserve"> </w:t>
      </w:r>
      <w:r>
        <w:t xml:space="preserve">Gu 2025, PMID 40969554.</w:t>
      </w:r>
    </w:p>
  </w:footnote>
  <w:footnote w:id="1024">
    <w:p>
      <w:pPr>
        <w:pStyle w:val="FootnoteText"/>
      </w:pPr>
      <w:r>
        <w:rPr>
          <w:rStyle w:val="FootnoteReference"/>
        </w:rPr>
        <w:footnoteRef/>
      </w:r>
      <w:r>
        <w:t xml:space="preserve"> </w:t>
      </w:r>
      <w:r>
        <w:t xml:space="preserve">Luo 2026, PMID 42205841.</w:t>
      </w:r>
    </w:p>
  </w:footnote>
  <w:footnote w:id="1026">
    <w:p>
      <w:pPr>
        <w:pStyle w:val="FootnoteText"/>
      </w:pPr>
      <w:r>
        <w:rPr>
          <w:rStyle w:val="FootnoteReference"/>
        </w:rPr>
        <w:footnoteRef/>
      </w:r>
      <w:r>
        <w:t xml:space="preserve"> </w:t>
      </w:r>
      <w:r>
        <w:t xml:space="preserve">Liu 2020, PMID 32442287.</w:t>
      </w:r>
    </w:p>
  </w:footnote>
  <w:footnote w:id="1027">
    <w:p>
      <w:pPr>
        <w:pStyle w:val="FootnoteText"/>
      </w:pPr>
      <w:r>
        <w:rPr>
          <w:rStyle w:val="FootnoteReference"/>
        </w:rPr>
        <w:footnoteRef/>
      </w:r>
      <w:r>
        <w:t xml:space="preserve"> </w:t>
      </w:r>
      <w:r>
        <w:t xml:space="preserve">Liu 2021, PMID 34408744.</w:t>
      </w:r>
    </w:p>
  </w:footnote>
  <w:footnote w:id="1028">
    <w:p>
      <w:pPr>
        <w:pStyle w:val="FootnoteText"/>
      </w:pPr>
      <w:r>
        <w:rPr>
          <w:rStyle w:val="FootnoteReference"/>
        </w:rPr>
        <w:footnoteRef/>
      </w:r>
      <w:r>
        <w:t xml:space="preserve"> </w:t>
      </w:r>
      <w:r>
        <w:t xml:space="preserve">Shehadeh 2023, PMID 36056913.</w:t>
      </w:r>
    </w:p>
  </w:footnote>
  <w:footnote w:id="1029">
    <w:p>
      <w:pPr>
        <w:pStyle w:val="FootnoteText"/>
      </w:pPr>
      <w:r>
        <w:rPr>
          <w:rStyle w:val="FootnoteReference"/>
        </w:rPr>
        <w:footnoteRef/>
      </w:r>
      <w:r>
        <w:t xml:space="preserve"> </w:t>
      </w:r>
      <w:r>
        <w:t xml:space="preserve">Shang 2023, PMID 36527881.</w:t>
      </w:r>
    </w:p>
  </w:footnote>
  <w:footnote w:id="1030">
    <w:p>
      <w:pPr>
        <w:pStyle w:val="FootnoteText"/>
      </w:pPr>
      <w:r>
        <w:rPr>
          <w:rStyle w:val="FootnoteReference"/>
        </w:rPr>
        <w:footnoteRef/>
      </w:r>
      <w:r>
        <w:t xml:space="preserve"> </w:t>
      </w:r>
      <w:r>
        <w:t xml:space="preserve">Soeroto 2023, PMID 37845598.</w:t>
      </w:r>
    </w:p>
  </w:footnote>
  <w:footnote w:id="1032">
    <w:p>
      <w:pPr>
        <w:pStyle w:val="FootnoteText"/>
      </w:pPr>
      <w:r>
        <w:rPr>
          <w:rStyle w:val="FootnoteReference"/>
        </w:rPr>
        <w:footnoteRef/>
      </w:r>
      <w:r>
        <w:t xml:space="preserve"> </w:t>
      </w:r>
      <w:r>
        <w:t xml:space="preserve">Maio 2010, PMID 20194853.</w:t>
      </w:r>
    </w:p>
  </w:footnote>
  <w:footnote w:id="1033">
    <w:p>
      <w:pPr>
        <w:pStyle w:val="FootnoteText"/>
      </w:pPr>
      <w:r>
        <w:rPr>
          <w:rStyle w:val="FootnoteReference"/>
        </w:rPr>
        <w:footnoteRef/>
      </w:r>
      <w:r>
        <w:t xml:space="preserve"> </w:t>
      </w:r>
      <w:r>
        <w:t xml:space="preserve">Kim 2026, PMID 42797537.</w:t>
      </w:r>
    </w:p>
  </w:footnote>
  <w:footnote w:id="1034">
    <w:p>
      <w:pPr>
        <w:pStyle w:val="FootnoteText"/>
      </w:pPr>
      <w:r>
        <w:rPr>
          <w:rStyle w:val="FootnoteReference"/>
        </w:rPr>
        <w:footnoteRef/>
      </w:r>
      <w:r>
        <w:t xml:space="preserve"> </w:t>
      </w:r>
      <w:r>
        <w:t xml:space="preserve">Xu 2026, PMID 41749205.</w:t>
      </w:r>
    </w:p>
  </w:footnote>
  <w:footnote w:id="1036">
    <w:p>
      <w:pPr>
        <w:pStyle w:val="FootnoteText"/>
      </w:pPr>
      <w:r>
        <w:rPr>
          <w:rStyle w:val="FootnoteReference"/>
        </w:rPr>
        <w:footnoteRef/>
      </w:r>
      <w:r>
        <w:t xml:space="preserve"> </w:t>
      </w:r>
      <w:r>
        <w:t xml:space="preserve">Gravenstein 1989, PMID 2642497.</w:t>
      </w:r>
    </w:p>
  </w:footnote>
  <w:footnote w:id="1037">
    <w:p>
      <w:pPr>
        <w:pStyle w:val="FootnoteText"/>
      </w:pPr>
      <w:r>
        <w:rPr>
          <w:rStyle w:val="FootnoteReference"/>
        </w:rPr>
        <w:footnoteRef/>
      </w:r>
      <w:r>
        <w:t xml:space="preserve"> </w:t>
      </w:r>
      <w:r>
        <w:t xml:space="preserve">Tuthill 2023, PMID 36881981.</w:t>
      </w:r>
    </w:p>
  </w:footnote>
  <w:footnote w:id="1038">
    <w:p>
      <w:pPr>
        <w:pStyle w:val="FootnoteText"/>
      </w:pPr>
      <w:r>
        <w:rPr>
          <w:rStyle w:val="FootnoteReference"/>
        </w:rPr>
        <w:footnoteRef/>
      </w:r>
      <w:r>
        <w:t xml:space="preserve"> </w:t>
      </w:r>
      <w:r>
        <w:t xml:space="preserve">NCT06821100.</w:t>
      </w:r>
    </w:p>
  </w:footnote>
  <w:footnote w:id="1041">
    <w:p>
      <w:pPr>
        <w:pStyle w:val="FootnoteText"/>
      </w:pPr>
      <w:r>
        <w:rPr>
          <w:rStyle w:val="FootnoteReference"/>
        </w:rPr>
        <w:footnoteRef/>
      </w:r>
      <w:r>
        <w:t xml:space="preserve"> </w:t>
      </w:r>
      <w:r>
        <w:t xml:space="preserve">Garaci 2007, PMID 17600290.</w:t>
      </w:r>
    </w:p>
  </w:footnote>
  <w:footnote w:id="1043">
    <w:p>
      <w:pPr>
        <w:pStyle w:val="FootnoteText"/>
      </w:pPr>
      <w:r>
        <w:rPr>
          <w:rStyle w:val="FootnoteReference"/>
        </w:rPr>
        <w:footnoteRef/>
      </w:r>
      <w:r>
        <w:t xml:space="preserve"> </w:t>
      </w:r>
      <w:r>
        <w:t xml:space="preserve">Ancell 2001, PMID 11381492.</w:t>
      </w:r>
    </w:p>
  </w:footnote>
  <w:footnote w:id="1044">
    <w:p>
      <w:pPr>
        <w:pStyle w:val="FootnoteText"/>
      </w:pPr>
      <w:r>
        <w:rPr>
          <w:rStyle w:val="FootnoteReference"/>
        </w:rPr>
        <w:footnoteRef/>
      </w:r>
      <w:r>
        <w:t xml:space="preserve"> </w:t>
      </w:r>
      <w:r>
        <w:t xml:space="preserve">Wu 2025, PMID 39814420.</w:t>
      </w:r>
    </w:p>
  </w:footnote>
  <w:footnote w:id="1045">
    <w:p>
      <w:pPr>
        <w:pStyle w:val="FootnoteText"/>
      </w:pPr>
      <w:r>
        <w:rPr>
          <w:rStyle w:val="FootnoteReference"/>
        </w:rPr>
        <w:footnoteRef/>
      </w:r>
      <w:r>
        <w:t xml:space="preserve"> </w:t>
      </w:r>
      <w:r>
        <w:t xml:space="preserve">Iino 2005, PMID 15850471.</w:t>
      </w:r>
    </w:p>
  </w:footnote>
  <w:footnote w:id="1047">
    <w:p>
      <w:pPr>
        <w:pStyle w:val="FootnoteText"/>
      </w:pPr>
      <w:r>
        <w:rPr>
          <w:rStyle w:val="FootnoteReference"/>
        </w:rPr>
        <w:footnoteRef/>
      </w:r>
      <w:r>
        <w:t xml:space="preserve"> </w:t>
      </w:r>
      <w:r>
        <w:t xml:space="preserve">Wu 2025, PMID 39814420.</w:t>
      </w:r>
    </w:p>
  </w:footnote>
  <w:footnote w:id="1048">
    <w:p>
      <w:pPr>
        <w:pStyle w:val="FootnoteText"/>
      </w:pPr>
      <w:r>
        <w:rPr>
          <w:rStyle w:val="FootnoteReference"/>
        </w:rPr>
        <w:footnoteRef/>
      </w:r>
      <w:r>
        <w:t xml:space="preserve"> </w:t>
      </w:r>
      <w:r>
        <w:t xml:space="preserve">Liu 2021, PMID 34408744.</w:t>
      </w:r>
    </w:p>
  </w:footnote>
  <w:footnote w:id="1049">
    <w:p>
      <w:pPr>
        <w:pStyle w:val="FootnoteText"/>
      </w:pPr>
      <w:r>
        <w:rPr>
          <w:rStyle w:val="FootnoteReference"/>
        </w:rPr>
        <w:footnoteRef/>
      </w:r>
      <w:r>
        <w:t xml:space="preserve"> </w:t>
      </w:r>
      <w:r>
        <w:t xml:space="preserve">Kim 2026, PMID 42797537.</w:t>
      </w:r>
    </w:p>
  </w:footnote>
  <w:footnote w:id="1052">
    <w:p>
      <w:pPr>
        <w:pStyle w:val="FootnoteText"/>
      </w:pPr>
      <w:r>
        <w:rPr>
          <w:rStyle w:val="FootnoteReference"/>
        </w:rPr>
        <w:footnoteRef/>
      </w:r>
      <w:r>
        <w:t xml:space="preserve"> </w:t>
      </w:r>
      <w:r>
        <w:t xml:space="preserve">Dinetz 2024, PMID 38308608.</w:t>
      </w:r>
    </w:p>
  </w:footnote>
  <w:footnote w:id="1053">
    <w:p>
      <w:pPr>
        <w:pStyle w:val="FootnoteText"/>
      </w:pPr>
      <w:r>
        <w:rPr>
          <w:rStyle w:val="FootnoteReference"/>
        </w:rPr>
        <w:footnoteRef/>
      </w:r>
      <w:r>
        <w:t xml:space="preserve"> </w:t>
      </w:r>
      <w:r>
        <w:t xml:space="preserve">Willis 2026, PMID 42752426.</w:t>
      </w:r>
    </w:p>
  </w:footnote>
  <w:footnote w:id="1055">
    <w:p>
      <w:pPr>
        <w:pStyle w:val="FootnoteText"/>
      </w:pPr>
      <w:r>
        <w:rPr>
          <w:rStyle w:val="FootnoteReference"/>
        </w:rPr>
        <w:footnoteRef/>
      </w:r>
      <w:r>
        <w:t xml:space="preserve"> </w:t>
      </w:r>
      <w:r>
        <w:t xml:space="preserve">NCT05086614.</w:t>
      </w:r>
    </w:p>
  </w:footnote>
  <w:footnote w:id="1056">
    <w:p>
      <w:pPr>
        <w:pStyle w:val="FootnoteText"/>
      </w:pPr>
      <w:r>
        <w:rPr>
          <w:rStyle w:val="FootnoteReference"/>
        </w:rPr>
        <w:footnoteRef/>
      </w:r>
      <w:r>
        <w:t xml:space="preserve"> </w:t>
      </w:r>
      <w:r>
        <w:t xml:space="preserve">NCT07884201.</w:t>
      </w:r>
    </w:p>
  </w:footnote>
  <w:footnote w:id="1057">
    <w:p>
      <w:pPr>
        <w:pStyle w:val="FootnoteText"/>
      </w:pPr>
      <w:r>
        <w:rPr>
          <w:rStyle w:val="FootnoteReference"/>
        </w:rPr>
        <w:footnoteRef/>
      </w:r>
      <w:r>
        <w:t xml:space="preserve"> </w:t>
      </w:r>
      <w:r>
        <w:t xml:space="preserve">NCT07866118.</w:t>
      </w:r>
    </w:p>
  </w:footnote>
  <w:footnote w:id="1058">
    <w:p>
      <w:pPr>
        <w:pStyle w:val="FootnoteText"/>
      </w:pPr>
      <w:r>
        <w:rPr>
          <w:rStyle w:val="FootnoteReference"/>
        </w:rPr>
        <w:footnoteRef/>
      </w:r>
      <w:r>
        <w:t xml:space="preserve"> </w:t>
      </w:r>
      <w:r>
        <w:t xml:space="preserve">NCT06821100.</w:t>
      </w:r>
    </w:p>
  </w:footnote>
  <w:footnote w:id="1060">
    <w:p>
      <w:pPr>
        <w:pStyle w:val="FootnoteText"/>
      </w:pPr>
      <w:r>
        <w:rPr>
          <w:rStyle w:val="FootnoteReference"/>
        </w:rPr>
        <w:footnoteRef/>
      </w:r>
      <w:r>
        <w:t xml:space="preserve"> </w:t>
      </w:r>
      <w:r>
        <w:t xml:space="preserve">Wu 2025, PMID 39814420.</w:t>
      </w:r>
    </w:p>
  </w:footnote>
  <w:footnote w:id="1061">
    <w:p>
      <w:pPr>
        <w:pStyle w:val="FootnoteText"/>
      </w:pPr>
      <w:r>
        <w:rPr>
          <w:rStyle w:val="FootnoteReference"/>
        </w:rPr>
        <w:footnoteRef/>
      </w:r>
      <w:r>
        <w:t xml:space="preserve"> </w:t>
      </w:r>
      <w:r>
        <w:t xml:space="preserve">Ke 2022, PMID 35713670.</w:t>
      </w:r>
    </w:p>
  </w:footnote>
  <w:footnote w:id="1062">
    <w:p>
      <w:pPr>
        <w:pStyle w:val="FootnoteText"/>
      </w:pPr>
      <w:r>
        <w:rPr>
          <w:rStyle w:val="FootnoteReference"/>
        </w:rPr>
        <w:footnoteRef/>
      </w:r>
      <w:r>
        <w:t xml:space="preserve"> </w:t>
      </w:r>
      <w:r>
        <w:t xml:space="preserve">Wu 2018, PMID 30063860.</w:t>
      </w:r>
    </w:p>
  </w:footnote>
  <w:footnote w:id="1065">
    <w:p>
      <w:pPr>
        <w:pStyle w:val="FootnoteText"/>
      </w:pPr>
      <w:r>
        <w:rPr>
          <w:rStyle w:val="FootnoteReference"/>
        </w:rPr>
        <w:footnoteRef/>
      </w:r>
      <w:r>
        <w:t xml:space="preserve"> </w:t>
      </w:r>
      <w:r>
        <w:t xml:space="preserve">Cutuli 2000, PMID 10670585.</w:t>
      </w:r>
    </w:p>
  </w:footnote>
  <w:footnote w:id="1067">
    <w:p>
      <w:pPr>
        <w:pStyle w:val="FootnoteText"/>
      </w:pPr>
      <w:r>
        <w:rPr>
          <w:rStyle w:val="FootnoteReference"/>
        </w:rPr>
        <w:footnoteRef/>
      </w:r>
      <w:r>
        <w:t xml:space="preserve"> </w:t>
      </w:r>
      <w:r>
        <w:t xml:space="preserve">Catania 1998, PMID 9700761.</w:t>
      </w:r>
    </w:p>
  </w:footnote>
  <w:footnote w:id="1068">
    <w:p>
      <w:pPr>
        <w:pStyle w:val="FootnoteText"/>
      </w:pPr>
      <w:r>
        <w:rPr>
          <w:rStyle w:val="FootnoteReference"/>
        </w:rPr>
        <w:footnoteRef/>
      </w:r>
      <w:r>
        <w:t xml:space="preserve"> </w:t>
      </w:r>
      <w:r>
        <w:t xml:space="preserve">Getting 2003, PMID 12750433.</w:t>
      </w:r>
    </w:p>
  </w:footnote>
  <w:footnote w:id="1069">
    <w:p>
      <w:pPr>
        <w:pStyle w:val="FootnoteText"/>
      </w:pPr>
      <w:r>
        <w:rPr>
          <w:rStyle w:val="FootnoteReference"/>
        </w:rPr>
        <w:footnoteRef/>
      </w:r>
      <w:r>
        <w:t xml:space="preserve"> </w:t>
      </w:r>
      <w:r>
        <w:t xml:space="preserve">Dalmasso 2008, PMID 18061177.</w:t>
      </w:r>
    </w:p>
  </w:footnote>
  <w:footnote w:id="1070">
    <w:p>
      <w:pPr>
        <w:pStyle w:val="FootnoteText"/>
      </w:pPr>
      <w:r>
        <w:rPr>
          <w:rStyle w:val="FootnoteReference"/>
        </w:rPr>
        <w:footnoteRef/>
      </w:r>
      <w:r>
        <w:t xml:space="preserve"> </w:t>
      </w:r>
      <w:r>
        <w:t xml:space="preserve">Cutuli 2000, PMID 10670585.</w:t>
      </w:r>
    </w:p>
  </w:footnote>
  <w:footnote w:id="1072">
    <w:p>
      <w:pPr>
        <w:pStyle w:val="FootnoteText"/>
      </w:pPr>
      <w:r>
        <w:rPr>
          <w:rStyle w:val="FootnoteReference"/>
        </w:rPr>
        <w:footnoteRef/>
      </w:r>
      <w:r>
        <w:t xml:space="preserve"> </w:t>
      </w:r>
      <w:r>
        <w:t xml:space="preserve">Catania 1998, PMID 9700761.</w:t>
      </w:r>
    </w:p>
  </w:footnote>
  <w:footnote w:id="1073">
    <w:p>
      <w:pPr>
        <w:pStyle w:val="FootnoteText"/>
      </w:pPr>
      <w:r>
        <w:rPr>
          <w:rStyle w:val="FootnoteReference"/>
        </w:rPr>
        <w:footnoteRef/>
      </w:r>
      <w:r>
        <w:t xml:space="preserve"> </w:t>
      </w:r>
      <w:r>
        <w:t xml:space="preserve">Elliott 2004, PMID 15102092.</w:t>
      </w:r>
    </w:p>
  </w:footnote>
  <w:footnote w:id="1074">
    <w:p>
      <w:pPr>
        <w:pStyle w:val="FootnoteText"/>
      </w:pPr>
      <w:r>
        <w:rPr>
          <w:rStyle w:val="FootnoteReference"/>
        </w:rPr>
        <w:footnoteRef/>
      </w:r>
      <w:r>
        <w:t xml:space="preserve"> </w:t>
      </w:r>
      <w:r>
        <w:t xml:space="preserve">Pawar 2017, PMID 28343991.</w:t>
      </w:r>
    </w:p>
  </w:footnote>
  <w:footnote w:id="1075">
    <w:p>
      <w:pPr>
        <w:pStyle w:val="FootnoteText"/>
      </w:pPr>
      <w:r>
        <w:rPr>
          <w:rStyle w:val="FootnoteReference"/>
        </w:rPr>
        <w:footnoteRef/>
      </w:r>
      <w:r>
        <w:t xml:space="preserve"> </w:t>
      </w:r>
      <w:r>
        <w:t xml:space="preserve">Gatti 2006, PMID 16413580.</w:t>
      </w:r>
    </w:p>
  </w:footnote>
  <w:footnote w:id="1079">
    <w:p>
      <w:pPr>
        <w:pStyle w:val="FootnoteText"/>
      </w:pPr>
      <w:r>
        <w:rPr>
          <w:rStyle w:val="FootnoteReference"/>
        </w:rPr>
        <w:footnoteRef/>
      </w:r>
      <w:r>
        <w:t xml:space="preserve"> </w:t>
      </w:r>
      <w:r>
        <w:t xml:space="preserve">Cutuli 2000, PMID 10670585.</w:t>
      </w:r>
    </w:p>
  </w:footnote>
  <w:footnote w:id="1080">
    <w:p>
      <w:pPr>
        <w:pStyle w:val="FootnoteText"/>
      </w:pPr>
      <w:r>
        <w:rPr>
          <w:rStyle w:val="FootnoteReference"/>
        </w:rPr>
        <w:footnoteRef/>
      </w:r>
      <w:r>
        <w:t xml:space="preserve"> </w:t>
      </w:r>
      <w:r>
        <w:t xml:space="preserve">Coutinho 2026, PMID 41880199.</w:t>
      </w:r>
    </w:p>
  </w:footnote>
  <w:footnote w:id="1085">
    <w:p>
      <w:pPr>
        <w:pStyle w:val="FootnoteText"/>
      </w:pPr>
      <w:r>
        <w:rPr>
          <w:rStyle w:val="FootnoteReference"/>
        </w:rPr>
        <w:footnoteRef/>
      </w:r>
      <w:r>
        <w:t xml:space="preserve"> </w:t>
      </w:r>
      <w:r>
        <w:t xml:space="preserve">Dalmasso 2008, PMID 18061177; Kannengiesser 2008, PMID 18092346.</w:t>
      </w:r>
    </w:p>
  </w:footnote>
  <w:footnote w:id="1088">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Gombart 2005, PMID 15985530.</w:t>
      </w:r>
    </w:p>
  </w:footnote>
  <w:footnote w:id="1091">
    <w:p>
      <w:pPr>
        <w:pStyle w:val="FootnoteText"/>
      </w:pPr>
      <w:r>
        <w:rPr>
          <w:rStyle w:val="FootnoteReference"/>
        </w:rPr>
        <w:footnoteRef/>
      </w:r>
      <w:r>
        <w:t xml:space="preserve"> </w:t>
      </w:r>
      <w:r>
        <w:t xml:space="preserve">Lande 2007, PMID 17873860.</w:t>
      </w:r>
    </w:p>
  </w:footnote>
  <w:footnote w:id="1092">
    <w:p>
      <w:pPr>
        <w:pStyle w:val="FootnoteText"/>
      </w:pPr>
      <w:r>
        <w:rPr>
          <w:rStyle w:val="FootnoteReference"/>
        </w:rPr>
        <w:footnoteRef/>
      </w:r>
      <w:r>
        <w:t xml:space="preserve"> </w:t>
      </w:r>
      <w:r>
        <w:t xml:space="preserve">Lande 2014, PMID 25470744.</w:t>
      </w:r>
    </w:p>
  </w:footnote>
  <w:footnote w:id="1093">
    <w:p>
      <w:pPr>
        <w:pStyle w:val="FootnoteText"/>
      </w:pPr>
      <w:r>
        <w:rPr>
          <w:rStyle w:val="FootnoteReference"/>
        </w:rPr>
        <w:footnoteRef/>
      </w:r>
      <w:r>
        <w:t xml:space="preserve"> </w:t>
      </w:r>
      <w:r>
        <w:t xml:space="preserve">Yamasaki 2007, PMID 17676051.</w:t>
      </w:r>
    </w:p>
  </w:footnote>
  <w:footnote w:id="1095">
    <w:p>
      <w:pPr>
        <w:pStyle w:val="FootnoteText"/>
      </w:pPr>
      <w:r>
        <w:rPr>
          <w:rStyle w:val="FootnoteReference"/>
        </w:rPr>
        <w:footnoteRef/>
      </w:r>
      <w:r>
        <w:t xml:space="preserve"> </w:t>
      </w:r>
      <w:r>
        <w:t xml:space="preserve">Grönberg 2014, PMID 25041740.</w:t>
      </w:r>
    </w:p>
  </w:footnote>
  <w:footnote w:id="1096">
    <w:p>
      <w:pPr>
        <w:pStyle w:val="FootnoteText"/>
      </w:pPr>
      <w:r>
        <w:rPr>
          <w:rStyle w:val="FootnoteReference"/>
        </w:rPr>
        <w:footnoteRef/>
      </w:r>
      <w:r>
        <w:t xml:space="preserve"> </w:t>
      </w:r>
      <w:r>
        <w:t xml:space="preserve">Mahlapuu 2021, PMID 34687253.</w:t>
      </w:r>
    </w:p>
  </w:footnote>
  <w:footnote w:id="1097">
    <w:p>
      <w:pPr>
        <w:pStyle w:val="FootnoteText"/>
      </w:pPr>
      <w:r>
        <w:rPr>
          <w:rStyle w:val="FootnoteReference"/>
        </w:rPr>
        <w:footnoteRef/>
      </w:r>
      <w:r>
        <w:t xml:space="preserve"> </w:t>
      </w:r>
      <w:r>
        <w:t xml:space="preserve">Miranda 2023, PMID 37480520.</w:t>
      </w:r>
    </w:p>
  </w:footnote>
  <w:footnote w:id="1098">
    <w:p>
      <w:pPr>
        <w:pStyle w:val="FootnoteText"/>
      </w:pPr>
      <w:r>
        <w:rPr>
          <w:rStyle w:val="FootnoteReference"/>
        </w:rPr>
        <w:footnoteRef/>
      </w:r>
      <w:r>
        <w:t xml:space="preserve"> </w:t>
      </w:r>
      <w:r>
        <w:t xml:space="preserve">Zhao 2023, PMID 37605995.</w:t>
      </w:r>
    </w:p>
  </w:footnote>
  <w:footnote w:id="1100">
    <w:p>
      <w:pPr>
        <w:pStyle w:val="FootnoteText"/>
      </w:pPr>
      <w:r>
        <w:rPr>
          <w:rStyle w:val="FootnoteReference"/>
        </w:rPr>
        <w:footnoteRef/>
      </w:r>
      <w:r>
        <w:t xml:space="preserve"> </w:t>
      </w:r>
      <w:r>
        <w:t xml:space="preserve">Majewski 2017, PMID 28956425.</w:t>
      </w:r>
    </w:p>
  </w:footnote>
  <w:footnote w:id="1101">
    <w:p>
      <w:pPr>
        <w:pStyle w:val="FootnoteText"/>
      </w:pPr>
      <w:r>
        <w:rPr>
          <w:rStyle w:val="FootnoteReference"/>
        </w:rPr>
        <w:footnoteRef/>
      </w:r>
      <w:r>
        <w:t xml:space="preserve"> </w:t>
      </w:r>
      <w:r>
        <w:t xml:space="preserve">Savonius 2018, PMID 28827496.</w:t>
      </w:r>
    </w:p>
  </w:footnote>
  <w:footnote w:id="1102">
    <w:p>
      <w:pPr>
        <w:pStyle w:val="FootnoteText"/>
      </w:pPr>
      <w:r>
        <w:rPr>
          <w:rStyle w:val="FootnoteReference"/>
        </w:rPr>
        <w:footnoteRef/>
      </w:r>
      <w:r>
        <w:t xml:space="preserve"> </w:t>
      </w:r>
      <w:r>
        <w:t xml:space="preserve">Quraishi 2015, PMID 26086941.</w:t>
      </w:r>
    </w:p>
  </w:footnote>
  <w:footnote w:id="1104">
    <w:p>
      <w:pPr>
        <w:pStyle w:val="FootnoteText"/>
      </w:pPr>
      <w:r>
        <w:rPr>
          <w:rStyle w:val="FootnoteReference"/>
        </w:rPr>
        <w:footnoteRef/>
      </w:r>
      <w:r>
        <w:t xml:space="preserve"> </w:t>
      </w:r>
      <w:r>
        <w:t xml:space="preserve">Mily 2015, PMID 26394045.</w:t>
      </w:r>
    </w:p>
  </w:footnote>
  <w:footnote w:id="1107">
    <w:p>
      <w:pPr>
        <w:pStyle w:val="FootnoteText"/>
      </w:pPr>
      <w:r>
        <w:rPr>
          <w:rStyle w:val="FootnoteReference"/>
        </w:rPr>
        <w:footnoteRef/>
      </w:r>
      <w:r>
        <w:t xml:space="preserve"> </w:t>
      </w:r>
      <w:r>
        <w:t xml:space="preserve">Chen 2018, PMID 29843147.</w:t>
      </w:r>
    </w:p>
  </w:footnote>
  <w:footnote w:id="1108">
    <w:p>
      <w:pPr>
        <w:pStyle w:val="FootnoteText"/>
      </w:pPr>
      <w:r>
        <w:rPr>
          <w:rStyle w:val="FootnoteReference"/>
        </w:rPr>
        <w:footnoteRef/>
      </w:r>
      <w:r>
        <w:t xml:space="preserve"> </w:t>
      </w:r>
      <w:r>
        <w:t xml:space="preserve">Gombart 2005, PMID 15985530.</w:t>
      </w:r>
    </w:p>
  </w:footnote>
  <w:footnote w:id="1110">
    <w:p>
      <w:pPr>
        <w:pStyle w:val="FootnoteText"/>
      </w:pPr>
      <w:r>
        <w:rPr>
          <w:rStyle w:val="FootnoteReference"/>
        </w:rPr>
        <w:footnoteRef/>
      </w:r>
      <w:r>
        <w:t xml:space="preserve"> </w:t>
      </w:r>
      <w:r>
        <w:t xml:space="preserve">Grönberg 2014, PMID 25041740; Mahlapuu 2021, PMID 34687253.</w:t>
      </w:r>
    </w:p>
  </w:footnote>
  <w:footnote w:id="1111">
    <w:p>
      <w:pPr>
        <w:pStyle w:val="FootnoteText"/>
      </w:pPr>
      <w:r>
        <w:rPr>
          <w:rStyle w:val="FootnoteReference"/>
        </w:rPr>
        <w:footnoteRef/>
      </w:r>
      <w:r>
        <w:t xml:space="preserve"> </w:t>
      </w:r>
      <w:r>
        <w:t xml:space="preserve">Dolkar 2018, PMID 29665030.</w:t>
      </w:r>
    </w:p>
  </w:footnote>
  <w:footnote w:id="1113">
    <w:p>
      <w:pPr>
        <w:pStyle w:val="FootnoteText"/>
      </w:pPr>
      <w:r>
        <w:rPr>
          <w:rStyle w:val="FootnoteReference"/>
        </w:rPr>
        <w:footnoteRef/>
      </w:r>
      <w:r>
        <w:t xml:space="preserve"> </w:t>
      </w:r>
      <w:r>
        <w:t xml:space="preserve">Lande 2007, PMID 17873860; Lande 2014, PMID 25470744.</w:t>
      </w:r>
    </w:p>
  </w:footnote>
  <w:footnote w:id="1114">
    <w:p>
      <w:pPr>
        <w:pStyle w:val="FootnoteText"/>
      </w:pPr>
      <w:r>
        <w:rPr>
          <w:rStyle w:val="FootnoteReference"/>
        </w:rPr>
        <w:footnoteRef/>
      </w:r>
      <w:r>
        <w:t xml:space="preserve"> </w:t>
      </w:r>
      <w:r>
        <w:t xml:space="preserve">Yamasaki 2007, PMID 17676051.</w:t>
      </w:r>
    </w:p>
  </w:footnote>
  <w:footnote w:id="1115">
    <w:p>
      <w:pPr>
        <w:pStyle w:val="FootnoteText"/>
      </w:pPr>
      <w:r>
        <w:rPr>
          <w:rStyle w:val="FootnoteReference"/>
        </w:rPr>
        <w:footnoteRef/>
      </w:r>
      <w:r>
        <w:t xml:space="preserve"> </w:t>
      </w:r>
      <w:r>
        <w:t xml:space="preserve">Chen 2018, PMID 29843147.</w:t>
      </w:r>
    </w:p>
  </w:footnote>
  <w:footnote w:id="1120">
    <w:p>
      <w:pPr>
        <w:pStyle w:val="FootnoteText"/>
      </w:pPr>
      <w:r>
        <w:rPr>
          <w:rStyle w:val="FootnoteReference"/>
        </w:rPr>
        <w:footnoteRef/>
      </w:r>
      <w:r>
        <w:t xml:space="preserve"> </w:t>
      </w:r>
      <w:r>
        <w:t xml:space="preserve">Mahlapuu 2021, PMID 34687253.</w:t>
      </w:r>
    </w:p>
  </w:footnote>
  <w:footnote w:id="1123">
    <w:p>
      <w:pPr>
        <w:pStyle w:val="FootnoteText"/>
      </w:pPr>
      <w:r>
        <w:rPr>
          <w:rStyle w:val="FootnoteReference"/>
        </w:rPr>
        <w:footnoteRef/>
      </w:r>
      <w:r>
        <w:t xml:space="preserve"> </w:t>
      </w:r>
      <w:r>
        <w:t xml:space="preserve">Winicki 2022, PMID 36741836.</w:t>
      </w:r>
    </w:p>
  </w:footnote>
  <w:footnote w:id="1124">
    <w:p>
      <w:pPr>
        <w:pStyle w:val="FootnoteText"/>
      </w:pPr>
      <w:r>
        <w:rPr>
          <w:rStyle w:val="FootnoteReference"/>
        </w:rPr>
        <w:footnoteRef/>
      </w:r>
      <w:r>
        <w:t xml:space="preserve"> </w:t>
      </w:r>
      <w:r>
        <w:t xml:space="preserve">Thomas 2017, PMID 28941172.</w:t>
      </w:r>
    </w:p>
  </w:footnote>
  <w:footnote w:id="1126">
    <w:p>
      <w:pPr>
        <w:pStyle w:val="FootnoteText"/>
      </w:pPr>
      <w:r>
        <w:rPr>
          <w:rStyle w:val="FootnoteReference"/>
        </w:rPr>
        <w:footnoteRef/>
      </w:r>
      <w:r>
        <w:t xml:space="preserve"> </w:t>
      </w:r>
      <w:r>
        <w:t xml:space="preserve">Swartjes 2014, PMID 24529189.</w:t>
      </w:r>
    </w:p>
  </w:footnote>
  <w:footnote w:id="1127">
    <w:p>
      <w:pPr>
        <w:pStyle w:val="FootnoteText"/>
      </w:pPr>
      <w:r>
        <w:rPr>
          <w:rStyle w:val="FootnoteReference"/>
        </w:rPr>
        <w:footnoteRef/>
      </w:r>
      <w:r>
        <w:t xml:space="preserve"> </w:t>
      </w:r>
      <w:r>
        <w:t xml:space="preserve">Thomas 2017, PMID 28941172.</w:t>
      </w:r>
    </w:p>
  </w:footnote>
  <w:footnote w:id="1129">
    <w:p>
      <w:pPr>
        <w:pStyle w:val="FootnoteText"/>
      </w:pPr>
      <w:r>
        <w:rPr>
          <w:rStyle w:val="FootnoteReference"/>
        </w:rPr>
        <w:footnoteRef/>
      </w:r>
      <w:r>
        <w:t xml:space="preserve"> </w:t>
      </w:r>
      <w:r>
        <w:t xml:space="preserve">Heij 2012, PMID 23168581.</w:t>
      </w:r>
    </w:p>
  </w:footnote>
  <w:footnote w:id="1130">
    <w:p>
      <w:pPr>
        <w:pStyle w:val="FootnoteText"/>
      </w:pPr>
      <w:r>
        <w:rPr>
          <w:rStyle w:val="FootnoteReference"/>
        </w:rPr>
        <w:footnoteRef/>
      </w:r>
      <w:r>
        <w:t xml:space="preserve"> </w:t>
      </w:r>
      <w:r>
        <w:t xml:space="preserve">Culver 2017, PMID 28475703.</w:t>
      </w:r>
    </w:p>
  </w:footnote>
  <w:footnote w:id="1131">
    <w:p>
      <w:pPr>
        <w:pStyle w:val="FootnoteText"/>
      </w:pPr>
      <w:r>
        <w:rPr>
          <w:rStyle w:val="FootnoteReference"/>
        </w:rPr>
        <w:footnoteRef/>
      </w:r>
      <w:r>
        <w:t xml:space="preserve"> </w:t>
      </w:r>
      <w:r>
        <w:t xml:space="preserve">van Velzen 2014, PMID 24555851.</w:t>
      </w:r>
    </w:p>
  </w:footnote>
  <w:footnote w:id="1133">
    <w:p>
      <w:pPr>
        <w:pStyle w:val="FootnoteText"/>
      </w:pPr>
      <w:r>
        <w:rPr>
          <w:rStyle w:val="FootnoteReference"/>
        </w:rPr>
        <w:footnoteRef/>
      </w:r>
      <w:r>
        <w:t xml:space="preserve"> </w:t>
      </w:r>
      <w:r>
        <w:t xml:space="preserve">Brines 2015, PMID 25387363.</w:t>
      </w:r>
    </w:p>
  </w:footnote>
  <w:footnote w:id="1134">
    <w:p>
      <w:pPr>
        <w:pStyle w:val="FootnoteText"/>
      </w:pPr>
      <w:r>
        <w:rPr>
          <w:rStyle w:val="FootnoteReference"/>
        </w:rPr>
        <w:footnoteRef/>
      </w:r>
      <w:r>
        <w:t xml:space="preserve"> </w:t>
      </w:r>
      <w:r>
        <w:t xml:space="preserve">NCT01933529.</w:t>
      </w:r>
    </w:p>
  </w:footnote>
  <w:footnote w:id="1135">
    <w:p>
      <w:pPr>
        <w:pStyle w:val="FootnoteText"/>
      </w:pPr>
      <w:r>
        <w:rPr>
          <w:rStyle w:val="FootnoteReference"/>
        </w:rPr>
        <w:footnoteRef/>
      </w:r>
      <w:r>
        <w:t xml:space="preserve"> </w:t>
      </w:r>
      <w:r>
        <w:t xml:space="preserve">Lois 2020, PMID 32674280.</w:t>
      </w:r>
    </w:p>
  </w:footnote>
  <w:footnote w:id="1138">
    <w:p>
      <w:pPr>
        <w:pStyle w:val="FootnoteText"/>
      </w:pPr>
      <w:r>
        <w:rPr>
          <w:rStyle w:val="FootnoteReference"/>
        </w:rPr>
        <w:footnoteRef/>
      </w:r>
      <w:r>
        <w:t xml:space="preserve"> </w:t>
      </w:r>
      <w:r>
        <w:t xml:space="preserve">Swartjes 2014, PMID 24529189; Pulman 2013, PMID 23262243.</w:t>
      </w:r>
    </w:p>
  </w:footnote>
  <w:footnote w:id="1139">
    <w:p>
      <w:pPr>
        <w:pStyle w:val="FootnoteText"/>
      </w:pPr>
      <w:r>
        <w:rPr>
          <w:rStyle w:val="FootnoteReference"/>
        </w:rPr>
        <w:footnoteRef/>
      </w:r>
      <w:r>
        <w:t xml:space="preserve"> </w:t>
      </w:r>
      <w:r>
        <w:t xml:space="preserve">van Rijt 2013, PMID 23302512.</w:t>
      </w:r>
    </w:p>
  </w:footnote>
  <w:footnote w:id="1140">
    <w:p>
      <w:pPr>
        <w:pStyle w:val="FootnoteText"/>
      </w:pPr>
      <w:r>
        <w:rPr>
          <w:rStyle w:val="FootnoteReference"/>
        </w:rPr>
        <w:footnoteRef/>
      </w:r>
      <w:r>
        <w:t xml:space="preserve"> </w:t>
      </w:r>
      <w:r>
        <w:t xml:space="preserve">Muller 2016, PMID 26736179.</w:t>
      </w:r>
    </w:p>
  </w:footnote>
  <w:footnote w:id="1141">
    <w:p>
      <w:pPr>
        <w:pStyle w:val="FootnoteText"/>
      </w:pPr>
      <w:r>
        <w:rPr>
          <w:rStyle w:val="FootnoteReference"/>
        </w:rPr>
        <w:footnoteRef/>
      </w:r>
      <w:r>
        <w:t xml:space="preserve"> </w:t>
      </w:r>
      <w:r>
        <w:t xml:space="preserve">Al-Onaizi 2022, PMID 34343617.</w:t>
      </w:r>
    </w:p>
  </w:footnote>
  <w:footnote w:id="1142">
    <w:p>
      <w:pPr>
        <w:pStyle w:val="FootnoteText"/>
      </w:pPr>
      <w:r>
        <w:rPr>
          <w:rStyle w:val="FootnoteReference"/>
        </w:rPr>
        <w:footnoteRef/>
      </w:r>
      <w:r>
        <w:t xml:space="preserve"> </w:t>
      </w:r>
      <w:r>
        <w:t xml:space="preserve">Winicki 2022, PMID 36741836.</w:t>
      </w:r>
    </w:p>
  </w:footnote>
  <w:footnote w:id="1144">
    <w:p>
      <w:pPr>
        <w:pStyle w:val="FootnoteText"/>
      </w:pPr>
      <w:r>
        <w:rPr>
          <w:rStyle w:val="FootnoteReference"/>
        </w:rPr>
        <w:footnoteRef/>
      </w:r>
      <w:r>
        <w:t xml:space="preserve"> </w:t>
      </w:r>
      <w:r>
        <w:t xml:space="preserve">Heij 2012, PMID 23168581; Brines 2015, PMID 25387363.</w:t>
      </w:r>
    </w:p>
  </w:footnote>
  <w:footnote w:id="1145">
    <w:p>
      <w:pPr>
        <w:pStyle w:val="FootnoteText"/>
      </w:pPr>
      <w:r>
        <w:rPr>
          <w:rStyle w:val="FootnoteReference"/>
        </w:rPr>
        <w:footnoteRef/>
      </w:r>
      <w:r>
        <w:t xml:space="preserve"> </w:t>
      </w:r>
      <w:r>
        <w:t xml:space="preserve">Lois 2020, PMID 32674280.</w:t>
      </w:r>
    </w:p>
  </w:footnote>
  <w:footnote w:id="1150">
    <w:p>
      <w:pPr>
        <w:pStyle w:val="FootnoteText"/>
      </w:pPr>
      <w:r>
        <w:rPr>
          <w:rStyle w:val="FootnoteReference"/>
        </w:rPr>
        <w:footnoteRef/>
      </w:r>
      <w:r>
        <w:t xml:space="preserve"> </w:t>
      </w:r>
      <w:r>
        <w:t xml:space="preserve">NCT02039687.</w:t>
      </w:r>
    </w:p>
  </w:footnote>
  <w:footnote w:id="1151">
    <w:p>
      <w:pPr>
        <w:pStyle w:val="FootnoteText"/>
      </w:pPr>
      <w:r>
        <w:rPr>
          <w:rStyle w:val="FootnoteReference"/>
        </w:rPr>
        <w:footnoteRef/>
      </w:r>
      <w:r>
        <w:t xml:space="preserve"> </w:t>
      </w:r>
      <w:r>
        <w:t xml:space="preserve">NCT06626971.</w:t>
      </w:r>
    </w:p>
  </w:footnote>
  <w:footnote w:id="1153">
    <w:p>
      <w:pPr>
        <w:pStyle w:val="FootnoteText"/>
      </w:pPr>
      <w:r>
        <w:rPr>
          <w:rStyle w:val="FootnoteReference"/>
        </w:rPr>
        <w:footnoteRef/>
      </w:r>
      <w:r>
        <w:t xml:space="preserve"> </w:t>
      </w:r>
      <w:r>
        <w:t xml:space="preserve">Culver 2017, PMID 28475703.</w:t>
      </w:r>
    </w:p>
  </w:footnote>
  <w:footnote w:id="1156">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Gopalakrishnan 2012, PMID 22401908.</w:t>
      </w:r>
    </w:p>
  </w:footnote>
  <w:footnote w:id="1159">
    <w:p>
      <w:pPr>
        <w:pStyle w:val="FootnoteText"/>
      </w:pPr>
      <w:r>
        <w:rPr>
          <w:rStyle w:val="FootnoteReference"/>
        </w:rPr>
        <w:footnoteRef/>
      </w:r>
      <w:r>
        <w:t xml:space="preserve"> </w:t>
      </w:r>
      <w:r>
        <w:t xml:space="preserve">Slifer 2021, PMID 33881350.</w:t>
      </w:r>
    </w:p>
  </w:footnote>
  <w:footnote w:id="1161">
    <w:p>
      <w:pPr>
        <w:pStyle w:val="FootnoteText"/>
      </w:pPr>
      <w:r>
        <w:rPr>
          <w:rStyle w:val="FootnoteReference"/>
        </w:rPr>
        <w:footnoteRef/>
      </w:r>
      <w:r>
        <w:t xml:space="preserve"> </w:t>
      </w:r>
      <w:r>
        <w:t xml:space="preserve">Hoilat 2022, PMID 34339872.</w:t>
      </w:r>
    </w:p>
  </w:footnote>
  <w:footnote w:id="1162">
    <w:p>
      <w:pPr>
        <w:pStyle w:val="FootnoteText"/>
      </w:pPr>
      <w:r>
        <w:rPr>
          <w:rStyle w:val="FootnoteReference"/>
        </w:rPr>
        <w:footnoteRef/>
      </w:r>
      <w:r>
        <w:t xml:space="preserve"> </w:t>
      </w:r>
      <w:r>
        <w:t xml:space="preserve">Leffler 2012, PMID 22825365; Kelly 2013, PMID 23163616.</w:t>
      </w:r>
    </w:p>
  </w:footnote>
  <w:footnote w:id="1163">
    <w:p>
      <w:pPr>
        <w:pStyle w:val="FootnoteText"/>
      </w:pPr>
      <w:r>
        <w:rPr>
          <w:rStyle w:val="FootnoteReference"/>
        </w:rPr>
        <w:footnoteRef/>
      </w:r>
      <w:r>
        <w:t xml:space="preserve"> </w:t>
      </w:r>
      <w:r>
        <w:t xml:space="preserve">Kelly 2013, PMID 23163616.</w:t>
      </w:r>
    </w:p>
  </w:footnote>
  <w:footnote w:id="1164">
    <w:p>
      <w:pPr>
        <w:pStyle w:val="FootnoteText"/>
      </w:pPr>
      <w:r>
        <w:rPr>
          <w:rStyle w:val="FootnoteReference"/>
        </w:rPr>
        <w:footnoteRef/>
      </w:r>
      <w:r>
        <w:t xml:space="preserve"> </w:t>
      </w:r>
      <w:r>
        <w:t xml:space="preserve">Leffler 2015, PMID 25683116.</w:t>
      </w:r>
    </w:p>
  </w:footnote>
  <w:footnote w:id="1165">
    <w:p>
      <w:pPr>
        <w:pStyle w:val="FootnoteText"/>
      </w:pPr>
      <w:r>
        <w:rPr>
          <w:rStyle w:val="FootnoteReference"/>
        </w:rPr>
        <w:footnoteRef/>
      </w:r>
      <w:r>
        <w:t xml:space="preserve"> </w:t>
      </w:r>
      <w:r>
        <w:t xml:space="preserve">Hoilat 2022, PMID 34339872.</w:t>
      </w:r>
    </w:p>
  </w:footnote>
  <w:footnote w:id="1167">
    <w:p>
      <w:pPr>
        <w:pStyle w:val="FootnoteText"/>
      </w:pPr>
      <w:r>
        <w:rPr>
          <w:rStyle w:val="FootnoteReference"/>
        </w:rPr>
        <w:footnoteRef/>
      </w:r>
      <w:r>
        <w:t xml:space="preserve"> </w:t>
      </w:r>
      <w:r>
        <w:t xml:space="preserve">NCT03569007.</w:t>
      </w:r>
    </w:p>
  </w:footnote>
  <w:footnote w:id="1168">
    <w:p>
      <w:pPr>
        <w:pStyle w:val="FootnoteText"/>
      </w:pPr>
      <w:r>
        <w:rPr>
          <w:rStyle w:val="FootnoteReference"/>
        </w:rPr>
        <w:footnoteRef/>
      </w:r>
      <w:r>
        <w:t xml:space="preserve"> </w:t>
      </w:r>
      <w:r>
        <w:t xml:space="preserve">D’heedene 2024, PMID 38648685.</w:t>
      </w:r>
    </w:p>
  </w:footnote>
  <w:footnote w:id="1169">
    <w:p>
      <w:pPr>
        <w:pStyle w:val="FootnoteText"/>
      </w:pPr>
      <w:r>
        <w:rPr>
          <w:rStyle w:val="FootnoteReference"/>
        </w:rPr>
        <w:footnoteRef/>
      </w:r>
      <w:r>
        <w:t xml:space="preserve"> </w:t>
      </w:r>
      <w:r>
        <w:t xml:space="preserve">Girbal-González 2025, PMID 41010485.</w:t>
      </w:r>
    </w:p>
  </w:footnote>
  <w:footnote w:id="1171">
    <w:p>
      <w:pPr>
        <w:pStyle w:val="FootnoteText"/>
      </w:pPr>
      <w:r>
        <w:rPr>
          <w:rStyle w:val="FootnoteReference"/>
        </w:rPr>
        <w:footnoteRef/>
      </w:r>
      <w:r>
        <w:t xml:space="preserve"> </w:t>
      </w:r>
      <w:r>
        <w:t xml:space="preserve">Yonker 2022, PMID 35211683.</w:t>
      </w:r>
    </w:p>
  </w:footnote>
  <w:footnote w:id="1172">
    <w:p>
      <w:pPr>
        <w:pStyle w:val="FootnoteText"/>
      </w:pPr>
      <w:r>
        <w:rPr>
          <w:rStyle w:val="FootnoteReference"/>
        </w:rPr>
        <w:footnoteRef/>
      </w:r>
      <w:r>
        <w:t xml:space="preserve"> </w:t>
      </w:r>
      <w:r>
        <w:t xml:space="preserve">Yonker 2025, PMID 40737433.</w:t>
      </w:r>
    </w:p>
  </w:footnote>
  <w:footnote w:id="1173">
    <w:p>
      <w:pPr>
        <w:pStyle w:val="FootnoteText"/>
      </w:pPr>
      <w:r>
        <w:rPr>
          <w:rStyle w:val="FootnoteReference"/>
        </w:rPr>
        <w:footnoteRef/>
      </w:r>
      <w:r>
        <w:t xml:space="preserve"> </w:t>
      </w:r>
      <w:r>
        <w:t xml:space="preserve">NCT05022303.</w:t>
      </w:r>
    </w:p>
  </w:footnote>
  <w:footnote w:id="1174">
    <w:p>
      <w:pPr>
        <w:pStyle w:val="FootnoteText"/>
      </w:pPr>
      <w:r>
        <w:rPr>
          <w:rStyle w:val="FootnoteReference"/>
        </w:rPr>
        <w:footnoteRef/>
      </w:r>
      <w:r>
        <w:t xml:space="preserve"> </w:t>
      </w:r>
      <w:r>
        <w:t xml:space="preserve">NCT05747534.</w:t>
      </w:r>
    </w:p>
  </w:footnote>
  <w:footnote w:id="1177">
    <w:p>
      <w:pPr>
        <w:pStyle w:val="FootnoteText"/>
      </w:pPr>
      <w:r>
        <w:rPr>
          <w:rStyle w:val="FootnoteReference"/>
        </w:rPr>
        <w:footnoteRef/>
      </w:r>
      <w:r>
        <w:t xml:space="preserve"> </w:t>
      </w:r>
      <w:r>
        <w:t xml:space="preserve">Tajik 2020, PMID 32332732.</w:t>
      </w:r>
    </w:p>
  </w:footnote>
  <w:footnote w:id="1178">
    <w:p>
      <w:pPr>
        <w:pStyle w:val="FootnoteText"/>
      </w:pPr>
      <w:r>
        <w:rPr>
          <w:rStyle w:val="FootnoteReference"/>
        </w:rPr>
        <w:footnoteRef/>
      </w:r>
      <w:r>
        <w:t xml:space="preserve"> </w:t>
      </w:r>
      <w:r>
        <w:t xml:space="preserve">Slifer 2021, PMID 33881350.</w:t>
      </w:r>
    </w:p>
  </w:footnote>
  <w:footnote w:id="1179">
    <w:p>
      <w:pPr>
        <w:pStyle w:val="FootnoteText"/>
      </w:pPr>
      <w:r>
        <w:rPr>
          <w:rStyle w:val="FootnoteReference"/>
        </w:rPr>
        <w:footnoteRef/>
      </w:r>
      <w:r>
        <w:t xml:space="preserve"> </w:t>
      </w:r>
      <w:r>
        <w:t xml:space="preserve">Karahan 2024, PMID 38441784; Caliskan 2021, PMID 34791921.</w:t>
      </w:r>
    </w:p>
  </w:footnote>
  <w:footnote w:id="1181">
    <w:p>
      <w:pPr>
        <w:pStyle w:val="FootnoteText"/>
      </w:pPr>
      <w:r>
        <w:rPr>
          <w:rStyle w:val="FootnoteReference"/>
        </w:rPr>
        <w:footnoteRef/>
      </w:r>
      <w:r>
        <w:t xml:space="preserve"> </w:t>
      </w:r>
      <w:r>
        <w:t xml:space="preserve">Leffler 2012, PMID 22825365.</w:t>
      </w:r>
    </w:p>
  </w:footnote>
  <w:footnote w:id="1182">
    <w:p>
      <w:pPr>
        <w:pStyle w:val="FootnoteText"/>
      </w:pPr>
      <w:r>
        <w:rPr>
          <w:rStyle w:val="FootnoteReference"/>
        </w:rPr>
        <w:footnoteRef/>
      </w:r>
      <w:r>
        <w:t xml:space="preserve"> </w:t>
      </w:r>
      <w:r>
        <w:t xml:space="preserve">Leffler 2015, PMID 25683116.</w:t>
      </w:r>
    </w:p>
  </w:footnote>
  <w:footnote w:id="1183">
    <w:p>
      <w:pPr>
        <w:pStyle w:val="FootnoteText"/>
      </w:pPr>
      <w:r>
        <w:rPr>
          <w:rStyle w:val="FootnoteReference"/>
        </w:rPr>
        <w:footnoteRef/>
      </w:r>
      <w:r>
        <w:t xml:space="preserve"> </w:t>
      </w:r>
      <w:r>
        <w:t xml:space="preserve">Hoilat 2022, PMID 34339872.</w:t>
      </w:r>
    </w:p>
  </w:footnote>
  <w:footnote w:id="1188">
    <w:p>
      <w:pPr>
        <w:pStyle w:val="FootnoteText"/>
      </w:pPr>
      <w:r>
        <w:rPr>
          <w:rStyle w:val="FootnoteReference"/>
        </w:rPr>
        <w:footnoteRef/>
      </w:r>
      <w:r>
        <w:t xml:space="preserve"> </w:t>
      </w:r>
      <w:r>
        <w:t xml:space="preserve">NCT05747534.</w:t>
      </w:r>
    </w:p>
  </w:footnote>
  <w:footnote w:id="1189">
    <w:p>
      <w:pPr>
        <w:pStyle w:val="FootnoteText"/>
      </w:pPr>
      <w:r>
        <w:rPr>
          <w:rStyle w:val="FootnoteReference"/>
        </w:rPr>
        <w:footnoteRef/>
      </w:r>
      <w:r>
        <w:t xml:space="preserve"> </w:t>
      </w:r>
      <w:r>
        <w:t xml:space="preserve">D’heedene 2024, PMID 38648685.</w:t>
      </w:r>
    </w:p>
  </w:footnote>
  <w:footnote w:id="1191">
    <w:p>
      <w:pPr>
        <w:pStyle w:val="FootnoteText"/>
      </w:pPr>
      <w:r>
        <w:rPr>
          <w:rStyle w:val="FootnoteReference"/>
        </w:rPr>
        <w:footnoteRef/>
      </w:r>
      <w:r>
        <w:t xml:space="preserve"> </w:t>
      </w:r>
      <w:r>
        <w:t xml:space="preserve">Leffler 2015, PMID 25683116.</w:t>
      </w:r>
    </w:p>
  </w:footnote>
  <w:footnote w:id="1194">
    <w:p>
      <w:pPr>
        <w:pStyle w:val="FootnoteText"/>
      </w:pPr>
      <w:r>
        <w:rPr>
          <w:rStyle w:val="FootnoteReference"/>
        </w:rPr>
        <w:footnoteRef/>
      </w:r>
      <w:r>
        <w:t xml:space="preserve"> </w:t>
      </w:r>
      <w:r>
        <w:t xml:space="preserve">Morozov 1997, PMID 9637345.</w:t>
      </w:r>
    </w:p>
  </w:footnote>
  <w:footnote w:id="1195">
    <w:p>
      <w:pPr>
        <w:pStyle w:val="FootnoteText"/>
      </w:pPr>
      <w:r>
        <w:rPr>
          <w:rStyle w:val="FootnoteReference"/>
        </w:rPr>
        <w:footnoteRef/>
      </w:r>
      <w:r>
        <w:t xml:space="preserve"> </w:t>
      </w:r>
      <w:r>
        <w:t xml:space="preserve">Linkova 2023, PMID 37686182.</w:t>
      </w:r>
    </w:p>
  </w:footnote>
  <w:footnote w:id="1196">
    <w:p>
      <w:pPr>
        <w:pStyle w:val="FootnoteText"/>
      </w:pPr>
      <w:r>
        <w:rPr>
          <w:rStyle w:val="FootnoteReference"/>
        </w:rPr>
        <w:footnoteRef/>
      </w:r>
      <w:r>
        <w:t xml:space="preserve"> </w:t>
      </w:r>
      <w:r>
        <w:t xml:space="preserve">Anisimov 2000, PMID 11707921.</w:t>
      </w:r>
    </w:p>
  </w:footnote>
  <w:footnote w:id="1198">
    <w:p>
      <w:pPr>
        <w:pStyle w:val="FootnoteText"/>
      </w:pPr>
      <w:r>
        <w:rPr>
          <w:rStyle w:val="FootnoteReference"/>
        </w:rPr>
        <w:footnoteRef/>
      </w:r>
      <w:r>
        <w:t xml:space="preserve"> </w:t>
      </w:r>
      <w:r>
        <w:t xml:space="preserve">Morozov 1997, PMID 9637345.</w:t>
      </w:r>
    </w:p>
  </w:footnote>
  <w:footnote w:id="1199">
    <w:p>
      <w:pPr>
        <w:pStyle w:val="FootnoteText"/>
      </w:pPr>
      <w:r>
        <w:rPr>
          <w:rStyle w:val="FootnoteReference"/>
        </w:rPr>
        <w:footnoteRef/>
      </w:r>
      <w:r>
        <w:t xml:space="preserve"> </w:t>
      </w:r>
      <w:r>
        <w:t xml:space="preserve">Khavinson 2002, PMID 12374906.</w:t>
      </w:r>
    </w:p>
  </w:footnote>
  <w:footnote w:id="1200">
    <w:p>
      <w:pPr>
        <w:pStyle w:val="FootnoteText"/>
      </w:pPr>
      <w:r>
        <w:rPr>
          <w:rStyle w:val="FootnoteReference"/>
        </w:rPr>
        <w:footnoteRef/>
      </w:r>
      <w:r>
        <w:t xml:space="preserve"> </w:t>
      </w:r>
      <w:r>
        <w:t xml:space="preserve">Linkova 2023, PMID 37686182.</w:t>
      </w:r>
    </w:p>
  </w:footnote>
  <w:footnote w:id="1202">
    <w:p>
      <w:pPr>
        <w:pStyle w:val="FootnoteText"/>
      </w:pPr>
      <w:r>
        <w:rPr>
          <w:rStyle w:val="FootnoteReference"/>
        </w:rPr>
        <w:footnoteRef/>
      </w:r>
      <w:r>
        <w:t xml:space="preserve"> </w:t>
      </w:r>
      <w:r>
        <w:t xml:space="preserve">Khavinson 2003, PMID 14523363.</w:t>
      </w:r>
    </w:p>
  </w:footnote>
  <w:footnote w:id="1204">
    <w:p>
      <w:pPr>
        <w:pStyle w:val="FootnoteText"/>
      </w:pPr>
      <w:r>
        <w:rPr>
          <w:rStyle w:val="FootnoteReference"/>
        </w:rPr>
        <w:footnoteRef/>
      </w:r>
      <w:r>
        <w:t xml:space="preserve"> </w:t>
      </w:r>
      <w:r>
        <w:t xml:space="preserve">Kuznik 2022, PMID 36169363.</w:t>
      </w:r>
    </w:p>
  </w:footnote>
  <w:footnote w:id="1205">
    <w:p>
      <w:pPr>
        <w:pStyle w:val="FootnoteText"/>
      </w:pPr>
      <w:r>
        <w:rPr>
          <w:rStyle w:val="FootnoteReference"/>
        </w:rPr>
        <w:footnoteRef/>
      </w:r>
      <w:r>
        <w:t xml:space="preserve"> </w:t>
      </w:r>
      <w:r>
        <w:t xml:space="preserve">Khavinson 2021, PMID 33575961.</w:t>
      </w:r>
    </w:p>
  </w:footnote>
  <w:footnote w:id="1207">
    <w:p>
      <w:pPr>
        <w:pStyle w:val="FootnoteText"/>
      </w:pPr>
      <w:r>
        <w:rPr>
          <w:rStyle w:val="FootnoteReference"/>
        </w:rPr>
        <w:footnoteRef/>
      </w:r>
      <w:r>
        <w:t xml:space="preserve"> </w:t>
      </w:r>
      <w:r>
        <w:t xml:space="preserve">Smirnov 2011, PMID 21957588.</w:t>
      </w:r>
    </w:p>
  </w:footnote>
  <w:footnote w:id="1211">
    <w:p>
      <w:pPr>
        <w:pStyle w:val="FootnoteText"/>
      </w:pPr>
      <w:r>
        <w:rPr>
          <w:rStyle w:val="FootnoteReference"/>
        </w:rPr>
        <w:footnoteRef/>
      </w:r>
      <w:r>
        <w:t xml:space="preserve"> </w:t>
      </w:r>
      <w:r>
        <w:t xml:space="preserve">Anisimov 2000, PMID 11707921.</w:t>
      </w:r>
    </w:p>
  </w:footnote>
  <w:footnote w:id="1212">
    <w:p>
      <w:pPr>
        <w:pStyle w:val="FootnoteText"/>
      </w:pPr>
      <w:r>
        <w:rPr>
          <w:rStyle w:val="FootnoteReference"/>
        </w:rPr>
        <w:footnoteRef/>
      </w:r>
      <w:r>
        <w:t xml:space="preserve"> </w:t>
      </w:r>
      <w:r>
        <w:t xml:space="preserve">Khavinson 2020, PMID 33237528.</w:t>
      </w:r>
    </w:p>
  </w:footnote>
  <w:footnote w:id="1220">
    <w:p>
      <w:pPr>
        <w:pStyle w:val="FootnoteText"/>
      </w:pPr>
      <w:r>
        <w:rPr>
          <w:rStyle w:val="FootnoteReference"/>
        </w:rPr>
        <w:footnoteRef/>
      </w:r>
      <w:r>
        <w:t xml:space="preserve"> </w:t>
      </w:r>
      <w:r>
        <w:t xml:space="preserve">Khavinson 2003, PMID 14523363.</w:t>
      </w:r>
    </w:p>
  </w:footnote>
  <w:footnote w:id="1224">
    <w:p>
      <w:pPr>
        <w:pStyle w:val="FootnoteText"/>
      </w:pPr>
      <w:r>
        <w:rPr>
          <w:rStyle w:val="FootnoteReference"/>
        </w:rPr>
        <w:footnoteRef/>
      </w:r>
      <w:r>
        <w:t xml:space="preserve"> </w:t>
      </w:r>
      <w:r>
        <w:t xml:space="preserve">Kojima 1999, PMID 10604470.</w:t>
      </w:r>
    </w:p>
  </w:footnote>
  <w:footnote w:id="1226">
    <w:p>
      <w:pPr>
        <w:pStyle w:val="FootnoteText"/>
      </w:pPr>
      <w:r>
        <w:rPr>
          <w:rStyle w:val="FootnoteReference"/>
        </w:rPr>
        <w:footnoteRef/>
      </w:r>
      <w:r>
        <w:t xml:space="preserve"> </w:t>
      </w:r>
      <w:r>
        <w:t xml:space="preserve">Liu 2008, PMID 18347346.</w:t>
      </w:r>
    </w:p>
  </w:footnote>
  <w:footnote w:id="1227">
    <w:p>
      <w:pPr>
        <w:pStyle w:val="FootnoteText"/>
      </w:pPr>
      <w:r>
        <w:rPr>
          <w:rStyle w:val="FootnoteReference"/>
        </w:rPr>
        <w:footnoteRef/>
      </w:r>
      <w:r>
        <w:t xml:space="preserve"> </w:t>
      </w:r>
      <w:r>
        <w:t xml:space="preserve">Liu 2007, PMID 17227934.</w:t>
      </w:r>
    </w:p>
  </w:footnote>
  <w:footnote w:id="1229">
    <w:p>
      <w:pPr>
        <w:pStyle w:val="FootnoteText"/>
      </w:pPr>
      <w:r>
        <w:rPr>
          <w:rStyle w:val="FootnoteReference"/>
        </w:rPr>
        <w:footnoteRef/>
      </w:r>
      <w:r>
        <w:t xml:space="preserve"> </w:t>
      </w:r>
      <w:r>
        <w:t xml:space="preserve">Renehan 2004, PMID 15110491.</w:t>
      </w:r>
    </w:p>
  </w:footnote>
  <w:footnote w:id="1230">
    <w:p>
      <w:pPr>
        <w:pStyle w:val="FootnoteText"/>
      </w:pPr>
      <w:r>
        <w:rPr>
          <w:rStyle w:val="FootnoteReference"/>
        </w:rPr>
        <w:footnoteRef/>
      </w:r>
      <w:r>
        <w:t xml:space="preserve"> </w:t>
      </w:r>
      <w:r>
        <w:t xml:space="preserve">Murphy 2020, PMID 32169310; Murphy 2020, PMID 31884074.</w:t>
      </w:r>
    </w:p>
  </w:footnote>
  <w:footnote w:id="1231">
    <w:p>
      <w:pPr>
        <w:pStyle w:val="FootnoteText"/>
      </w:pPr>
      <w:r>
        <w:rPr>
          <w:rStyle w:val="FootnoteReference"/>
        </w:rPr>
        <w:footnoteRef/>
      </w:r>
      <w:r>
        <w:t xml:space="preserve"> </w:t>
      </w:r>
      <w:r>
        <w:t xml:space="preserve">Dal 2018, PMID 29590449.</w:t>
      </w:r>
    </w:p>
  </w:footnote>
  <w:footnote w:id="1232">
    <w:p>
      <w:pPr>
        <w:pStyle w:val="FootnoteText"/>
      </w:pPr>
      <w:r>
        <w:rPr>
          <w:rStyle w:val="FootnoteReference"/>
        </w:rPr>
        <w:footnoteRef/>
      </w:r>
      <w:r>
        <w:t xml:space="preserve"> </w:t>
      </w:r>
      <w:r>
        <w:t xml:space="preserve">Guevara-Aguirre 2011, PMID 21325617.</w:t>
      </w:r>
    </w:p>
  </w:footnote>
  <w:footnote w:id="1233">
    <w:p>
      <w:pPr>
        <w:pStyle w:val="FootnoteText"/>
      </w:pPr>
      <w:r>
        <w:rPr>
          <w:rStyle w:val="FootnoteReference"/>
        </w:rPr>
        <w:footnoteRef/>
      </w:r>
      <w:r>
        <w:t xml:space="preserve"> </w:t>
      </w:r>
      <w:r>
        <w:t xml:space="preserve">Swerdlow 2017, PMID 28187225.</w:t>
      </w:r>
    </w:p>
  </w:footnote>
  <w:footnote w:id="1234">
    <w:p>
      <w:pPr>
        <w:pStyle w:val="FootnoteText"/>
      </w:pPr>
      <w:r>
        <w:rPr>
          <w:rStyle w:val="FootnoteReference"/>
        </w:rPr>
        <w:footnoteRef/>
      </w:r>
      <w:r>
        <w:t xml:space="preserve"> </w:t>
      </w:r>
      <w:r>
        <w:t xml:space="preserve">Child 2015, PMID 25810462.</w:t>
      </w:r>
    </w:p>
  </w:footnote>
  <w:footnote w:id="1238">
    <w:p>
      <w:pPr>
        <w:pStyle w:val="FootnoteText"/>
      </w:pPr>
      <w:r>
        <w:rPr>
          <w:rStyle w:val="FootnoteReference"/>
        </w:rPr>
        <w:footnoteRef/>
      </w:r>
      <w:r>
        <w:t xml:space="preserve"> </w:t>
      </w:r>
      <w:r>
        <w:t xml:space="preserve">Prakash 1999, PMID 18031173.</w:t>
      </w:r>
    </w:p>
  </w:footnote>
  <w:footnote w:id="1240">
    <w:p>
      <w:pPr>
        <w:pStyle w:val="FootnoteText"/>
      </w:pPr>
      <w:r>
        <w:rPr>
          <w:rStyle w:val="FootnoteReference"/>
        </w:rPr>
        <w:footnoteRef/>
      </w:r>
      <w:r>
        <w:t xml:space="preserve"> </w:t>
      </w:r>
      <w:r>
        <w:t xml:space="preserve">Esposito 2003, PMID 14499707.</w:t>
      </w:r>
    </w:p>
  </w:footnote>
  <w:footnote w:id="1242">
    <w:p>
      <w:pPr>
        <w:pStyle w:val="FootnoteText"/>
      </w:pPr>
      <w:r>
        <w:rPr>
          <w:rStyle w:val="FootnoteReference"/>
        </w:rPr>
        <w:footnoteRef/>
      </w:r>
      <w:r>
        <w:t xml:space="preserve"> </w:t>
      </w:r>
      <w:r>
        <w:t xml:space="preserve">Thorner 1996, PMID 8772599.</w:t>
      </w:r>
    </w:p>
  </w:footnote>
  <w:footnote w:id="1243">
    <w:p>
      <w:pPr>
        <w:pStyle w:val="FootnoteText"/>
      </w:pPr>
      <w:r>
        <w:rPr>
          <w:rStyle w:val="FootnoteReference"/>
        </w:rPr>
        <w:footnoteRef/>
      </w:r>
      <w:r>
        <w:t xml:space="preserve"> </w:t>
      </w:r>
      <w:r>
        <w:t xml:space="preserve">Ross 1987, PMID 2879138.</w:t>
      </w:r>
    </w:p>
  </w:footnote>
  <w:footnote w:id="1244">
    <w:p>
      <w:pPr>
        <w:pStyle w:val="FootnoteText"/>
      </w:pPr>
      <w:r>
        <w:rPr>
          <w:rStyle w:val="FootnoteReference"/>
        </w:rPr>
        <w:footnoteRef/>
      </w:r>
      <w:r>
        <w:t xml:space="preserve"> </w:t>
      </w:r>
      <w:r>
        <w:t xml:space="preserve">Neyzi 1993, PMID 8329826.</w:t>
      </w:r>
    </w:p>
  </w:footnote>
  <w:footnote w:id="1245">
    <w:p>
      <w:pPr>
        <w:pStyle w:val="FootnoteText"/>
      </w:pPr>
      <w:r>
        <w:rPr>
          <w:rStyle w:val="FootnoteReference"/>
        </w:rPr>
        <w:footnoteRef/>
      </w:r>
      <w:r>
        <w:t xml:space="preserve"> </w:t>
      </w:r>
      <w:r>
        <w:t xml:space="preserve">Prakash 1999, PMID 18031173.</w:t>
      </w:r>
    </w:p>
  </w:footnote>
  <w:footnote w:id="1246">
    <w:p>
      <w:pPr>
        <w:pStyle w:val="FootnoteText"/>
      </w:pPr>
      <w:r>
        <w:rPr>
          <w:rStyle w:val="FootnoteReference"/>
        </w:rPr>
        <w:footnoteRef/>
      </w:r>
      <w:r>
        <w:t xml:space="preserve"> </w:t>
      </w:r>
      <w:r>
        <w:t xml:space="preserve">Kirk 1994, PMID 7955460.</w:t>
      </w:r>
    </w:p>
  </w:footnote>
  <w:footnote w:id="1248">
    <w:p>
      <w:pPr>
        <w:pStyle w:val="FootnoteText"/>
      </w:pPr>
      <w:r>
        <w:rPr>
          <w:rStyle w:val="FootnoteReference"/>
        </w:rPr>
        <w:footnoteRef/>
      </w:r>
      <w:r>
        <w:t xml:space="preserve"> </w:t>
      </w:r>
      <w:r>
        <w:t xml:space="preserve">Khorram 1997, PMID 9141536.</w:t>
      </w:r>
    </w:p>
  </w:footnote>
  <w:footnote w:id="1249">
    <w:p>
      <w:pPr>
        <w:pStyle w:val="FootnoteText"/>
      </w:pPr>
      <w:r>
        <w:rPr>
          <w:rStyle w:val="FootnoteReference"/>
        </w:rPr>
        <w:footnoteRef/>
      </w:r>
      <w:r>
        <w:t xml:space="preserve"> </w:t>
      </w:r>
      <w:r>
        <w:t xml:space="preserve">Khorram 1997, PMID 9360512.</w:t>
      </w:r>
    </w:p>
  </w:footnote>
  <w:footnote w:id="1250">
    <w:p>
      <w:pPr>
        <w:pStyle w:val="FootnoteText"/>
      </w:pPr>
      <w:r>
        <w:rPr>
          <w:rStyle w:val="FootnoteReference"/>
        </w:rPr>
        <w:footnoteRef/>
      </w:r>
      <w:r>
        <w:t xml:space="preserve"> </w:t>
      </w:r>
      <w:r>
        <w:t xml:space="preserve">Vittone 1997, PMID 9005976.</w:t>
      </w:r>
    </w:p>
  </w:footnote>
  <w:footnote w:id="1251">
    <w:p>
      <w:pPr>
        <w:pStyle w:val="FootnoteText"/>
      </w:pPr>
      <w:r>
        <w:rPr>
          <w:rStyle w:val="FootnoteReference"/>
        </w:rPr>
        <w:footnoteRef/>
      </w:r>
      <w:r>
        <w:t xml:space="preserve"> </w:t>
      </w:r>
      <w:r>
        <w:t xml:space="preserve">NCT00807365, NCT01410799.</w:t>
      </w:r>
    </w:p>
  </w:footnote>
  <w:footnote w:id="1253">
    <w:p>
      <w:pPr>
        <w:pStyle w:val="FootnoteText"/>
      </w:pPr>
      <w:r>
        <w:rPr>
          <w:rStyle w:val="FootnoteReference"/>
        </w:rPr>
        <w:footnoteRef/>
      </w:r>
      <w:r>
        <w:t xml:space="preserve"> </w:t>
      </w:r>
      <w:r>
        <w:t xml:space="preserve">Prakash 1999, PMID 18031173.</w:t>
      </w:r>
    </w:p>
  </w:footnote>
  <w:footnote w:id="1254">
    <w:p>
      <w:pPr>
        <w:pStyle w:val="FootnoteText"/>
      </w:pPr>
      <w:r>
        <w:rPr>
          <w:rStyle w:val="FootnoteReference"/>
        </w:rPr>
        <w:footnoteRef/>
      </w:r>
      <w:r>
        <w:t xml:space="preserve"> </w:t>
      </w:r>
      <w:r>
        <w:t xml:space="preserve">Garcia 2013, PMID 23559086.</w:t>
      </w:r>
    </w:p>
  </w:footnote>
  <w:footnote w:id="1256">
    <w:p>
      <w:pPr>
        <w:pStyle w:val="FootnoteText"/>
      </w:pPr>
      <w:r>
        <w:rPr>
          <w:rStyle w:val="FootnoteReference"/>
        </w:rPr>
        <w:footnoteRef/>
      </w:r>
      <w:r>
        <w:t xml:space="preserve"> </w:t>
      </w:r>
      <w:r>
        <w:t xml:space="preserve">Sigalos 2017, PMID 28830317.</w:t>
      </w:r>
    </w:p>
  </w:footnote>
  <w:footnote w:id="1259">
    <w:p>
      <w:pPr>
        <w:pStyle w:val="FootnoteText"/>
      </w:pPr>
      <w:r>
        <w:rPr>
          <w:rStyle w:val="FootnoteReference"/>
        </w:rPr>
        <w:footnoteRef/>
      </w:r>
      <w:r>
        <w:t xml:space="preserve"> </w:t>
      </w:r>
      <w:r>
        <w:t xml:space="preserve">Esposito 2003, PMID 14499707.</w:t>
      </w:r>
    </w:p>
  </w:footnote>
  <w:footnote w:id="1260">
    <w:p>
      <w:pPr>
        <w:pStyle w:val="FootnoteText"/>
      </w:pPr>
      <w:r>
        <w:rPr>
          <w:rStyle w:val="FootnoteReference"/>
        </w:rPr>
        <w:footnoteRef/>
      </w:r>
      <w:r>
        <w:t xml:space="preserve"> </w:t>
      </w:r>
      <w:r>
        <w:t xml:space="preserve">Chang 2021, PMID 33842627.</w:t>
      </w:r>
    </w:p>
  </w:footnote>
  <w:footnote w:id="1262">
    <w:p>
      <w:pPr>
        <w:pStyle w:val="FootnoteText"/>
      </w:pPr>
      <w:r>
        <w:rPr>
          <w:rStyle w:val="FootnoteReference"/>
        </w:rPr>
        <w:footnoteRef/>
      </w:r>
      <w:r>
        <w:t xml:space="preserve"> </w:t>
      </w:r>
      <w:r>
        <w:t xml:space="preserve">Prakash 1999, PMID 18031173.</w:t>
      </w:r>
    </w:p>
  </w:footnote>
  <w:footnote w:id="1263">
    <w:p>
      <w:pPr>
        <w:pStyle w:val="FootnoteText"/>
      </w:pPr>
      <w:r>
        <w:rPr>
          <w:rStyle w:val="FootnoteReference"/>
        </w:rPr>
        <w:footnoteRef/>
      </w:r>
      <w:r>
        <w:t xml:space="preserve"> </w:t>
      </w:r>
      <w:r>
        <w:t xml:space="preserve">Ross 1987, PMID 2879138.</w:t>
      </w:r>
    </w:p>
  </w:footnote>
  <w:footnote w:id="1264">
    <w:p>
      <w:pPr>
        <w:pStyle w:val="FootnoteText"/>
      </w:pPr>
      <w:r>
        <w:rPr>
          <w:rStyle w:val="FootnoteReference"/>
        </w:rPr>
        <w:footnoteRef/>
      </w:r>
      <w:r>
        <w:t xml:space="preserve"> </w:t>
      </w:r>
      <w:r>
        <w:t xml:space="preserve">Kirk 1994, PMID 7955460; Khorram 1997, PMID 9141536.</w:t>
      </w:r>
    </w:p>
  </w:footnote>
  <w:footnote w:id="1265">
    <w:p>
      <w:pPr>
        <w:pStyle w:val="FootnoteText"/>
      </w:pPr>
      <w:r>
        <w:rPr>
          <w:rStyle w:val="FootnoteReference"/>
        </w:rPr>
        <w:footnoteRef/>
      </w:r>
      <w:r>
        <w:t xml:space="preserve"> </w:t>
      </w:r>
      <w:r>
        <w:t xml:space="preserve">Perez 2026, PMID 42465868.</w:t>
      </w:r>
    </w:p>
  </w:footnote>
  <w:footnote w:id="1266">
    <w:p>
      <w:pPr>
        <w:pStyle w:val="FootnoteText"/>
      </w:pPr>
      <w:r>
        <w:rPr>
          <w:rStyle w:val="FootnoteReference"/>
        </w:rPr>
        <w:footnoteRef/>
      </w:r>
      <w:r>
        <w:t xml:space="preserve"> </w:t>
      </w:r>
      <w:r>
        <w:t xml:space="preserve">Venhuis 2016, PMID 26456392.</w:t>
      </w:r>
    </w:p>
  </w:footnote>
  <w:footnote w:id="1268">
    <w:p>
      <w:pPr>
        <w:pStyle w:val="FootnoteText"/>
      </w:pPr>
      <w:r>
        <w:rPr>
          <w:rStyle w:val="FootnoteReference"/>
        </w:rPr>
        <w:footnoteRef/>
      </w:r>
      <w:r>
        <w:t xml:space="preserve"> </w:t>
      </w:r>
      <w:r>
        <w:t xml:space="preserve">Garcia 2013, PMID 23559086.</w:t>
      </w:r>
    </w:p>
  </w:footnote>
  <w:footnote w:id="1269">
    <w:p>
      <w:pPr>
        <w:pStyle w:val="FootnoteText"/>
      </w:pPr>
      <w:r>
        <w:rPr>
          <w:rStyle w:val="FootnoteReference"/>
        </w:rPr>
        <w:footnoteRef/>
      </w:r>
      <w:r>
        <w:t xml:space="preserve"> </w:t>
      </w:r>
      <w:r>
        <w:t xml:space="preserve">Willis 2026, PMID 42752426.</w:t>
      </w:r>
    </w:p>
  </w:footnote>
  <w:footnote w:id="1270">
    <w:p>
      <w:pPr>
        <w:pStyle w:val="FootnoteText"/>
      </w:pPr>
      <w:r>
        <w:rPr>
          <w:rStyle w:val="FootnoteReference"/>
        </w:rPr>
        <w:footnoteRef/>
      </w:r>
      <w:r>
        <w:t xml:space="preserve"> </w:t>
      </w:r>
      <w:r>
        <w:t xml:space="preserve">Memdouh 2021, PMID 34665524.</w:t>
      </w:r>
    </w:p>
  </w:footnote>
  <w:footnote w:id="1275">
    <w:p>
      <w:pPr>
        <w:pStyle w:val="FootnoteText"/>
      </w:pPr>
      <w:r>
        <w:rPr>
          <w:rStyle w:val="FootnoteReference"/>
        </w:rPr>
        <w:footnoteRef/>
      </w:r>
      <w:r>
        <w:t xml:space="preserve"> </w:t>
      </w:r>
      <w:r>
        <w:t xml:space="preserve">Falutz 2010, PMID 20101189.</w:t>
      </w:r>
    </w:p>
  </w:footnote>
  <w:footnote w:id="1276">
    <w:p>
      <w:pPr>
        <w:pStyle w:val="FootnoteText"/>
      </w:pPr>
      <w:r>
        <w:rPr>
          <w:rStyle w:val="FootnoteReference"/>
        </w:rPr>
        <w:footnoteRef/>
      </w:r>
      <w:r>
        <w:t xml:space="preserve"> </w:t>
      </w:r>
      <w:r>
        <w:t xml:space="preserve">autorización de la FDA descrita en Traynor 2010, PMID 21115997.</w:t>
      </w:r>
    </w:p>
  </w:footnote>
  <w:footnote w:id="1279">
    <w:p>
      <w:pPr>
        <w:pStyle w:val="FootnoteText"/>
      </w:pPr>
      <w:r>
        <w:rPr>
          <w:rStyle w:val="FootnoteReference"/>
        </w:rPr>
        <w:footnoteRef/>
      </w:r>
      <w:r>
        <w:t xml:space="preserve"> </w:t>
      </w:r>
      <w:r>
        <w:t xml:space="preserve">Falutz 2007, PMID 18057338.</w:t>
      </w:r>
    </w:p>
  </w:footnote>
  <w:footnote w:id="1280">
    <w:p>
      <w:pPr>
        <w:pStyle w:val="FootnoteText"/>
      </w:pPr>
      <w:r>
        <w:rPr>
          <w:rStyle w:val="FootnoteReference"/>
        </w:rPr>
        <w:footnoteRef/>
      </w:r>
      <w:r>
        <w:t xml:space="preserve"> </w:t>
      </w:r>
      <w:r>
        <w:t xml:space="preserve">Falutz 2008, PMID 18690162.</w:t>
      </w:r>
    </w:p>
  </w:footnote>
  <w:footnote w:id="1281">
    <w:p>
      <w:pPr>
        <w:pStyle w:val="FootnoteText"/>
      </w:pPr>
      <w:r>
        <w:rPr>
          <w:rStyle w:val="FootnoteReference"/>
        </w:rPr>
        <w:footnoteRef/>
      </w:r>
      <w:r>
        <w:t xml:space="preserve"> </w:t>
      </w:r>
      <w:r>
        <w:t xml:space="preserve">Falutz 2010, PMID 20101189.</w:t>
      </w:r>
    </w:p>
  </w:footnote>
  <w:footnote w:id="1282">
    <w:p>
      <w:pPr>
        <w:pStyle w:val="FootnoteText"/>
      </w:pPr>
      <w:r>
        <w:rPr>
          <w:rStyle w:val="FootnoteReference"/>
        </w:rPr>
        <w:footnoteRef/>
      </w:r>
      <w:r>
        <w:t xml:space="preserve"> </w:t>
      </w:r>
      <w:r>
        <w:t xml:space="preserve">Falutz 2010, PMID 20554713.</w:t>
      </w:r>
    </w:p>
  </w:footnote>
  <w:footnote w:id="1283">
    <w:p>
      <w:pPr>
        <w:pStyle w:val="FootnoteText"/>
      </w:pPr>
      <w:r>
        <w:rPr>
          <w:rStyle w:val="FootnoteReference"/>
        </w:rPr>
        <w:footnoteRef/>
      </w:r>
      <w:r>
        <w:t xml:space="preserve"> </w:t>
      </w:r>
      <w:r>
        <w:t xml:space="preserve">Stanley 2012, PMID 22495074.</w:t>
      </w:r>
    </w:p>
  </w:footnote>
  <w:footnote w:id="1285">
    <w:p>
      <w:pPr>
        <w:pStyle w:val="FootnoteText"/>
      </w:pPr>
      <w:r>
        <w:rPr>
          <w:rStyle w:val="FootnoteReference"/>
        </w:rPr>
        <w:footnoteRef/>
      </w:r>
      <w:r>
        <w:t xml:space="preserve"> </w:t>
      </w:r>
      <w:r>
        <w:t xml:space="preserve">Stanley 2014, PMID 25038357.</w:t>
      </w:r>
    </w:p>
  </w:footnote>
  <w:footnote w:id="1286">
    <w:p>
      <w:pPr>
        <w:pStyle w:val="FootnoteText"/>
      </w:pPr>
      <w:r>
        <w:rPr>
          <w:rStyle w:val="FootnoteReference"/>
        </w:rPr>
        <w:footnoteRef/>
      </w:r>
      <w:r>
        <w:t xml:space="preserve"> </w:t>
      </w:r>
      <w:r>
        <w:t xml:space="preserve">Stanley 2019, PMID 31611038.</w:t>
      </w:r>
    </w:p>
  </w:footnote>
  <w:footnote w:id="1288">
    <w:p>
      <w:pPr>
        <w:pStyle w:val="FootnoteText"/>
      </w:pPr>
      <w:r>
        <w:rPr>
          <w:rStyle w:val="FootnoteReference"/>
        </w:rPr>
        <w:footnoteRef/>
      </w:r>
      <w:r>
        <w:t xml:space="preserve"> </w:t>
      </w:r>
      <w:r>
        <w:t xml:space="preserve">Makimura 2012, PMID 23015655.</w:t>
      </w:r>
    </w:p>
  </w:footnote>
  <w:footnote w:id="1289">
    <w:p>
      <w:pPr>
        <w:pStyle w:val="FootnoteText"/>
      </w:pPr>
      <w:r>
        <w:rPr>
          <w:rStyle w:val="FootnoteReference"/>
        </w:rPr>
        <w:footnoteRef/>
      </w:r>
      <w:r>
        <w:t xml:space="preserve"> </w:t>
      </w:r>
      <w:r>
        <w:t xml:space="preserve">Clemmons 2017, PMID 28617838.</w:t>
      </w:r>
    </w:p>
  </w:footnote>
  <w:footnote w:id="1290">
    <w:p>
      <w:pPr>
        <w:pStyle w:val="FootnoteText"/>
      </w:pPr>
      <w:r>
        <w:rPr>
          <w:rStyle w:val="FootnoteReference"/>
        </w:rPr>
        <w:footnoteRef/>
      </w:r>
      <w:r>
        <w:t xml:space="preserve"> </w:t>
      </w:r>
      <w:r>
        <w:t xml:space="preserve">Baker 2012, PMID 22869065.</w:t>
      </w:r>
    </w:p>
  </w:footnote>
  <w:footnote w:id="1291">
    <w:p>
      <w:pPr>
        <w:pStyle w:val="FootnoteText"/>
      </w:pPr>
      <w:r>
        <w:rPr>
          <w:rStyle w:val="FootnoteReference"/>
        </w:rPr>
        <w:footnoteRef/>
      </w:r>
      <w:r>
        <w:t xml:space="preserve"> </w:t>
      </w:r>
      <w:r>
        <w:t xml:space="preserve">Ellis 2025, PMID 39813152.</w:t>
      </w:r>
    </w:p>
  </w:footnote>
  <w:footnote w:id="1293">
    <w:p>
      <w:pPr>
        <w:pStyle w:val="FootnoteText"/>
      </w:pPr>
      <w:r>
        <w:rPr>
          <w:rStyle w:val="FootnoteReference"/>
        </w:rPr>
        <w:footnoteRef/>
      </w:r>
      <w:r>
        <w:t xml:space="preserve"> </w:t>
      </w:r>
      <w:r>
        <w:t xml:space="preserve">Ditta 2026, PMID 42538058.</w:t>
      </w:r>
    </w:p>
  </w:footnote>
  <w:footnote w:id="1294">
    <w:p>
      <w:pPr>
        <w:pStyle w:val="FootnoteText"/>
      </w:pPr>
      <w:r>
        <w:rPr>
          <w:rStyle w:val="FootnoteReference"/>
        </w:rPr>
        <w:footnoteRef/>
      </w:r>
      <w:r>
        <w:t xml:space="preserve"> </w:t>
      </w:r>
      <w:r>
        <w:t xml:space="preserve">Badran 2026, PMID 41545261.</w:t>
      </w:r>
    </w:p>
  </w:footnote>
  <w:footnote w:id="1297">
    <w:p>
      <w:pPr>
        <w:pStyle w:val="FootnoteText"/>
      </w:pPr>
      <w:r>
        <w:rPr>
          <w:rStyle w:val="FootnoteReference"/>
        </w:rPr>
        <w:footnoteRef/>
      </w:r>
      <w:r>
        <w:t xml:space="preserve"> </w:t>
      </w:r>
      <w:r>
        <w:t xml:space="preserve">Tuffaha 2016, PMID 27192539.</w:t>
      </w:r>
    </w:p>
  </w:footnote>
  <w:footnote w:id="1298">
    <w:p>
      <w:pPr>
        <w:pStyle w:val="FootnoteText"/>
      </w:pPr>
      <w:r>
        <w:rPr>
          <w:rStyle w:val="FootnoteReference"/>
        </w:rPr>
        <w:footnoteRef/>
      </w:r>
      <w:r>
        <w:t xml:space="preserve"> </w:t>
      </w:r>
      <w:r>
        <w:t xml:space="preserve">NCT03150511.</w:t>
      </w:r>
    </w:p>
  </w:footnote>
  <w:footnote w:id="1299">
    <w:p>
      <w:pPr>
        <w:pStyle w:val="FootnoteText"/>
      </w:pPr>
      <w:r>
        <w:rPr>
          <w:rStyle w:val="FootnoteReference"/>
        </w:rPr>
        <w:footnoteRef/>
      </w:r>
      <w:r>
        <w:t xml:space="preserve"> </w:t>
      </w:r>
      <w:r>
        <w:t xml:space="preserve">Fourman 2020, PMID 32701508.</w:t>
      </w:r>
    </w:p>
  </w:footnote>
  <w:footnote w:id="1301">
    <w:p>
      <w:pPr>
        <w:pStyle w:val="FootnoteText"/>
      </w:pPr>
      <w:r>
        <w:rPr>
          <w:rStyle w:val="FootnoteReference"/>
        </w:rPr>
        <w:footnoteRef/>
      </w:r>
      <w:r>
        <w:t xml:space="preserve"> </w:t>
      </w:r>
      <w:r>
        <w:t xml:space="preserve">Stanley 2019, PMID 31611038.</w:t>
      </w:r>
    </w:p>
  </w:footnote>
  <w:footnote w:id="1302">
    <w:p>
      <w:pPr>
        <w:pStyle w:val="FootnoteText"/>
      </w:pPr>
      <w:r>
        <w:rPr>
          <w:rStyle w:val="FootnoteReference"/>
        </w:rPr>
        <w:footnoteRef/>
      </w:r>
      <w:r>
        <w:t xml:space="preserve"> </w:t>
      </w:r>
      <w:r>
        <w:t xml:space="preserve">Badran 2026, PMID 41545261.</w:t>
      </w:r>
    </w:p>
  </w:footnote>
  <w:footnote w:id="1303">
    <w:p>
      <w:pPr>
        <w:pStyle w:val="FootnoteText"/>
      </w:pPr>
      <w:r>
        <w:rPr>
          <w:rStyle w:val="FootnoteReference"/>
        </w:rPr>
        <w:footnoteRef/>
      </w:r>
      <w:r>
        <w:t xml:space="preserve"> </w:t>
      </w:r>
      <w:r>
        <w:t xml:space="preserve">Stanley 2014, PMID 25038357.</w:t>
      </w:r>
    </w:p>
  </w:footnote>
  <w:footnote w:id="1304">
    <w:p>
      <w:pPr>
        <w:pStyle w:val="FootnoteText"/>
      </w:pPr>
      <w:r>
        <w:rPr>
          <w:rStyle w:val="FootnoteReference"/>
        </w:rPr>
        <w:footnoteRef/>
      </w:r>
      <w:r>
        <w:t xml:space="preserve"> </w:t>
      </w:r>
      <w:r>
        <w:t xml:space="preserve">Stanley 2012, PMID 22495074.</w:t>
      </w:r>
    </w:p>
  </w:footnote>
  <w:footnote w:id="1305">
    <w:p>
      <w:pPr>
        <w:pStyle w:val="FootnoteText"/>
      </w:pPr>
      <w:r>
        <w:rPr>
          <w:rStyle w:val="FootnoteReference"/>
        </w:rPr>
        <w:footnoteRef/>
      </w:r>
      <w:r>
        <w:t xml:space="preserve"> </w:t>
      </w:r>
      <w:r>
        <w:t xml:space="preserve">Falutz 2007, PMID 18057338.</w:t>
      </w:r>
    </w:p>
  </w:footnote>
  <w:footnote w:id="1306">
    <w:p>
      <w:pPr>
        <w:pStyle w:val="FootnoteText"/>
      </w:pPr>
      <w:r>
        <w:rPr>
          <w:rStyle w:val="FootnoteReference"/>
        </w:rPr>
        <w:footnoteRef/>
      </w:r>
      <w:r>
        <w:t xml:space="preserve"> </w:t>
      </w:r>
      <w:r>
        <w:t xml:space="preserve">Falutz 2008, PMID 18690162.</w:t>
      </w:r>
    </w:p>
  </w:footnote>
  <w:footnote w:id="1307">
    <w:p>
      <w:pPr>
        <w:pStyle w:val="FootnoteText"/>
      </w:pPr>
      <w:r>
        <w:rPr>
          <w:rStyle w:val="FootnoteReference"/>
        </w:rPr>
        <w:footnoteRef/>
      </w:r>
      <w:r>
        <w:t xml:space="preserve"> </w:t>
      </w:r>
      <w:r>
        <w:t xml:space="preserve">NCT01579695.</w:t>
      </w:r>
    </w:p>
  </w:footnote>
  <w:footnote w:id="1308">
    <w:p>
      <w:pPr>
        <w:pStyle w:val="FootnoteText"/>
      </w:pPr>
      <w:r>
        <w:rPr>
          <w:rStyle w:val="FootnoteReference"/>
        </w:rPr>
        <w:footnoteRef/>
      </w:r>
      <w:r>
        <w:t xml:space="preserve"> </w:t>
      </w:r>
      <w:r>
        <w:t xml:space="preserve">NCT01591902.</w:t>
      </w:r>
    </w:p>
  </w:footnote>
  <w:footnote w:id="1310">
    <w:p>
      <w:pPr>
        <w:pStyle w:val="FootnoteText"/>
      </w:pPr>
      <w:r>
        <w:rPr>
          <w:rStyle w:val="FootnoteReference"/>
        </w:rPr>
        <w:footnoteRef/>
      </w:r>
      <w:r>
        <w:t xml:space="preserve"> </w:t>
      </w:r>
      <w:r>
        <w:t xml:space="preserve">Memdouh 2021, PMID 34665524.</w:t>
      </w:r>
    </w:p>
  </w:footnote>
  <w:footnote w:id="1315">
    <w:p>
      <w:pPr>
        <w:pStyle w:val="FootnoteText"/>
      </w:pPr>
      <w:r>
        <w:rPr>
          <w:rStyle w:val="FootnoteReference"/>
        </w:rPr>
        <w:footnoteRef/>
      </w:r>
      <w:r>
        <w:t xml:space="preserve"> </w:t>
      </w:r>
      <w:r>
        <w:t xml:space="preserve">Jetté 2005, PMID 15817669.</w:t>
      </w:r>
    </w:p>
  </w:footnote>
  <w:footnote w:id="1317">
    <w:p>
      <w:pPr>
        <w:pStyle w:val="FootnoteText"/>
      </w:pPr>
      <w:r>
        <w:rPr>
          <w:rStyle w:val="FootnoteReference"/>
        </w:rPr>
        <w:footnoteRef/>
      </w:r>
      <w:r>
        <w:t xml:space="preserve"> </w:t>
      </w:r>
      <w:r>
        <w:t xml:space="preserve">Jetté 2005, PMID 15817669.</w:t>
      </w:r>
    </w:p>
  </w:footnote>
  <w:footnote w:id="1319">
    <w:p>
      <w:pPr>
        <w:pStyle w:val="FootnoteText"/>
      </w:pPr>
      <w:r>
        <w:rPr>
          <w:rStyle w:val="FootnoteReference"/>
        </w:rPr>
        <w:footnoteRef/>
      </w:r>
      <w:r>
        <w:t xml:space="preserve"> </w:t>
      </w:r>
      <w:r>
        <w:t xml:space="preserve">Teichman 2006, PMID 16352683.</w:t>
      </w:r>
    </w:p>
  </w:footnote>
  <w:footnote w:id="1320">
    <w:p>
      <w:pPr>
        <w:pStyle w:val="FootnoteText"/>
      </w:pPr>
      <w:r>
        <w:rPr>
          <w:rStyle w:val="FootnoteReference"/>
        </w:rPr>
        <w:footnoteRef/>
      </w:r>
      <w:r>
        <w:t xml:space="preserve"> </w:t>
      </w:r>
      <w:r>
        <w:t xml:space="preserve">Ionescu 2006, PMID 17018654.</w:t>
      </w:r>
    </w:p>
  </w:footnote>
  <w:footnote w:id="1321">
    <w:p>
      <w:pPr>
        <w:pStyle w:val="FootnoteText"/>
      </w:pPr>
      <w:r>
        <w:rPr>
          <w:rStyle w:val="FootnoteReference"/>
        </w:rPr>
        <w:footnoteRef/>
      </w:r>
      <w:r>
        <w:t xml:space="preserve"> </w:t>
      </w:r>
      <w:r>
        <w:t xml:space="preserve">Sackmann-Sala 2009, PMID 19386527.</w:t>
      </w:r>
    </w:p>
  </w:footnote>
  <w:footnote w:id="1322">
    <w:p>
      <w:pPr>
        <w:pStyle w:val="FootnoteText"/>
      </w:pPr>
      <w:r>
        <w:rPr>
          <w:rStyle w:val="FootnoteReference"/>
        </w:rPr>
        <w:footnoteRef/>
      </w:r>
      <w:r>
        <w:t xml:space="preserve"> </w:t>
      </w:r>
      <w:r>
        <w:t xml:space="preserve">NCT00267527.</w:t>
      </w:r>
    </w:p>
  </w:footnote>
  <w:footnote w:id="1325">
    <w:p>
      <w:pPr>
        <w:pStyle w:val="FootnoteText"/>
      </w:pPr>
      <w:r>
        <w:rPr>
          <w:rStyle w:val="FootnoteReference"/>
        </w:rPr>
        <w:footnoteRef/>
      </w:r>
      <w:r>
        <w:t xml:space="preserve"> </w:t>
      </w:r>
      <w:r>
        <w:t xml:space="preserve">Jetté 2005, PMID 15817669.</w:t>
      </w:r>
    </w:p>
  </w:footnote>
  <w:footnote w:id="1326">
    <w:p>
      <w:pPr>
        <w:pStyle w:val="FootnoteText"/>
      </w:pPr>
      <w:r>
        <w:rPr>
          <w:rStyle w:val="FootnoteReference"/>
        </w:rPr>
        <w:footnoteRef/>
      </w:r>
      <w:r>
        <w:t xml:space="preserve"> </w:t>
      </w:r>
      <w:r>
        <w:t xml:space="preserve">Alba 2006, PMID 16822960.</w:t>
      </w:r>
    </w:p>
  </w:footnote>
  <w:footnote w:id="1328">
    <w:p>
      <w:pPr>
        <w:pStyle w:val="FootnoteText"/>
      </w:pPr>
      <w:r>
        <w:rPr>
          <w:rStyle w:val="FootnoteReference"/>
        </w:rPr>
        <w:footnoteRef/>
      </w:r>
      <w:r>
        <w:t xml:space="preserve"> </w:t>
      </w:r>
      <w:r>
        <w:t xml:space="preserve">Teichman 2006, PMID 16352683.</w:t>
      </w:r>
    </w:p>
  </w:footnote>
  <w:footnote w:id="1329">
    <w:p>
      <w:pPr>
        <w:pStyle w:val="FootnoteText"/>
      </w:pPr>
      <w:r>
        <w:rPr>
          <w:rStyle w:val="FootnoteReference"/>
        </w:rPr>
        <w:footnoteRef/>
      </w:r>
      <w:r>
        <w:t xml:space="preserve"> </w:t>
      </w:r>
      <w:r>
        <w:t xml:space="preserve">Henninge 2010, PMID 21204297.</w:t>
      </w:r>
    </w:p>
  </w:footnote>
  <w:footnote w:id="1330">
    <w:p>
      <w:pPr>
        <w:pStyle w:val="FootnoteText"/>
      </w:pPr>
      <w:r>
        <w:rPr>
          <w:rStyle w:val="FootnoteReference"/>
        </w:rPr>
        <w:footnoteRef/>
      </w:r>
      <w:r>
        <w:t xml:space="preserve"> </w:t>
      </w:r>
      <w:r>
        <w:t xml:space="preserve">Gajda 2019, PMID 30136411.</w:t>
      </w:r>
    </w:p>
  </w:footnote>
  <w:footnote w:id="1331">
    <w:p>
      <w:pPr>
        <w:pStyle w:val="FootnoteText"/>
      </w:pPr>
      <w:r>
        <w:rPr>
          <w:rStyle w:val="FootnoteReference"/>
        </w:rPr>
        <w:footnoteRef/>
      </w:r>
      <w:r>
        <w:t xml:space="preserve"> </w:t>
      </w:r>
      <w:r>
        <w:t xml:space="preserve">Van Hout 2016, PMID 26771670.</w:t>
      </w:r>
    </w:p>
  </w:footnote>
  <w:footnote w:id="1333">
    <w:p>
      <w:pPr>
        <w:pStyle w:val="FootnoteText"/>
      </w:pPr>
      <w:r>
        <w:rPr>
          <w:rStyle w:val="FootnoteReference"/>
        </w:rPr>
        <w:footnoteRef/>
      </w:r>
      <w:r>
        <w:t xml:space="preserve"> </w:t>
      </w:r>
      <w:r>
        <w:t xml:space="preserve">Willis 2026, PMID 42752426.</w:t>
      </w:r>
    </w:p>
  </w:footnote>
  <w:footnote w:id="1334">
    <w:p>
      <w:pPr>
        <w:pStyle w:val="FootnoteText"/>
      </w:pPr>
      <w:r>
        <w:rPr>
          <w:rStyle w:val="FootnoteReference"/>
        </w:rPr>
        <w:footnoteRef/>
      </w:r>
      <w:r>
        <w:t xml:space="preserve"> </w:t>
      </w:r>
      <w:r>
        <w:t xml:space="preserve">Memdouh 2021, PMID 34665524.</w:t>
      </w:r>
    </w:p>
  </w:footnote>
  <w:footnote w:id="1335">
    <w:p>
      <w:pPr>
        <w:pStyle w:val="FootnoteText"/>
      </w:pPr>
      <w:r>
        <w:rPr>
          <w:rStyle w:val="FootnoteReference"/>
        </w:rPr>
        <w:footnoteRef/>
      </w:r>
      <w:r>
        <w:t xml:space="preserve"> </w:t>
      </w:r>
      <w:r>
        <w:t xml:space="preserve">Timms 2019, PMID 30938069.</w:t>
      </w:r>
    </w:p>
  </w:footnote>
  <w:footnote w:id="1340">
    <w:p>
      <w:pPr>
        <w:pStyle w:val="FootnoteText"/>
      </w:pPr>
      <w:r>
        <w:rPr>
          <w:rStyle w:val="FootnoteReference"/>
        </w:rPr>
        <w:footnoteRef/>
      </w:r>
      <w:r>
        <w:t xml:space="preserve"> </w:t>
      </w:r>
      <w:r>
        <w:t xml:space="preserve">Raun 1998, PMID 9849822.</w:t>
      </w:r>
    </w:p>
  </w:footnote>
  <w:footnote w:id="1342">
    <w:p>
      <w:pPr>
        <w:pStyle w:val="FootnoteText"/>
      </w:pPr>
      <w:r>
        <w:rPr>
          <w:rStyle w:val="FootnoteReference"/>
        </w:rPr>
        <w:footnoteRef/>
      </w:r>
      <w:r>
        <w:t xml:space="preserve"> </w:t>
      </w:r>
      <w:r>
        <w:t xml:space="preserve">Kojima 1999, PMID 10604470.</w:t>
      </w:r>
    </w:p>
  </w:footnote>
  <w:footnote w:id="1343">
    <w:p>
      <w:pPr>
        <w:pStyle w:val="FootnoteText"/>
      </w:pPr>
      <w:r>
        <w:rPr>
          <w:rStyle w:val="FootnoteReference"/>
        </w:rPr>
        <w:footnoteRef/>
      </w:r>
      <w:r>
        <w:t xml:space="preserve"> </w:t>
      </w:r>
      <w:r>
        <w:t xml:space="preserve">Raun 1998, PMID 9849822.</w:t>
      </w:r>
    </w:p>
  </w:footnote>
  <w:footnote w:id="1345">
    <w:p>
      <w:pPr>
        <w:pStyle w:val="FootnoteText"/>
      </w:pPr>
      <w:r>
        <w:rPr>
          <w:rStyle w:val="FootnoteReference"/>
        </w:rPr>
        <w:footnoteRef/>
      </w:r>
      <w:r>
        <w:t xml:space="preserve"> </w:t>
      </w:r>
      <w:r>
        <w:t xml:space="preserve">NCT07717866.</w:t>
      </w:r>
    </w:p>
  </w:footnote>
  <w:footnote w:id="1346">
    <w:p>
      <w:pPr>
        <w:pStyle w:val="FootnoteText"/>
      </w:pPr>
      <w:r>
        <w:rPr>
          <w:rStyle w:val="FootnoteReference"/>
        </w:rPr>
        <w:footnoteRef/>
      </w:r>
      <w:r>
        <w:t xml:space="preserve"> </w:t>
      </w:r>
      <w:r>
        <w:t xml:space="preserve">Gobburu 1999, PMID 10496658.</w:t>
      </w:r>
    </w:p>
  </w:footnote>
  <w:footnote w:id="1347">
    <w:p>
      <w:pPr>
        <w:pStyle w:val="FootnoteText"/>
      </w:pPr>
      <w:r>
        <w:rPr>
          <w:rStyle w:val="FootnoteReference"/>
        </w:rPr>
        <w:footnoteRef/>
      </w:r>
      <w:r>
        <w:t xml:space="preserve"> </w:t>
      </w:r>
      <w:r>
        <w:t xml:space="preserve">Beck 2014, PMID 25331030.</w:t>
      </w:r>
    </w:p>
  </w:footnote>
  <w:footnote w:id="1348">
    <w:p>
      <w:pPr>
        <w:pStyle w:val="FootnoteText"/>
      </w:pPr>
      <w:r>
        <w:rPr>
          <w:rStyle w:val="FootnoteReference"/>
        </w:rPr>
        <w:footnoteRef/>
      </w:r>
      <w:r>
        <w:t xml:space="preserve"> </w:t>
      </w:r>
      <w:r>
        <w:t xml:space="preserve">NCT01280344.</w:t>
      </w:r>
    </w:p>
  </w:footnote>
  <w:footnote w:id="1350">
    <w:p>
      <w:pPr>
        <w:pStyle w:val="FootnoteText"/>
      </w:pPr>
      <w:r>
        <w:rPr>
          <w:rStyle w:val="FootnoteReference"/>
        </w:rPr>
        <w:footnoteRef/>
      </w:r>
      <w:r>
        <w:t xml:space="preserve"> </w:t>
      </w:r>
      <w:r>
        <w:t xml:space="preserve">Venkova 2009, PMID 19289567.</w:t>
      </w:r>
    </w:p>
  </w:footnote>
  <w:footnote w:id="1351">
    <w:p>
      <w:pPr>
        <w:pStyle w:val="FootnoteText"/>
      </w:pPr>
      <w:r>
        <w:rPr>
          <w:rStyle w:val="FootnoteReference"/>
        </w:rPr>
        <w:footnoteRef/>
      </w:r>
      <w:r>
        <w:t xml:space="preserve"> </w:t>
      </w:r>
      <w:r>
        <w:t xml:space="preserve">Johansen 1999, PMID 10373343.</w:t>
      </w:r>
    </w:p>
  </w:footnote>
  <w:footnote w:id="1352">
    <w:p>
      <w:pPr>
        <w:pStyle w:val="FootnoteText"/>
      </w:pPr>
      <w:r>
        <w:rPr>
          <w:rStyle w:val="FootnoteReference"/>
        </w:rPr>
        <w:footnoteRef/>
      </w:r>
      <w:r>
        <w:t xml:space="preserve"> </w:t>
      </w:r>
      <w:r>
        <w:t xml:space="preserve">Raun 1998, PMID 9849822.</w:t>
      </w:r>
    </w:p>
  </w:footnote>
  <w:footnote w:id="1354">
    <w:p>
      <w:pPr>
        <w:pStyle w:val="FootnoteText"/>
      </w:pPr>
      <w:r>
        <w:rPr>
          <w:rStyle w:val="FootnoteReference"/>
        </w:rPr>
        <w:footnoteRef/>
      </w:r>
      <w:r>
        <w:t xml:space="preserve"> </w:t>
      </w:r>
      <w:r>
        <w:t xml:space="preserve">Beck 2014, PMID 25331030.</w:t>
      </w:r>
    </w:p>
  </w:footnote>
  <w:footnote w:id="1355">
    <w:p>
      <w:pPr>
        <w:pStyle w:val="FootnoteText"/>
      </w:pPr>
      <w:r>
        <w:rPr>
          <w:rStyle w:val="FootnoteReference"/>
        </w:rPr>
        <w:footnoteRef/>
      </w:r>
      <w:r>
        <w:t xml:space="preserve"> </w:t>
      </w:r>
      <w:r>
        <w:t xml:space="preserve">Krug 2018, PMID 29864719; Gajda 2019, PMID 30136411.</w:t>
      </w:r>
    </w:p>
  </w:footnote>
  <w:footnote w:id="1357">
    <w:p>
      <w:pPr>
        <w:pStyle w:val="FootnoteText"/>
      </w:pPr>
      <w:r>
        <w:rPr>
          <w:rStyle w:val="FootnoteReference"/>
        </w:rPr>
        <w:footnoteRef/>
      </w:r>
      <w:r>
        <w:t xml:space="preserve"> </w:t>
      </w:r>
      <w:r>
        <w:t xml:space="preserve">Willis 2026, PMID 42752426.</w:t>
      </w:r>
    </w:p>
  </w:footnote>
  <w:footnote w:id="1358">
    <w:p>
      <w:pPr>
        <w:pStyle w:val="FootnoteText"/>
      </w:pPr>
      <w:r>
        <w:rPr>
          <w:rStyle w:val="FootnoteReference"/>
        </w:rPr>
        <w:footnoteRef/>
      </w:r>
      <w:r>
        <w:t xml:space="preserve"> </w:t>
      </w:r>
      <w:r>
        <w:t xml:space="preserve">Semenistaya 2015, PMID 25869809.</w:t>
      </w:r>
    </w:p>
  </w:footnote>
  <w:footnote w:id="1363">
    <w:p>
      <w:pPr>
        <w:pStyle w:val="FootnoteText"/>
      </w:pPr>
      <w:r>
        <w:rPr>
          <w:rStyle w:val="FootnoteReference"/>
        </w:rPr>
        <w:footnoteRef/>
      </w:r>
      <w:r>
        <w:t xml:space="preserve"> </w:t>
      </w:r>
      <w:r>
        <w:t xml:space="preserve">Doi 2004, PMID 15646370.</w:t>
      </w:r>
    </w:p>
  </w:footnote>
  <w:footnote w:id="1364">
    <w:p>
      <w:pPr>
        <w:pStyle w:val="FootnoteText"/>
      </w:pPr>
      <w:r>
        <w:rPr>
          <w:rStyle w:val="FootnoteReference"/>
        </w:rPr>
        <w:footnoteRef/>
      </w:r>
      <w:r>
        <w:t xml:space="preserve"> </w:t>
      </w:r>
      <w:r>
        <w:t xml:space="preserve">perfil anónimo del principio activo en Drugs R D 2004, PMID 15230633.</w:t>
      </w:r>
    </w:p>
  </w:footnote>
  <w:footnote w:id="1366">
    <w:p>
      <w:pPr>
        <w:pStyle w:val="FootnoteText"/>
      </w:pPr>
      <w:r>
        <w:rPr>
          <w:rStyle w:val="FootnoteReference"/>
        </w:rPr>
        <w:footnoteRef/>
      </w:r>
      <w:r>
        <w:t xml:space="preserve"> </w:t>
      </w:r>
      <w:r>
        <w:t xml:space="preserve">Kojima 1999, PMID 10604470.</w:t>
      </w:r>
    </w:p>
  </w:footnote>
  <w:footnote w:id="1367">
    <w:p>
      <w:pPr>
        <w:pStyle w:val="FootnoteText"/>
      </w:pPr>
      <w:r>
        <w:rPr>
          <w:rStyle w:val="FootnoteReference"/>
        </w:rPr>
        <w:footnoteRef/>
      </w:r>
      <w:r>
        <w:t xml:space="preserve"> </w:t>
      </w:r>
      <w:r>
        <w:t xml:space="preserve">Doi 2004, PMID 15646370.</w:t>
      </w:r>
    </w:p>
  </w:footnote>
  <w:footnote w:id="1369">
    <w:p>
      <w:pPr>
        <w:pStyle w:val="FootnoteText"/>
      </w:pPr>
      <w:r>
        <w:rPr>
          <w:rStyle w:val="FootnoteReference"/>
        </w:rPr>
        <w:footnoteRef/>
      </w:r>
      <w:r>
        <w:t xml:space="preserve"> </w:t>
      </w:r>
      <w:r>
        <w:t xml:space="preserve">Chihara 2007, PMID 17609397.</w:t>
      </w:r>
    </w:p>
  </w:footnote>
  <w:footnote w:id="1370">
    <w:p>
      <w:pPr>
        <w:pStyle w:val="FootnoteText"/>
      </w:pPr>
      <w:r>
        <w:rPr>
          <w:rStyle w:val="FootnoteReference"/>
        </w:rPr>
        <w:footnoteRef/>
      </w:r>
      <w:r>
        <w:t xml:space="preserve"> </w:t>
      </w:r>
      <w:r>
        <w:t xml:space="preserve">Kinoshita 2013, PMID 23079545.</w:t>
      </w:r>
    </w:p>
  </w:footnote>
  <w:footnote w:id="1371">
    <w:p>
      <w:pPr>
        <w:pStyle w:val="FootnoteText"/>
      </w:pPr>
      <w:r>
        <w:rPr>
          <w:rStyle w:val="FootnoteReference"/>
        </w:rPr>
        <w:footnoteRef/>
      </w:r>
      <w:r>
        <w:t xml:space="preserve"> </w:t>
      </w:r>
      <w:r>
        <w:t xml:space="preserve">Arimura 2016, PMID 27020037.</w:t>
      </w:r>
    </w:p>
  </w:footnote>
  <w:footnote w:id="1372">
    <w:p>
      <w:pPr>
        <w:pStyle w:val="FootnoteText"/>
      </w:pPr>
      <w:r>
        <w:rPr>
          <w:rStyle w:val="FootnoteReference"/>
        </w:rPr>
        <w:footnoteRef/>
      </w:r>
      <w:r>
        <w:t xml:space="preserve"> </w:t>
      </w:r>
      <w:r>
        <w:t xml:space="preserve">Hayakawa 2018, PMID 30324179.</w:t>
      </w:r>
    </w:p>
  </w:footnote>
  <w:footnote w:id="1374">
    <w:p>
      <w:pPr>
        <w:pStyle w:val="FootnoteText"/>
      </w:pPr>
      <w:r>
        <w:rPr>
          <w:rStyle w:val="FootnoteReference"/>
        </w:rPr>
        <w:footnoteRef/>
      </w:r>
      <w:r>
        <w:t xml:space="preserve"> </w:t>
      </w:r>
      <w:r>
        <w:t xml:space="preserve">Mericq 1998, PMID 9661608.</w:t>
      </w:r>
    </w:p>
  </w:footnote>
  <w:footnote w:id="1375">
    <w:p>
      <w:pPr>
        <w:pStyle w:val="FootnoteText"/>
      </w:pPr>
      <w:r>
        <w:rPr>
          <w:rStyle w:val="FootnoteReference"/>
        </w:rPr>
        <w:footnoteRef/>
      </w:r>
      <w:r>
        <w:t xml:space="preserve"> </w:t>
      </w:r>
      <w:r>
        <w:t xml:space="preserve">Pihoker 1997, PMID 9390009.</w:t>
      </w:r>
    </w:p>
  </w:footnote>
  <w:footnote w:id="1376">
    <w:p>
      <w:pPr>
        <w:pStyle w:val="FootnoteText"/>
      </w:pPr>
      <w:r>
        <w:rPr>
          <w:rStyle w:val="FootnoteReference"/>
        </w:rPr>
        <w:footnoteRef/>
      </w:r>
      <w:r>
        <w:t xml:space="preserve"> </w:t>
      </w:r>
      <w:r>
        <w:t xml:space="preserve">Mericq 2003, PMID 14513874.</w:t>
      </w:r>
    </w:p>
  </w:footnote>
  <w:footnote w:id="1377">
    <w:p>
      <w:pPr>
        <w:pStyle w:val="FootnoteText"/>
      </w:pPr>
      <w:r>
        <w:rPr>
          <w:rStyle w:val="FootnoteReference"/>
        </w:rPr>
        <w:footnoteRef/>
      </w:r>
      <w:r>
        <w:t xml:space="preserve"> </w:t>
      </w:r>
      <w:r>
        <w:t xml:space="preserve">perfil anónimo del principio activo en Drugs R D 2004, PMID 15230633.</w:t>
      </w:r>
    </w:p>
  </w:footnote>
  <w:footnote w:id="1379">
    <w:p>
      <w:pPr>
        <w:pStyle w:val="FootnoteText"/>
      </w:pPr>
      <w:r>
        <w:rPr>
          <w:rStyle w:val="FootnoteReference"/>
        </w:rPr>
        <w:footnoteRef/>
      </w:r>
      <w:r>
        <w:t xml:space="preserve"> </w:t>
      </w:r>
      <w:r>
        <w:t xml:space="preserve">Laferrère 2006, PMID 16861611.</w:t>
      </w:r>
    </w:p>
  </w:footnote>
  <w:footnote w:id="1380">
    <w:p>
      <w:pPr>
        <w:pStyle w:val="FootnoteText"/>
      </w:pPr>
      <w:r>
        <w:rPr>
          <w:rStyle w:val="FootnoteReference"/>
        </w:rPr>
        <w:footnoteRef/>
      </w:r>
      <w:r>
        <w:t xml:space="preserve"> </w:t>
      </w:r>
      <w:r>
        <w:t xml:space="preserve">Van den Berghe 1999, PMID 10199772.</w:t>
      </w:r>
    </w:p>
  </w:footnote>
  <w:footnote w:id="1383">
    <w:p>
      <w:pPr>
        <w:pStyle w:val="FootnoteText"/>
      </w:pPr>
      <w:r>
        <w:rPr>
          <w:rStyle w:val="FootnoteReference"/>
        </w:rPr>
        <w:footnoteRef/>
      </w:r>
      <w:r>
        <w:t xml:space="preserve"> </w:t>
      </w:r>
      <w:r>
        <w:t xml:space="preserve">Doi 2004, PMID 15646370.</w:t>
      </w:r>
    </w:p>
  </w:footnote>
  <w:footnote w:id="1384">
    <w:p>
      <w:pPr>
        <w:pStyle w:val="FootnoteText"/>
      </w:pPr>
      <w:r>
        <w:rPr>
          <w:rStyle w:val="FootnoteReference"/>
        </w:rPr>
        <w:footnoteRef/>
      </w:r>
      <w:r>
        <w:t xml:space="preserve"> </w:t>
      </w:r>
      <w:r>
        <w:t xml:space="preserve">Raun 1998, PMID 9849822.</w:t>
      </w:r>
    </w:p>
  </w:footnote>
  <w:footnote w:id="1386">
    <w:p>
      <w:pPr>
        <w:pStyle w:val="FootnoteText"/>
      </w:pPr>
      <w:r>
        <w:rPr>
          <w:rStyle w:val="FootnoteReference"/>
        </w:rPr>
        <w:footnoteRef/>
      </w:r>
      <w:r>
        <w:t xml:space="preserve"> </w:t>
      </w:r>
      <w:r>
        <w:t xml:space="preserve">Mericq 2003, PMID 14513874; Laferrère 2006, PMID 16861611.</w:t>
      </w:r>
    </w:p>
  </w:footnote>
  <w:footnote w:id="1387">
    <w:p>
      <w:pPr>
        <w:pStyle w:val="FootnoteText"/>
      </w:pPr>
      <w:r>
        <w:rPr>
          <w:rStyle w:val="FootnoteReference"/>
        </w:rPr>
        <w:footnoteRef/>
      </w:r>
      <w:r>
        <w:t xml:space="preserve"> </w:t>
      </w:r>
      <w:r>
        <w:t xml:space="preserve">Arimura 2016, PMID 27020037.</w:t>
      </w:r>
    </w:p>
  </w:footnote>
  <w:footnote w:id="1388">
    <w:p>
      <w:pPr>
        <w:pStyle w:val="FootnoteText"/>
      </w:pPr>
      <w:r>
        <w:rPr>
          <w:rStyle w:val="FootnoteReference"/>
        </w:rPr>
        <w:footnoteRef/>
      </w:r>
      <w:r>
        <w:t xml:space="preserve"> </w:t>
      </w:r>
      <w:r>
        <w:t xml:space="preserve">Sigalos 2018, PMID 28400207.</w:t>
      </w:r>
    </w:p>
  </w:footnote>
  <w:footnote w:id="1389">
    <w:p>
      <w:pPr>
        <w:pStyle w:val="FootnoteText"/>
      </w:pPr>
      <w:r>
        <w:rPr>
          <w:rStyle w:val="FootnoteReference"/>
        </w:rPr>
        <w:footnoteRef/>
      </w:r>
      <w:r>
        <w:t xml:space="preserve"> </w:t>
      </w:r>
      <w:r>
        <w:t xml:space="preserve">Krug 2018, PMID 29864719; Gajda 2019, PMID 30136411.</w:t>
      </w:r>
    </w:p>
  </w:footnote>
  <w:footnote w:id="1391">
    <w:p>
      <w:pPr>
        <w:pStyle w:val="FootnoteText"/>
      </w:pPr>
      <w:r>
        <w:rPr>
          <w:rStyle w:val="FootnoteReference"/>
        </w:rPr>
        <w:footnoteRef/>
      </w:r>
      <w:r>
        <w:t xml:space="preserve"> </w:t>
      </w:r>
      <w:r>
        <w:t xml:space="preserve">Semenistaya 2015, PMID 25869809.</w:t>
      </w:r>
    </w:p>
  </w:footnote>
  <w:footnote w:id="1396">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Bowers 1984, PMID 6714155.</w:t>
      </w:r>
    </w:p>
  </w:footnote>
  <w:footnote w:id="1399">
    <w:p>
      <w:pPr>
        <w:pStyle w:val="FootnoteText"/>
      </w:pPr>
      <w:r>
        <w:rPr>
          <w:rStyle w:val="FootnoteReference"/>
        </w:rPr>
        <w:footnoteRef/>
      </w:r>
      <w:r>
        <w:t xml:space="preserve"> </w:t>
      </w:r>
      <w:r>
        <w:t xml:space="preserve">Kojima 1999, PMID 10604470.</w:t>
      </w:r>
    </w:p>
  </w:footnote>
  <w:footnote w:id="1401">
    <w:p>
      <w:pPr>
        <w:pStyle w:val="FootnoteText"/>
      </w:pPr>
      <w:r>
        <w:rPr>
          <w:rStyle w:val="FootnoteReference"/>
        </w:rPr>
        <w:footnoteRef/>
      </w:r>
      <w:r>
        <w:t xml:space="preserve"> </w:t>
      </w:r>
      <w:r>
        <w:t xml:space="preserve">Popovic 2000, PMID 11030292.</w:t>
      </w:r>
    </w:p>
  </w:footnote>
  <w:footnote w:id="1402">
    <w:p>
      <w:pPr>
        <w:pStyle w:val="FootnoteText"/>
      </w:pPr>
      <w:r>
        <w:rPr>
          <w:rStyle w:val="FootnoteReference"/>
        </w:rPr>
        <w:footnoteRef/>
      </w:r>
      <w:r>
        <w:t xml:space="preserve"> </w:t>
      </w:r>
      <w:r>
        <w:t xml:space="preserve">Petersenn 2002, PMID 11980622.</w:t>
      </w:r>
    </w:p>
  </w:footnote>
  <w:footnote w:id="1403">
    <w:p>
      <w:pPr>
        <w:pStyle w:val="FootnoteText"/>
      </w:pPr>
      <w:r>
        <w:rPr>
          <w:rStyle w:val="FootnoteReference"/>
        </w:rPr>
        <w:footnoteRef/>
      </w:r>
      <w:r>
        <w:t xml:space="preserve"> </w:t>
      </w:r>
      <w:r>
        <w:t xml:space="preserve">Leal-Cerro 1995, PMID 7788011.</w:t>
      </w:r>
    </w:p>
  </w:footnote>
  <w:footnote w:id="1404">
    <w:p>
      <w:pPr>
        <w:pStyle w:val="FootnoteText"/>
      </w:pPr>
      <w:r>
        <w:rPr>
          <w:rStyle w:val="FootnoteReference"/>
        </w:rPr>
        <w:footnoteRef/>
      </w:r>
      <w:r>
        <w:t xml:space="preserve"> </w:t>
      </w:r>
      <w:r>
        <w:t xml:space="preserve">Alaioubi 2010, PMID 19946832.</w:t>
      </w:r>
    </w:p>
  </w:footnote>
  <w:footnote w:id="1406">
    <w:p>
      <w:pPr>
        <w:pStyle w:val="FootnoteText"/>
      </w:pPr>
      <w:r>
        <w:rPr>
          <w:rStyle w:val="FootnoteReference"/>
        </w:rPr>
        <w:footnoteRef/>
      </w:r>
      <w:r>
        <w:t xml:space="preserve"> </w:t>
      </w:r>
      <w:r>
        <w:t xml:space="preserve">Cabrales 2013, PMID 23099431.</w:t>
      </w:r>
    </w:p>
  </w:footnote>
  <w:footnote w:id="1407">
    <w:p>
      <w:pPr>
        <w:pStyle w:val="FootnoteText"/>
      </w:pPr>
      <w:r>
        <w:rPr>
          <w:rStyle w:val="FootnoteReference"/>
        </w:rPr>
        <w:footnoteRef/>
      </w:r>
      <w:r>
        <w:t xml:space="preserve"> </w:t>
      </w:r>
      <w:r>
        <w:t xml:space="preserve">Frieboes 1995, PMID 7617137.</w:t>
      </w:r>
    </w:p>
  </w:footnote>
  <w:footnote w:id="1408">
    <w:p>
      <w:pPr>
        <w:pStyle w:val="FootnoteText"/>
      </w:pPr>
      <w:r>
        <w:rPr>
          <w:rStyle w:val="FootnoteReference"/>
        </w:rPr>
        <w:footnoteRef/>
      </w:r>
      <w:r>
        <w:t xml:space="preserve"> </w:t>
      </w:r>
      <w:r>
        <w:t xml:space="preserve">Micic 1995, PMID 7734029.</w:t>
      </w:r>
    </w:p>
  </w:footnote>
  <w:footnote w:id="1409">
    <w:p>
      <w:pPr>
        <w:pStyle w:val="FootnoteText"/>
      </w:pPr>
      <w:r>
        <w:rPr>
          <w:rStyle w:val="FootnoteReference"/>
        </w:rPr>
        <w:footnoteRef/>
      </w:r>
      <w:r>
        <w:t xml:space="preserve"> </w:t>
      </w:r>
      <w:r>
        <w:t xml:space="preserve">Bellone 1995, PMID 7581965.</w:t>
      </w:r>
    </w:p>
  </w:footnote>
  <w:footnote w:id="1412">
    <w:p>
      <w:pPr>
        <w:pStyle w:val="FootnoteText"/>
      </w:pPr>
      <w:r>
        <w:rPr>
          <w:rStyle w:val="FootnoteReference"/>
        </w:rPr>
        <w:footnoteRef/>
      </w:r>
      <w:r>
        <w:t xml:space="preserve"> </w:t>
      </w:r>
      <w:r>
        <w:t xml:space="preserve">Berlanga-Acosta 2024, PMID 38873418.</w:t>
      </w:r>
    </w:p>
  </w:footnote>
  <w:footnote w:id="1413">
    <w:p>
      <w:pPr>
        <w:pStyle w:val="FootnoteText"/>
      </w:pPr>
      <w:r>
        <w:rPr>
          <w:rStyle w:val="FootnoteReference"/>
        </w:rPr>
        <w:footnoteRef/>
      </w:r>
      <w:r>
        <w:t xml:space="preserve"> </w:t>
      </w:r>
      <w:r>
        <w:t xml:space="preserve">Cibrián 2006, PMID 16417467.</w:t>
      </w:r>
    </w:p>
  </w:footnote>
  <w:footnote w:id="1414">
    <w:p>
      <w:pPr>
        <w:pStyle w:val="FootnoteText"/>
      </w:pPr>
      <w:r>
        <w:rPr>
          <w:rStyle w:val="FootnoteReference"/>
        </w:rPr>
        <w:footnoteRef/>
      </w:r>
      <w:r>
        <w:t xml:space="preserve"> </w:t>
      </w:r>
      <w:r>
        <w:t xml:space="preserve">del Barco 2011, PMID 21697595.</w:t>
      </w:r>
    </w:p>
  </w:footnote>
  <w:footnote w:id="1416">
    <w:p>
      <w:pPr>
        <w:pStyle w:val="FootnoteText"/>
      </w:pPr>
      <w:r>
        <w:rPr>
          <w:rStyle w:val="FootnoteReference"/>
        </w:rPr>
        <w:footnoteRef/>
      </w:r>
      <w:r>
        <w:t xml:space="preserve"> </w:t>
      </w:r>
      <w:r>
        <w:t xml:space="preserve">Petersenn 2002, PMID 11980622.</w:t>
      </w:r>
    </w:p>
  </w:footnote>
  <w:footnote w:id="1417">
    <w:p>
      <w:pPr>
        <w:pStyle w:val="FootnoteText"/>
      </w:pPr>
      <w:r>
        <w:rPr>
          <w:rStyle w:val="FootnoteReference"/>
        </w:rPr>
        <w:footnoteRef/>
      </w:r>
      <w:r>
        <w:t xml:space="preserve"> </w:t>
      </w:r>
      <w:r>
        <w:t xml:space="preserve">Frieboes 1995, PMID 7617137.</w:t>
      </w:r>
    </w:p>
  </w:footnote>
  <w:footnote w:id="1418">
    <w:p>
      <w:pPr>
        <w:pStyle w:val="FootnoteText"/>
      </w:pPr>
      <w:r>
        <w:rPr>
          <w:rStyle w:val="FootnoteReference"/>
        </w:rPr>
        <w:footnoteRef/>
      </w:r>
      <w:r>
        <w:t xml:space="preserve"> </w:t>
      </w:r>
      <w:r>
        <w:t xml:space="preserve">Perez 2026, PMID 42465868.</w:t>
      </w:r>
    </w:p>
  </w:footnote>
  <w:footnote w:id="1419">
    <w:p>
      <w:pPr>
        <w:pStyle w:val="FootnoteText"/>
      </w:pPr>
      <w:r>
        <w:rPr>
          <w:rStyle w:val="FootnoteReference"/>
        </w:rPr>
        <w:footnoteRef/>
      </w:r>
      <w:r>
        <w:t xml:space="preserve"> </w:t>
      </w:r>
      <w:r>
        <w:t xml:space="preserve">Krug 2018, PMID 29864719.</w:t>
      </w:r>
    </w:p>
  </w:footnote>
  <w:footnote w:id="1421">
    <w:p>
      <w:pPr>
        <w:pStyle w:val="FootnoteText"/>
      </w:pPr>
      <w:r>
        <w:rPr>
          <w:rStyle w:val="FootnoteReference"/>
        </w:rPr>
        <w:footnoteRef/>
      </w:r>
      <w:r>
        <w:t xml:space="preserve"> </w:t>
      </w:r>
      <w:r>
        <w:t xml:space="preserve">Semenistaya 2015, PMID 25869809.</w:t>
      </w:r>
    </w:p>
  </w:footnote>
  <w:footnote w:id="1426">
    <w:p>
      <w:pPr>
        <w:pStyle w:val="FootnoteText"/>
      </w:pPr>
      <w:r>
        <w:rPr>
          <w:rStyle w:val="FootnoteReference"/>
        </w:rPr>
        <w:footnoteRef/>
      </w:r>
      <w:r>
        <w:t xml:space="preserve"> </w:t>
      </w:r>
      <w:r>
        <w:t xml:space="preserve">Imbimbo 1994, PMID 7957536.</w:t>
      </w:r>
    </w:p>
  </w:footnote>
  <w:footnote w:id="1427">
    <w:p>
      <w:pPr>
        <w:pStyle w:val="FootnoteText"/>
      </w:pPr>
      <w:r>
        <w:rPr>
          <w:rStyle w:val="FootnoteReference"/>
        </w:rPr>
        <w:footnoteRef/>
      </w:r>
      <w:r>
        <w:t xml:space="preserve"> </w:t>
      </w:r>
      <w:r>
        <w:t xml:space="preserve">Mao 2014, PMID 25278975.</w:t>
      </w:r>
    </w:p>
  </w:footnote>
  <w:footnote w:id="1429">
    <w:p>
      <w:pPr>
        <w:pStyle w:val="FootnoteText"/>
      </w:pPr>
      <w:r>
        <w:rPr>
          <w:rStyle w:val="FootnoteReference"/>
        </w:rPr>
        <w:footnoteRef/>
      </w:r>
      <w:r>
        <w:t xml:space="preserve"> </w:t>
      </w:r>
      <w:r>
        <w:t xml:space="preserve">Loche 1995, PMID 7673411.</w:t>
      </w:r>
    </w:p>
  </w:footnote>
  <w:footnote w:id="1431">
    <w:p>
      <w:pPr>
        <w:pStyle w:val="FootnoteText"/>
      </w:pPr>
      <w:r>
        <w:rPr>
          <w:rStyle w:val="FootnoteReference"/>
        </w:rPr>
        <w:footnoteRef/>
      </w:r>
      <w:r>
        <w:t xml:space="preserve"> </w:t>
      </w:r>
      <w:r>
        <w:t xml:space="preserve">Imbimbo 1994, PMID 7957536.</w:t>
      </w:r>
    </w:p>
  </w:footnote>
  <w:footnote w:id="1432">
    <w:p>
      <w:pPr>
        <w:pStyle w:val="FootnoteText"/>
      </w:pPr>
      <w:r>
        <w:rPr>
          <w:rStyle w:val="FootnoteReference"/>
        </w:rPr>
        <w:footnoteRef/>
      </w:r>
      <w:r>
        <w:t xml:space="preserve"> </w:t>
      </w:r>
      <w:r>
        <w:t xml:space="preserve">Massoud 1996, PMID 8954038.</w:t>
      </w:r>
    </w:p>
  </w:footnote>
  <w:footnote w:id="1433">
    <w:p>
      <w:pPr>
        <w:pStyle w:val="FootnoteText"/>
      </w:pPr>
      <w:r>
        <w:rPr>
          <w:rStyle w:val="FootnoteReference"/>
        </w:rPr>
        <w:footnoteRef/>
      </w:r>
      <w:r>
        <w:t xml:space="preserve"> </w:t>
      </w:r>
      <w:r>
        <w:t xml:space="preserve">Korbonits 1999, PMID 10404825.</w:t>
      </w:r>
    </w:p>
  </w:footnote>
  <w:footnote w:id="1435">
    <w:p>
      <w:pPr>
        <w:pStyle w:val="FootnoteText"/>
      </w:pPr>
      <w:r>
        <w:rPr>
          <w:rStyle w:val="FootnoteReference"/>
        </w:rPr>
        <w:footnoteRef/>
      </w:r>
      <w:r>
        <w:t xml:space="preserve"> </w:t>
      </w:r>
      <w:r>
        <w:t xml:space="preserve">Rahim 1998, PMID 9589671.</w:t>
      </w:r>
    </w:p>
  </w:footnote>
  <w:footnote w:id="1436">
    <w:p>
      <w:pPr>
        <w:pStyle w:val="FootnoteText"/>
      </w:pPr>
      <w:r>
        <w:rPr>
          <w:rStyle w:val="FootnoteReference"/>
        </w:rPr>
        <w:footnoteRef/>
      </w:r>
      <w:r>
        <w:t xml:space="preserve"> </w:t>
      </w:r>
      <w:r>
        <w:t xml:space="preserve">Rahim 1999, PMID 10341859.</w:t>
      </w:r>
    </w:p>
  </w:footnote>
  <w:footnote w:id="1437">
    <w:p>
      <w:pPr>
        <w:pStyle w:val="FootnoteText"/>
      </w:pPr>
      <w:r>
        <w:rPr>
          <w:rStyle w:val="FootnoteReference"/>
        </w:rPr>
        <w:footnoteRef/>
      </w:r>
      <w:r>
        <w:t xml:space="preserve"> </w:t>
      </w:r>
      <w:r>
        <w:t xml:space="preserve">Laron 1995, PMID 8548949.</w:t>
      </w:r>
    </w:p>
  </w:footnote>
  <w:footnote w:id="1438">
    <w:p>
      <w:pPr>
        <w:pStyle w:val="FootnoteText"/>
      </w:pPr>
      <w:r>
        <w:rPr>
          <w:rStyle w:val="FootnoteReference"/>
        </w:rPr>
        <w:footnoteRef/>
      </w:r>
      <w:r>
        <w:t xml:space="preserve"> </w:t>
      </w:r>
      <w:r>
        <w:t xml:space="preserve">Klinger 1996, PMID 8766941.</w:t>
      </w:r>
    </w:p>
  </w:footnote>
  <w:footnote w:id="1440">
    <w:p>
      <w:pPr>
        <w:pStyle w:val="FootnoteText"/>
      </w:pPr>
      <w:r>
        <w:rPr>
          <w:rStyle w:val="FootnoteReference"/>
        </w:rPr>
        <w:footnoteRef/>
      </w:r>
      <w:r>
        <w:t xml:space="preserve"> </w:t>
      </w:r>
      <w:r>
        <w:t xml:space="preserve">Bisi 1999, PMID 10528131.</w:t>
      </w:r>
    </w:p>
  </w:footnote>
  <w:footnote w:id="1441">
    <w:p>
      <w:pPr>
        <w:pStyle w:val="FootnoteText"/>
      </w:pPr>
      <w:r>
        <w:rPr>
          <w:rStyle w:val="FootnoteReference"/>
        </w:rPr>
        <w:footnoteRef/>
      </w:r>
      <w:r>
        <w:t xml:space="preserve"> </w:t>
      </w:r>
      <w:r>
        <w:t xml:space="preserve">Broglio 2001, PMID 11322491.</w:t>
      </w:r>
    </w:p>
  </w:footnote>
  <w:footnote w:id="1442">
    <w:p>
      <w:pPr>
        <w:pStyle w:val="FootnoteText"/>
      </w:pPr>
      <w:r>
        <w:rPr>
          <w:rStyle w:val="FootnoteReference"/>
        </w:rPr>
        <w:footnoteRef/>
      </w:r>
      <w:r>
        <w:t xml:space="preserve"> </w:t>
      </w:r>
      <w:r>
        <w:t xml:space="preserve">Broglio 2002, PMID 12144941.</w:t>
      </w:r>
    </w:p>
  </w:footnote>
  <w:footnote w:id="1445">
    <w:p>
      <w:pPr>
        <w:pStyle w:val="FootnoteText"/>
      </w:pPr>
      <w:r>
        <w:rPr>
          <w:rStyle w:val="FootnoteReference"/>
        </w:rPr>
        <w:footnoteRef/>
      </w:r>
      <w:r>
        <w:t xml:space="preserve"> </w:t>
      </w:r>
      <w:r>
        <w:t xml:space="preserve">Tivesten 2000, PMID 10614623.</w:t>
      </w:r>
    </w:p>
  </w:footnote>
  <w:footnote w:id="1446">
    <w:p>
      <w:pPr>
        <w:pStyle w:val="FootnoteText"/>
      </w:pPr>
      <w:r>
        <w:rPr>
          <w:rStyle w:val="FootnoteReference"/>
        </w:rPr>
        <w:footnoteRef/>
      </w:r>
      <w:r>
        <w:t xml:space="preserve"> </w:t>
      </w:r>
      <w:r>
        <w:t xml:space="preserve">McDonald 2018, PMID 29756411.</w:t>
      </w:r>
    </w:p>
  </w:footnote>
  <w:footnote w:id="1447">
    <w:p>
      <w:pPr>
        <w:pStyle w:val="FootnoteText"/>
      </w:pPr>
      <w:r>
        <w:rPr>
          <w:rStyle w:val="FootnoteReference"/>
        </w:rPr>
        <w:footnoteRef/>
      </w:r>
      <w:r>
        <w:t xml:space="preserve"> </w:t>
      </w:r>
      <w:r>
        <w:t xml:space="preserve">Mao 2014, PMID 25278975.</w:t>
      </w:r>
    </w:p>
  </w:footnote>
  <w:footnote w:id="1449">
    <w:p>
      <w:pPr>
        <w:pStyle w:val="FootnoteText"/>
      </w:pPr>
      <w:r>
        <w:rPr>
          <w:rStyle w:val="FootnoteReference"/>
        </w:rPr>
        <w:footnoteRef/>
      </w:r>
      <w:r>
        <w:t xml:space="preserve"> </w:t>
      </w:r>
      <w:r>
        <w:t xml:space="preserve">Massoud 1996, PMID 8954038; Korbonits 1999, PMID 10404825.</w:t>
      </w:r>
    </w:p>
  </w:footnote>
  <w:footnote w:id="1450">
    <w:p>
      <w:pPr>
        <w:pStyle w:val="FootnoteText"/>
      </w:pPr>
      <w:r>
        <w:rPr>
          <w:rStyle w:val="FootnoteReference"/>
        </w:rPr>
        <w:footnoteRef/>
      </w:r>
      <w:r>
        <w:t xml:space="preserve"> </w:t>
      </w:r>
      <w:r>
        <w:t xml:space="preserve">Korbonits 1999, PMID 10404825.</w:t>
      </w:r>
    </w:p>
  </w:footnote>
  <w:footnote w:id="1451">
    <w:p>
      <w:pPr>
        <w:pStyle w:val="FootnoteText"/>
      </w:pPr>
      <w:r>
        <w:rPr>
          <w:rStyle w:val="FootnoteReference"/>
        </w:rPr>
        <w:footnoteRef/>
      </w:r>
      <w:r>
        <w:t xml:space="preserve"> </w:t>
      </w:r>
      <w:r>
        <w:t xml:space="preserve">Rahim 1998, PMID 9589671; Klinger 1996, PMID 8766941.</w:t>
      </w:r>
    </w:p>
  </w:footnote>
  <w:footnote w:id="1452">
    <w:p>
      <w:pPr>
        <w:pStyle w:val="FootnoteText"/>
      </w:pPr>
      <w:r>
        <w:rPr>
          <w:rStyle w:val="FootnoteReference"/>
        </w:rPr>
        <w:footnoteRef/>
      </w:r>
      <w:r>
        <w:t xml:space="preserve"> </w:t>
      </w:r>
      <w:r>
        <w:t xml:space="preserve">Laron 1995, PMID 8548949.</w:t>
      </w:r>
    </w:p>
  </w:footnote>
  <w:footnote w:id="1454">
    <w:p>
      <w:pPr>
        <w:pStyle w:val="FootnoteText"/>
      </w:pPr>
      <w:r>
        <w:rPr>
          <w:rStyle w:val="FootnoteReference"/>
        </w:rPr>
        <w:footnoteRef/>
      </w:r>
      <w:r>
        <w:t xml:space="preserve"> </w:t>
      </w:r>
      <w:r>
        <w:t xml:space="preserve">Semenistaya 2015, PMID 25869809.</w:t>
      </w:r>
    </w:p>
  </w:footnote>
  <w:footnote w:id="1459">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Piccoli 2007, PMID 17284637.</w:t>
      </w:r>
    </w:p>
  </w:footnote>
  <w:footnote w:id="1463">
    <w:p>
      <w:pPr>
        <w:pStyle w:val="FootnoteText"/>
      </w:pPr>
      <w:r>
        <w:rPr>
          <w:rStyle w:val="FootnoteReference"/>
        </w:rPr>
        <w:footnoteRef/>
      </w:r>
      <w:r>
        <w:t xml:space="preserve"> </w:t>
      </w:r>
      <w:r>
        <w:t xml:space="preserve">Klaus 2020, PMID 32325373.</w:t>
      </w:r>
    </w:p>
  </w:footnote>
  <w:footnote w:id="1465">
    <w:p>
      <w:pPr>
        <w:pStyle w:val="FootnoteText"/>
      </w:pPr>
      <w:r>
        <w:rPr>
          <w:rStyle w:val="FootnoteReference"/>
        </w:rPr>
        <w:footnoteRef/>
      </w:r>
      <w:r>
        <w:t xml:space="preserve"> </w:t>
      </w:r>
      <w:r>
        <w:t xml:space="preserve">Garcia 2013, PMID 23559086.</w:t>
      </w:r>
    </w:p>
  </w:footnote>
  <w:footnote w:id="1466">
    <w:p>
      <w:pPr>
        <w:pStyle w:val="FootnoteText"/>
      </w:pPr>
      <w:r>
        <w:rPr>
          <w:rStyle w:val="FootnoteReference"/>
        </w:rPr>
        <w:footnoteRef/>
      </w:r>
      <w:r>
        <w:t xml:space="preserve"> </w:t>
      </w:r>
      <w:r>
        <w:t xml:space="preserve">Garcia 2018, PMID 29860473; NCT02558829.</w:t>
      </w:r>
    </w:p>
  </w:footnote>
  <w:footnote w:id="1467">
    <w:p>
      <w:pPr>
        <w:pStyle w:val="FootnoteText"/>
      </w:pPr>
      <w:r>
        <w:rPr>
          <w:rStyle w:val="FootnoteReference"/>
        </w:rPr>
        <w:footnoteRef/>
      </w:r>
      <w:r>
        <w:t xml:space="preserve"> </w:t>
      </w:r>
      <w:r>
        <w:t xml:space="preserve">Garcia 2021, PMID 33320108.</w:t>
      </w:r>
    </w:p>
  </w:footnote>
  <w:footnote w:id="1469">
    <w:p>
      <w:pPr>
        <w:pStyle w:val="FootnoteText"/>
      </w:pPr>
      <w:r>
        <w:rPr>
          <w:rStyle w:val="FootnoteReference"/>
        </w:rPr>
        <w:footnoteRef/>
      </w:r>
      <w:r>
        <w:t xml:space="preserve"> </w:t>
      </w:r>
      <w:r>
        <w:t xml:space="preserve">Yadav 2026, PMID 41793495.</w:t>
      </w:r>
    </w:p>
  </w:footnote>
  <w:footnote w:id="1471">
    <w:p>
      <w:pPr>
        <w:pStyle w:val="FootnoteText"/>
      </w:pPr>
      <w:r>
        <w:rPr>
          <w:rStyle w:val="FootnoteReference"/>
        </w:rPr>
        <w:footnoteRef/>
      </w:r>
      <w:r>
        <w:t xml:space="preserve"> </w:t>
      </w:r>
      <w:r>
        <w:t xml:space="preserve">Csákváry 2021, PMID 34438400.</w:t>
      </w:r>
    </w:p>
  </w:footnote>
  <w:footnote w:id="1472">
    <w:p>
      <w:pPr>
        <w:pStyle w:val="FootnoteText"/>
      </w:pPr>
      <w:r>
        <w:rPr>
          <w:rStyle w:val="FootnoteReference"/>
        </w:rPr>
        <w:footnoteRef/>
      </w:r>
      <w:r>
        <w:t xml:space="preserve"> </w:t>
      </w:r>
      <w:r>
        <w:t xml:space="preserve">NCT04786873.</w:t>
      </w:r>
    </w:p>
  </w:footnote>
  <w:footnote w:id="1473">
    <w:p>
      <w:pPr>
        <w:pStyle w:val="FootnoteText"/>
      </w:pPr>
      <w:r>
        <w:rPr>
          <w:rStyle w:val="FootnoteReference"/>
        </w:rPr>
        <w:footnoteRef/>
      </w:r>
      <w:r>
        <w:t xml:space="preserve"> </w:t>
      </w:r>
      <w:r>
        <w:t xml:space="preserve">Herodes 2023, PMID 36860137.</w:t>
      </w:r>
    </w:p>
  </w:footnote>
  <w:footnote w:id="1476">
    <w:p>
      <w:pPr>
        <w:pStyle w:val="FootnoteText"/>
      </w:pPr>
      <w:r>
        <w:rPr>
          <w:rStyle w:val="FootnoteReference"/>
        </w:rPr>
        <w:footnoteRef/>
      </w:r>
      <w:r>
        <w:t xml:space="preserve"> </w:t>
      </w:r>
      <w:r>
        <w:t xml:space="preserve">Buckinx 2021, PMID 34157194.</w:t>
      </w:r>
    </w:p>
  </w:footnote>
  <w:footnote w:id="1477">
    <w:p>
      <w:pPr>
        <w:pStyle w:val="FootnoteText"/>
      </w:pPr>
      <w:r>
        <w:rPr>
          <w:rStyle w:val="FootnoteReference"/>
        </w:rPr>
        <w:footnoteRef/>
      </w:r>
      <w:r>
        <w:t xml:space="preserve"> </w:t>
      </w:r>
      <w:r>
        <w:t xml:space="preserve">Wang 2025, PMID 40542284.</w:t>
      </w:r>
    </w:p>
  </w:footnote>
  <w:footnote w:id="1479">
    <w:p>
      <w:pPr>
        <w:pStyle w:val="FootnoteText"/>
      </w:pPr>
      <w:r>
        <w:rPr>
          <w:rStyle w:val="FootnoteReference"/>
        </w:rPr>
        <w:footnoteRef/>
      </w:r>
      <w:r>
        <w:t xml:space="preserve"> </w:t>
      </w:r>
      <w:r>
        <w:t xml:space="preserve">Garcia 2018, PMID 29860473.</w:t>
      </w:r>
    </w:p>
  </w:footnote>
  <w:footnote w:id="1480">
    <w:p>
      <w:pPr>
        <w:pStyle w:val="FootnoteText"/>
      </w:pPr>
      <w:r>
        <w:rPr>
          <w:rStyle w:val="FootnoteReference"/>
        </w:rPr>
        <w:footnoteRef/>
      </w:r>
      <w:r>
        <w:t xml:space="preserve"> </w:t>
      </w:r>
      <w:r>
        <w:t xml:space="preserve">Klaus 2020, PMID 32325373.</w:t>
      </w:r>
    </w:p>
  </w:footnote>
  <w:footnote w:id="1481">
    <w:p>
      <w:pPr>
        <w:pStyle w:val="FootnoteText"/>
      </w:pPr>
      <w:r>
        <w:rPr>
          <w:rStyle w:val="FootnoteReference"/>
        </w:rPr>
        <w:footnoteRef/>
      </w:r>
      <w:r>
        <w:t xml:space="preserve"> </w:t>
      </w:r>
      <w:r>
        <w:t xml:space="preserve">Lissy 2021, PMID 32961034.</w:t>
      </w:r>
    </w:p>
  </w:footnote>
  <w:footnote w:id="1482">
    <w:p>
      <w:pPr>
        <w:pStyle w:val="FootnoteText"/>
      </w:pPr>
      <w:r>
        <w:rPr>
          <w:rStyle w:val="FootnoteReference"/>
        </w:rPr>
        <w:footnoteRef/>
      </w:r>
      <w:r>
        <w:t xml:space="preserve"> </w:t>
      </w:r>
      <w:r>
        <w:t xml:space="preserve">Yadav 2026, PMID 41793495.</w:t>
      </w:r>
    </w:p>
  </w:footnote>
  <w:footnote w:id="1484">
    <w:p>
      <w:pPr>
        <w:pStyle w:val="FootnoteText"/>
      </w:pPr>
      <w:r>
        <w:rPr>
          <w:rStyle w:val="FootnoteReference"/>
        </w:rPr>
        <w:footnoteRef/>
      </w:r>
      <w:r>
        <w:t xml:space="preserve"> </w:t>
      </w:r>
      <w:r>
        <w:t xml:space="preserve">Lange 2021, PMID 33458843.</w:t>
      </w:r>
    </w:p>
  </w:footnote>
  <w:footnote w:id="1486">
    <w:p>
      <w:pPr>
        <w:pStyle w:val="FootnoteText"/>
      </w:pPr>
      <w:r>
        <w:rPr>
          <w:rStyle w:val="FootnoteReference"/>
        </w:rPr>
        <w:footnoteRef/>
      </w:r>
      <w:r>
        <w:t xml:space="preserve"> </w:t>
      </w:r>
      <w:r>
        <w:t xml:space="preserve">NCT04786873.</w:t>
      </w:r>
    </w:p>
  </w:footnote>
  <w:footnote w:id="1487">
    <w:p>
      <w:pPr>
        <w:pStyle w:val="FootnoteText"/>
      </w:pPr>
      <w:r>
        <w:rPr>
          <w:rStyle w:val="FootnoteReference"/>
        </w:rPr>
        <w:footnoteRef/>
      </w:r>
      <w:r>
        <w:t xml:space="preserve"> </w:t>
      </w:r>
      <w:r>
        <w:t xml:space="preserve">NCT03844217.</w:t>
      </w:r>
    </w:p>
  </w:footnote>
  <w:footnote w:id="1492">
    <w:p>
      <w:pPr>
        <w:pStyle w:val="FootnoteText"/>
      </w:pPr>
      <w:r>
        <w:rPr>
          <w:rStyle w:val="FootnoteReference"/>
        </w:rPr>
        <w:footnoteRef/>
      </w:r>
      <w:r>
        <w:t xml:space="preserve"> </w:t>
      </w:r>
      <w:r>
        <w:t xml:space="preserve">Saavedra 2026, PMID 42341624.</w:t>
      </w:r>
    </w:p>
  </w:footnote>
  <w:footnote w:id="1494">
    <w:p>
      <w:pPr>
        <w:pStyle w:val="FootnoteText"/>
      </w:pPr>
      <w:r>
        <w:rPr>
          <w:rStyle w:val="FootnoteReference"/>
        </w:rPr>
        <w:footnoteRef/>
      </w:r>
      <w:r>
        <w:t xml:space="preserve"> </w:t>
      </w:r>
      <w:r>
        <w:t xml:space="preserve">Chernausek 2007, PMID 17192294.</w:t>
      </w:r>
    </w:p>
  </w:footnote>
  <w:footnote w:id="1495">
    <w:p>
      <w:pPr>
        <w:pStyle w:val="FootnoteText"/>
      </w:pPr>
      <w:r>
        <w:rPr>
          <w:rStyle w:val="FootnoteReference"/>
        </w:rPr>
        <w:footnoteRef/>
      </w:r>
      <w:r>
        <w:t xml:space="preserve"> </w:t>
      </w:r>
      <w:r>
        <w:t xml:space="preserve">NCT00903110.</w:t>
      </w:r>
    </w:p>
  </w:footnote>
  <w:footnote w:id="1496">
    <w:p>
      <w:pPr>
        <w:pStyle w:val="FootnoteText"/>
      </w:pPr>
      <w:r>
        <w:rPr>
          <w:rStyle w:val="FootnoteReference"/>
        </w:rPr>
        <w:footnoteRef/>
      </w:r>
      <w:r>
        <w:t xml:space="preserve"> </w:t>
      </w:r>
      <w:r>
        <w:t xml:space="preserve">Bang 2021, PMID 33434161.</w:t>
      </w:r>
    </w:p>
  </w:footnote>
  <w:footnote w:id="1497">
    <w:p>
      <w:pPr>
        <w:pStyle w:val="FootnoteText"/>
      </w:pPr>
      <w:r>
        <w:rPr>
          <w:rStyle w:val="FootnoteReference"/>
        </w:rPr>
        <w:footnoteRef/>
      </w:r>
      <w:r>
        <w:t xml:space="preserve"> </w:t>
      </w:r>
      <w:r>
        <w:t xml:space="preserve">Ramon-Krauel 2026, PMID 40626687.</w:t>
      </w:r>
    </w:p>
  </w:footnote>
  <w:footnote w:id="1498">
    <w:p>
      <w:pPr>
        <w:pStyle w:val="FootnoteText"/>
      </w:pPr>
      <w:r>
        <w:rPr>
          <w:rStyle w:val="FootnoteReference"/>
        </w:rPr>
        <w:footnoteRef/>
      </w:r>
      <w:r>
        <w:t xml:space="preserve"> </w:t>
      </w:r>
      <w:r>
        <w:t xml:space="preserve">Bang 2023, PMID 37579214.</w:t>
      </w:r>
    </w:p>
  </w:footnote>
  <w:footnote w:id="1500">
    <w:p>
      <w:pPr>
        <w:pStyle w:val="FootnoteText"/>
      </w:pPr>
      <w:r>
        <w:rPr>
          <w:rStyle w:val="FootnoteReference"/>
        </w:rPr>
        <w:footnoteRef/>
      </w:r>
      <w:r>
        <w:t xml:space="preserve"> </w:t>
      </w:r>
      <w:r>
        <w:t xml:space="preserve">Sorenson 2008, PMID 19029516.</w:t>
      </w:r>
    </w:p>
  </w:footnote>
  <w:footnote w:id="1501">
    <w:p>
      <w:pPr>
        <w:pStyle w:val="FootnoteText"/>
      </w:pPr>
      <w:r>
        <w:rPr>
          <w:rStyle w:val="FootnoteReference"/>
        </w:rPr>
        <w:footnoteRef/>
      </w:r>
      <w:r>
        <w:t xml:space="preserve"> </w:t>
      </w:r>
      <w:r>
        <w:t xml:space="preserve">Rutter 2020, PMID 32108355.</w:t>
      </w:r>
    </w:p>
  </w:footnote>
  <w:footnote w:id="1502">
    <w:p>
      <w:pPr>
        <w:pStyle w:val="FootnoteText"/>
      </w:pPr>
      <w:r>
        <w:rPr>
          <w:rStyle w:val="FootnoteReference"/>
        </w:rPr>
        <w:footnoteRef/>
      </w:r>
      <w:r>
        <w:t xml:space="preserve"> </w:t>
      </w:r>
      <w:r>
        <w:t xml:space="preserve">Ribeiro 2025, PMID 41174329.</w:t>
      </w:r>
    </w:p>
  </w:footnote>
  <w:footnote w:id="1503">
    <w:p>
      <w:pPr>
        <w:pStyle w:val="FootnoteText"/>
      </w:pPr>
      <w:r>
        <w:rPr>
          <w:rStyle w:val="FootnoteReference"/>
        </w:rPr>
        <w:footnoteRef/>
      </w:r>
      <w:r>
        <w:t xml:space="preserve"> </w:t>
      </w:r>
      <w:r>
        <w:t xml:space="preserve">Ley 2019, PMID 30471715.</w:t>
      </w:r>
    </w:p>
  </w:footnote>
  <w:footnote w:id="1504">
    <w:p>
      <w:pPr>
        <w:pStyle w:val="FootnoteText"/>
      </w:pPr>
      <w:r>
        <w:rPr>
          <w:rStyle w:val="FootnoteReference"/>
        </w:rPr>
        <w:footnoteRef/>
      </w:r>
      <w:r>
        <w:t xml:space="preserve"> </w:t>
      </w:r>
      <w:r>
        <w:t xml:space="preserve">NCT03253263.</w:t>
      </w:r>
    </w:p>
  </w:footnote>
  <w:footnote w:id="1505">
    <w:p>
      <w:pPr>
        <w:pStyle w:val="FootnoteText"/>
      </w:pPr>
      <w:r>
        <w:rPr>
          <w:rStyle w:val="FootnoteReference"/>
        </w:rPr>
        <w:footnoteRef/>
      </w:r>
      <w:r>
        <w:t xml:space="preserve"> </w:t>
      </w:r>
      <w:r>
        <w:t xml:space="preserve">Haines 2021, PMID 34355814.</w:t>
      </w:r>
    </w:p>
  </w:footnote>
  <w:footnote w:id="1506">
    <w:p>
      <w:pPr>
        <w:pStyle w:val="FootnoteText"/>
      </w:pPr>
      <w:r>
        <w:rPr>
          <w:rStyle w:val="FootnoteReference"/>
        </w:rPr>
        <w:footnoteRef/>
      </w:r>
      <w:r>
        <w:t xml:space="preserve"> </w:t>
      </w:r>
      <w:r>
        <w:t xml:space="preserve">Mauras 2000, PMID 10999782.</w:t>
      </w:r>
    </w:p>
  </w:footnote>
  <w:footnote w:id="1507">
    <w:p>
      <w:pPr>
        <w:pStyle w:val="FootnoteText"/>
      </w:pPr>
      <w:r>
        <w:rPr>
          <w:rStyle w:val="FootnoteReference"/>
        </w:rPr>
        <w:footnoteRef/>
      </w:r>
      <w:r>
        <w:t xml:space="preserve"> </w:t>
      </w:r>
      <w:r>
        <w:t xml:space="preserve">Guha 2021, PMID 33249593.</w:t>
      </w:r>
    </w:p>
  </w:footnote>
  <w:footnote w:id="1510">
    <w:p>
      <w:pPr>
        <w:pStyle w:val="FootnoteText"/>
      </w:pPr>
      <w:r>
        <w:rPr>
          <w:rStyle w:val="FootnoteReference"/>
        </w:rPr>
        <w:footnoteRef/>
      </w:r>
      <w:r>
        <w:t xml:space="preserve"> </w:t>
      </w:r>
      <w:r>
        <w:t xml:space="preserve">Guevara-Aguirre 2011, PMID 21325617.</w:t>
      </w:r>
    </w:p>
  </w:footnote>
  <w:footnote w:id="1511">
    <w:p>
      <w:pPr>
        <w:pStyle w:val="FootnoteText"/>
      </w:pPr>
      <w:r>
        <w:rPr>
          <w:rStyle w:val="FootnoteReference"/>
        </w:rPr>
        <w:footnoteRef/>
      </w:r>
      <w:r>
        <w:t xml:space="preserve"> </w:t>
      </w:r>
      <w:r>
        <w:t xml:space="preserve">Guevara-Aguirre 2015, PMID 25316432.</w:t>
      </w:r>
    </w:p>
  </w:footnote>
  <w:footnote w:id="1513">
    <w:p>
      <w:pPr>
        <w:pStyle w:val="FootnoteText"/>
      </w:pPr>
      <w:r>
        <w:rPr>
          <w:rStyle w:val="FootnoteReference"/>
        </w:rPr>
        <w:footnoteRef/>
      </w:r>
      <w:r>
        <w:t xml:space="preserve"> </w:t>
      </w:r>
      <w:r>
        <w:t xml:space="preserve">Chernausek 2007, PMID 17192294; Bang 2023, PMID 37579214.</w:t>
      </w:r>
    </w:p>
  </w:footnote>
  <w:footnote w:id="1514">
    <w:p>
      <w:pPr>
        <w:pStyle w:val="FootnoteText"/>
      </w:pPr>
      <w:r>
        <w:rPr>
          <w:rStyle w:val="FootnoteReference"/>
        </w:rPr>
        <w:footnoteRef/>
      </w:r>
      <w:r>
        <w:t xml:space="preserve"> </w:t>
      </w:r>
      <w:r>
        <w:t xml:space="preserve">Chernausek 2007, PMID 17192294.</w:t>
      </w:r>
    </w:p>
  </w:footnote>
  <w:footnote w:id="1515">
    <w:p>
      <w:pPr>
        <w:pStyle w:val="FootnoteText"/>
      </w:pPr>
      <w:r>
        <w:rPr>
          <w:rStyle w:val="FootnoteReference"/>
        </w:rPr>
        <w:footnoteRef/>
      </w:r>
      <w:r>
        <w:t xml:space="preserve"> </w:t>
      </w:r>
      <w:r>
        <w:t xml:space="preserve">Ley 2019, PMID 30471715.</w:t>
      </w:r>
    </w:p>
  </w:footnote>
  <w:footnote w:id="1516">
    <w:p>
      <w:pPr>
        <w:pStyle w:val="FootnoteText"/>
      </w:pPr>
      <w:r>
        <w:rPr>
          <w:rStyle w:val="FootnoteReference"/>
        </w:rPr>
        <w:footnoteRef/>
      </w:r>
      <w:r>
        <w:t xml:space="preserve"> </w:t>
      </w:r>
      <w:r>
        <w:t xml:space="preserve">Renehan 2004, PMID 15110491.</w:t>
      </w:r>
    </w:p>
  </w:footnote>
  <w:footnote w:id="1517">
    <w:p>
      <w:pPr>
        <w:pStyle w:val="FootnoteText"/>
      </w:pPr>
      <w:r>
        <w:rPr>
          <w:rStyle w:val="FootnoteReference"/>
        </w:rPr>
        <w:footnoteRef/>
      </w:r>
      <w:r>
        <w:t xml:space="preserve"> </w:t>
      </w:r>
      <w:r>
        <w:t xml:space="preserve">Murphy 2020, PMID 32169310.</w:t>
      </w:r>
    </w:p>
  </w:footnote>
  <w:footnote w:id="1518">
    <w:p>
      <w:pPr>
        <w:pStyle w:val="FootnoteText"/>
      </w:pPr>
      <w:r>
        <w:rPr>
          <w:rStyle w:val="FootnoteReference"/>
        </w:rPr>
        <w:footnoteRef/>
      </w:r>
      <w:r>
        <w:t xml:space="preserve"> </w:t>
      </w:r>
      <w:r>
        <w:t xml:space="preserve">Murphy 2020, PMID 31884074.</w:t>
      </w:r>
    </w:p>
  </w:footnote>
  <w:footnote w:id="1519">
    <w:p>
      <w:pPr>
        <w:pStyle w:val="FootnoteText"/>
      </w:pPr>
      <w:r>
        <w:rPr>
          <w:rStyle w:val="FootnoteReference"/>
        </w:rPr>
        <w:footnoteRef/>
      </w:r>
      <w:r>
        <w:t xml:space="preserve"> </w:t>
      </w:r>
      <w:r>
        <w:t xml:space="preserve">Watts 2023, PMID 35726641.</w:t>
      </w:r>
    </w:p>
  </w:footnote>
  <w:footnote w:id="1520">
    <w:p>
      <w:pPr>
        <w:pStyle w:val="FootnoteText"/>
      </w:pPr>
      <w:r>
        <w:rPr>
          <w:rStyle w:val="FootnoteReference"/>
        </w:rPr>
        <w:footnoteRef/>
      </w:r>
      <w:r>
        <w:t xml:space="preserve"> </w:t>
      </w:r>
      <w:r>
        <w:t xml:space="preserve">Murphy 2020, PMID 32169310; Murphy 2020, PMID 31884074.</w:t>
      </w:r>
    </w:p>
  </w:footnote>
  <w:footnote w:id="1521">
    <w:p>
      <w:pPr>
        <w:pStyle w:val="FootnoteText"/>
      </w:pPr>
      <w:r>
        <w:rPr>
          <w:rStyle w:val="FootnoteReference"/>
        </w:rPr>
        <w:footnoteRef/>
      </w:r>
      <w:r>
        <w:t xml:space="preserve"> </w:t>
      </w:r>
      <w:r>
        <w:t xml:space="preserve">Guevara-Aguirre 2011, PMID 21325617.</w:t>
      </w:r>
    </w:p>
  </w:footnote>
  <w:footnote w:id="1522">
    <w:p>
      <w:pPr>
        <w:pStyle w:val="FootnoteText"/>
      </w:pPr>
      <w:r>
        <w:rPr>
          <w:rStyle w:val="FootnoteReference"/>
        </w:rPr>
        <w:footnoteRef/>
      </w:r>
      <w:r>
        <w:t xml:space="preserve"> </w:t>
      </w:r>
      <w:r>
        <w:t xml:space="preserve">NCT00903110.</w:t>
      </w:r>
    </w:p>
  </w:footnote>
  <w:footnote w:id="1524">
    <w:p>
      <w:pPr>
        <w:pStyle w:val="FootnoteText"/>
      </w:pPr>
      <w:r>
        <w:rPr>
          <w:rStyle w:val="FootnoteReference"/>
        </w:rPr>
        <w:footnoteRef/>
      </w:r>
      <w:r>
        <w:t xml:space="preserve"> </w:t>
      </w:r>
      <w:r>
        <w:t xml:space="preserve">Saavedra 2026, PMID 42341624.</w:t>
      </w:r>
    </w:p>
  </w:footnote>
  <w:footnote w:id="1525">
    <w:p>
      <w:pPr>
        <w:pStyle w:val="FootnoteText"/>
      </w:pPr>
      <w:r>
        <w:rPr>
          <w:rStyle w:val="FootnoteReference"/>
        </w:rPr>
        <w:footnoteRef/>
      </w:r>
      <w:r>
        <w:t xml:space="preserve"> </w:t>
      </w:r>
      <w:r>
        <w:t xml:space="preserve">Guha 2013, PMID 23934394.</w:t>
      </w:r>
    </w:p>
  </w:footnote>
  <w:footnote w:id="1527">
    <w:p>
      <w:pPr>
        <w:pStyle w:val="FootnoteText"/>
      </w:pPr>
      <w:r>
        <w:rPr>
          <w:rStyle w:val="FootnoteReference"/>
        </w:rPr>
        <w:footnoteRef/>
      </w:r>
      <w:r>
        <w:t xml:space="preserve"> </w:t>
      </w:r>
      <w:r>
        <w:t xml:space="preserve">NCT00903110.</w:t>
      </w:r>
    </w:p>
  </w:footnote>
  <w:footnote w:id="1531">
    <w:p>
      <w:pPr>
        <w:pStyle w:val="FootnoteText"/>
      </w:pPr>
      <w:r>
        <w:rPr>
          <w:rStyle w:val="FootnoteReference"/>
        </w:rPr>
        <w:footnoteRef/>
      </w:r>
      <w:r>
        <w:t xml:space="preserve"> </w:t>
      </w:r>
      <w:r>
        <w:t xml:space="preserve">Bastian 1993, PMID 7693845; Tomas 1993, PMID 7683875.</w:t>
      </w:r>
    </w:p>
  </w:footnote>
  <w:footnote w:id="1533">
    <w:p>
      <w:pPr>
        <w:pStyle w:val="FootnoteText"/>
      </w:pPr>
      <w:r>
        <w:rPr>
          <w:rStyle w:val="FootnoteReference"/>
        </w:rPr>
        <w:footnoteRef/>
      </w:r>
      <w:r>
        <w:t xml:space="preserve"> </w:t>
      </w:r>
      <w:r>
        <w:t xml:space="preserve">Devi 2001, PMID 11735239.</w:t>
      </w:r>
    </w:p>
  </w:footnote>
  <w:footnote w:id="1534">
    <w:p>
      <w:pPr>
        <w:pStyle w:val="FootnoteText"/>
      </w:pPr>
      <w:r>
        <w:rPr>
          <w:rStyle w:val="FootnoteReference"/>
        </w:rPr>
        <w:footnoteRef/>
      </w:r>
      <w:r>
        <w:t xml:space="preserve"> </w:t>
      </w:r>
      <w:r>
        <w:t xml:space="preserve">Bastian 1993, PMID 7693845.</w:t>
      </w:r>
    </w:p>
  </w:footnote>
  <w:footnote w:id="1535">
    <w:p>
      <w:pPr>
        <w:pStyle w:val="FootnoteText"/>
      </w:pPr>
      <w:r>
        <w:rPr>
          <w:rStyle w:val="FootnoteReference"/>
        </w:rPr>
        <w:footnoteRef/>
      </w:r>
      <w:r>
        <w:t xml:space="preserve"> </w:t>
      </w:r>
      <w:r>
        <w:t xml:space="preserve">Tomas 1993, PMID 7683875.</w:t>
      </w:r>
    </w:p>
  </w:footnote>
  <w:footnote w:id="1537">
    <w:p>
      <w:pPr>
        <w:pStyle w:val="FootnoteText"/>
      </w:pPr>
      <w:r>
        <w:rPr>
          <w:rStyle w:val="FootnoteReference"/>
        </w:rPr>
        <w:footnoteRef/>
      </w:r>
      <w:r>
        <w:t xml:space="preserve"> </w:t>
      </w:r>
      <w:r>
        <w:t xml:space="preserve">Kohler 2010, PMID 20675162.</w:t>
      </w:r>
    </w:p>
  </w:footnote>
  <w:footnote w:id="1538">
    <w:p>
      <w:pPr>
        <w:pStyle w:val="FootnoteText"/>
      </w:pPr>
      <w:r>
        <w:rPr>
          <w:rStyle w:val="FootnoteReference"/>
        </w:rPr>
        <w:footnoteRef/>
      </w:r>
      <w:r>
        <w:t xml:space="preserve"> </w:t>
      </w:r>
      <w:r>
        <w:t xml:space="preserve">Mongongu 2021, PMID 33587816.</w:t>
      </w:r>
    </w:p>
  </w:footnote>
  <w:footnote w:id="1539">
    <w:p>
      <w:pPr>
        <w:pStyle w:val="FootnoteText"/>
      </w:pPr>
      <w:r>
        <w:rPr>
          <w:rStyle w:val="FootnoteReference"/>
        </w:rPr>
        <w:footnoteRef/>
      </w:r>
      <w:r>
        <w:t xml:space="preserve"> </w:t>
      </w:r>
      <w:r>
        <w:t xml:space="preserve">Guha 2013, PMID 23934394.</w:t>
      </w:r>
    </w:p>
  </w:footnote>
  <w:footnote w:id="1541">
    <w:p>
      <w:pPr>
        <w:pStyle w:val="FootnoteText"/>
      </w:pPr>
      <w:r>
        <w:rPr>
          <w:rStyle w:val="FootnoteReference"/>
        </w:rPr>
        <w:footnoteRef/>
      </w:r>
      <w:r>
        <w:t xml:space="preserve"> </w:t>
      </w:r>
      <w:r>
        <w:t xml:space="preserve">Bastian 1993, PMID 7693845.</w:t>
      </w:r>
    </w:p>
  </w:footnote>
  <w:footnote w:id="1542">
    <w:p>
      <w:pPr>
        <w:pStyle w:val="FootnoteText"/>
      </w:pPr>
      <w:r>
        <w:rPr>
          <w:rStyle w:val="FootnoteReference"/>
        </w:rPr>
        <w:footnoteRef/>
      </w:r>
      <w:r>
        <w:t xml:space="preserve"> </w:t>
      </w:r>
      <w:r>
        <w:t xml:space="preserve">Tomas 1993, PMID 7683875.</w:t>
      </w:r>
    </w:p>
  </w:footnote>
  <w:footnote w:id="1543">
    <w:p>
      <w:pPr>
        <w:pStyle w:val="FootnoteText"/>
      </w:pPr>
      <w:r>
        <w:rPr>
          <w:rStyle w:val="FootnoteReference"/>
        </w:rPr>
        <w:footnoteRef/>
      </w:r>
      <w:r>
        <w:t xml:space="preserve"> </w:t>
      </w:r>
      <w:r>
        <w:t xml:space="preserve">Dunaiski 1997, PMID 9488001.</w:t>
      </w:r>
    </w:p>
  </w:footnote>
  <w:footnote w:id="1544">
    <w:p>
      <w:pPr>
        <w:pStyle w:val="FootnoteText"/>
      </w:pPr>
      <w:r>
        <w:rPr>
          <w:rStyle w:val="FootnoteReference"/>
        </w:rPr>
        <w:footnoteRef/>
      </w:r>
      <w:r>
        <w:t xml:space="preserve"> </w:t>
      </w:r>
      <w:r>
        <w:t xml:space="preserve">Conlon 1995, PMID 7561636.</w:t>
      </w:r>
    </w:p>
  </w:footnote>
  <w:footnote w:id="1545">
    <w:p>
      <w:pPr>
        <w:pStyle w:val="FootnoteText"/>
      </w:pPr>
      <w:r>
        <w:rPr>
          <w:rStyle w:val="FootnoteReference"/>
        </w:rPr>
        <w:footnoteRef/>
      </w:r>
      <w:r>
        <w:t xml:space="preserve"> </w:t>
      </w:r>
      <w:r>
        <w:t xml:space="preserve">White 2023, PMID 37114757.</w:t>
      </w:r>
    </w:p>
  </w:footnote>
  <w:footnote w:id="1546">
    <w:p>
      <w:pPr>
        <w:pStyle w:val="FootnoteText"/>
      </w:pPr>
      <w:r>
        <w:rPr>
          <w:rStyle w:val="FootnoteReference"/>
        </w:rPr>
        <w:footnoteRef/>
      </w:r>
      <w:r>
        <w:t xml:space="preserve"> </w:t>
      </w:r>
      <w:r>
        <w:t xml:space="preserve">White 2025, PMID 39679943.</w:t>
      </w:r>
    </w:p>
  </w:footnote>
  <w:footnote w:id="1547">
    <w:p>
      <w:pPr>
        <w:pStyle w:val="FootnoteText"/>
      </w:pPr>
      <w:r>
        <w:rPr>
          <w:rStyle w:val="FootnoteReference"/>
        </w:rPr>
        <w:footnoteRef/>
      </w:r>
      <w:r>
        <w:t xml:space="preserve"> </w:t>
      </w:r>
      <w:r>
        <w:t xml:space="preserve">Engel 2025, PMID 39610283.</w:t>
      </w:r>
    </w:p>
  </w:footnote>
  <w:footnote w:id="1549">
    <w:p>
      <w:pPr>
        <w:pStyle w:val="FootnoteText"/>
      </w:pPr>
      <w:r>
        <w:rPr>
          <w:rStyle w:val="FootnoteReference"/>
        </w:rPr>
        <w:footnoteRef/>
      </w:r>
      <w:r>
        <w:t xml:space="preserve"> </w:t>
      </w:r>
      <w:r>
        <w:t xml:space="preserve">Chernausek 2007, PMID 17192294.</w:t>
      </w:r>
    </w:p>
  </w:footnote>
  <w:footnote w:id="1550">
    <w:p>
      <w:pPr>
        <w:pStyle w:val="FootnoteText"/>
      </w:pPr>
      <w:r>
        <w:rPr>
          <w:rStyle w:val="FootnoteReference"/>
        </w:rPr>
        <w:footnoteRef/>
      </w:r>
      <w:r>
        <w:t xml:space="preserve"> </w:t>
      </w:r>
      <w:r>
        <w:t xml:space="preserve">Dunaiski 1997, PMID 9488001; White 2023, PMID 37114757.</w:t>
      </w:r>
    </w:p>
  </w:footnote>
  <w:footnote w:id="1551">
    <w:p>
      <w:pPr>
        <w:pStyle w:val="FootnoteText"/>
      </w:pPr>
      <w:r>
        <w:rPr>
          <w:rStyle w:val="FootnoteReference"/>
        </w:rPr>
        <w:footnoteRef/>
      </w:r>
      <w:r>
        <w:t xml:space="preserve"> </w:t>
      </w:r>
      <w:r>
        <w:t xml:space="preserve">Conlon 1995, PMID 7561636.</w:t>
      </w:r>
    </w:p>
  </w:footnote>
  <w:footnote w:id="1552">
    <w:p>
      <w:pPr>
        <w:pStyle w:val="FootnoteText"/>
      </w:pPr>
      <w:r>
        <w:rPr>
          <w:rStyle w:val="FootnoteReference"/>
        </w:rPr>
        <w:footnoteRef/>
      </w:r>
      <w:r>
        <w:t xml:space="preserve"> </w:t>
      </w:r>
      <w:r>
        <w:t xml:space="preserve">Renehan 2004, PMID 15110491; Murphy 2020, PMID 32169310; Watts 2023, PMID 35726641.</w:t>
      </w:r>
    </w:p>
  </w:footnote>
  <w:footnote w:id="1553">
    <w:p>
      <w:pPr>
        <w:pStyle w:val="FootnoteText"/>
      </w:pPr>
      <w:r>
        <w:rPr>
          <w:rStyle w:val="FootnoteReference"/>
        </w:rPr>
        <w:footnoteRef/>
      </w:r>
      <w:r>
        <w:t xml:space="preserve"> </w:t>
      </w:r>
      <w:r>
        <w:t xml:space="preserve">Guevara-Aguirre 2011, PMID 21325617.</w:t>
      </w:r>
    </w:p>
  </w:footnote>
  <w:footnote w:id="1554">
    <w:p>
      <w:pPr>
        <w:pStyle w:val="FootnoteText"/>
      </w:pPr>
      <w:r>
        <w:rPr>
          <w:rStyle w:val="FootnoteReference"/>
        </w:rPr>
        <w:footnoteRef/>
      </w:r>
      <w:r>
        <w:t xml:space="preserve"> </w:t>
      </w:r>
      <w:r>
        <w:t xml:space="preserve">Kohler 2010, PMID 20675162; Mongongu 2021, PMID 33587816.</w:t>
      </w:r>
    </w:p>
  </w:footnote>
  <w:footnote w:id="1556">
    <w:p>
      <w:pPr>
        <w:pStyle w:val="FootnoteText"/>
      </w:pPr>
      <w:r>
        <w:rPr>
          <w:rStyle w:val="FootnoteReference"/>
        </w:rPr>
        <w:footnoteRef/>
      </w:r>
      <w:r>
        <w:t xml:space="preserve"> </w:t>
      </w:r>
      <w:r>
        <w:t xml:space="preserve">Mongongu 2021, PMID 33587816.</w:t>
      </w:r>
    </w:p>
  </w:footnote>
  <w:footnote w:id="1561">
    <w:p>
      <w:pPr>
        <w:pStyle w:val="FootnoteText"/>
      </w:pPr>
      <w:r>
        <w:rPr>
          <w:rStyle w:val="FootnoteReference"/>
        </w:rPr>
        <w:footnoteRef/>
      </w:r>
      <w:r>
        <w:t xml:space="preserve"> </w:t>
      </w:r>
      <w:r>
        <w:t xml:space="preserve">Bright 2022, PMID 35354138.</w:t>
      </w:r>
    </w:p>
  </w:footnote>
  <w:footnote w:id="1563">
    <w:p>
      <w:pPr>
        <w:pStyle w:val="FootnoteText"/>
      </w:pPr>
      <w:r>
        <w:rPr>
          <w:rStyle w:val="FootnoteReference"/>
        </w:rPr>
        <w:footnoteRef/>
      </w:r>
      <w:r>
        <w:t xml:space="preserve"> </w:t>
      </w:r>
      <w:r>
        <w:t xml:space="preserve">Chapman 1996, PMID 8954023.</w:t>
      </w:r>
    </w:p>
  </w:footnote>
  <w:footnote w:id="1565">
    <w:p>
      <w:pPr>
        <w:pStyle w:val="FootnoteText"/>
      </w:pPr>
      <w:r>
        <w:rPr>
          <w:rStyle w:val="FootnoteReference"/>
        </w:rPr>
        <w:footnoteRef/>
      </w:r>
      <w:r>
        <w:t xml:space="preserve"> </w:t>
      </w:r>
      <w:r>
        <w:t xml:space="preserve">Nass 2008, PMID 18981485.</w:t>
      </w:r>
    </w:p>
  </w:footnote>
  <w:footnote w:id="1567">
    <w:p>
      <w:pPr>
        <w:pStyle w:val="FootnoteText"/>
      </w:pPr>
      <w:r>
        <w:rPr>
          <w:rStyle w:val="FootnoteReference"/>
        </w:rPr>
        <w:footnoteRef/>
      </w:r>
      <w:r>
        <w:t xml:space="preserve"> </w:t>
      </w:r>
      <w:r>
        <w:t xml:space="preserve">Bach 2004, PMID 15066065.</w:t>
      </w:r>
    </w:p>
  </w:footnote>
  <w:footnote w:id="1568">
    <w:p>
      <w:pPr>
        <w:pStyle w:val="FootnoteText"/>
      </w:pPr>
      <w:r>
        <w:rPr>
          <w:rStyle w:val="FootnoteReference"/>
        </w:rPr>
        <w:footnoteRef/>
      </w:r>
      <w:r>
        <w:t xml:space="preserve"> </w:t>
      </w:r>
      <w:r>
        <w:t xml:space="preserve">Adunsky 2011, PMID 21067829.</w:t>
      </w:r>
    </w:p>
  </w:footnote>
  <w:footnote w:id="1570">
    <w:p>
      <w:pPr>
        <w:pStyle w:val="FootnoteText"/>
      </w:pPr>
      <w:r>
        <w:rPr>
          <w:rStyle w:val="FootnoteReference"/>
        </w:rPr>
        <w:footnoteRef/>
      </w:r>
      <w:r>
        <w:t xml:space="preserve"> </w:t>
      </w:r>
      <w:r>
        <w:t xml:space="preserve">Sevigny 2008, PMID 19015485.</w:t>
      </w:r>
    </w:p>
  </w:footnote>
  <w:footnote w:id="1572">
    <w:p>
      <w:pPr>
        <w:pStyle w:val="FootnoteText"/>
      </w:pPr>
      <w:r>
        <w:rPr>
          <w:rStyle w:val="FootnoteReference"/>
        </w:rPr>
        <w:footnoteRef/>
      </w:r>
      <w:r>
        <w:t xml:space="preserve"> </w:t>
      </w:r>
      <w:r>
        <w:t xml:space="preserve">Svensson 1998, PMID 9467542.</w:t>
      </w:r>
    </w:p>
  </w:footnote>
  <w:footnote w:id="1573">
    <w:p>
      <w:pPr>
        <w:pStyle w:val="FootnoteText"/>
      </w:pPr>
      <w:r>
        <w:rPr>
          <w:rStyle w:val="FootnoteReference"/>
        </w:rPr>
        <w:footnoteRef/>
      </w:r>
      <w:r>
        <w:t xml:space="preserve"> </w:t>
      </w:r>
      <w:r>
        <w:t xml:space="preserve">Murphy 2001, PMID 11238495.</w:t>
      </w:r>
    </w:p>
  </w:footnote>
  <w:footnote w:id="1574">
    <w:p>
      <w:pPr>
        <w:pStyle w:val="FootnoteText"/>
      </w:pPr>
      <w:r>
        <w:rPr>
          <w:rStyle w:val="FootnoteReference"/>
        </w:rPr>
        <w:footnoteRef/>
      </w:r>
      <w:r>
        <w:t xml:space="preserve"> </w:t>
      </w:r>
      <w:r>
        <w:t xml:space="preserve">Copinschi 1997, PMID 9349662.</w:t>
      </w:r>
    </w:p>
  </w:footnote>
  <w:footnote w:id="1575">
    <w:p>
      <w:pPr>
        <w:pStyle w:val="FootnoteText"/>
      </w:pPr>
      <w:r>
        <w:rPr>
          <w:rStyle w:val="FootnoteReference"/>
        </w:rPr>
        <w:footnoteRef/>
      </w:r>
      <w:r>
        <w:t xml:space="preserve"> </w:t>
      </w:r>
      <w:r>
        <w:t xml:space="preserve">Campbell 2018, PMID 28340044.</w:t>
      </w:r>
    </w:p>
  </w:footnote>
  <w:footnote w:id="1576">
    <w:p>
      <w:pPr>
        <w:pStyle w:val="FootnoteText"/>
      </w:pPr>
      <w:r>
        <w:rPr>
          <w:rStyle w:val="FootnoteReference"/>
        </w:rPr>
        <w:footnoteRef/>
      </w:r>
      <w:r>
        <w:t xml:space="preserve"> </w:t>
      </w:r>
      <w:r>
        <w:t xml:space="preserve">Codner 2001, PMID 11452249.</w:t>
      </w:r>
    </w:p>
  </w:footnote>
  <w:footnote w:id="1577">
    <w:p>
      <w:pPr>
        <w:pStyle w:val="FootnoteText"/>
      </w:pPr>
      <w:r>
        <w:rPr>
          <w:rStyle w:val="FootnoteReference"/>
        </w:rPr>
        <w:footnoteRef/>
      </w:r>
      <w:r>
        <w:t xml:space="preserve"> </w:t>
      </w:r>
      <w:r>
        <w:t xml:space="preserve">Bright 2022, PMID 35354138.</w:t>
      </w:r>
    </w:p>
  </w:footnote>
  <w:footnote w:id="1580">
    <w:p>
      <w:pPr>
        <w:pStyle w:val="FootnoteText"/>
      </w:pPr>
      <w:r>
        <w:rPr>
          <w:rStyle w:val="FootnoteReference"/>
        </w:rPr>
        <w:footnoteRef/>
      </w:r>
      <w:r>
        <w:t xml:space="preserve"> </w:t>
      </w:r>
      <w:r>
        <w:t xml:space="preserve">Jeong 2018, PMID 29912176.</w:t>
      </w:r>
    </w:p>
  </w:footnote>
  <w:footnote w:id="1581">
    <w:p>
      <w:pPr>
        <w:pStyle w:val="FootnoteText"/>
      </w:pPr>
      <w:r>
        <w:rPr>
          <w:rStyle w:val="FootnoteReference"/>
        </w:rPr>
        <w:footnoteRef/>
      </w:r>
      <w:r>
        <w:t xml:space="preserve"> </w:t>
      </w:r>
      <w:r>
        <w:t xml:space="preserve">Liu 2021, PMID 34737341.</w:t>
      </w:r>
    </w:p>
  </w:footnote>
  <w:footnote w:id="1583">
    <w:p>
      <w:pPr>
        <w:pStyle w:val="FootnoteText"/>
      </w:pPr>
      <w:r>
        <w:rPr>
          <w:rStyle w:val="FootnoteReference"/>
        </w:rPr>
        <w:footnoteRef/>
      </w:r>
      <w:r>
        <w:t xml:space="preserve"> </w:t>
      </w:r>
      <w:r>
        <w:t xml:space="preserve">Adunsky 2011, PMID 21067829.</w:t>
      </w:r>
    </w:p>
  </w:footnote>
  <w:footnote w:id="1584">
    <w:p>
      <w:pPr>
        <w:pStyle w:val="FootnoteText"/>
      </w:pPr>
      <w:r>
        <w:rPr>
          <w:rStyle w:val="FootnoteReference"/>
        </w:rPr>
        <w:footnoteRef/>
      </w:r>
      <w:r>
        <w:t xml:space="preserve"> </w:t>
      </w:r>
      <w:r>
        <w:t xml:space="preserve">Nass 2008, PMID 18981485; Chapman 1996, PMID 8954023.</w:t>
      </w:r>
    </w:p>
  </w:footnote>
  <w:footnote w:id="1585">
    <w:p>
      <w:pPr>
        <w:pStyle w:val="FootnoteText"/>
      </w:pPr>
      <w:r>
        <w:rPr>
          <w:rStyle w:val="FootnoteReference"/>
        </w:rPr>
        <w:footnoteRef/>
      </w:r>
      <w:r>
        <w:t xml:space="preserve"> </w:t>
      </w:r>
      <w:r>
        <w:t xml:space="preserve">Svensson 1998, PMID 9467542.</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Nass 2008, PMID 18981485.</w:t>
      </w:r>
    </w:p>
  </w:footnote>
  <w:footnote w:id="1588">
    <w:p>
      <w:pPr>
        <w:pStyle w:val="FootnoteText"/>
      </w:pPr>
      <w:r>
        <w:rPr>
          <w:rStyle w:val="FootnoteReference"/>
        </w:rPr>
        <w:footnoteRef/>
      </w:r>
      <w:r>
        <w:t xml:space="preserve"> </w:t>
      </w:r>
      <w:r>
        <w:t xml:space="preserve">Cobani 2025, PMID 40675653.</w:t>
      </w:r>
    </w:p>
  </w:footnote>
  <w:footnote w:id="1589">
    <w:p>
      <w:pPr>
        <w:pStyle w:val="FootnoteText"/>
      </w:pPr>
      <w:r>
        <w:rPr>
          <w:rStyle w:val="FootnoteReference"/>
        </w:rPr>
        <w:footnoteRef/>
      </w:r>
      <w:r>
        <w:t xml:space="preserve"> </w:t>
      </w:r>
      <w:r>
        <w:t xml:space="preserve">Chong 2024, PMID 39145153.</w:t>
      </w:r>
    </w:p>
  </w:footnote>
  <w:footnote w:id="1590">
    <w:p>
      <w:pPr>
        <w:pStyle w:val="FootnoteText"/>
      </w:pPr>
      <w:r>
        <w:rPr>
          <w:rStyle w:val="FootnoteReference"/>
        </w:rPr>
        <w:footnoteRef/>
      </w:r>
      <w:r>
        <w:t xml:space="preserve"> </w:t>
      </w:r>
      <w:r>
        <w:t xml:space="preserve">Sigalos 2018, PMID 28400207.</w:t>
      </w:r>
    </w:p>
  </w:footnote>
  <w:footnote w:id="1591">
    <w:p>
      <w:pPr>
        <w:pStyle w:val="FootnoteText"/>
      </w:pPr>
      <w:r>
        <w:rPr>
          <w:rStyle w:val="FootnoteReference"/>
        </w:rPr>
        <w:footnoteRef/>
      </w:r>
      <w:r>
        <w:t xml:space="preserve"> </w:t>
      </w:r>
      <w:r>
        <w:t xml:space="preserve">Van Wagoner 2017, PMID 29183075.</w:t>
      </w:r>
    </w:p>
  </w:footnote>
  <w:footnote w:id="1592">
    <w:p>
      <w:pPr>
        <w:pStyle w:val="FootnoteText"/>
      </w:pPr>
      <w:r>
        <w:rPr>
          <w:rStyle w:val="FootnoteReference"/>
        </w:rPr>
        <w:footnoteRef/>
      </w:r>
      <w:r>
        <w:t xml:space="preserve"> </w:t>
      </w:r>
      <w:r>
        <w:t xml:space="preserve">Barrios 2025, PMID 40551438.</w:t>
      </w:r>
    </w:p>
  </w:footnote>
  <w:footnote w:id="1594">
    <w:p>
      <w:pPr>
        <w:pStyle w:val="FootnoteText"/>
      </w:pPr>
      <w:r>
        <w:rPr>
          <w:rStyle w:val="FootnoteReference"/>
        </w:rPr>
        <w:footnoteRef/>
      </w:r>
      <w:r>
        <w:t xml:space="preserve"> </w:t>
      </w:r>
      <w:r>
        <w:t xml:space="preserve">Viljanto 2023, PMID 36354265.</w:t>
      </w:r>
    </w:p>
  </w:footnote>
  <w:footnote w:id="1596">
    <w:p>
      <w:pPr>
        <w:pStyle w:val="FootnoteText"/>
      </w:pPr>
      <w:r>
        <w:rPr>
          <w:rStyle w:val="FootnoteReference"/>
        </w:rPr>
        <w:footnoteRef/>
      </w:r>
      <w:r>
        <w:t xml:space="preserve"> </w:t>
      </w:r>
      <w:r>
        <w:t xml:space="preserve">NCT04614337.</w:t>
      </w:r>
    </w:p>
  </w:footnote>
  <w:footnote w:id="1597">
    <w:p>
      <w:pPr>
        <w:pStyle w:val="FootnoteText"/>
      </w:pPr>
      <w:r>
        <w:rPr>
          <w:rStyle w:val="FootnoteReference"/>
        </w:rPr>
        <w:footnoteRef/>
      </w:r>
      <w:r>
        <w:t xml:space="preserve"> </w:t>
      </w:r>
      <w:r>
        <w:t xml:space="preserve">NCT06948214.</w:t>
      </w:r>
    </w:p>
  </w:footnote>
  <w:footnote w:id="1598">
    <w:p>
      <w:pPr>
        <w:pStyle w:val="FootnoteText"/>
      </w:pPr>
      <w:r>
        <w:rPr>
          <w:rStyle w:val="FootnoteReference"/>
        </w:rPr>
        <w:footnoteRef/>
      </w:r>
      <w:r>
        <w:t xml:space="preserve"> </w:t>
      </w:r>
      <w:r>
        <w:t xml:space="preserve">NCT07129759.</w:t>
      </w:r>
    </w:p>
  </w:footnote>
  <w:footnote w:id="1599">
    <w:p>
      <w:pPr>
        <w:pStyle w:val="FootnoteText"/>
      </w:pPr>
      <w:r>
        <w:rPr>
          <w:rStyle w:val="FootnoteReference"/>
        </w:rPr>
        <w:footnoteRef/>
      </w:r>
      <w:r>
        <w:t xml:space="preserve"> </w:t>
      </w:r>
      <w:r>
        <w:t xml:space="preserve">NCT07754045.</w:t>
      </w:r>
    </w:p>
  </w:footnote>
  <w:footnote w:id="1610">
    <w:p>
      <w:pPr>
        <w:pStyle w:val="FootnoteText"/>
      </w:pPr>
      <w:r>
        <w:rPr>
          <w:rStyle w:val="FootnoteReference"/>
        </w:rPr>
        <w:footnoteRef/>
      </w:r>
      <w:r>
        <w:t xml:space="preserve"> </w:t>
      </w:r>
      <w:r>
        <w:t xml:space="preserve">Dolotov 2006, PMID 16635254.</w:t>
      </w:r>
    </w:p>
  </w:footnote>
  <w:footnote w:id="1611">
    <w:p>
      <w:pPr>
        <w:pStyle w:val="FootnoteText"/>
      </w:pPr>
      <w:r>
        <w:rPr>
          <w:rStyle w:val="FootnoteReference"/>
        </w:rPr>
        <w:footnoteRef/>
      </w:r>
      <w:r>
        <w:t xml:space="preserve"> </w:t>
      </w:r>
      <w:r>
        <w:t xml:space="preserve">Medvedeva 2014, PMID 24661604.</w:t>
      </w:r>
    </w:p>
  </w:footnote>
  <w:footnote w:id="1613">
    <w:p>
      <w:pPr>
        <w:pStyle w:val="FootnoteText"/>
      </w:pPr>
      <w:r>
        <w:rPr>
          <w:rStyle w:val="FootnoteReference"/>
        </w:rPr>
        <w:footnoteRef/>
      </w:r>
      <w:r>
        <w:t xml:space="preserve"> </w:t>
      </w:r>
      <w:r>
        <w:t xml:space="preserve">Gusev 1997, PMID 11517472.</w:t>
      </w:r>
    </w:p>
  </w:footnote>
  <w:footnote w:id="1614">
    <w:p>
      <w:pPr>
        <w:pStyle w:val="FootnoteText"/>
      </w:pPr>
      <w:r>
        <w:rPr>
          <w:rStyle w:val="FootnoteReference"/>
        </w:rPr>
        <w:footnoteRef/>
      </w:r>
      <w:r>
        <w:t xml:space="preserve"> </w:t>
      </w:r>
      <w:r>
        <w:t xml:space="preserve">Miasoedova 1999, PMID 10358912.</w:t>
      </w:r>
    </w:p>
  </w:footnote>
  <w:footnote w:id="1615">
    <w:p>
      <w:pPr>
        <w:pStyle w:val="FootnoteText"/>
      </w:pPr>
      <w:r>
        <w:rPr>
          <w:rStyle w:val="FootnoteReference"/>
        </w:rPr>
        <w:footnoteRef/>
      </w:r>
      <w:r>
        <w:t xml:space="preserve"> </w:t>
      </w:r>
      <w:r>
        <w:t xml:space="preserve">Gusev 2018, PMID 29798983.</w:t>
      </w:r>
    </w:p>
  </w:footnote>
  <w:footnote w:id="1617">
    <w:p>
      <w:pPr>
        <w:pStyle w:val="FootnoteText"/>
      </w:pPr>
      <w:r>
        <w:rPr>
          <w:rStyle w:val="FootnoteReference"/>
        </w:rPr>
        <w:footnoteRef/>
      </w:r>
      <w:r>
        <w:t xml:space="preserve"> </w:t>
      </w:r>
      <w:r>
        <w:t xml:space="preserve">Serdiuk 2007, PMID 18379501.</w:t>
      </w:r>
    </w:p>
  </w:footnote>
  <w:footnote w:id="1618">
    <w:p>
      <w:pPr>
        <w:pStyle w:val="FootnoteText"/>
      </w:pPr>
      <w:r>
        <w:rPr>
          <w:rStyle w:val="FootnoteReference"/>
        </w:rPr>
        <w:footnoteRef/>
      </w:r>
      <w:r>
        <w:t xml:space="preserve"> </w:t>
      </w:r>
      <w:r>
        <w:t xml:space="preserve">Polunin 2000, PMID 10741256.</w:t>
      </w:r>
    </w:p>
  </w:footnote>
  <w:footnote w:id="1619">
    <w:p>
      <w:pPr>
        <w:pStyle w:val="FootnoteText"/>
      </w:pPr>
      <w:r>
        <w:rPr>
          <w:rStyle w:val="FootnoteReference"/>
        </w:rPr>
        <w:footnoteRef/>
      </w:r>
      <w:r>
        <w:t xml:space="preserve"> </w:t>
      </w:r>
      <w:r>
        <w:t xml:space="preserve">Alekseeva 1999, PMID 10199046.</w:t>
      </w:r>
    </w:p>
  </w:footnote>
  <w:footnote w:id="1620">
    <w:p>
      <w:pPr>
        <w:pStyle w:val="FootnoteText"/>
      </w:pPr>
      <w:r>
        <w:rPr>
          <w:rStyle w:val="FootnoteReference"/>
        </w:rPr>
        <w:footnoteRef/>
      </w:r>
      <w:r>
        <w:t xml:space="preserve"> </w:t>
      </w:r>
      <w:r>
        <w:t xml:space="preserve">Ivanikov 2002, PMID 12459874.</w:t>
      </w:r>
    </w:p>
  </w:footnote>
  <w:footnote w:id="1622">
    <w:p>
      <w:pPr>
        <w:pStyle w:val="FootnoteText"/>
      </w:pPr>
      <w:r>
        <w:rPr>
          <w:rStyle w:val="FootnoteReference"/>
        </w:rPr>
        <w:footnoteRef/>
      </w:r>
      <w:r>
        <w:t xml:space="preserve"> </w:t>
      </w:r>
      <w:r>
        <w:t xml:space="preserve">Asmarin 1997, PMID 9173745.</w:t>
      </w:r>
    </w:p>
  </w:footnote>
  <w:footnote w:id="1625">
    <w:p>
      <w:pPr>
        <w:pStyle w:val="FootnoteText"/>
      </w:pPr>
      <w:r>
        <w:rPr>
          <w:rStyle w:val="FootnoteReference"/>
        </w:rPr>
        <w:footnoteRef/>
      </w:r>
      <w:r>
        <w:t xml:space="preserve"> </w:t>
      </w:r>
      <w:r>
        <w:t xml:space="preserve">Medvedeva 2014, PMID 24661604.</w:t>
      </w:r>
    </w:p>
  </w:footnote>
  <w:footnote w:id="1626">
    <w:p>
      <w:pPr>
        <w:pStyle w:val="FootnoteText"/>
      </w:pPr>
      <w:r>
        <w:rPr>
          <w:rStyle w:val="FootnoteReference"/>
        </w:rPr>
        <w:footnoteRef/>
      </w:r>
      <w:r>
        <w:t xml:space="preserve"> </w:t>
      </w:r>
      <w:r>
        <w:t xml:space="preserve">Levitskaya 2004, PMID 15341218.</w:t>
      </w:r>
    </w:p>
  </w:footnote>
  <w:footnote w:id="1627">
    <w:p>
      <w:pPr>
        <w:pStyle w:val="FootnoteText"/>
      </w:pPr>
      <w:r>
        <w:rPr>
          <w:rStyle w:val="FootnoteReference"/>
        </w:rPr>
        <w:footnoteRef/>
      </w:r>
      <w:r>
        <w:t xml:space="preserve"> </w:t>
      </w:r>
      <w:r>
        <w:t xml:space="preserve">Radchenko 2025, PMID 41479572.</w:t>
      </w:r>
    </w:p>
  </w:footnote>
  <w:footnote w:id="1628">
    <w:p>
      <w:pPr>
        <w:pStyle w:val="FootnoteText"/>
      </w:pPr>
      <w:r>
        <w:rPr>
          <w:rStyle w:val="FootnoteReference"/>
        </w:rPr>
        <w:footnoteRef/>
      </w:r>
      <w:r>
        <w:t xml:space="preserve"> </w:t>
      </w:r>
      <w:r>
        <w:t xml:space="preserve">Tomasello 2025, PMID 40496623.</w:t>
      </w:r>
    </w:p>
  </w:footnote>
  <w:footnote w:id="1630">
    <w:p>
      <w:pPr>
        <w:pStyle w:val="FootnoteText"/>
      </w:pPr>
      <w:r>
        <w:rPr>
          <w:rStyle w:val="FootnoteReference"/>
        </w:rPr>
        <w:footnoteRef/>
      </w:r>
      <w:r>
        <w:t xml:space="preserve"> </w:t>
      </w:r>
      <w:r>
        <w:t xml:space="preserve">Gusev 2005, PMID 15792140.</w:t>
      </w:r>
    </w:p>
  </w:footnote>
  <w:footnote w:id="1631">
    <w:p>
      <w:pPr>
        <w:pStyle w:val="FootnoteText"/>
      </w:pPr>
      <w:r>
        <w:rPr>
          <w:rStyle w:val="FootnoteReference"/>
        </w:rPr>
        <w:footnoteRef/>
      </w:r>
      <w:r>
        <w:t xml:space="preserve"> </w:t>
      </w:r>
      <w:r>
        <w:t xml:space="preserve">Alekseeva 1999, PMID 10199046.</w:t>
      </w:r>
    </w:p>
  </w:footnote>
  <w:footnote w:id="1632">
    <w:p>
      <w:pPr>
        <w:pStyle w:val="FootnoteText"/>
      </w:pPr>
      <w:r>
        <w:rPr>
          <w:rStyle w:val="FootnoteReference"/>
        </w:rPr>
        <w:footnoteRef/>
      </w:r>
      <w:r>
        <w:t xml:space="preserve"> </w:t>
      </w:r>
      <w:r>
        <w:t xml:space="preserve">Vanhee 2020, PMID 31667971.</w:t>
      </w:r>
    </w:p>
  </w:footnote>
  <w:footnote w:id="1639">
    <w:p>
      <w:pPr>
        <w:pStyle w:val="FootnoteText"/>
      </w:pPr>
      <w:r>
        <w:rPr>
          <w:rStyle w:val="FootnoteReference"/>
        </w:rPr>
        <w:footnoteRef/>
      </w:r>
      <w:r>
        <w:t xml:space="preserve"> </w:t>
      </w:r>
      <w:r>
        <w:t xml:space="preserve">Zozulya 2001, PMID 11550013.</w:t>
      </w:r>
    </w:p>
  </w:footnote>
  <w:footnote w:id="1640">
    <w:p>
      <w:pPr>
        <w:pStyle w:val="FootnoteText"/>
      </w:pPr>
      <w:r>
        <w:rPr>
          <w:rStyle w:val="FootnoteReference"/>
        </w:rPr>
        <w:footnoteRef/>
      </w:r>
      <w:r>
        <w:t xml:space="preserve"> </w:t>
      </w:r>
      <w:r>
        <w:t xml:space="preserve">Volkova 2016, PMID 26924987.</w:t>
      </w:r>
    </w:p>
  </w:footnote>
  <w:footnote w:id="1641">
    <w:p>
      <w:pPr>
        <w:pStyle w:val="FootnoteText"/>
      </w:pPr>
      <w:r>
        <w:rPr>
          <w:rStyle w:val="FootnoteReference"/>
        </w:rPr>
        <w:footnoteRef/>
      </w:r>
      <w:r>
        <w:t xml:space="preserve"> </w:t>
      </w:r>
      <w:r>
        <w:t xml:space="preserve">Ershov 2009, PMID 19882898.</w:t>
      </w:r>
    </w:p>
  </w:footnote>
  <w:footnote w:id="1643">
    <w:p>
      <w:pPr>
        <w:pStyle w:val="FootnoteText"/>
      </w:pPr>
      <w:r>
        <w:rPr>
          <w:rStyle w:val="FootnoteReference"/>
        </w:rPr>
        <w:footnoteRef/>
      </w:r>
      <w:r>
        <w:t xml:space="preserve"> </w:t>
      </w:r>
      <w:r>
        <w:t xml:space="preserve">Zozulia 2008, PMID 18454096.</w:t>
      </w:r>
    </w:p>
  </w:footnote>
  <w:footnote w:id="1644">
    <w:p>
      <w:pPr>
        <w:pStyle w:val="FootnoteText"/>
      </w:pPr>
      <w:r>
        <w:rPr>
          <w:rStyle w:val="FootnoteReference"/>
        </w:rPr>
        <w:footnoteRef/>
      </w:r>
      <w:r>
        <w:t xml:space="preserve"> </w:t>
      </w:r>
      <w:r>
        <w:t xml:space="preserve">Medvedev 2014, PMID 25176261.</w:t>
      </w:r>
    </w:p>
  </w:footnote>
  <w:footnote w:id="1645">
    <w:p>
      <w:pPr>
        <w:pStyle w:val="FootnoteText"/>
      </w:pPr>
      <w:r>
        <w:rPr>
          <w:rStyle w:val="FootnoteReference"/>
        </w:rPr>
        <w:footnoteRef/>
      </w:r>
      <w:r>
        <w:t xml:space="preserve"> </w:t>
      </w:r>
      <w:r>
        <w:t xml:space="preserve">Medvedev 2015, PMID 26356395.</w:t>
      </w:r>
    </w:p>
  </w:footnote>
  <w:footnote w:id="1647">
    <w:p>
      <w:pPr>
        <w:pStyle w:val="FootnoteText"/>
      </w:pPr>
      <w:r>
        <w:rPr>
          <w:rStyle w:val="FootnoteReference"/>
        </w:rPr>
        <w:footnoteRef/>
      </w:r>
      <w:r>
        <w:t xml:space="preserve"> </w:t>
      </w:r>
      <w:r>
        <w:t xml:space="preserve">Uchakina 2008, PMID 18577961.</w:t>
      </w:r>
    </w:p>
  </w:footnote>
  <w:footnote w:id="1648">
    <w:p>
      <w:pPr>
        <w:pStyle w:val="FootnoteText"/>
      </w:pPr>
      <w:r>
        <w:rPr>
          <w:rStyle w:val="FootnoteReference"/>
        </w:rPr>
        <w:footnoteRef/>
      </w:r>
      <w:r>
        <w:t xml:space="preserve"> </w:t>
      </w:r>
      <w:r>
        <w:t xml:space="preserve">Panikratova 2020, PMID 32342318.</w:t>
      </w:r>
    </w:p>
  </w:footnote>
  <w:footnote w:id="1651">
    <w:p>
      <w:pPr>
        <w:pStyle w:val="FootnoteText"/>
      </w:pPr>
      <w:r>
        <w:rPr>
          <w:rStyle w:val="FootnoteReference"/>
        </w:rPr>
        <w:footnoteRef/>
      </w:r>
      <w:r>
        <w:t xml:space="preserve"> </w:t>
      </w:r>
      <w:r>
        <w:t xml:space="preserve">Kolik 2019, PMID 31625062.</w:t>
      </w:r>
    </w:p>
  </w:footnote>
  <w:footnote w:id="1652">
    <w:p>
      <w:pPr>
        <w:pStyle w:val="FootnoteText"/>
      </w:pPr>
      <w:r>
        <w:rPr>
          <w:rStyle w:val="FootnoteReference"/>
        </w:rPr>
        <w:footnoteRef/>
      </w:r>
      <w:r>
        <w:t xml:space="preserve"> </w:t>
      </w:r>
      <w:r>
        <w:t xml:space="preserve">Volkova 2016, PMID 26924987.</w:t>
      </w:r>
    </w:p>
  </w:footnote>
  <w:footnote w:id="1653">
    <w:p>
      <w:pPr>
        <w:pStyle w:val="FootnoteText"/>
      </w:pPr>
      <w:r>
        <w:rPr>
          <w:rStyle w:val="FootnoteReference"/>
        </w:rPr>
        <w:footnoteRef/>
      </w:r>
      <w:r>
        <w:t xml:space="preserve"> </w:t>
      </w:r>
      <w:r>
        <w:t xml:space="preserve">Ershov 2009, PMID 19882898.</w:t>
      </w:r>
    </w:p>
  </w:footnote>
  <w:footnote w:id="1655">
    <w:p>
      <w:pPr>
        <w:pStyle w:val="FootnoteText"/>
      </w:pPr>
      <w:r>
        <w:rPr>
          <w:rStyle w:val="FootnoteReference"/>
        </w:rPr>
        <w:footnoteRef/>
      </w:r>
      <w:r>
        <w:t xml:space="preserve"> </w:t>
      </w:r>
      <w:r>
        <w:t xml:space="preserve">Vanhee 2020, PMID 31667971.</w:t>
      </w:r>
    </w:p>
  </w:footnote>
  <w:footnote w:id="1663">
    <w:p>
      <w:pPr>
        <w:pStyle w:val="FootnoteText"/>
      </w:pPr>
      <w:r>
        <w:rPr>
          <w:rStyle w:val="FootnoteReference"/>
        </w:rPr>
        <w:footnoteRef/>
      </w:r>
      <w:r>
        <w:t xml:space="preserve"> </w:t>
      </w:r>
      <w:r>
        <w:t xml:space="preserve">Hong 2009, PMID 19765131.</w:t>
      </w:r>
    </w:p>
  </w:footnote>
  <w:footnote w:id="1664">
    <w:p>
      <w:pPr>
        <w:pStyle w:val="FootnoteText"/>
      </w:pPr>
      <w:r>
        <w:rPr>
          <w:rStyle w:val="FootnoteReference"/>
        </w:rPr>
        <w:footnoteRef/>
      </w:r>
      <w:r>
        <w:t xml:space="preserve"> </w:t>
      </w:r>
      <w:r>
        <w:t xml:space="preserve">NCT00868283.</w:t>
      </w:r>
    </w:p>
  </w:footnote>
  <w:footnote w:id="1665">
    <w:p>
      <w:pPr>
        <w:pStyle w:val="FootnoteText"/>
      </w:pPr>
      <w:r>
        <w:rPr>
          <w:rStyle w:val="FootnoteReference"/>
        </w:rPr>
        <w:footnoteRef/>
      </w:r>
      <w:r>
        <w:t xml:space="preserve"> </w:t>
      </w:r>
      <w:r>
        <w:t xml:space="preserve">Heiss 2012, PMID 22282884.</w:t>
      </w:r>
    </w:p>
  </w:footnote>
  <w:footnote w:id="1666">
    <w:p>
      <w:pPr>
        <w:pStyle w:val="FootnoteText"/>
      </w:pPr>
      <w:r>
        <w:rPr>
          <w:rStyle w:val="FootnoteReference"/>
        </w:rPr>
        <w:footnoteRef/>
      </w:r>
      <w:r>
        <w:t xml:space="preserve"> </w:t>
      </w:r>
      <w:r>
        <w:t xml:space="preserve">Lang 2013, PMID 23009193.</w:t>
      </w:r>
    </w:p>
  </w:footnote>
  <w:footnote w:id="1667">
    <w:p>
      <w:pPr>
        <w:pStyle w:val="FootnoteText"/>
      </w:pPr>
      <w:r>
        <w:rPr>
          <w:rStyle w:val="FootnoteReference"/>
        </w:rPr>
        <w:footnoteRef/>
      </w:r>
      <w:r>
        <w:t xml:space="preserve"> </w:t>
      </w:r>
      <w:r>
        <w:t xml:space="preserve">Khasanova 2023, PMID 36973684.</w:t>
      </w:r>
    </w:p>
  </w:footnote>
  <w:footnote w:id="1668">
    <w:p>
      <w:pPr>
        <w:pStyle w:val="FootnoteText"/>
      </w:pPr>
      <w:r>
        <w:rPr>
          <w:rStyle w:val="FootnoteReference"/>
        </w:rPr>
        <w:footnoteRef/>
      </w:r>
      <w:r>
        <w:t xml:space="preserve"> </w:t>
      </w:r>
      <w:r>
        <w:t xml:space="preserve">Staszewski 2025, PMID 40325343.</w:t>
      </w:r>
    </w:p>
  </w:footnote>
  <w:footnote w:id="1670">
    <w:p>
      <w:pPr>
        <w:pStyle w:val="FootnoteText"/>
      </w:pPr>
      <w:r>
        <w:rPr>
          <w:rStyle w:val="FootnoteReference"/>
        </w:rPr>
        <w:footnoteRef/>
      </w:r>
      <w:r>
        <w:t xml:space="preserve"> </w:t>
      </w:r>
      <w:r>
        <w:t xml:space="preserve">Muresanu 2016, PMID 26564102.</w:t>
      </w:r>
    </w:p>
  </w:footnote>
  <w:footnote w:id="1671">
    <w:p>
      <w:pPr>
        <w:pStyle w:val="FootnoteText"/>
      </w:pPr>
      <w:r>
        <w:rPr>
          <w:rStyle w:val="FootnoteReference"/>
        </w:rPr>
        <w:footnoteRef/>
      </w:r>
      <w:r>
        <w:t xml:space="preserve"> </w:t>
      </w:r>
      <w:r>
        <w:t xml:space="preserve">Guekht 2017, PMID 28707130.</w:t>
      </w:r>
    </w:p>
  </w:footnote>
  <w:footnote w:id="1672">
    <w:p>
      <w:pPr>
        <w:pStyle w:val="FootnoteText"/>
      </w:pPr>
      <w:r>
        <w:rPr>
          <w:rStyle w:val="FootnoteReference"/>
        </w:rPr>
        <w:footnoteRef/>
      </w:r>
      <w:r>
        <w:t xml:space="preserve"> </w:t>
      </w:r>
      <w:r>
        <w:t xml:space="preserve">Stan 2017, PMID 29362596.</w:t>
      </w:r>
    </w:p>
  </w:footnote>
  <w:footnote w:id="1673">
    <w:p>
      <w:pPr>
        <w:pStyle w:val="FootnoteText"/>
      </w:pPr>
      <w:r>
        <w:rPr>
          <w:rStyle w:val="FootnoteReference"/>
        </w:rPr>
        <w:footnoteRef/>
      </w:r>
      <w:r>
        <w:t xml:space="preserve"> </w:t>
      </w:r>
      <w:r>
        <w:t xml:space="preserve">Chang 2016, PMID 26934986.</w:t>
      </w:r>
    </w:p>
  </w:footnote>
  <w:footnote w:id="1674">
    <w:p>
      <w:pPr>
        <w:pStyle w:val="FootnoteText"/>
      </w:pPr>
      <w:r>
        <w:rPr>
          <w:rStyle w:val="FootnoteReference"/>
        </w:rPr>
        <w:footnoteRef/>
      </w:r>
      <w:r>
        <w:t xml:space="preserve"> </w:t>
      </w:r>
      <w:r>
        <w:t xml:space="preserve">Homberg 2025, PMID 39957612.</w:t>
      </w:r>
    </w:p>
  </w:footnote>
  <w:footnote w:id="1675">
    <w:p>
      <w:pPr>
        <w:pStyle w:val="FootnoteText"/>
      </w:pPr>
      <w:r>
        <w:rPr>
          <w:rStyle w:val="FootnoteReference"/>
        </w:rPr>
        <w:footnoteRef/>
      </w:r>
      <w:r>
        <w:t xml:space="preserve"> </w:t>
      </w:r>
      <w:r>
        <w:t xml:space="preserve">Beghi 2021, PMID 34152062.</w:t>
      </w:r>
    </w:p>
  </w:footnote>
  <w:footnote w:id="1677">
    <w:p>
      <w:pPr>
        <w:pStyle w:val="FootnoteText"/>
      </w:pPr>
      <w:r>
        <w:rPr>
          <w:rStyle w:val="FootnoteReference"/>
        </w:rPr>
        <w:footnoteRef/>
      </w:r>
      <w:r>
        <w:t xml:space="preserve"> </w:t>
      </w:r>
      <w:r>
        <w:t xml:space="preserve">Ziganshina 2020, PMID 32662068.</w:t>
      </w:r>
    </w:p>
  </w:footnote>
  <w:footnote w:id="1678">
    <w:p>
      <w:pPr>
        <w:pStyle w:val="FootnoteText"/>
      </w:pPr>
      <w:r>
        <w:rPr>
          <w:rStyle w:val="FootnoteReference"/>
        </w:rPr>
        <w:footnoteRef/>
      </w:r>
      <w:r>
        <w:t xml:space="preserve"> </w:t>
      </w:r>
      <w:r>
        <w:t xml:space="preserve">Ziganshina 2023, PMID 37818733.</w:t>
      </w:r>
    </w:p>
  </w:footnote>
  <w:footnote w:id="1679">
    <w:p>
      <w:pPr>
        <w:pStyle w:val="FootnoteText"/>
      </w:pPr>
      <w:r>
        <w:rPr>
          <w:rStyle w:val="FootnoteReference"/>
        </w:rPr>
        <w:footnoteRef/>
      </w:r>
      <w:r>
        <w:t xml:space="preserve"> </w:t>
      </w:r>
      <w:r>
        <w:t xml:space="preserve">Bornstein 2018, PMID 29248999.</w:t>
      </w:r>
    </w:p>
  </w:footnote>
  <w:footnote w:id="1680">
    <w:p>
      <w:pPr>
        <w:pStyle w:val="FootnoteText"/>
      </w:pPr>
      <w:r>
        <w:rPr>
          <w:rStyle w:val="FootnoteReference"/>
        </w:rPr>
        <w:footnoteRef/>
      </w:r>
      <w:r>
        <w:t xml:space="preserve"> </w:t>
      </w:r>
      <w:r>
        <w:t xml:space="preserve">Strilciuc 2021, PMID 34959697.</w:t>
      </w:r>
    </w:p>
  </w:footnote>
  <w:footnote w:id="1682">
    <w:p>
      <w:pPr>
        <w:pStyle w:val="FootnoteText"/>
      </w:pPr>
      <w:r>
        <w:rPr>
          <w:rStyle w:val="FootnoteReference"/>
        </w:rPr>
        <w:footnoteRef/>
      </w:r>
      <w:r>
        <w:t xml:space="preserve"> </w:t>
      </w:r>
      <w:r>
        <w:t xml:space="preserve">Vosko 2025, PMID 40851188; NCT03480698.</w:t>
      </w:r>
    </w:p>
  </w:footnote>
  <w:footnote w:id="1684">
    <w:p>
      <w:pPr>
        <w:pStyle w:val="FootnoteText"/>
      </w:pPr>
      <w:r>
        <w:rPr>
          <w:rStyle w:val="FootnoteReference"/>
        </w:rPr>
        <w:footnoteRef/>
      </w:r>
      <w:r>
        <w:t xml:space="preserve"> </w:t>
      </w:r>
      <w:r>
        <w:t xml:space="preserve">Bajenaru 2010, PMID 20968198.</w:t>
      </w:r>
    </w:p>
  </w:footnote>
  <w:footnote w:id="1685">
    <w:p>
      <w:pPr>
        <w:pStyle w:val="FootnoteText"/>
      </w:pPr>
      <w:r>
        <w:rPr>
          <w:rStyle w:val="FootnoteReference"/>
        </w:rPr>
        <w:footnoteRef/>
      </w:r>
      <w:r>
        <w:t xml:space="preserve"> </w:t>
      </w:r>
      <w:r>
        <w:t xml:space="preserve">Woo 2020, PMID 33143640; NCT01787123.</w:t>
      </w:r>
    </w:p>
  </w:footnote>
  <w:footnote w:id="1686">
    <w:p>
      <w:pPr>
        <w:pStyle w:val="FootnoteText"/>
      </w:pPr>
      <w:r>
        <w:rPr>
          <w:rStyle w:val="FootnoteReference"/>
        </w:rPr>
        <w:footnoteRef/>
      </w:r>
      <w:r>
        <w:t xml:space="preserve"> </w:t>
      </w:r>
      <w:r>
        <w:t xml:space="preserve">Kobayashi 2025, PMID 41180520.</w:t>
      </w:r>
    </w:p>
  </w:footnote>
  <w:footnote w:id="1688">
    <w:p>
      <w:pPr>
        <w:pStyle w:val="FootnoteText"/>
      </w:pPr>
      <w:r>
        <w:rPr>
          <w:rStyle w:val="FootnoteReference"/>
        </w:rPr>
        <w:footnoteRef/>
      </w:r>
      <w:r>
        <w:t xml:space="preserve"> </w:t>
      </w:r>
      <w:r>
        <w:t xml:space="preserve">Ghaffarpasand 2019, PMID 30643411; Jarosz 2023, PMID 36979317.</w:t>
      </w:r>
    </w:p>
  </w:footnote>
  <w:footnote w:id="1690">
    <w:p>
      <w:pPr>
        <w:pStyle w:val="FootnoteText"/>
      </w:pPr>
      <w:r>
        <w:rPr>
          <w:rStyle w:val="FootnoteReference"/>
        </w:rPr>
        <w:footnoteRef/>
      </w:r>
      <w:r>
        <w:t xml:space="preserve"> </w:t>
      </w:r>
      <w:r>
        <w:t xml:space="preserve">Panisset 2002, PMID 12111446.</w:t>
      </w:r>
    </w:p>
  </w:footnote>
  <w:footnote w:id="1691">
    <w:p>
      <w:pPr>
        <w:pStyle w:val="FootnoteText"/>
      </w:pPr>
      <w:r>
        <w:rPr>
          <w:rStyle w:val="FootnoteReference"/>
        </w:rPr>
        <w:footnoteRef/>
      </w:r>
      <w:r>
        <w:t xml:space="preserve"> </w:t>
      </w:r>
      <w:r>
        <w:t xml:space="preserve">Alvarez 2011, PMID 21679156.</w:t>
      </w:r>
    </w:p>
  </w:footnote>
  <w:footnote w:id="1692">
    <w:p>
      <w:pPr>
        <w:pStyle w:val="FootnoteText"/>
      </w:pPr>
      <w:r>
        <w:rPr>
          <w:rStyle w:val="FootnoteReference"/>
        </w:rPr>
        <w:footnoteRef/>
      </w:r>
      <w:r>
        <w:t xml:space="preserve"> </w:t>
      </w:r>
      <w:r>
        <w:t xml:space="preserve">Gauthier 2015, PMID 25832905.</w:t>
      </w:r>
    </w:p>
  </w:footnote>
  <w:footnote w:id="1693">
    <w:p>
      <w:pPr>
        <w:pStyle w:val="FootnoteText"/>
      </w:pPr>
      <w:r>
        <w:rPr>
          <w:rStyle w:val="FootnoteReference"/>
        </w:rPr>
        <w:footnoteRef/>
      </w:r>
      <w:r>
        <w:t xml:space="preserve"> </w:t>
      </w:r>
      <w:r>
        <w:t xml:space="preserve">Guekht 2011, PMID 20656516.</w:t>
      </w:r>
    </w:p>
  </w:footnote>
  <w:footnote w:id="1694">
    <w:p>
      <w:pPr>
        <w:pStyle w:val="FootnoteText"/>
      </w:pPr>
      <w:r>
        <w:rPr>
          <w:rStyle w:val="FootnoteReference"/>
        </w:rPr>
        <w:footnoteRef/>
      </w:r>
      <w:r>
        <w:t xml:space="preserve"> </w:t>
      </w:r>
      <w:r>
        <w:t xml:space="preserve">Cui 2019, PMID 31710397.</w:t>
      </w:r>
    </w:p>
  </w:footnote>
  <w:footnote w:id="1696">
    <w:p>
      <w:pPr>
        <w:pStyle w:val="FootnoteText"/>
      </w:pPr>
      <w:r>
        <w:rPr>
          <w:rStyle w:val="FootnoteReference"/>
        </w:rPr>
        <w:footnoteRef/>
      </w:r>
      <w:r>
        <w:t xml:space="preserve"> </w:t>
      </w:r>
      <w:r>
        <w:t xml:space="preserve">Funke 1998, PMID 9700674.</w:t>
      </w:r>
    </w:p>
  </w:footnote>
  <w:footnote w:id="1699">
    <w:p>
      <w:pPr>
        <w:pStyle w:val="FootnoteText"/>
      </w:pPr>
      <w:r>
        <w:rPr>
          <w:rStyle w:val="FootnoteReference"/>
        </w:rPr>
        <w:footnoteRef/>
      </w:r>
      <w:r>
        <w:t xml:space="preserve"> </w:t>
      </w:r>
      <w:r>
        <w:t xml:space="preserve">Zhang 2016, PMID 26763925.</w:t>
      </w:r>
    </w:p>
  </w:footnote>
  <w:footnote w:id="1700">
    <w:p>
      <w:pPr>
        <w:pStyle w:val="FootnoteText"/>
      </w:pPr>
      <w:r>
        <w:rPr>
          <w:rStyle w:val="FootnoteReference"/>
        </w:rPr>
        <w:footnoteRef/>
      </w:r>
      <w:r>
        <w:t xml:space="preserve"> </w:t>
      </w:r>
      <w:r>
        <w:t xml:space="preserve">Zhang 2019, PMID 30499355.</w:t>
      </w:r>
    </w:p>
  </w:footnote>
  <w:footnote w:id="1701">
    <w:p>
      <w:pPr>
        <w:pStyle w:val="FootnoteText"/>
      </w:pPr>
      <w:r>
        <w:rPr>
          <w:rStyle w:val="FootnoteReference"/>
        </w:rPr>
        <w:footnoteRef/>
      </w:r>
      <w:r>
        <w:t xml:space="preserve"> </w:t>
      </w:r>
      <w:r>
        <w:t xml:space="preserve">Kastberger 2024, PMID 38062874.</w:t>
      </w:r>
    </w:p>
  </w:footnote>
  <w:footnote w:id="1703">
    <w:p>
      <w:pPr>
        <w:pStyle w:val="FootnoteText"/>
      </w:pPr>
      <w:r>
        <w:rPr>
          <w:rStyle w:val="FootnoteReference"/>
        </w:rPr>
        <w:footnoteRef/>
      </w:r>
      <w:r>
        <w:t xml:space="preserve"> </w:t>
      </w:r>
      <w:r>
        <w:t xml:space="preserve">Panisset 2002, PMID 12111446.</w:t>
      </w:r>
    </w:p>
  </w:footnote>
  <w:footnote w:id="1704">
    <w:p>
      <w:pPr>
        <w:pStyle w:val="FootnoteText"/>
      </w:pPr>
      <w:r>
        <w:rPr>
          <w:rStyle w:val="FootnoteReference"/>
        </w:rPr>
        <w:footnoteRef/>
      </w:r>
      <w:r>
        <w:t xml:space="preserve"> </w:t>
      </w:r>
      <w:r>
        <w:t xml:space="preserve">Strilciuc 2021, PMID 34959697.</w:t>
      </w:r>
    </w:p>
  </w:footnote>
  <w:footnote w:id="1705">
    <w:p>
      <w:pPr>
        <w:pStyle w:val="FootnoteText"/>
      </w:pPr>
      <w:r>
        <w:rPr>
          <w:rStyle w:val="FootnoteReference"/>
        </w:rPr>
        <w:footnoteRef/>
      </w:r>
      <w:r>
        <w:t xml:space="preserve"> </w:t>
      </w:r>
      <w:r>
        <w:t xml:space="preserve">Trimmel 2024, PMID 39055722.</w:t>
      </w:r>
    </w:p>
  </w:footnote>
  <w:footnote w:id="1708">
    <w:p>
      <w:pPr>
        <w:pStyle w:val="FootnoteText"/>
      </w:pPr>
      <w:r>
        <w:rPr>
          <w:rStyle w:val="FootnoteReference"/>
        </w:rPr>
        <w:footnoteRef/>
      </w:r>
      <w:r>
        <w:t xml:space="preserve"> </w:t>
      </w:r>
      <w:r>
        <w:t xml:space="preserve">NCT05755997.</w:t>
      </w:r>
    </w:p>
  </w:footnote>
  <w:footnote w:id="1709">
    <w:p>
      <w:pPr>
        <w:pStyle w:val="FootnoteText"/>
      </w:pPr>
      <w:r>
        <w:rPr>
          <w:rStyle w:val="FootnoteReference"/>
        </w:rPr>
        <w:footnoteRef/>
      </w:r>
      <w:r>
        <w:t xml:space="preserve"> </w:t>
      </w:r>
      <w:r>
        <w:t xml:space="preserve">NCT06897176.</w:t>
      </w:r>
    </w:p>
  </w:footnote>
  <w:footnote w:id="1710">
    <w:p>
      <w:pPr>
        <w:pStyle w:val="FootnoteText"/>
      </w:pPr>
      <w:r>
        <w:rPr>
          <w:rStyle w:val="FootnoteReference"/>
        </w:rPr>
        <w:footnoteRef/>
      </w:r>
      <w:r>
        <w:t xml:space="preserve"> </w:t>
      </w:r>
      <w:r>
        <w:t xml:space="preserve">NCT06339411.</w:t>
      </w:r>
    </w:p>
  </w:footnote>
  <w:footnote w:id="1715">
    <w:p>
      <w:pPr>
        <w:pStyle w:val="FootnoteText"/>
      </w:pPr>
      <w:r>
        <w:rPr>
          <w:rStyle w:val="FootnoteReference"/>
        </w:rPr>
        <w:footnoteRef/>
      </w:r>
      <w:r>
        <w:t xml:space="preserve"> </w:t>
      </w:r>
      <w:r>
        <w:t xml:space="preserve">McCoy 2013, PMID 23055539.</w:t>
      </w:r>
    </w:p>
  </w:footnote>
  <w:footnote w:id="1716">
    <w:p>
      <w:pPr>
        <w:pStyle w:val="FootnoteText"/>
      </w:pPr>
      <w:r>
        <w:rPr>
          <w:rStyle w:val="FootnoteReference"/>
        </w:rPr>
        <w:footnoteRef/>
      </w:r>
      <w:r>
        <w:t xml:space="preserve"> </w:t>
      </w:r>
      <w:r>
        <w:t xml:space="preserve">Benoist 2014, PMID 25187433.</w:t>
      </w:r>
    </w:p>
  </w:footnote>
  <w:footnote w:id="1718">
    <w:p>
      <w:pPr>
        <w:pStyle w:val="FootnoteText"/>
      </w:pPr>
      <w:r>
        <w:rPr>
          <w:rStyle w:val="FootnoteReference"/>
        </w:rPr>
        <w:footnoteRef/>
      </w:r>
      <w:r>
        <w:t xml:space="preserve"> </w:t>
      </w:r>
      <w:r>
        <w:t xml:space="preserve">NCT04488419.</w:t>
      </w:r>
    </w:p>
  </w:footnote>
  <w:footnote w:id="1719">
    <w:p>
      <w:pPr>
        <w:pStyle w:val="FootnoteText"/>
      </w:pPr>
      <w:r>
        <w:rPr>
          <w:rStyle w:val="FootnoteReference"/>
        </w:rPr>
        <w:footnoteRef/>
      </w:r>
      <w:r>
        <w:t xml:space="preserve"> </w:t>
      </w:r>
      <w:r>
        <w:t xml:space="preserve">Porsteinsson 2025, PMID 41393340.</w:t>
      </w:r>
    </w:p>
  </w:footnote>
  <w:footnote w:id="1720">
    <w:p>
      <w:pPr>
        <w:pStyle w:val="FootnoteText"/>
      </w:pPr>
      <w:r>
        <w:rPr>
          <w:rStyle w:val="FootnoteReference"/>
        </w:rPr>
        <w:footnoteRef/>
      </w:r>
      <w:r>
        <w:t xml:space="preserve"> </w:t>
      </w:r>
      <w:r>
        <w:t xml:space="preserve">NCT04831281.</w:t>
      </w:r>
    </w:p>
  </w:footnote>
  <w:footnote w:id="1723">
    <w:p>
      <w:pPr>
        <w:pStyle w:val="FootnoteText"/>
      </w:pPr>
      <w:r>
        <w:rPr>
          <w:rStyle w:val="FootnoteReference"/>
        </w:rPr>
        <w:footnoteRef/>
      </w:r>
      <w:r>
        <w:t xml:space="preserve"> </w:t>
      </w:r>
      <w:r>
        <w:t xml:space="preserve">McCoy 2013, PMID 23055539.</w:t>
      </w:r>
    </w:p>
  </w:footnote>
  <w:footnote w:id="1724">
    <w:p>
      <w:pPr>
        <w:pStyle w:val="FootnoteText"/>
      </w:pPr>
      <w:r>
        <w:rPr>
          <w:rStyle w:val="FootnoteReference"/>
        </w:rPr>
        <w:footnoteRef/>
      </w:r>
      <w:r>
        <w:t xml:space="preserve"> </w:t>
      </w:r>
      <w:r>
        <w:t xml:space="preserve">Sun 2021, PMID 34827486.</w:t>
      </w:r>
    </w:p>
  </w:footnote>
  <w:footnote w:id="1725">
    <w:p>
      <w:pPr>
        <w:pStyle w:val="FootnoteText"/>
      </w:pPr>
      <w:r>
        <w:rPr>
          <w:rStyle w:val="FootnoteReference"/>
        </w:rPr>
        <w:footnoteRef/>
      </w:r>
      <w:r>
        <w:t xml:space="preserve"> </w:t>
      </w:r>
      <w:r>
        <w:t xml:space="preserve">Wells 2024, PMID 38489193.</w:t>
      </w:r>
    </w:p>
  </w:footnote>
  <w:footnote w:id="1726">
    <w:p>
      <w:pPr>
        <w:pStyle w:val="FootnoteText"/>
      </w:pPr>
      <w:r>
        <w:rPr>
          <w:rStyle w:val="FootnoteReference"/>
        </w:rPr>
        <w:footnoteRef/>
      </w:r>
      <w:r>
        <w:t xml:space="preserve"> </w:t>
      </w:r>
      <w:r>
        <w:t xml:space="preserve">Uribe 2015, PMID 25674052.</w:t>
      </w:r>
    </w:p>
  </w:footnote>
  <w:footnote w:id="1727">
    <w:p>
      <w:pPr>
        <w:pStyle w:val="FootnoteText"/>
      </w:pPr>
      <w:r>
        <w:rPr>
          <w:rStyle w:val="FootnoteReference"/>
        </w:rPr>
        <w:footnoteRef/>
      </w:r>
      <w:r>
        <w:t xml:space="preserve"> </w:t>
      </w:r>
      <w:r>
        <w:t xml:space="preserve">Pan 2022, PMID 35410439.</w:t>
      </w:r>
    </w:p>
  </w:footnote>
  <w:footnote w:id="1728">
    <w:p>
      <w:pPr>
        <w:pStyle w:val="FootnoteText"/>
      </w:pPr>
      <w:r>
        <w:rPr>
          <w:rStyle w:val="FootnoteReference"/>
        </w:rPr>
        <w:footnoteRef/>
      </w:r>
      <w:r>
        <w:t xml:space="preserve"> </w:t>
      </w:r>
      <w:r>
        <w:t xml:space="preserve">Ho 2018, PMID 29733881.</w:t>
      </w:r>
    </w:p>
  </w:footnote>
  <w:footnote w:id="1730">
    <w:p>
      <w:pPr>
        <w:pStyle w:val="FootnoteText"/>
      </w:pPr>
      <w:r>
        <w:rPr>
          <w:rStyle w:val="FootnoteReference"/>
        </w:rPr>
        <w:footnoteRef/>
      </w:r>
      <w:r>
        <w:t xml:space="preserve"> </w:t>
      </w:r>
      <w:r>
        <w:t xml:space="preserve">Wright 2015, PMID 25649658.</w:t>
      </w:r>
    </w:p>
  </w:footnote>
  <w:footnote w:id="1737">
    <w:p>
      <w:pPr>
        <w:pStyle w:val="FootnoteText"/>
      </w:pPr>
      <w:r>
        <w:rPr>
          <w:rStyle w:val="FootnoteReference"/>
        </w:rPr>
        <w:footnoteRef/>
      </w:r>
      <w:r>
        <w:t xml:space="preserve"> </w:t>
      </w:r>
      <w:r>
        <w:t xml:space="preserve">Monnier 1977, PMID 862769.</w:t>
      </w:r>
    </w:p>
  </w:footnote>
  <w:footnote w:id="1738">
    <w:p>
      <w:pPr>
        <w:pStyle w:val="FootnoteText"/>
      </w:pPr>
      <w:r>
        <w:rPr>
          <w:rStyle w:val="FootnoteReference"/>
        </w:rPr>
        <w:footnoteRef/>
      </w:r>
      <w:r>
        <w:t xml:space="preserve"> </w:t>
      </w:r>
      <w:r>
        <w:t xml:space="preserve">Kovalzon 2006, PMID 16539679.</w:t>
      </w:r>
    </w:p>
  </w:footnote>
  <w:footnote w:id="1739">
    <w:p>
      <w:pPr>
        <w:pStyle w:val="FootnoteText"/>
      </w:pPr>
      <w:r>
        <w:rPr>
          <w:rStyle w:val="FootnoteReference"/>
        </w:rPr>
        <w:footnoteRef/>
      </w:r>
      <w:r>
        <w:t xml:space="preserve"> </w:t>
      </w:r>
      <w:r>
        <w:t xml:space="preserve">Zlokovic 1988, PMID 3420012.</w:t>
      </w:r>
    </w:p>
  </w:footnote>
  <w:footnote w:id="1741">
    <w:p>
      <w:pPr>
        <w:pStyle w:val="FootnoteText"/>
      </w:pPr>
      <w:r>
        <w:rPr>
          <w:rStyle w:val="FootnoteReference"/>
        </w:rPr>
        <w:footnoteRef/>
      </w:r>
      <w:r>
        <w:t xml:space="preserve"> </w:t>
      </w:r>
      <w:r>
        <w:t xml:space="preserve">Schneider-Helmert 1981, PMID 6895513.</w:t>
      </w:r>
    </w:p>
  </w:footnote>
  <w:footnote w:id="1742">
    <w:p>
      <w:pPr>
        <w:pStyle w:val="FootnoteText"/>
      </w:pPr>
      <w:r>
        <w:rPr>
          <w:rStyle w:val="FootnoteReference"/>
        </w:rPr>
        <w:footnoteRef/>
      </w:r>
      <w:r>
        <w:t xml:space="preserve"> </w:t>
      </w:r>
      <w:r>
        <w:t xml:space="preserve">Schneider-Helmert 1987, PMID 3622582.</w:t>
      </w:r>
    </w:p>
  </w:footnote>
  <w:footnote w:id="1743">
    <w:p>
      <w:pPr>
        <w:pStyle w:val="FootnoteText"/>
      </w:pPr>
      <w:r>
        <w:rPr>
          <w:rStyle w:val="FootnoteReference"/>
        </w:rPr>
        <w:footnoteRef/>
      </w:r>
      <w:r>
        <w:t xml:space="preserve"> </w:t>
      </w:r>
      <w:r>
        <w:t xml:space="preserve">Monti 1987, PMID 3583493.</w:t>
      </w:r>
    </w:p>
  </w:footnote>
  <w:footnote w:id="1744">
    <w:p>
      <w:pPr>
        <w:pStyle w:val="FootnoteText"/>
      </w:pPr>
      <w:r>
        <w:rPr>
          <w:rStyle w:val="FootnoteReference"/>
        </w:rPr>
        <w:footnoteRef/>
      </w:r>
      <w:r>
        <w:t xml:space="preserve"> </w:t>
      </w:r>
      <w:r>
        <w:t xml:space="preserve">Bes 1992, PMID 1299794.</w:t>
      </w:r>
    </w:p>
  </w:footnote>
  <w:footnote w:id="1746">
    <w:p>
      <w:pPr>
        <w:pStyle w:val="FootnoteText"/>
      </w:pPr>
      <w:r>
        <w:rPr>
          <w:rStyle w:val="FootnoteReference"/>
        </w:rPr>
        <w:footnoteRef/>
      </w:r>
      <w:r>
        <w:t xml:space="preserve"> </w:t>
      </w:r>
      <w:r>
        <w:t xml:space="preserve">Dick 1984, PMID 6548969.</w:t>
      </w:r>
    </w:p>
  </w:footnote>
  <w:footnote w:id="1747">
    <w:p>
      <w:pPr>
        <w:pStyle w:val="FootnoteText"/>
      </w:pPr>
      <w:r>
        <w:rPr>
          <w:rStyle w:val="FootnoteReference"/>
        </w:rPr>
        <w:footnoteRef/>
      </w:r>
      <w:r>
        <w:t xml:space="preserve"> </w:t>
      </w:r>
      <w:r>
        <w:t xml:space="preserve">Backmund 1998, PMID 9617990.</w:t>
      </w:r>
    </w:p>
  </w:footnote>
  <w:footnote w:id="1748">
    <w:p>
      <w:pPr>
        <w:pStyle w:val="FootnoteText"/>
      </w:pPr>
      <w:r>
        <w:rPr>
          <w:rStyle w:val="FootnoteReference"/>
        </w:rPr>
        <w:footnoteRef/>
      </w:r>
      <w:r>
        <w:t xml:space="preserve"> </w:t>
      </w:r>
      <w:r>
        <w:t xml:space="preserve">Larbig 1984, PMID 6548970.</w:t>
      </w:r>
    </w:p>
  </w:footnote>
  <w:footnote w:id="1749">
    <w:p>
      <w:pPr>
        <w:pStyle w:val="FootnoteText"/>
      </w:pPr>
      <w:r>
        <w:rPr>
          <w:rStyle w:val="FootnoteReference"/>
        </w:rPr>
        <w:footnoteRef/>
      </w:r>
      <w:r>
        <w:t xml:space="preserve"> </w:t>
      </w:r>
      <w:r>
        <w:t xml:space="preserve">Schneider-Helmert 1984, PMID 6548968.</w:t>
      </w:r>
    </w:p>
  </w:footnote>
  <w:footnote w:id="1750">
    <w:p>
      <w:pPr>
        <w:pStyle w:val="FootnoteText"/>
      </w:pPr>
      <w:r>
        <w:rPr>
          <w:rStyle w:val="FootnoteReference"/>
        </w:rPr>
        <w:footnoteRef/>
      </w:r>
      <w:r>
        <w:t xml:space="preserve"> </w:t>
      </w:r>
      <w:r>
        <w:t xml:space="preserve">Kresiun 2014, PMID 25739189.</w:t>
      </w:r>
    </w:p>
  </w:footnote>
  <w:footnote w:id="1752">
    <w:p>
      <w:pPr>
        <w:pStyle w:val="FootnoteText"/>
      </w:pPr>
      <w:r>
        <w:rPr>
          <w:rStyle w:val="FootnoteReference"/>
        </w:rPr>
        <w:footnoteRef/>
      </w:r>
      <w:r>
        <w:t xml:space="preserve"> </w:t>
      </w:r>
      <w:r>
        <w:t xml:space="preserve">Bjartell 1989, PMID 2554357.</w:t>
      </w:r>
    </w:p>
  </w:footnote>
  <w:footnote w:id="1753">
    <w:p>
      <w:pPr>
        <w:pStyle w:val="FootnoteText"/>
      </w:pPr>
      <w:r>
        <w:rPr>
          <w:rStyle w:val="FootnoteReference"/>
        </w:rPr>
        <w:footnoteRef/>
      </w:r>
      <w:r>
        <w:t xml:space="preserve"> </w:t>
      </w:r>
      <w:r>
        <w:t xml:space="preserve">Späth-Schwalbe 1995, PMID 7777652.</w:t>
      </w:r>
    </w:p>
  </w:footnote>
  <w:footnote w:id="1754">
    <w:p>
      <w:pPr>
        <w:pStyle w:val="FootnoteText"/>
      </w:pPr>
      <w:r>
        <w:rPr>
          <w:rStyle w:val="FootnoteReference"/>
        </w:rPr>
        <w:footnoteRef/>
      </w:r>
      <w:r>
        <w:t xml:space="preserve"> </w:t>
      </w:r>
      <w:r>
        <w:t xml:space="preserve">Giusti 1993, PMID 8475226.</w:t>
      </w:r>
    </w:p>
  </w:footnote>
  <w:footnote w:id="1755">
    <w:p>
      <w:pPr>
        <w:pStyle w:val="FootnoteText"/>
      </w:pPr>
      <w:r>
        <w:rPr>
          <w:rStyle w:val="FootnoteReference"/>
        </w:rPr>
        <w:footnoteRef/>
      </w:r>
      <w:r>
        <w:t xml:space="preserve"> </w:t>
      </w:r>
      <w:r>
        <w:t xml:space="preserve">Pomfrett 2009, PMID 19142086.</w:t>
      </w:r>
    </w:p>
  </w:footnote>
  <w:footnote w:id="1758">
    <w:p>
      <w:pPr>
        <w:pStyle w:val="FootnoteText"/>
      </w:pPr>
      <w:r>
        <w:rPr>
          <w:rStyle w:val="FootnoteReference"/>
        </w:rPr>
        <w:footnoteRef/>
      </w:r>
      <w:r>
        <w:t xml:space="preserve"> </w:t>
      </w:r>
      <w:r>
        <w:t xml:space="preserve">Kovalzon 2006, PMID 16539679.</w:t>
      </w:r>
    </w:p>
  </w:footnote>
  <w:footnote w:id="1759">
    <w:p>
      <w:pPr>
        <w:pStyle w:val="FootnoteText"/>
      </w:pPr>
      <w:r>
        <w:rPr>
          <w:rStyle w:val="FootnoteReference"/>
        </w:rPr>
        <w:footnoteRef/>
      </w:r>
      <w:r>
        <w:t xml:space="preserve"> </w:t>
      </w:r>
      <w:r>
        <w:t xml:space="preserve">Voĭtenkov 2009, PMID 20405733.</w:t>
      </w:r>
    </w:p>
  </w:footnote>
  <w:footnote w:id="1761">
    <w:p>
      <w:pPr>
        <w:pStyle w:val="FootnoteText"/>
      </w:pPr>
      <w:r>
        <w:rPr>
          <w:rStyle w:val="FootnoteReference"/>
        </w:rPr>
        <w:footnoteRef/>
      </w:r>
      <w:r>
        <w:t xml:space="preserve"> </w:t>
      </w:r>
      <w:r>
        <w:t xml:space="preserve">Dick 1984, PMID 6548969.</w:t>
      </w:r>
    </w:p>
  </w:footnote>
  <w:footnote w:id="1762">
    <w:p>
      <w:pPr>
        <w:pStyle w:val="FootnoteText"/>
      </w:pPr>
      <w:r>
        <w:rPr>
          <w:rStyle w:val="FootnoteReference"/>
        </w:rPr>
        <w:footnoteRef/>
      </w:r>
      <w:r>
        <w:t xml:space="preserve"> </w:t>
      </w:r>
      <w:r>
        <w:t xml:space="preserve">Pomfrett 2009, PMID 19142086.</w:t>
      </w:r>
    </w:p>
  </w:footnote>
  <w:footnote w:id="1769">
    <w:p>
      <w:pPr>
        <w:pStyle w:val="FootnoteText"/>
      </w:pPr>
      <w:r>
        <w:rPr>
          <w:rStyle w:val="FootnoteReference"/>
        </w:rPr>
        <w:footnoteRef/>
      </w:r>
      <w:r>
        <w:t xml:space="preserve"> </w:t>
      </w:r>
      <w:r>
        <w:t xml:space="preserve">Khavinson 2003, PMID 12937682.</w:t>
      </w:r>
    </w:p>
  </w:footnote>
  <w:footnote w:id="1770">
    <w:p>
      <w:pPr>
        <w:pStyle w:val="FootnoteText"/>
      </w:pPr>
      <w:r>
        <w:rPr>
          <w:rStyle w:val="FootnoteReference"/>
        </w:rPr>
        <w:footnoteRef/>
      </w:r>
      <w:r>
        <w:t xml:space="preserve"> </w:t>
      </w:r>
      <w:r>
        <w:t xml:space="preserve">Khavinson 2003, PMID 14647006.</w:t>
      </w:r>
    </w:p>
  </w:footnote>
  <w:footnote w:id="1771">
    <w:p>
      <w:pPr>
        <w:pStyle w:val="FootnoteText"/>
      </w:pPr>
      <w:r>
        <w:rPr>
          <w:rStyle w:val="FootnoteReference"/>
        </w:rPr>
        <w:footnoteRef/>
      </w:r>
      <w:r>
        <w:t xml:space="preserve"> </w:t>
      </w:r>
      <w:r>
        <w:t xml:space="preserve">Araj 2025, PMID 40141333.</w:t>
      </w:r>
    </w:p>
  </w:footnote>
  <w:footnote w:id="1773">
    <w:p>
      <w:pPr>
        <w:pStyle w:val="FootnoteText"/>
      </w:pPr>
      <w:r>
        <w:rPr>
          <w:rStyle w:val="FootnoteReference"/>
        </w:rPr>
        <w:footnoteRef/>
      </w:r>
      <w:r>
        <w:t xml:space="preserve"> </w:t>
      </w:r>
      <w:r>
        <w:t xml:space="preserve">Jain 2026, PMID 42884164.</w:t>
      </w:r>
    </w:p>
  </w:footnote>
  <w:footnote w:id="1774">
    <w:p>
      <w:pPr>
        <w:pStyle w:val="FootnoteText"/>
      </w:pPr>
      <w:r>
        <w:rPr>
          <w:rStyle w:val="FootnoteReference"/>
        </w:rPr>
        <w:footnoteRef/>
      </w:r>
      <w:r>
        <w:t xml:space="preserve"> </w:t>
      </w:r>
      <w:r>
        <w:t xml:space="preserve">Khavinson 2002, PMID 12195242.</w:t>
      </w:r>
    </w:p>
  </w:footnote>
  <w:footnote w:id="1776">
    <w:p>
      <w:pPr>
        <w:pStyle w:val="FootnoteText"/>
      </w:pPr>
      <w:r>
        <w:rPr>
          <w:rStyle w:val="FootnoteReference"/>
        </w:rPr>
        <w:footnoteRef/>
      </w:r>
      <w:r>
        <w:t xml:space="preserve"> </w:t>
      </w:r>
      <w:r>
        <w:t xml:space="preserve">Khavinson 2003, PMID 14523363.</w:t>
      </w:r>
    </w:p>
  </w:footnote>
  <w:footnote w:id="1778">
    <w:p>
      <w:pPr>
        <w:pStyle w:val="FootnoteText"/>
      </w:pPr>
      <w:r>
        <w:rPr>
          <w:rStyle w:val="FootnoteReference"/>
        </w:rPr>
        <w:footnoteRef/>
      </w:r>
      <w:r>
        <w:t xml:space="preserve"> </w:t>
      </w:r>
      <w:r>
        <w:t xml:space="preserve">Khavinson 2003, PMID 12937682.</w:t>
      </w:r>
    </w:p>
  </w:footnote>
  <w:footnote w:id="1779">
    <w:p>
      <w:pPr>
        <w:pStyle w:val="FootnoteText"/>
      </w:pPr>
      <w:r>
        <w:rPr>
          <w:rStyle w:val="FootnoteReference"/>
        </w:rPr>
        <w:footnoteRef/>
      </w:r>
      <w:r>
        <w:t xml:space="preserve"> </w:t>
      </w:r>
      <w:r>
        <w:t xml:space="preserve">Khavinson 2004, PMID 15455129.</w:t>
      </w:r>
    </w:p>
  </w:footnote>
  <w:footnote w:id="1780">
    <w:p>
      <w:pPr>
        <w:pStyle w:val="FootnoteText"/>
      </w:pPr>
      <w:r>
        <w:rPr>
          <w:rStyle w:val="FootnoteReference"/>
        </w:rPr>
        <w:footnoteRef/>
      </w:r>
      <w:r>
        <w:t xml:space="preserve"> </w:t>
      </w:r>
      <w:r>
        <w:t xml:space="preserve">Al-Dulaimi 2025, PMID 40908429.</w:t>
      </w:r>
    </w:p>
  </w:footnote>
  <w:footnote w:id="1781">
    <w:p>
      <w:pPr>
        <w:pStyle w:val="FootnoteText"/>
      </w:pPr>
      <w:r>
        <w:rPr>
          <w:rStyle w:val="FootnoteReference"/>
        </w:rPr>
        <w:footnoteRef/>
      </w:r>
      <w:r>
        <w:t xml:space="preserve"> </w:t>
      </w:r>
      <w:r>
        <w:t xml:space="preserve">Khavinson 2019, PMID 31761987.</w:t>
      </w:r>
    </w:p>
  </w:footnote>
  <w:footnote w:id="1784">
    <w:p>
      <w:pPr>
        <w:pStyle w:val="FootnoteText"/>
      </w:pPr>
      <w:r>
        <w:rPr>
          <w:rStyle w:val="FootnoteReference"/>
        </w:rPr>
        <w:footnoteRef/>
      </w:r>
      <w:r>
        <w:t xml:space="preserve"> </w:t>
      </w:r>
      <w:r>
        <w:t xml:space="preserve">Anisimov 2003, PMID 14501183.</w:t>
      </w:r>
    </w:p>
  </w:footnote>
  <w:footnote w:id="1785">
    <w:p>
      <w:pPr>
        <w:pStyle w:val="FootnoteText"/>
      </w:pPr>
      <w:r>
        <w:rPr>
          <w:rStyle w:val="FootnoteReference"/>
        </w:rPr>
        <w:footnoteRef/>
      </w:r>
      <w:r>
        <w:t xml:space="preserve"> </w:t>
      </w:r>
      <w:r>
        <w:t xml:space="preserve">Khavinson 2000, PMID 11087911.</w:t>
      </w:r>
    </w:p>
  </w:footnote>
  <w:footnote w:id="1786">
    <w:p>
      <w:pPr>
        <w:pStyle w:val="FootnoteText"/>
      </w:pPr>
      <w:r>
        <w:rPr>
          <w:rStyle w:val="FootnoteReference"/>
        </w:rPr>
        <w:footnoteRef/>
      </w:r>
      <w:r>
        <w:t xml:space="preserve"> </w:t>
      </w:r>
      <w:r>
        <w:t xml:space="preserve">Khavinson 2003, PMID 12910293.</w:t>
      </w:r>
    </w:p>
  </w:footnote>
  <w:footnote w:id="1787">
    <w:p>
      <w:pPr>
        <w:pStyle w:val="FootnoteText"/>
      </w:pPr>
      <w:r>
        <w:rPr>
          <w:rStyle w:val="FootnoteReference"/>
        </w:rPr>
        <w:footnoteRef/>
      </w:r>
      <w:r>
        <w:t xml:space="preserve"> </w:t>
      </w:r>
      <w:r>
        <w:t xml:space="preserve">Yue 2022, PMID 35413689.</w:t>
      </w:r>
    </w:p>
  </w:footnote>
  <w:footnote w:id="1789">
    <w:p>
      <w:pPr>
        <w:pStyle w:val="FootnoteText"/>
      </w:pPr>
      <w:r>
        <w:rPr>
          <w:rStyle w:val="FootnoteReference"/>
        </w:rPr>
        <w:footnoteRef/>
      </w:r>
      <w:r>
        <w:t xml:space="preserve"> </w:t>
      </w:r>
      <w:r>
        <w:t xml:space="preserve">Al-Dulaimi 2025, PMID 40908429.</w:t>
      </w:r>
    </w:p>
  </w:footnote>
  <w:footnote w:id="1790">
    <w:p>
      <w:pPr>
        <w:pStyle w:val="FootnoteText"/>
      </w:pPr>
      <w:r>
        <w:rPr>
          <w:rStyle w:val="FootnoteReference"/>
        </w:rPr>
        <w:footnoteRef/>
      </w:r>
      <w:r>
        <w:t xml:space="preserve"> </w:t>
      </w:r>
      <w:r>
        <w:t xml:space="preserve">Anisimov 2003, PMID 14501183.</w:t>
      </w:r>
    </w:p>
  </w:footnote>
  <w:footnote w:id="1791">
    <w:p>
      <w:pPr>
        <w:pStyle w:val="FootnoteText"/>
      </w:pPr>
      <w:r>
        <w:rPr>
          <w:rStyle w:val="FootnoteReference"/>
        </w:rPr>
        <w:footnoteRef/>
      </w:r>
      <w:r>
        <w:t xml:space="preserve"> </w:t>
      </w:r>
      <w:r>
        <w:t xml:space="preserve">Jain 2026, PMID 42884164.</w:t>
      </w:r>
    </w:p>
  </w:footnote>
  <w:footnote w:id="1794">
    <w:p>
      <w:pPr>
        <w:pStyle w:val="FootnoteText"/>
      </w:pPr>
      <w:r>
        <w:rPr>
          <w:rStyle w:val="FootnoteReference"/>
        </w:rPr>
        <w:footnoteRef/>
      </w:r>
      <w:r>
        <w:t xml:space="preserve"> </w:t>
      </w:r>
      <w:r>
        <w:t xml:space="preserve">NCT07888595.</w:t>
      </w:r>
    </w:p>
  </w:footnote>
  <w:footnote w:id="1799">
    <w:p>
      <w:pPr>
        <w:pStyle w:val="FootnoteText"/>
      </w:pPr>
      <w:r>
        <w:rPr>
          <w:rStyle w:val="FootnoteReference"/>
        </w:rPr>
        <w:footnoteRef/>
      </w:r>
      <w:r>
        <w:t xml:space="preserve"> </w:t>
      </w:r>
      <w:r>
        <w:t xml:space="preserve">Fedoreyeva 2011, PMID 22117547.</w:t>
      </w:r>
    </w:p>
  </w:footnote>
  <w:footnote w:id="1800">
    <w:p>
      <w:pPr>
        <w:pStyle w:val="FootnoteText"/>
      </w:pPr>
      <w:r>
        <w:rPr>
          <w:rStyle w:val="FootnoteReference"/>
        </w:rPr>
        <w:footnoteRef/>
      </w:r>
      <w:r>
        <w:t xml:space="preserve"> </w:t>
      </w:r>
      <w:r>
        <w:t xml:space="preserve">Khavinson 2011, PMID 21978084.</w:t>
      </w:r>
    </w:p>
  </w:footnote>
  <w:footnote w:id="1801">
    <w:p>
      <w:pPr>
        <w:pStyle w:val="FootnoteText"/>
      </w:pPr>
      <w:r>
        <w:rPr>
          <w:rStyle w:val="FootnoteReference"/>
        </w:rPr>
        <w:footnoteRef/>
      </w:r>
      <w:r>
        <w:t xml:space="preserve"> </w:t>
      </w:r>
      <w:r>
        <w:t xml:space="preserve">Khavinson 2020, PMID 33396470.</w:t>
      </w:r>
    </w:p>
  </w:footnote>
  <w:footnote w:id="1803">
    <w:p>
      <w:pPr>
        <w:pStyle w:val="FootnoteText"/>
      </w:pPr>
      <w:r>
        <w:rPr>
          <w:rStyle w:val="FootnoteReference"/>
        </w:rPr>
        <w:footnoteRef/>
      </w:r>
      <w:r>
        <w:t xml:space="preserve"> </w:t>
      </w:r>
      <w:r>
        <w:t xml:space="preserve">Meshchaninov 2015, PMID 26390612.</w:t>
      </w:r>
    </w:p>
  </w:footnote>
  <w:footnote w:id="1805">
    <w:p>
      <w:pPr>
        <w:pStyle w:val="FootnoteText"/>
      </w:pPr>
      <w:r>
        <w:rPr>
          <w:rStyle w:val="FootnoteReference"/>
        </w:rPr>
        <w:footnoteRef/>
      </w:r>
      <w:r>
        <w:t xml:space="preserve"> </w:t>
      </w:r>
      <w:r>
        <w:t xml:space="preserve">Arutjunyan 2012, PMID 22567179.</w:t>
      </w:r>
    </w:p>
  </w:footnote>
  <w:footnote w:id="1806">
    <w:p>
      <w:pPr>
        <w:pStyle w:val="FootnoteText"/>
      </w:pPr>
      <w:r>
        <w:rPr>
          <w:rStyle w:val="FootnoteReference"/>
        </w:rPr>
        <w:footnoteRef/>
      </w:r>
      <w:r>
        <w:t xml:space="preserve"> </w:t>
      </w:r>
      <w:r>
        <w:t xml:space="preserve">Mendzheritsky 2015, PMID 28509493.</w:t>
      </w:r>
    </w:p>
  </w:footnote>
  <w:footnote w:id="1807">
    <w:p>
      <w:pPr>
        <w:pStyle w:val="FootnoteText"/>
      </w:pPr>
      <w:r>
        <w:rPr>
          <w:rStyle w:val="FootnoteReference"/>
        </w:rPr>
        <w:footnoteRef/>
      </w:r>
      <w:r>
        <w:t xml:space="preserve"> </w:t>
      </w:r>
      <w:r>
        <w:t xml:space="preserve">Khavinson 2011, PMID 21978084.</w:t>
      </w:r>
    </w:p>
  </w:footnote>
  <w:footnote w:id="1809">
    <w:p>
      <w:pPr>
        <w:pStyle w:val="FootnoteText"/>
      </w:pPr>
      <w:r>
        <w:rPr>
          <w:rStyle w:val="FootnoteReference"/>
        </w:rPr>
        <w:footnoteRef/>
      </w:r>
      <w:r>
        <w:t xml:space="preserve"> </w:t>
      </w:r>
      <w:r>
        <w:t xml:space="preserve">Meshchaninov 2015, PMID 26390612.</w:t>
      </w:r>
    </w:p>
  </w:footnote>
  <w:footnote w:id="1816">
    <w:p>
      <w:pPr>
        <w:pStyle w:val="FootnoteText"/>
      </w:pPr>
      <w:r>
        <w:rPr>
          <w:rStyle w:val="FootnoteReference"/>
        </w:rPr>
        <w:footnoteRef/>
      </w:r>
      <w:r>
        <w:t xml:space="preserve"> </w:t>
      </w:r>
      <w:r>
        <w:t xml:space="preserve">Lee 2015, PMID 25738459.</w:t>
      </w:r>
    </w:p>
  </w:footnote>
  <w:footnote w:id="1817">
    <w:p>
      <w:pPr>
        <w:pStyle w:val="FootnoteText"/>
      </w:pPr>
      <w:r>
        <w:rPr>
          <w:rStyle w:val="FootnoteReference"/>
        </w:rPr>
        <w:footnoteRef/>
      </w:r>
      <w:r>
        <w:t xml:space="preserve"> </w:t>
      </w:r>
      <w:r>
        <w:t xml:space="preserve">Kim 2018, PMID 29983246.</w:t>
      </w:r>
    </w:p>
  </w:footnote>
  <w:footnote w:id="1818">
    <w:p>
      <w:pPr>
        <w:pStyle w:val="FootnoteText"/>
      </w:pPr>
      <w:r>
        <w:rPr>
          <w:rStyle w:val="FootnoteReference"/>
        </w:rPr>
        <w:footnoteRef/>
      </w:r>
      <w:r>
        <w:t xml:space="preserve"> </w:t>
      </w:r>
      <w:r>
        <w:t xml:space="preserve">Reynolds 2021, PMID 33473109.</w:t>
      </w:r>
    </w:p>
  </w:footnote>
  <w:footnote w:id="1820">
    <w:p>
      <w:pPr>
        <w:pStyle w:val="FootnoteText"/>
      </w:pPr>
      <w:r>
        <w:rPr>
          <w:rStyle w:val="FootnoteReference"/>
        </w:rPr>
        <w:footnoteRef/>
      </w:r>
      <w:r>
        <w:t xml:space="preserve"> </w:t>
      </w:r>
      <w:r>
        <w:t xml:space="preserve">NCT03998514.</w:t>
      </w:r>
    </w:p>
  </w:footnote>
  <w:footnote w:id="1821">
    <w:p>
      <w:pPr>
        <w:pStyle w:val="FootnoteText"/>
      </w:pPr>
      <w:r>
        <w:rPr>
          <w:rStyle w:val="FootnoteReference"/>
        </w:rPr>
        <w:footnoteRef/>
      </w:r>
      <w:r>
        <w:t xml:space="preserve"> </w:t>
      </w:r>
      <w:r>
        <w:t xml:space="preserve">Du 2018, PMID 29691953; Kirik 2023, PMID 37750635; Qin 2018, PMID 29242099.</w:t>
      </w:r>
    </w:p>
  </w:footnote>
  <w:footnote w:id="1822">
    <w:p>
      <w:pPr>
        <w:pStyle w:val="FootnoteText"/>
      </w:pPr>
      <w:r>
        <w:rPr>
          <w:rStyle w:val="FootnoteReference"/>
        </w:rPr>
        <w:footnoteRef/>
      </w:r>
      <w:r>
        <w:t xml:space="preserve"> </w:t>
      </w:r>
      <w:r>
        <w:t xml:space="preserve">Du 2018, PMID 29691953.</w:t>
      </w:r>
    </w:p>
  </w:footnote>
  <w:footnote w:id="1823">
    <w:p>
      <w:pPr>
        <w:pStyle w:val="FootnoteText"/>
      </w:pPr>
      <w:r>
        <w:rPr>
          <w:rStyle w:val="FootnoteReference"/>
        </w:rPr>
        <w:footnoteRef/>
      </w:r>
      <w:r>
        <w:t xml:space="preserve"> </w:t>
      </w:r>
      <w:r>
        <w:t xml:space="preserve">Ikonomidis 2020, PMID 32052315.</w:t>
      </w:r>
    </w:p>
  </w:footnote>
  <w:footnote w:id="1824">
    <w:p>
      <w:pPr>
        <w:pStyle w:val="FootnoteText"/>
      </w:pPr>
      <w:r>
        <w:rPr>
          <w:rStyle w:val="FootnoteReference"/>
        </w:rPr>
        <w:footnoteRef/>
      </w:r>
      <w:r>
        <w:t xml:space="preserve"> </w:t>
      </w:r>
      <w:r>
        <w:t xml:space="preserve">Cuyàs 2022, PMID 36490309.</w:t>
      </w:r>
    </w:p>
  </w:footnote>
  <w:footnote w:id="1825">
    <w:p>
      <w:pPr>
        <w:pStyle w:val="FootnoteText"/>
      </w:pPr>
      <w:r>
        <w:rPr>
          <w:rStyle w:val="FootnoteReference"/>
        </w:rPr>
        <w:footnoteRef/>
      </w:r>
      <w:r>
        <w:t xml:space="preserve"> </w:t>
      </w:r>
      <w:r>
        <w:t xml:space="preserve">Zempo 2021, PMID 33468709.</w:t>
      </w:r>
    </w:p>
  </w:footnote>
  <w:footnote w:id="1827">
    <w:p>
      <w:pPr>
        <w:pStyle w:val="FootnoteText"/>
      </w:pPr>
      <w:r>
        <w:rPr>
          <w:rStyle w:val="FootnoteReference"/>
        </w:rPr>
        <w:footnoteRef/>
      </w:r>
      <w:r>
        <w:t xml:space="preserve"> </w:t>
      </w:r>
      <w:r>
        <w:t xml:space="preserve">NCT03998514.</w:t>
      </w:r>
    </w:p>
  </w:footnote>
  <w:footnote w:id="1830">
    <w:p>
      <w:pPr>
        <w:pStyle w:val="FootnoteText"/>
      </w:pPr>
      <w:r>
        <w:rPr>
          <w:rStyle w:val="FootnoteReference"/>
        </w:rPr>
        <w:footnoteRef/>
      </w:r>
      <w:r>
        <w:t xml:space="preserve"> </w:t>
      </w:r>
      <w:r>
        <w:t xml:space="preserve">Lee 2015, PMID 25738459.</w:t>
      </w:r>
    </w:p>
  </w:footnote>
  <w:footnote w:id="1831">
    <w:p>
      <w:pPr>
        <w:pStyle w:val="FootnoteText"/>
      </w:pPr>
      <w:r>
        <w:rPr>
          <w:rStyle w:val="FootnoteReference"/>
        </w:rPr>
        <w:footnoteRef/>
      </w:r>
      <w:r>
        <w:t xml:space="preserve"> </w:t>
      </w:r>
      <w:r>
        <w:t xml:space="preserve">Kumagai 2021, PMID 33554779.</w:t>
      </w:r>
    </w:p>
  </w:footnote>
  <w:footnote w:id="1832">
    <w:p>
      <w:pPr>
        <w:pStyle w:val="FootnoteText"/>
      </w:pPr>
      <w:r>
        <w:rPr>
          <w:rStyle w:val="FootnoteReference"/>
        </w:rPr>
        <w:footnoteRef/>
      </w:r>
      <w:r>
        <w:t xml:space="preserve"> </w:t>
      </w:r>
      <w:r>
        <w:t xml:space="preserve">Reynolds 2021, PMID 33473109.</w:t>
      </w:r>
    </w:p>
  </w:footnote>
  <w:footnote w:id="1833">
    <w:p>
      <w:pPr>
        <w:pStyle w:val="FootnoteText"/>
      </w:pPr>
      <w:r>
        <w:rPr>
          <w:rStyle w:val="FootnoteReference"/>
        </w:rPr>
        <w:footnoteRef/>
      </w:r>
      <w:r>
        <w:t xml:space="preserve"> </w:t>
      </w:r>
      <w:r>
        <w:t xml:space="preserve">Kong 2025, PMID 40855115.</w:t>
      </w:r>
    </w:p>
  </w:footnote>
  <w:footnote w:id="1835">
    <w:p>
      <w:pPr>
        <w:pStyle w:val="FootnoteText"/>
      </w:pPr>
      <w:r>
        <w:rPr>
          <w:rStyle w:val="FootnoteReference"/>
        </w:rPr>
        <w:footnoteRef/>
      </w:r>
      <w:r>
        <w:t xml:space="preserve"> </w:t>
      </w:r>
      <w:r>
        <w:t xml:space="preserve">Yin 2024, PMID 39321430.</w:t>
      </w:r>
    </w:p>
  </w:footnote>
  <w:footnote w:id="1836">
    <w:p>
      <w:pPr>
        <w:pStyle w:val="FootnoteText"/>
      </w:pPr>
      <w:r>
        <w:rPr>
          <w:rStyle w:val="FootnoteReference"/>
        </w:rPr>
        <w:footnoteRef/>
      </w:r>
      <w:r>
        <w:t xml:space="preserve"> </w:t>
      </w:r>
      <w:r>
        <w:t xml:space="preserve">Shen 2025, PMID 39581216.</w:t>
      </w:r>
    </w:p>
  </w:footnote>
  <w:footnote w:id="1839">
    <w:p>
      <w:pPr>
        <w:pStyle w:val="FootnoteText"/>
      </w:pPr>
      <w:r>
        <w:rPr>
          <w:rStyle w:val="FootnoteReference"/>
        </w:rPr>
        <w:footnoteRef/>
      </w:r>
      <w:r>
        <w:t xml:space="preserve"> </w:t>
      </w:r>
      <w:r>
        <w:t xml:space="preserve">NCT07678073.</w:t>
      </w:r>
    </w:p>
  </w:footnote>
  <w:footnote w:id="1840">
    <w:p>
      <w:pPr>
        <w:pStyle w:val="FootnoteText"/>
      </w:pPr>
      <w:r>
        <w:rPr>
          <w:rStyle w:val="FootnoteReference"/>
        </w:rPr>
        <w:footnoteRef/>
      </w:r>
      <w:r>
        <w:t xml:space="preserve"> </w:t>
      </w:r>
      <w:r>
        <w:t xml:space="preserve">NCT03878706.</w:t>
      </w:r>
    </w:p>
  </w:footnote>
  <w:footnote w:id="1845">
    <w:p>
      <w:pPr>
        <w:pStyle w:val="FootnoteText"/>
      </w:pPr>
      <w:r>
        <w:rPr>
          <w:rStyle w:val="FootnoteReference"/>
        </w:rPr>
        <w:footnoteRef/>
      </w:r>
      <w:r>
        <w:t xml:space="preserve"> </w:t>
      </w:r>
      <w:r>
        <w:t xml:space="preserve">Hashimoto 2001, PMID 11717357.</w:t>
      </w:r>
    </w:p>
  </w:footnote>
  <w:footnote w:id="1846">
    <w:p>
      <w:pPr>
        <w:pStyle w:val="FootnoteText"/>
      </w:pPr>
      <w:r>
        <w:rPr>
          <w:rStyle w:val="FootnoteReference"/>
        </w:rPr>
        <w:footnoteRef/>
      </w:r>
      <w:r>
        <w:t xml:space="preserve"> </w:t>
      </w:r>
      <w:r>
        <w:t xml:space="preserve">Hashimoto 2009, PMID 19386761.</w:t>
      </w:r>
    </w:p>
  </w:footnote>
  <w:footnote w:id="1847">
    <w:p>
      <w:pPr>
        <w:pStyle w:val="FootnoteText"/>
      </w:pPr>
      <w:r>
        <w:rPr>
          <w:rStyle w:val="FootnoteReference"/>
        </w:rPr>
        <w:footnoteRef/>
      </w:r>
      <w:r>
        <w:t xml:space="preserve"> </w:t>
      </w:r>
      <w:r>
        <w:t xml:space="preserve">Miller 2022, PMID 35499074.</w:t>
      </w:r>
    </w:p>
  </w:footnote>
  <w:footnote w:id="1849">
    <w:p>
      <w:pPr>
        <w:pStyle w:val="FootnoteText"/>
      </w:pPr>
      <w:r>
        <w:rPr>
          <w:rStyle w:val="FootnoteReference"/>
        </w:rPr>
        <w:footnoteRef/>
      </w:r>
      <w:r>
        <w:t xml:space="preserve"> </w:t>
      </w:r>
      <w:r>
        <w:t xml:space="preserve">Lee 2014, PMID 25040290.</w:t>
      </w:r>
    </w:p>
  </w:footnote>
  <w:footnote w:id="1853">
    <w:p>
      <w:pPr>
        <w:pStyle w:val="FootnoteText"/>
      </w:pPr>
      <w:r>
        <w:rPr>
          <w:rStyle w:val="FootnoteReference"/>
        </w:rPr>
        <w:footnoteRef/>
      </w:r>
      <w:r>
        <w:t xml:space="preserve"> </w:t>
      </w:r>
      <w:r>
        <w:t xml:space="preserve">Yen 2020, PMID 32575074.</w:t>
      </w:r>
    </w:p>
  </w:footnote>
  <w:footnote w:id="1854">
    <w:p>
      <w:pPr>
        <w:pStyle w:val="FootnoteText"/>
      </w:pPr>
      <w:r>
        <w:rPr>
          <w:rStyle w:val="FootnoteReference"/>
        </w:rPr>
        <w:footnoteRef/>
      </w:r>
      <w:r>
        <w:t xml:space="preserve"> </w:t>
      </w:r>
      <w:r>
        <w:t xml:space="preserve">Muzumdar 2010, PMID 20651283.</w:t>
      </w:r>
    </w:p>
  </w:footnote>
  <w:footnote w:id="1855">
    <w:p>
      <w:pPr>
        <w:pStyle w:val="FootnoteText"/>
      </w:pPr>
      <w:r>
        <w:rPr>
          <w:rStyle w:val="FootnoteReference"/>
        </w:rPr>
        <w:footnoteRef/>
      </w:r>
      <w:r>
        <w:t xml:space="preserve"> </w:t>
      </w:r>
      <w:r>
        <w:t xml:space="preserve">Qin 2018, PMID 30004252.</w:t>
      </w:r>
    </w:p>
  </w:footnote>
  <w:footnote w:id="1856">
    <w:p>
      <w:pPr>
        <w:pStyle w:val="FootnoteText"/>
      </w:pPr>
      <w:r>
        <w:rPr>
          <w:rStyle w:val="FootnoteReference"/>
        </w:rPr>
        <w:footnoteRef/>
      </w:r>
      <w:r>
        <w:t xml:space="preserve"> </w:t>
      </w:r>
      <w:r>
        <w:t xml:space="preserve">Miller 2024, PMID 38520065.</w:t>
      </w:r>
    </w:p>
  </w:footnote>
  <w:footnote w:id="1857">
    <w:p>
      <w:pPr>
        <w:pStyle w:val="FootnoteText"/>
      </w:pPr>
      <w:r>
        <w:rPr>
          <w:rStyle w:val="FootnoteReference"/>
        </w:rPr>
        <w:footnoteRef/>
      </w:r>
      <w:r>
        <w:t xml:space="preserve"> </w:t>
      </w:r>
      <w:r>
        <w:t xml:space="preserve">Nashine 2017, PMID 28726777.</w:t>
      </w:r>
    </w:p>
  </w:footnote>
  <w:footnote w:id="1859">
    <w:p>
      <w:pPr>
        <w:pStyle w:val="FootnoteText"/>
      </w:pPr>
      <w:r>
        <w:rPr>
          <w:rStyle w:val="FootnoteReference"/>
        </w:rPr>
        <w:footnoteRef/>
      </w:r>
      <w:r>
        <w:t xml:space="preserve"> </w:t>
      </w:r>
      <w:r>
        <w:t xml:space="preserve">Moreno Ayala 2020, PMID 32444831.</w:t>
      </w:r>
    </w:p>
  </w:footnote>
  <w:footnote w:id="1860">
    <w:p>
      <w:pPr>
        <w:pStyle w:val="FootnoteText"/>
      </w:pPr>
      <w:r>
        <w:rPr>
          <w:rStyle w:val="FootnoteReference"/>
        </w:rPr>
        <w:footnoteRef/>
      </w:r>
      <w:r>
        <w:t xml:space="preserve"> </w:t>
      </w:r>
      <w:r>
        <w:t xml:space="preserve">Mendelsohn 2018, PMID 30058454.</w:t>
      </w:r>
    </w:p>
  </w:footnote>
  <w:footnote w:id="1863">
    <w:p>
      <w:pPr>
        <w:pStyle w:val="FootnoteText"/>
      </w:pPr>
      <w:r>
        <w:rPr>
          <w:rStyle w:val="FootnoteReference"/>
        </w:rPr>
        <w:footnoteRef/>
      </w:r>
      <w:r>
        <w:t xml:space="preserve"> </w:t>
      </w:r>
      <w:r>
        <w:t xml:space="preserve">NCT07678073.</w:t>
      </w:r>
    </w:p>
  </w:footnote>
  <w:footnote w:id="1868">
    <w:p>
      <w:pPr>
        <w:pStyle w:val="FootnoteText"/>
      </w:pPr>
      <w:r>
        <w:rPr>
          <w:rStyle w:val="FootnoteReference"/>
        </w:rPr>
        <w:footnoteRef/>
      </w:r>
      <w:r>
        <w:t xml:space="preserve"> </w:t>
      </w:r>
      <w:r>
        <w:t xml:space="preserve">Szeto 2014, PMID 24117165.</w:t>
      </w:r>
    </w:p>
  </w:footnote>
  <w:footnote w:id="1870">
    <w:p>
      <w:pPr>
        <w:pStyle w:val="FootnoteText"/>
      </w:pPr>
      <w:r>
        <w:rPr>
          <w:rStyle w:val="FootnoteReference"/>
        </w:rPr>
        <w:footnoteRef/>
      </w:r>
      <w:r>
        <w:t xml:space="preserve"> </w:t>
      </w:r>
      <w:r>
        <w:t xml:space="preserve">NCT03098797.</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Reid Thompson 2021, PMID 33077895.</w:t>
      </w:r>
    </w:p>
  </w:footnote>
  <w:footnote w:id="1873">
    <w:p>
      <w:pPr>
        <w:pStyle w:val="FootnoteText"/>
      </w:pPr>
      <w:r>
        <w:rPr>
          <w:rStyle w:val="FootnoteReference"/>
        </w:rPr>
        <w:footnoteRef/>
      </w:r>
      <w:r>
        <w:t xml:space="preserve"> </w:t>
      </w:r>
      <w:r>
        <w:t xml:space="preserve">Thompson 2024, PMID 38602181.</w:t>
      </w:r>
    </w:p>
  </w:footnote>
  <w:footnote w:id="1874">
    <w:p>
      <w:pPr>
        <w:pStyle w:val="FootnoteText"/>
      </w:pPr>
      <w:r>
        <w:rPr>
          <w:rStyle w:val="FootnoteReference"/>
        </w:rPr>
        <w:footnoteRef/>
      </w:r>
      <w:r>
        <w:t xml:space="preserve"> </w:t>
      </w:r>
      <w:r>
        <w:t xml:space="preserve">Hornby 2022, PMID 36056411.</w:t>
      </w:r>
    </w:p>
  </w:footnote>
  <w:footnote w:id="1875">
    <w:p>
      <w:pPr>
        <w:pStyle w:val="FootnoteText"/>
      </w:pPr>
      <w:r>
        <w:rPr>
          <w:rStyle w:val="FootnoteReference"/>
        </w:rPr>
        <w:footnoteRef/>
      </w:r>
      <w:r>
        <w:t xml:space="preserve"> </w:t>
      </w:r>
      <w:r>
        <w:t xml:space="preserve">Shirley 2026, PMID 41335372.</w:t>
      </w:r>
    </w:p>
  </w:footnote>
  <w:footnote w:id="1876">
    <w:p>
      <w:pPr>
        <w:pStyle w:val="FootnoteText"/>
      </w:pPr>
      <w:r>
        <w:rPr>
          <w:rStyle w:val="FootnoteReference"/>
        </w:rPr>
        <w:footnoteRef/>
      </w:r>
      <w:r>
        <w:t xml:space="preserve"> </w:t>
      </w:r>
      <w:r>
        <w:t xml:space="preserve">NCT07531251.</w:t>
      </w:r>
    </w:p>
  </w:footnote>
  <w:footnote w:id="1878">
    <w:p>
      <w:pPr>
        <w:pStyle w:val="FootnoteText"/>
      </w:pPr>
      <w:r>
        <w:rPr>
          <w:rStyle w:val="FootnoteReference"/>
        </w:rPr>
        <w:footnoteRef/>
      </w:r>
      <w:r>
        <w:t xml:space="preserve"> </w:t>
      </w:r>
      <w:r>
        <w:t xml:space="preserve">NCT03323749.</w:t>
      </w:r>
    </w:p>
  </w:footnote>
  <w:footnote w:id="1879">
    <w:p>
      <w:pPr>
        <w:pStyle w:val="FootnoteText"/>
      </w:pPr>
      <w:r>
        <w:rPr>
          <w:rStyle w:val="FootnoteReference"/>
        </w:rPr>
        <w:footnoteRef/>
      </w:r>
      <w:r>
        <w:t xml:space="preserve"> </w:t>
      </w:r>
      <w:r>
        <w:t xml:space="preserve">Karaa 2023, PMID 37268435.</w:t>
      </w:r>
    </w:p>
  </w:footnote>
  <w:footnote w:id="1880">
    <w:p>
      <w:pPr>
        <w:pStyle w:val="FootnoteText"/>
      </w:pPr>
      <w:r>
        <w:rPr>
          <w:rStyle w:val="FootnoteReference"/>
        </w:rPr>
        <w:footnoteRef/>
      </w:r>
      <w:r>
        <w:t xml:space="preserve"> </w:t>
      </w:r>
      <w:r>
        <w:t xml:space="preserve">Karaa 2024, PMID 39574155.</w:t>
      </w:r>
    </w:p>
  </w:footnote>
  <w:footnote w:id="1881">
    <w:p>
      <w:pPr>
        <w:pStyle w:val="FootnoteText"/>
      </w:pPr>
      <w:r>
        <w:rPr>
          <w:rStyle w:val="FootnoteReference"/>
        </w:rPr>
        <w:footnoteRef/>
      </w:r>
      <w:r>
        <w:t xml:space="preserve"> </w:t>
      </w:r>
      <w:r>
        <w:t xml:space="preserve">NCT05162768.</w:t>
      </w:r>
    </w:p>
  </w:footnote>
  <w:footnote w:id="1883">
    <w:p>
      <w:pPr>
        <w:pStyle w:val="FootnoteText"/>
      </w:pPr>
      <w:r>
        <w:rPr>
          <w:rStyle w:val="FootnoteReference"/>
        </w:rPr>
        <w:footnoteRef/>
      </w:r>
      <w:r>
        <w:t xml:space="preserve"> </w:t>
      </w:r>
      <w:r>
        <w:t xml:space="preserve">Gibson 2016, PMID 26586786; Butler 2020, PMID 32068002.</w:t>
      </w:r>
    </w:p>
  </w:footnote>
  <w:footnote w:id="1884">
    <w:p>
      <w:pPr>
        <w:pStyle w:val="FootnoteText"/>
      </w:pPr>
      <w:r>
        <w:rPr>
          <w:rStyle w:val="FootnoteReference"/>
        </w:rPr>
        <w:footnoteRef/>
      </w:r>
      <w:r>
        <w:t xml:space="preserve"> </w:t>
      </w:r>
      <w:r>
        <w:t xml:space="preserve">Ehlers 2025, PMID 39605874.</w:t>
      </w:r>
    </w:p>
  </w:footnote>
  <w:footnote w:id="1885">
    <w:p>
      <w:pPr>
        <w:pStyle w:val="FootnoteText"/>
      </w:pPr>
      <w:r>
        <w:rPr>
          <w:rStyle w:val="FootnoteReference"/>
        </w:rPr>
        <w:footnoteRef/>
      </w:r>
      <w:r>
        <w:t xml:space="preserve"> </w:t>
      </w:r>
      <w:r>
        <w:t xml:space="preserve">NCT06373731.</w:t>
      </w:r>
    </w:p>
  </w:footnote>
  <w:footnote w:id="1886">
    <w:p>
      <w:pPr>
        <w:pStyle w:val="FootnoteText"/>
      </w:pPr>
      <w:r>
        <w:rPr>
          <w:rStyle w:val="FootnoteReference"/>
        </w:rPr>
        <w:footnoteRef/>
      </w:r>
      <w:r>
        <w:t xml:space="preserve"> </w:t>
      </w:r>
      <w:r>
        <w:t xml:space="preserve">Roshanravan 2021, PMID 34264994.</w:t>
      </w:r>
    </w:p>
  </w:footnote>
  <w:footnote w:id="1889">
    <w:p>
      <w:pPr>
        <w:pStyle w:val="FootnoteText"/>
      </w:pPr>
      <w:r>
        <w:rPr>
          <w:rStyle w:val="FootnoteReference"/>
        </w:rPr>
        <w:footnoteRef/>
      </w:r>
      <w:r>
        <w:t xml:space="preserve"> </w:t>
      </w:r>
      <w:r>
        <w:t xml:space="preserve">Szeto 2014, PMID 24117165.</w:t>
      </w:r>
    </w:p>
  </w:footnote>
  <w:footnote w:id="1890">
    <w:p>
      <w:pPr>
        <w:pStyle w:val="FootnoteText"/>
      </w:pPr>
      <w:r>
        <w:rPr>
          <w:rStyle w:val="FootnoteReference"/>
        </w:rPr>
        <w:footnoteRef/>
      </w:r>
      <w:r>
        <w:t xml:space="preserve"> </w:t>
      </w:r>
      <w:r>
        <w:t xml:space="preserve">Sabbah 2016, PMID 26839394.</w:t>
      </w:r>
    </w:p>
  </w:footnote>
  <w:footnote w:id="1891">
    <w:p>
      <w:pPr>
        <w:pStyle w:val="FootnoteText"/>
      </w:pPr>
      <w:r>
        <w:rPr>
          <w:rStyle w:val="FootnoteReference"/>
        </w:rPr>
        <w:footnoteRef/>
      </w:r>
      <w:r>
        <w:t xml:space="preserve"> </w:t>
      </w:r>
      <w:r>
        <w:t xml:space="preserve">Schauer 2026, PMID 41596703.</w:t>
      </w:r>
    </w:p>
  </w:footnote>
  <w:footnote w:id="1893">
    <w:p>
      <w:pPr>
        <w:pStyle w:val="FootnoteText"/>
      </w:pPr>
      <w:r>
        <w:rPr>
          <w:rStyle w:val="FootnoteReference"/>
        </w:rPr>
        <w:footnoteRef/>
      </w:r>
      <w:r>
        <w:t xml:space="preserve"> </w:t>
      </w:r>
      <w:r>
        <w:t xml:space="preserve">Karaa 2020, PMID 32096613.</w:t>
      </w:r>
    </w:p>
  </w:footnote>
  <w:footnote w:id="1894">
    <w:p>
      <w:pPr>
        <w:pStyle w:val="FootnoteText"/>
      </w:pPr>
      <w:r>
        <w:rPr>
          <w:rStyle w:val="FootnoteReference"/>
        </w:rPr>
        <w:footnoteRef/>
      </w:r>
      <w:r>
        <w:t xml:space="preserve"> </w:t>
      </w:r>
      <w:r>
        <w:t xml:space="preserve">Ehlers 2025, PMID 39605874.</w:t>
      </w:r>
    </w:p>
  </w:footnote>
  <w:footnote w:id="1895">
    <w:p>
      <w:pPr>
        <w:pStyle w:val="FootnoteText"/>
      </w:pPr>
      <w:r>
        <w:rPr>
          <w:rStyle w:val="FootnoteReference"/>
        </w:rPr>
        <w:footnoteRef/>
      </w:r>
      <w:r>
        <w:t xml:space="preserve"> </w:t>
      </w:r>
      <w:r>
        <w:t xml:space="preserve">Karaa 2023, PMID 37268435.</w:t>
      </w:r>
    </w:p>
  </w:footnote>
  <w:footnote w:id="1896">
    <w:p>
      <w:pPr>
        <w:pStyle w:val="FootnoteText"/>
      </w:pPr>
      <w:r>
        <w:rPr>
          <w:rStyle w:val="FootnoteReference"/>
        </w:rPr>
        <w:footnoteRef/>
      </w:r>
      <w:r>
        <w:t xml:space="preserve"> </w:t>
      </w:r>
      <w:r>
        <w:t xml:space="preserve">Thompson 2024, PMID 38602181.</w:t>
      </w:r>
    </w:p>
  </w:footnote>
  <w:footnote w:id="1898">
    <w:p>
      <w:pPr>
        <w:pStyle w:val="FootnoteText"/>
      </w:pPr>
      <w:r>
        <w:rPr>
          <w:rStyle w:val="FootnoteReference"/>
        </w:rPr>
        <w:footnoteRef/>
      </w:r>
      <w:r>
        <w:t xml:space="preserve"> </w:t>
      </w:r>
      <w:r>
        <w:t xml:space="preserve">NCT04689360.</w:t>
      </w:r>
    </w:p>
  </w:footnote>
  <w:footnote w:id="1900">
    <w:p>
      <w:pPr>
        <w:pStyle w:val="FootnoteText"/>
      </w:pPr>
      <w:r>
        <w:rPr>
          <w:rStyle w:val="FootnoteReference"/>
        </w:rPr>
        <w:footnoteRef/>
      </w:r>
      <w:r>
        <w:t xml:space="preserve"> </w:t>
      </w:r>
      <w:r>
        <w:t xml:space="preserve">NCT06373731.</w:t>
      </w:r>
    </w:p>
  </w:footnote>
  <w:footnote w:id="1901">
    <w:p>
      <w:pPr>
        <w:pStyle w:val="FootnoteText"/>
      </w:pPr>
      <w:r>
        <w:rPr>
          <w:rStyle w:val="FootnoteReference"/>
        </w:rPr>
        <w:footnoteRef/>
      </w:r>
      <w:r>
        <w:t xml:space="preserve"> </w:t>
      </w:r>
      <w:r>
        <w:t xml:space="preserve">NCT07531251.</w:t>
      </w:r>
    </w:p>
  </w:footnote>
  <w:footnote w:id="1902">
    <w:p>
      <w:pPr>
        <w:pStyle w:val="FootnoteText"/>
      </w:pPr>
      <w:r>
        <w:rPr>
          <w:rStyle w:val="FootnoteReference"/>
        </w:rPr>
        <w:footnoteRef/>
      </w:r>
      <w:r>
        <w:t xml:space="preserve"> </w:t>
      </w:r>
      <w:r>
        <w:t xml:space="preserve">NCT05162768.</w:t>
      </w:r>
    </w:p>
  </w:footnote>
  <w:footnote w:id="1903">
    <w:p>
      <w:pPr>
        <w:pStyle w:val="FootnoteText"/>
      </w:pPr>
      <w:r>
        <w:rPr>
          <w:rStyle w:val="FootnoteReference"/>
        </w:rPr>
        <w:footnoteRef/>
      </w:r>
      <w:r>
        <w:t xml:space="preserve"> </w:t>
      </w:r>
      <w:r>
        <w:t xml:space="preserve">NCT07275424.</w:t>
      </w:r>
    </w:p>
  </w:footnote>
  <w:footnote w:id="1908">
    <w:p>
      <w:pPr>
        <w:pStyle w:val="FootnoteText"/>
      </w:pPr>
      <w:r>
        <w:rPr>
          <w:rStyle w:val="FootnoteReference"/>
        </w:rPr>
        <w:footnoteRef/>
      </w:r>
      <w:r>
        <w:t xml:space="preserve"> </w:t>
      </w:r>
      <w:r>
        <w:t xml:space="preserve">Baar 2017, PMID 28340339.</w:t>
      </w:r>
    </w:p>
  </w:footnote>
  <w:footnote w:id="1909">
    <w:p>
      <w:pPr>
        <w:pStyle w:val="FootnoteText"/>
      </w:pPr>
      <w:r>
        <w:rPr>
          <w:rStyle w:val="FootnoteReference"/>
        </w:rPr>
        <w:footnoteRef/>
      </w:r>
      <w:r>
        <w:t xml:space="preserve"> </w:t>
      </w:r>
      <w:r>
        <w:t xml:space="preserve">Bourgeois 2025, PMID 40593617.</w:t>
      </w:r>
    </w:p>
  </w:footnote>
  <w:footnote w:id="1910">
    <w:p>
      <w:pPr>
        <w:pStyle w:val="FootnoteText"/>
      </w:pPr>
      <w:r>
        <w:rPr>
          <w:rStyle w:val="FootnoteReference"/>
        </w:rPr>
        <w:footnoteRef/>
      </w:r>
      <w:r>
        <w:t xml:space="preserve"> </w:t>
      </w:r>
      <w:r>
        <w:t xml:space="preserve">Justice 2019, PMID 30616998.</w:t>
      </w:r>
    </w:p>
  </w:footnote>
  <w:footnote w:id="1911">
    <w:p>
      <w:pPr>
        <w:pStyle w:val="FootnoteText"/>
      </w:pPr>
      <w:r>
        <w:rPr>
          <w:rStyle w:val="FootnoteReference"/>
        </w:rPr>
        <w:footnoteRef/>
      </w:r>
      <w:r>
        <w:t xml:space="preserve"> </w:t>
      </w:r>
      <w:r>
        <w:t xml:space="preserve">Farr 2024, PMID 38956196.</w:t>
      </w:r>
    </w:p>
  </w:footnote>
  <w:footnote w:id="1914">
    <w:p>
      <w:pPr>
        <w:pStyle w:val="FootnoteText"/>
      </w:pPr>
      <w:r>
        <w:rPr>
          <w:rStyle w:val="FootnoteReference"/>
        </w:rPr>
        <w:footnoteRef/>
      </w:r>
      <w:r>
        <w:t xml:space="preserve"> </w:t>
      </w:r>
      <w:r>
        <w:t xml:space="preserve">Huang 2021, PMID 33996787.</w:t>
      </w:r>
    </w:p>
  </w:footnote>
  <w:footnote w:id="1916">
    <w:p>
      <w:pPr>
        <w:pStyle w:val="FootnoteText"/>
      </w:pPr>
      <w:r>
        <w:rPr>
          <w:rStyle w:val="FootnoteReference"/>
        </w:rPr>
        <w:footnoteRef/>
      </w:r>
      <w:r>
        <w:t xml:space="preserve"> </w:t>
      </w:r>
      <w:r>
        <w:t xml:space="preserve">Baar 2017, PMID 28340339.</w:t>
      </w:r>
    </w:p>
  </w:footnote>
  <w:footnote w:id="1917">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Born 2023, PMID 36515093.</w:t>
      </w:r>
    </w:p>
  </w:footnote>
  <w:footnote w:id="1920">
    <w:p>
      <w:pPr>
        <w:pStyle w:val="FootnoteText"/>
      </w:pPr>
      <w:r>
        <w:rPr>
          <w:rStyle w:val="FootnoteReference"/>
        </w:rPr>
        <w:footnoteRef/>
      </w:r>
      <w:r>
        <w:t xml:space="preserve"> </w:t>
      </w:r>
      <w:r>
        <w:t xml:space="preserve">Bourgeois 2025, PMID 40593617.</w:t>
      </w:r>
    </w:p>
  </w:footnote>
  <w:footnote w:id="1928">
    <w:p>
      <w:pPr>
        <w:pStyle w:val="FootnoteText"/>
      </w:pPr>
      <w:r>
        <w:rPr>
          <w:rStyle w:val="FootnoteReference"/>
        </w:rPr>
        <w:footnoteRef/>
      </w:r>
      <w:r>
        <w:t xml:space="preserve"> </w:t>
      </w:r>
      <w:r>
        <w:t xml:space="preserve">Allen 2011, PMID 21875351.</w:t>
      </w:r>
    </w:p>
  </w:footnote>
  <w:footnote w:id="1929">
    <w:p>
      <w:pPr>
        <w:pStyle w:val="FootnoteText"/>
      </w:pPr>
      <w:r>
        <w:rPr>
          <w:rStyle w:val="FootnoteReference"/>
        </w:rPr>
        <w:footnoteRef/>
      </w:r>
      <w:r>
        <w:t xml:space="preserve"> </w:t>
      </w:r>
      <w:r>
        <w:t xml:space="preserve">Richie 2015, PMID 24791752.</w:t>
      </w:r>
    </w:p>
  </w:footnote>
  <w:footnote w:id="1930">
    <w:p>
      <w:pPr>
        <w:pStyle w:val="FootnoteText"/>
      </w:pPr>
      <w:r>
        <w:rPr>
          <w:rStyle w:val="FootnoteReference"/>
        </w:rPr>
        <w:footnoteRef/>
      </w:r>
      <w:r>
        <w:t xml:space="preserve"> </w:t>
      </w:r>
      <w:r>
        <w:t xml:space="preserve">Sinha 2018, PMID 28853742.</w:t>
      </w:r>
    </w:p>
  </w:footnote>
  <w:footnote w:id="1932">
    <w:p>
      <w:pPr>
        <w:pStyle w:val="FootnoteText"/>
      </w:pPr>
      <w:r>
        <w:rPr>
          <w:rStyle w:val="FootnoteReference"/>
        </w:rPr>
        <w:footnoteRef/>
      </w:r>
      <w:r>
        <w:t xml:space="preserve"> </w:t>
      </w:r>
      <w:r>
        <w:t xml:space="preserve">Leal 2014, PMID 24619793.</w:t>
      </w:r>
    </w:p>
  </w:footnote>
  <w:footnote w:id="1933">
    <w:p>
      <w:pPr>
        <w:pStyle w:val="FootnoteText"/>
      </w:pPr>
      <w:r>
        <w:rPr>
          <w:rStyle w:val="FootnoteReference"/>
        </w:rPr>
        <w:footnoteRef/>
      </w:r>
      <w:r>
        <w:t xml:space="preserve"> </w:t>
      </w:r>
      <w:r>
        <w:t xml:space="preserve">Hauser 2009, PMID 19230029.</w:t>
      </w:r>
    </w:p>
  </w:footnote>
  <w:footnote w:id="1934">
    <w:p>
      <w:pPr>
        <w:pStyle w:val="FootnoteText"/>
      </w:pPr>
      <w:r>
        <w:rPr>
          <w:rStyle w:val="FootnoteReference"/>
        </w:rPr>
        <w:footnoteRef/>
      </w:r>
      <w:r>
        <w:t xml:space="preserve"> </w:t>
      </w:r>
      <w:r>
        <w:t xml:space="preserve">Mischley 2017, PMID 28436395.</w:t>
      </w:r>
    </w:p>
  </w:footnote>
  <w:footnote w:id="1935">
    <w:p>
      <w:pPr>
        <w:pStyle w:val="FootnoteText"/>
      </w:pPr>
      <w:r>
        <w:rPr>
          <w:rStyle w:val="FootnoteReference"/>
        </w:rPr>
        <w:footnoteRef/>
      </w:r>
      <w:r>
        <w:t xml:space="preserve"> </w:t>
      </w:r>
      <w:r>
        <w:t xml:space="preserve">Bozic 2020, PMID 32960827.</w:t>
      </w:r>
    </w:p>
  </w:footnote>
  <w:footnote w:id="1936">
    <w:p>
      <w:pPr>
        <w:pStyle w:val="FootnoteText"/>
      </w:pPr>
      <w:r>
        <w:rPr>
          <w:rStyle w:val="FootnoteReference"/>
        </w:rPr>
        <w:footnoteRef/>
      </w:r>
      <w:r>
        <w:t xml:space="preserve"> </w:t>
      </w:r>
      <w:r>
        <w:t xml:space="preserve">Søndergård 2021, PMID 33740389.</w:t>
      </w:r>
    </w:p>
  </w:footnote>
  <w:footnote w:id="1937">
    <w:p>
      <w:pPr>
        <w:pStyle w:val="FootnoteText"/>
      </w:pPr>
      <w:r>
        <w:rPr>
          <w:rStyle w:val="FootnoteReference"/>
        </w:rPr>
        <w:footnoteRef/>
      </w:r>
      <w:r>
        <w:t xml:space="preserve"> </w:t>
      </w:r>
      <w:r>
        <w:t xml:space="preserve">Honda 2017, PMID 28789631.</w:t>
      </w:r>
    </w:p>
  </w:footnote>
  <w:footnote w:id="1938">
    <w:p>
      <w:pPr>
        <w:pStyle w:val="FootnoteText"/>
      </w:pPr>
      <w:r>
        <w:rPr>
          <w:rStyle w:val="FootnoteReference"/>
        </w:rPr>
        <w:footnoteRef/>
      </w:r>
      <w:r>
        <w:t xml:space="preserve"> </w:t>
      </w:r>
      <w:r>
        <w:t xml:space="preserve">Arrivi 2023, PMID 36083043.</w:t>
      </w:r>
    </w:p>
  </w:footnote>
  <w:footnote w:id="1940">
    <w:p>
      <w:pPr>
        <w:pStyle w:val="FootnoteText"/>
      </w:pPr>
      <w:r>
        <w:rPr>
          <w:rStyle w:val="FootnoteReference"/>
        </w:rPr>
        <w:footnoteRef/>
      </w:r>
      <w:r>
        <w:t xml:space="preserve"> </w:t>
      </w:r>
      <w:r>
        <w:t xml:space="preserve">Arjinpathana 2012, PMID 20524875.</w:t>
      </w:r>
    </w:p>
  </w:footnote>
  <w:footnote w:id="1941">
    <w:p>
      <w:pPr>
        <w:pStyle w:val="FootnoteText"/>
      </w:pPr>
      <w:r>
        <w:rPr>
          <w:rStyle w:val="FootnoteReference"/>
        </w:rPr>
        <w:footnoteRef/>
      </w:r>
      <w:r>
        <w:t xml:space="preserve"> </w:t>
      </w:r>
      <w:r>
        <w:t xml:space="preserve">Dilokthornsakul 2019, PMID 30895708.</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Sarkar 2025, PMID 39444151.</w:t>
      </w:r>
    </w:p>
  </w:footnote>
  <w:footnote w:id="1944">
    <w:p>
      <w:pPr>
        <w:pStyle w:val="FootnoteText"/>
      </w:pPr>
      <w:r>
        <w:rPr>
          <w:rStyle w:val="FootnoteReference"/>
        </w:rPr>
        <w:footnoteRef/>
      </w:r>
      <w:r>
        <w:t xml:space="preserve"> </w:t>
      </w:r>
      <w:r>
        <w:t xml:space="preserve">Davids 2016, PMID 27499402.</w:t>
      </w:r>
    </w:p>
  </w:footnote>
  <w:footnote w:id="1945">
    <w:p>
      <w:pPr>
        <w:pStyle w:val="FootnoteText"/>
      </w:pPr>
      <w:r>
        <w:rPr>
          <w:rStyle w:val="FootnoteReference"/>
        </w:rPr>
        <w:footnoteRef/>
      </w:r>
      <w:r>
        <w:t xml:space="preserve"> </w:t>
      </w:r>
      <w:r>
        <w:t xml:space="preserve">Dadzie 2016, PMID 27581922.</w:t>
      </w:r>
    </w:p>
  </w:footnote>
  <w:footnote w:id="1949">
    <w:p>
      <w:pPr>
        <w:pStyle w:val="FootnoteText"/>
      </w:pPr>
      <w:r>
        <w:rPr>
          <w:rStyle w:val="FootnoteReference"/>
        </w:rPr>
        <w:footnoteRef/>
      </w:r>
      <w:r>
        <w:t xml:space="preserve"> </w:t>
      </w:r>
      <w:r>
        <w:t xml:space="preserve">Mischley 2017, PMID 28436395.</w:t>
      </w:r>
    </w:p>
  </w:footnote>
  <w:footnote w:id="1950">
    <w:p>
      <w:pPr>
        <w:pStyle w:val="FootnoteText"/>
      </w:pPr>
      <w:r>
        <w:rPr>
          <w:rStyle w:val="FootnoteReference"/>
        </w:rPr>
        <w:footnoteRef/>
      </w:r>
      <w:r>
        <w:t xml:space="preserve"> </w:t>
      </w:r>
      <w:r>
        <w:t xml:space="preserve">Davids 2016, PMID 27499402.</w:t>
      </w:r>
    </w:p>
  </w:footnote>
  <w:footnote w:id="1951">
    <w:p>
      <w:pPr>
        <w:pStyle w:val="FootnoteText"/>
      </w:pPr>
      <w:r>
        <w:rPr>
          <w:rStyle w:val="FootnoteReference"/>
        </w:rPr>
        <w:footnoteRef/>
      </w:r>
      <w:r>
        <w:t xml:space="preserve"> </w:t>
      </w:r>
      <w:r>
        <w:t xml:space="preserve">Leal 2014, PMID 24619793.</w:t>
      </w:r>
    </w:p>
  </w:footnote>
  <w:footnote w:id="1954">
    <w:p>
      <w:pPr>
        <w:pStyle w:val="FootnoteText"/>
      </w:pPr>
      <w:r>
        <w:rPr>
          <w:rStyle w:val="FootnoteReference"/>
        </w:rPr>
        <w:footnoteRef/>
      </w:r>
      <w:r>
        <w:t xml:space="preserve"> </w:t>
      </w:r>
      <w:r>
        <w:t xml:space="preserve">NCT07448415.</w:t>
      </w:r>
    </w:p>
  </w:footnote>
  <w:footnote w:id="1959">
    <w:p>
      <w:pPr>
        <w:pStyle w:val="FootnoteText"/>
      </w:pPr>
      <w:r>
        <w:rPr>
          <w:rStyle w:val="FootnoteReference"/>
        </w:rPr>
        <w:footnoteRef/>
      </w:r>
      <w:r>
        <w:t xml:space="preserve"> </w:t>
      </w:r>
      <w:r>
        <w:t xml:space="preserve">Hadley 2006, PMID 16412534.</w:t>
      </w:r>
    </w:p>
  </w:footnote>
  <w:footnote w:id="1960">
    <w:p>
      <w:pPr>
        <w:pStyle w:val="FootnoteText"/>
      </w:pPr>
      <w:r>
        <w:rPr>
          <w:rStyle w:val="FootnoteReference"/>
        </w:rPr>
        <w:footnoteRef/>
      </w:r>
      <w:r>
        <w:t xml:space="preserve"> </w:t>
      </w:r>
      <w:r>
        <w:t xml:space="preserve">Hadley 2005, PMID 15996790.</w:t>
      </w:r>
    </w:p>
  </w:footnote>
  <w:footnote w:id="1965">
    <w:p>
      <w:pPr>
        <w:pStyle w:val="FootnoteText"/>
      </w:pPr>
      <w:r>
        <w:rPr>
          <w:rStyle w:val="FootnoteReference"/>
        </w:rPr>
        <w:footnoteRef/>
      </w:r>
      <w:r>
        <w:t xml:space="preserve"> </w:t>
      </w:r>
      <w:r>
        <w:t xml:space="preserve">Hadley 2006, PMID 16412534.</w:t>
      </w:r>
    </w:p>
  </w:footnote>
  <w:footnote w:id="1966">
    <w:p>
      <w:pPr>
        <w:pStyle w:val="FootnoteText"/>
      </w:pPr>
      <w:r>
        <w:rPr>
          <w:rStyle w:val="FootnoteReference"/>
        </w:rPr>
        <w:footnoteRef/>
      </w:r>
      <w:r>
        <w:t xml:space="preserve"> </w:t>
      </w:r>
      <w:r>
        <w:t xml:space="preserve">Dhillon 2019, PMID 31429064.</w:t>
      </w:r>
    </w:p>
  </w:footnote>
  <w:footnote w:id="1968">
    <w:p>
      <w:pPr>
        <w:pStyle w:val="FootnoteText"/>
      </w:pPr>
      <w:r>
        <w:rPr>
          <w:rStyle w:val="FootnoteReference"/>
        </w:rPr>
        <w:footnoteRef/>
      </w:r>
      <w:r>
        <w:t xml:space="preserve"> </w:t>
      </w:r>
      <w:r>
        <w:t xml:space="preserve">Hadley 2005, PMID 15996790.</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Pfaus 2022, PMID 33455598.</w:t>
      </w:r>
    </w:p>
  </w:footnote>
  <w:footnote w:id="1971">
    <w:p>
      <w:pPr>
        <w:pStyle w:val="FootnoteText"/>
      </w:pPr>
      <w:r>
        <w:rPr>
          <w:rStyle w:val="FootnoteReference"/>
        </w:rPr>
        <w:footnoteRef/>
      </w:r>
      <w:r>
        <w:t xml:space="preserve"> </w:t>
      </w:r>
      <w:r>
        <w:t xml:space="preserve">Thurston 2022, PMID 36189794.</w:t>
      </w:r>
    </w:p>
  </w:footnote>
  <w:footnote w:id="1973">
    <w:p>
      <w:pPr>
        <w:pStyle w:val="FootnoteText"/>
      </w:pPr>
      <w:r>
        <w:rPr>
          <w:rStyle w:val="FootnoteReference"/>
        </w:rPr>
        <w:footnoteRef/>
      </w:r>
      <w:r>
        <w:t xml:space="preserve"> </w:t>
      </w:r>
      <w:r>
        <w:t xml:space="preserve">Diamond 2004, PMID 14963471.</w:t>
      </w:r>
    </w:p>
  </w:footnote>
  <w:footnote w:id="1974">
    <w:p>
      <w:pPr>
        <w:pStyle w:val="FootnoteText"/>
      </w:pPr>
      <w:r>
        <w:rPr>
          <w:rStyle w:val="FootnoteReference"/>
        </w:rPr>
        <w:footnoteRef/>
      </w:r>
      <w:r>
        <w:t xml:space="preserve"> </w:t>
      </w:r>
      <w:r>
        <w:t xml:space="preserve">Rosen 2004, PMID 14999221.</w:t>
      </w:r>
    </w:p>
  </w:footnote>
  <w:footnote w:id="1975">
    <w:p>
      <w:pPr>
        <w:pStyle w:val="FootnoteText"/>
      </w:pPr>
      <w:r>
        <w:rPr>
          <w:rStyle w:val="FootnoteReference"/>
        </w:rPr>
        <w:footnoteRef/>
      </w:r>
      <w:r>
        <w:t xml:space="preserve"> </w:t>
      </w:r>
      <w:r>
        <w:t xml:space="preserve">Diamond 2005, PMID 15833522.</w:t>
      </w:r>
    </w:p>
  </w:footnote>
  <w:footnote w:id="1976">
    <w:p>
      <w:pPr>
        <w:pStyle w:val="FootnoteText"/>
      </w:pPr>
      <w:r>
        <w:rPr>
          <w:rStyle w:val="FootnoteReference"/>
        </w:rPr>
        <w:footnoteRef/>
      </w:r>
      <w:r>
        <w:t xml:space="preserve"> </w:t>
      </w:r>
      <w:r>
        <w:t xml:space="preserve">Safarinejad 2008, PMID 18206919.</w:t>
      </w:r>
    </w:p>
  </w:footnote>
  <w:footnote w:id="1977">
    <w:p>
      <w:pPr>
        <w:pStyle w:val="FootnoteText"/>
      </w:pPr>
      <w:r>
        <w:rPr>
          <w:rStyle w:val="FootnoteReference"/>
        </w:rPr>
        <w:footnoteRef/>
      </w:r>
      <w:r>
        <w:t xml:space="preserve"> </w:t>
      </w:r>
      <w:r>
        <w:t xml:space="preserve">Safarinejad 2008, PMID 18179455.</w:t>
      </w:r>
    </w:p>
  </w:footnote>
  <w:footnote w:id="1979">
    <w:p>
      <w:pPr>
        <w:pStyle w:val="FootnoteText"/>
      </w:pPr>
      <w:r>
        <w:rPr>
          <w:rStyle w:val="FootnoteReference"/>
        </w:rPr>
        <w:footnoteRef/>
      </w:r>
      <w:r>
        <w:t xml:space="preserve"> </w:t>
      </w:r>
      <w:r>
        <w:t xml:space="preserve">Diamond 2006, PMID 16839319.</w:t>
      </w:r>
    </w:p>
  </w:footnote>
  <w:footnote w:id="1980">
    <w:p>
      <w:pPr>
        <w:pStyle w:val="FootnoteText"/>
      </w:pPr>
      <w:r>
        <w:rPr>
          <w:rStyle w:val="FootnoteReference"/>
        </w:rPr>
        <w:footnoteRef/>
      </w:r>
      <w:r>
        <w:t xml:space="preserve"> </w:t>
      </w:r>
      <w:r>
        <w:t xml:space="preserve">Clayton 2016, PMID 27181790; NCT01382719.</w:t>
      </w:r>
    </w:p>
  </w:footnote>
  <w:footnote w:id="1981">
    <w:p>
      <w:pPr>
        <w:pStyle w:val="FootnoteText"/>
      </w:pPr>
      <w:r>
        <w:rPr>
          <w:rStyle w:val="FootnoteReference"/>
        </w:rPr>
        <w:footnoteRef/>
      </w:r>
      <w:r>
        <w:t xml:space="preserve"> </w:t>
      </w:r>
      <w:r>
        <w:t xml:space="preserve">Althof 2019, PMID 31277966.</w:t>
      </w:r>
    </w:p>
  </w:footnote>
  <w:footnote w:id="1983">
    <w:p>
      <w:pPr>
        <w:pStyle w:val="FootnoteText"/>
      </w:pPr>
      <w:r>
        <w:rPr>
          <w:rStyle w:val="FootnoteReference"/>
        </w:rPr>
        <w:footnoteRef/>
      </w:r>
      <w:r>
        <w:t xml:space="preserve"> </w:t>
      </w:r>
      <w:r>
        <w:t xml:space="preserve">NCT02333071, NCT02338960.</w:t>
      </w:r>
    </w:p>
  </w:footnote>
  <w:footnote w:id="1984">
    <w:p>
      <w:pPr>
        <w:pStyle w:val="FootnoteText"/>
      </w:pPr>
      <w:r>
        <w:rPr>
          <w:rStyle w:val="FootnoteReference"/>
        </w:rPr>
        <w:footnoteRef/>
      </w:r>
      <w:r>
        <w:t xml:space="preserve"> </w:t>
      </w:r>
      <w:r>
        <w:t xml:space="preserve">Kingsberg 2019, PMID 31599840.</w:t>
      </w:r>
    </w:p>
  </w:footnote>
  <w:footnote w:id="1985">
    <w:p>
      <w:pPr>
        <w:pStyle w:val="FootnoteText"/>
      </w:pPr>
      <w:r>
        <w:rPr>
          <w:rStyle w:val="FootnoteReference"/>
        </w:rPr>
        <w:footnoteRef/>
      </w:r>
      <w:r>
        <w:t xml:space="preserve"> </w:t>
      </w:r>
      <w:r>
        <w:t xml:space="preserve">Koochaki 2021, PMID 33538638.</w:t>
      </w:r>
    </w:p>
  </w:footnote>
  <w:footnote w:id="1987">
    <w:p>
      <w:pPr>
        <w:pStyle w:val="FootnoteText"/>
      </w:pPr>
      <w:r>
        <w:rPr>
          <w:rStyle w:val="FootnoteReference"/>
        </w:rPr>
        <w:footnoteRef/>
      </w:r>
      <w:r>
        <w:t xml:space="preserve"> </w:t>
      </w:r>
      <w:r>
        <w:t xml:space="preserve">Spielmans 2021, PMID 33678061.</w:t>
      </w:r>
    </w:p>
  </w:footnote>
  <w:footnote w:id="1988">
    <w:p>
      <w:pPr>
        <w:pStyle w:val="FootnoteText"/>
      </w:pPr>
      <w:r>
        <w:rPr>
          <w:rStyle w:val="FootnoteReference"/>
        </w:rPr>
        <w:footnoteRef/>
      </w:r>
      <w:r>
        <w:t xml:space="preserve"> </w:t>
      </w:r>
      <w:r>
        <w:t xml:space="preserve">Clayton 2022, PMID 35147466.</w:t>
      </w:r>
    </w:p>
  </w:footnote>
  <w:footnote w:id="1990">
    <w:p>
      <w:pPr>
        <w:pStyle w:val="FootnoteText"/>
      </w:pPr>
      <w:r>
        <w:rPr>
          <w:rStyle w:val="FootnoteReference"/>
        </w:rPr>
        <w:footnoteRef/>
      </w:r>
      <w:r>
        <w:t xml:space="preserve"> </w:t>
      </w:r>
      <w:r>
        <w:t xml:space="preserve">Weinberger 2018, PMID 29995725.</w:t>
      </w:r>
    </w:p>
  </w:footnote>
  <w:footnote w:id="1991">
    <w:p>
      <w:pPr>
        <w:pStyle w:val="FootnoteText"/>
      </w:pPr>
      <w:r>
        <w:rPr>
          <w:rStyle w:val="FootnoteReference"/>
        </w:rPr>
        <w:footnoteRef/>
      </w:r>
      <w:r>
        <w:t xml:space="preserve"> </w:t>
      </w:r>
      <w:r>
        <w:t xml:space="preserve">Toledo 2026, PMID 40543759.</w:t>
      </w:r>
    </w:p>
  </w:footnote>
  <w:footnote w:id="1992">
    <w:p>
      <w:pPr>
        <w:pStyle w:val="FootnoteText"/>
      </w:pPr>
      <w:r>
        <w:rPr>
          <w:rStyle w:val="FootnoteReference"/>
        </w:rPr>
        <w:footnoteRef/>
      </w:r>
      <w:r>
        <w:t xml:space="preserve"> </w:t>
      </w:r>
      <w:r>
        <w:t xml:space="preserve">Ashour 2026, PMID 42254382.</w:t>
      </w:r>
    </w:p>
  </w:footnote>
  <w:footnote w:id="1994">
    <w:p>
      <w:pPr>
        <w:pStyle w:val="FootnoteText"/>
      </w:pPr>
      <w:r>
        <w:rPr>
          <w:rStyle w:val="FootnoteReference"/>
        </w:rPr>
        <w:footnoteRef/>
      </w:r>
      <w:r>
        <w:t xml:space="preserve"> </w:t>
      </w:r>
      <w:r>
        <w:t xml:space="preserve">Clayton 2017, PMID 28189361.</w:t>
      </w:r>
    </w:p>
  </w:footnote>
  <w:footnote w:id="1995">
    <w:p>
      <w:pPr>
        <w:pStyle w:val="FootnoteText"/>
      </w:pPr>
      <w:r>
        <w:rPr>
          <w:rStyle w:val="FootnoteReference"/>
        </w:rPr>
        <w:footnoteRef/>
      </w:r>
      <w:r>
        <w:t xml:space="preserve"> </w:t>
      </w:r>
      <w:r>
        <w:t xml:space="preserve">Spana 2022, PMID 35170192.</w:t>
      </w:r>
    </w:p>
  </w:footnote>
  <w:footnote w:id="1996">
    <w:p>
      <w:pPr>
        <w:pStyle w:val="FootnoteText"/>
      </w:pPr>
      <w:r>
        <w:rPr>
          <w:rStyle w:val="FootnoteReference"/>
        </w:rPr>
        <w:footnoteRef/>
      </w:r>
      <w:r>
        <w:t xml:space="preserve"> </w:t>
      </w:r>
      <w:r>
        <w:t xml:space="preserve">Thurston 2022, PMID 36189794; NCT04179734.</w:t>
      </w:r>
    </w:p>
  </w:footnote>
  <w:footnote w:id="1999">
    <w:p>
      <w:pPr>
        <w:pStyle w:val="FootnoteText"/>
      </w:pPr>
      <w:r>
        <w:rPr>
          <w:rStyle w:val="FootnoteReference"/>
        </w:rPr>
        <w:footnoteRef/>
      </w:r>
      <w:r>
        <w:t xml:space="preserve"> </w:t>
      </w:r>
      <w:r>
        <w:t xml:space="preserve">Pfaus 2022, PMID 33455598.</w:t>
      </w:r>
    </w:p>
  </w:footnote>
  <w:footnote w:id="2000">
    <w:p>
      <w:pPr>
        <w:pStyle w:val="FootnoteText"/>
      </w:pPr>
      <w:r>
        <w:rPr>
          <w:rStyle w:val="FootnoteReference"/>
        </w:rPr>
        <w:footnoteRef/>
      </w:r>
      <w:r>
        <w:t xml:space="preserve"> </w:t>
      </w:r>
      <w:r>
        <w:t xml:space="preserve">Borland 2025, PMID 39793696.</w:t>
      </w:r>
    </w:p>
  </w:footnote>
  <w:footnote w:id="2001">
    <w:p>
      <w:pPr>
        <w:pStyle w:val="FootnoteText"/>
      </w:pPr>
      <w:r>
        <w:rPr>
          <w:rStyle w:val="FootnoteReference"/>
        </w:rPr>
        <w:footnoteRef/>
      </w:r>
      <w:r>
        <w:t xml:space="preserve"> </w:t>
      </w:r>
      <w:r>
        <w:t xml:space="preserve">Suzuki 2024, PMID 39197897.</w:t>
      </w:r>
    </w:p>
  </w:footnote>
  <w:footnote w:id="2003">
    <w:p>
      <w:pPr>
        <w:pStyle w:val="FootnoteText"/>
      </w:pPr>
      <w:r>
        <w:rPr>
          <w:rStyle w:val="FootnoteReference"/>
        </w:rPr>
        <w:footnoteRef/>
      </w:r>
      <w:r>
        <w:t xml:space="preserve"> </w:t>
      </w:r>
      <w:r>
        <w:t xml:space="preserve">Clayton 2022, PMID 35147466.</w:t>
      </w:r>
    </w:p>
  </w:footnote>
  <w:footnote w:id="2004">
    <w:p>
      <w:pPr>
        <w:pStyle w:val="FootnoteText"/>
      </w:pPr>
      <w:r>
        <w:rPr>
          <w:rStyle w:val="FootnoteReference"/>
        </w:rPr>
        <w:footnoteRef/>
      </w:r>
      <w:r>
        <w:t xml:space="preserve"> </w:t>
      </w:r>
      <w:r>
        <w:t xml:space="preserve">NCT03973047.</w:t>
      </w:r>
    </w:p>
  </w:footnote>
  <w:footnote w:id="2005">
    <w:p>
      <w:pPr>
        <w:pStyle w:val="FootnoteText"/>
      </w:pPr>
      <w:r>
        <w:rPr>
          <w:rStyle w:val="FootnoteReference"/>
        </w:rPr>
        <w:footnoteRef/>
      </w:r>
      <w:r>
        <w:t xml:space="preserve"> </w:t>
      </w:r>
      <w:r>
        <w:t xml:space="preserve">White 2017, PMID 27977473.</w:t>
      </w:r>
    </w:p>
  </w:footnote>
  <w:footnote w:id="2006">
    <w:p>
      <w:pPr>
        <w:pStyle w:val="FootnoteText"/>
      </w:pPr>
      <w:r>
        <w:rPr>
          <w:rStyle w:val="FootnoteReference"/>
        </w:rPr>
        <w:footnoteRef/>
      </w:r>
      <w:r>
        <w:t xml:space="preserve"> </w:t>
      </w:r>
      <w:r>
        <w:t xml:space="preserve">Clayton 2022, PMID 35147466.</w:t>
      </w:r>
    </w:p>
  </w:footnote>
  <w:footnote w:id="2007">
    <w:p>
      <w:pPr>
        <w:pStyle w:val="FootnoteText"/>
      </w:pPr>
      <w:r>
        <w:rPr>
          <w:rStyle w:val="FootnoteReference"/>
        </w:rPr>
        <w:footnoteRef/>
      </w:r>
      <w:r>
        <w:t xml:space="preserve"> </w:t>
      </w:r>
      <w:r>
        <w:t xml:space="preserve">Clayton 2022, PMID 35147466.</w:t>
      </w:r>
    </w:p>
  </w:footnote>
  <w:footnote w:id="2009">
    <w:p>
      <w:pPr>
        <w:pStyle w:val="FootnoteText"/>
      </w:pPr>
      <w:r>
        <w:rPr>
          <w:rStyle w:val="FootnoteReference"/>
        </w:rPr>
        <w:footnoteRef/>
      </w:r>
      <w:r>
        <w:t xml:space="preserve"> </w:t>
      </w:r>
      <w:r>
        <w:t xml:space="preserve">NCT06867835.</w:t>
      </w:r>
    </w:p>
  </w:footnote>
  <w:footnote w:id="2011">
    <w:p>
      <w:pPr>
        <w:pStyle w:val="FootnoteText"/>
      </w:pPr>
      <w:r>
        <w:rPr>
          <w:rStyle w:val="FootnoteReference"/>
        </w:rPr>
        <w:footnoteRef/>
      </w:r>
      <w:r>
        <w:t xml:space="preserve"> </w:t>
      </w:r>
      <w:r>
        <w:t xml:space="preserve">Mestria 2021, PMID 33245851.</w:t>
      </w:r>
    </w:p>
  </w:footnote>
  <w:footnote w:id="2014">
    <w:p>
      <w:pPr>
        <w:pStyle w:val="FootnoteText"/>
      </w:pPr>
      <w:r>
        <w:rPr>
          <w:rStyle w:val="FootnoteReference"/>
        </w:rPr>
        <w:footnoteRef/>
      </w:r>
      <w:r>
        <w:t xml:space="preserve"> </w:t>
      </w:r>
      <w:r>
        <w:t xml:space="preserve">NCT04943068.</w:t>
      </w:r>
    </w:p>
  </w:footnote>
  <w:footnote w:id="2016">
    <w:p>
      <w:pPr>
        <w:pStyle w:val="FootnoteText"/>
      </w:pPr>
      <w:r>
        <w:rPr>
          <w:rStyle w:val="FootnoteReference"/>
        </w:rPr>
        <w:footnoteRef/>
      </w:r>
      <w:r>
        <w:t xml:space="preserve"> </w:t>
      </w:r>
      <w:r>
        <w:t xml:space="preserve">NCT06565611.</w:t>
      </w:r>
    </w:p>
  </w:footnote>
  <w:footnote w:id="2017">
    <w:p>
      <w:pPr>
        <w:pStyle w:val="FootnoteText"/>
      </w:pPr>
      <w:r>
        <w:rPr>
          <w:rStyle w:val="FootnoteReference"/>
        </w:rPr>
        <w:footnoteRef/>
      </w:r>
      <w:r>
        <w:t xml:space="preserve"> </w:t>
      </w:r>
      <w:r>
        <w:t xml:space="preserve">NCT05709444.</w:t>
      </w:r>
    </w:p>
  </w:footnote>
  <w:footnote w:id="2018">
    <w:p>
      <w:pPr>
        <w:pStyle w:val="FootnoteText"/>
      </w:pPr>
      <w:r>
        <w:rPr>
          <w:rStyle w:val="FootnoteReference"/>
        </w:rPr>
        <w:footnoteRef/>
      </w:r>
      <w:r>
        <w:t xml:space="preserve"> </w:t>
      </w:r>
      <w:r>
        <w:t xml:space="preserve">NCT06867835.</w:t>
      </w:r>
    </w:p>
  </w:footnote>
  <w:footnote w:id="2022">
    <w:p>
      <w:pPr>
        <w:pStyle w:val="FootnoteText"/>
      </w:pPr>
      <w:r>
        <w:rPr>
          <w:rStyle w:val="FootnoteReference"/>
        </w:rPr>
        <w:footnoteRef/>
      </w:r>
      <w:r>
        <w:t xml:space="preserve"> </w:t>
      </w:r>
      <w:r>
        <w:t xml:space="preserve">Dorr 1996, PMID 8637402.</w:t>
      </w:r>
    </w:p>
  </w:footnote>
  <w:footnote w:id="2023">
    <w:p>
      <w:pPr>
        <w:pStyle w:val="FootnoteText"/>
      </w:pPr>
      <w:r>
        <w:rPr>
          <w:rStyle w:val="FootnoteReference"/>
        </w:rPr>
        <w:footnoteRef/>
      </w:r>
      <w:r>
        <w:t xml:space="preserve"> </w:t>
      </w:r>
      <w:r>
        <w:t xml:space="preserve">Hadley 2006, PMID 16412534.</w:t>
      </w:r>
    </w:p>
  </w:footnote>
  <w:footnote w:id="2025">
    <w:p>
      <w:pPr>
        <w:pStyle w:val="FootnoteText"/>
      </w:pPr>
      <w:r>
        <w:rPr>
          <w:rStyle w:val="FootnoteReference"/>
        </w:rPr>
        <w:footnoteRef/>
      </w:r>
      <w:r>
        <w:t xml:space="preserve"> </w:t>
      </w:r>
      <w:r>
        <w:t xml:space="preserve">Langan 2011, PMID 21547334.</w:t>
      </w:r>
    </w:p>
  </w:footnote>
  <w:footnote w:id="2027">
    <w:p>
      <w:pPr>
        <w:pStyle w:val="FootnoteText"/>
      </w:pPr>
      <w:r>
        <w:rPr>
          <w:rStyle w:val="FootnoteReference"/>
        </w:rPr>
        <w:footnoteRef/>
      </w:r>
      <w:r>
        <w:t xml:space="preserve"> </w:t>
      </w:r>
      <w:r>
        <w:t xml:space="preserve">Dorr 1996, PMID 8637402.</w:t>
      </w:r>
    </w:p>
  </w:footnote>
  <w:footnote w:id="2028">
    <w:p>
      <w:pPr>
        <w:pStyle w:val="FootnoteText"/>
      </w:pPr>
      <w:r>
        <w:rPr>
          <w:rStyle w:val="FootnoteReference"/>
        </w:rPr>
        <w:footnoteRef/>
      </w:r>
      <w:r>
        <w:t xml:space="preserve"> </w:t>
      </w:r>
      <w:r>
        <w:t xml:space="preserve">Wessells 1998, PMID 9679884; Wessells 2000, PMID 11018622.</w:t>
      </w:r>
    </w:p>
  </w:footnote>
  <w:footnote w:id="2029">
    <w:p>
      <w:pPr>
        <w:pStyle w:val="FootnoteText"/>
      </w:pPr>
      <w:r>
        <w:rPr>
          <w:rStyle w:val="FootnoteReference"/>
        </w:rPr>
        <w:footnoteRef/>
      </w:r>
      <w:r>
        <w:t xml:space="preserve"> </w:t>
      </w:r>
      <w:r>
        <w:t xml:space="preserve">Wessells 2000, PMID 11035391.</w:t>
      </w:r>
    </w:p>
  </w:footnote>
  <w:footnote w:id="2031">
    <w:p>
      <w:pPr>
        <w:pStyle w:val="FootnoteText"/>
      </w:pPr>
      <w:r>
        <w:rPr>
          <w:rStyle w:val="FootnoteReference"/>
        </w:rPr>
        <w:footnoteRef/>
      </w:r>
      <w:r>
        <w:t xml:space="preserve"> </w:t>
      </w:r>
      <w:r>
        <w:t xml:space="preserve">Dorr 2000, PMID 11045725.</w:t>
      </w:r>
    </w:p>
  </w:footnote>
  <w:footnote w:id="2032">
    <w:p>
      <w:pPr>
        <w:pStyle w:val="FootnoteText"/>
      </w:pPr>
      <w:r>
        <w:rPr>
          <w:rStyle w:val="FootnoteReference"/>
        </w:rPr>
        <w:footnoteRef/>
      </w:r>
      <w:r>
        <w:t xml:space="preserve"> </w:t>
      </w:r>
      <w:r>
        <w:t xml:space="preserve">Dorr 2004, PMID 15262693.</w:t>
      </w:r>
    </w:p>
  </w:footnote>
  <w:footnote w:id="2034">
    <w:p>
      <w:pPr>
        <w:pStyle w:val="FootnoteText"/>
      </w:pPr>
      <w:r>
        <w:rPr>
          <w:rStyle w:val="FootnoteReference"/>
        </w:rPr>
        <w:footnoteRef/>
      </w:r>
      <w:r>
        <w:t xml:space="preserve"> </w:t>
      </w:r>
      <w:r>
        <w:t xml:space="preserve">Evans-Brown 2009, PMID 19224885.</w:t>
      </w:r>
    </w:p>
  </w:footnote>
  <w:footnote w:id="2035">
    <w:p>
      <w:pPr>
        <w:pStyle w:val="FootnoteText"/>
      </w:pPr>
      <w:r>
        <w:rPr>
          <w:rStyle w:val="FootnoteReference"/>
        </w:rPr>
        <w:footnoteRef/>
      </w:r>
      <w:r>
        <w:t xml:space="preserve"> </w:t>
      </w:r>
      <w:r>
        <w:t xml:space="preserve">Brennan 2017, PMID 26806443.</w:t>
      </w:r>
    </w:p>
  </w:footnote>
  <w:footnote w:id="2036">
    <w:p>
      <w:pPr>
        <w:pStyle w:val="FootnoteText"/>
      </w:pPr>
      <w:r>
        <w:rPr>
          <w:rStyle w:val="FootnoteReference"/>
        </w:rPr>
        <w:footnoteRef/>
      </w:r>
      <w:r>
        <w:t xml:space="preserve"> </w:t>
      </w:r>
      <w:r>
        <w:t xml:space="preserve">Gilhooley 2021, PMID 34464955.</w:t>
      </w:r>
    </w:p>
  </w:footnote>
  <w:footnote w:id="2037">
    <w:p>
      <w:pPr>
        <w:pStyle w:val="FootnoteText"/>
      </w:pPr>
      <w:r>
        <w:rPr>
          <w:rStyle w:val="FootnoteReference"/>
        </w:rPr>
        <w:footnoteRef/>
      </w:r>
      <w:r>
        <w:t xml:space="preserve"> </w:t>
      </w:r>
      <w:r>
        <w:t xml:space="preserve">Callaghan 2018, PMID 30142729.</w:t>
      </w:r>
    </w:p>
  </w:footnote>
  <w:footnote w:id="2038">
    <w:p>
      <w:pPr>
        <w:pStyle w:val="FootnoteText"/>
      </w:pPr>
      <w:r>
        <w:rPr>
          <w:rStyle w:val="FootnoteReference"/>
        </w:rPr>
        <w:footnoteRef/>
      </w:r>
      <w:r>
        <w:t xml:space="preserve"> </w:t>
      </w:r>
      <w:r>
        <w:t xml:space="preserve">Orr 2025, PMID 38808957; Herlihy 2025, PMID 39148422; Sidhu 2026, PMID 41559011.</w:t>
      </w:r>
    </w:p>
  </w:footnote>
  <w:footnote w:id="2041">
    <w:p>
      <w:pPr>
        <w:pStyle w:val="FootnoteText"/>
      </w:pPr>
      <w:r>
        <w:rPr>
          <w:rStyle w:val="FootnoteReference"/>
        </w:rPr>
        <w:footnoteRef/>
      </w:r>
      <w:r>
        <w:t xml:space="preserve"> </w:t>
      </w:r>
      <w:r>
        <w:t xml:space="preserve">Strader 2007, PMID 17567964.</w:t>
      </w:r>
    </w:p>
  </w:footnote>
  <w:footnote w:id="2042">
    <w:p>
      <w:pPr>
        <w:pStyle w:val="FootnoteText"/>
      </w:pPr>
      <w:r>
        <w:rPr>
          <w:rStyle w:val="FootnoteReference"/>
        </w:rPr>
        <w:footnoteRef/>
      </w:r>
      <w:r>
        <w:t xml:space="preserve"> </w:t>
      </w:r>
      <w:r>
        <w:t xml:space="preserve">Jain 2018, PMID 29812984.</w:t>
      </w:r>
    </w:p>
  </w:footnote>
  <w:footnote w:id="2043">
    <w:p>
      <w:pPr>
        <w:pStyle w:val="FootnoteText"/>
      </w:pPr>
      <w:r>
        <w:rPr>
          <w:rStyle w:val="FootnoteReference"/>
        </w:rPr>
        <w:footnoteRef/>
      </w:r>
      <w:r>
        <w:t xml:space="preserve"> </w:t>
      </w:r>
      <w:r>
        <w:t xml:space="preserve">Minakova 2019, PMID 30629642.</w:t>
      </w:r>
    </w:p>
  </w:footnote>
  <w:footnote w:id="2045">
    <w:p>
      <w:pPr>
        <w:pStyle w:val="FootnoteText"/>
      </w:pPr>
      <w:r>
        <w:rPr>
          <w:rStyle w:val="FootnoteReference"/>
        </w:rPr>
        <w:footnoteRef/>
      </w:r>
      <w:r>
        <w:t xml:space="preserve"> </w:t>
      </w:r>
      <w:r>
        <w:t xml:space="preserve">Dorr 1996, PMID 8637402; Wessells 2000, PMID 11035391.</w:t>
      </w:r>
    </w:p>
  </w:footnote>
  <w:footnote w:id="2046">
    <w:p>
      <w:pPr>
        <w:pStyle w:val="FootnoteText"/>
      </w:pPr>
      <w:r>
        <w:rPr>
          <w:rStyle w:val="FootnoteReference"/>
        </w:rPr>
        <w:footnoteRef/>
      </w:r>
      <w:r>
        <w:t xml:space="preserve"> </w:t>
      </w:r>
      <w:r>
        <w:t xml:space="preserve">Paurobally 2013, PMID 22182016.</w:t>
      </w:r>
    </w:p>
  </w:footnote>
  <w:footnote w:id="2047">
    <w:p>
      <w:pPr>
        <w:pStyle w:val="FootnoteText"/>
      </w:pPr>
      <w:r>
        <w:rPr>
          <w:rStyle w:val="FootnoteReference"/>
        </w:rPr>
        <w:footnoteRef/>
      </w:r>
      <w:r>
        <w:t xml:space="preserve"> </w:t>
      </w:r>
      <w:r>
        <w:t xml:space="preserve">Bonchev 2026, PMID 41752902.</w:t>
      </w:r>
    </w:p>
  </w:footnote>
  <w:footnote w:id="2048">
    <w:p>
      <w:pPr>
        <w:pStyle w:val="FootnoteText"/>
      </w:pPr>
      <w:r>
        <w:rPr>
          <w:rStyle w:val="FootnoteReference"/>
        </w:rPr>
        <w:footnoteRef/>
      </w:r>
      <w:r>
        <w:t xml:space="preserve"> </w:t>
      </w:r>
      <w:r>
        <w:t xml:space="preserve">Ume 2026, PMID 42212476.</w:t>
      </w:r>
    </w:p>
  </w:footnote>
  <w:footnote w:id="2050">
    <w:p>
      <w:pPr>
        <w:pStyle w:val="FootnoteText"/>
      </w:pPr>
      <w:r>
        <w:rPr>
          <w:rStyle w:val="FootnoteReference"/>
        </w:rPr>
        <w:footnoteRef/>
      </w:r>
      <w:r>
        <w:t xml:space="preserve"> </w:t>
      </w:r>
      <w:r>
        <w:t xml:space="preserve">Cousen 2009, PMID 19575725; Thestrup-Pedersen 2011, PMID 21453640.</w:t>
      </w:r>
    </w:p>
  </w:footnote>
  <w:footnote w:id="2051">
    <w:p>
      <w:pPr>
        <w:pStyle w:val="FootnoteText"/>
      </w:pPr>
      <w:r>
        <w:rPr>
          <w:rStyle w:val="FootnoteReference"/>
        </w:rPr>
        <w:footnoteRef/>
      </w:r>
      <w:r>
        <w:t xml:space="preserve"> </w:t>
      </w:r>
      <w:r>
        <w:t xml:space="preserve">Reid 2013, PMID 23914578.</w:t>
      </w:r>
    </w:p>
  </w:footnote>
  <w:footnote w:id="2052">
    <w:p>
      <w:pPr>
        <w:pStyle w:val="FootnoteText"/>
      </w:pPr>
      <w:r>
        <w:rPr>
          <w:rStyle w:val="FootnoteReference"/>
        </w:rPr>
        <w:footnoteRef/>
      </w:r>
      <w:r>
        <w:t xml:space="preserve"> </w:t>
      </w:r>
      <w:r>
        <w:t xml:space="preserve">Paurobally 2011, PMID 21564053; Ong 2012, PMID 22724573.</w:t>
      </w:r>
    </w:p>
  </w:footnote>
  <w:footnote w:id="2053">
    <w:p>
      <w:pPr>
        <w:pStyle w:val="FootnoteText"/>
      </w:pPr>
      <w:r>
        <w:rPr>
          <w:rStyle w:val="FootnoteReference"/>
        </w:rPr>
        <w:footnoteRef/>
      </w:r>
      <w:r>
        <w:t xml:space="preserve"> </w:t>
      </w:r>
      <w:r>
        <w:t xml:space="preserve">Hjuler 2014, PMID 24355990.</w:t>
      </w:r>
    </w:p>
  </w:footnote>
  <w:footnote w:id="2054">
    <w:p>
      <w:pPr>
        <w:pStyle w:val="FootnoteText"/>
      </w:pPr>
      <w:r>
        <w:rPr>
          <w:rStyle w:val="FootnoteReference"/>
        </w:rPr>
        <w:footnoteRef/>
      </w:r>
      <w:r>
        <w:t xml:space="preserve"> </w:t>
      </w:r>
      <w:r>
        <w:t xml:space="preserve">Yassin Alsabbagh 2025, PMID 40210573.</w:t>
      </w:r>
    </w:p>
  </w:footnote>
  <w:footnote w:id="2055">
    <w:p>
      <w:pPr>
        <w:pStyle w:val="FootnoteText"/>
      </w:pPr>
      <w:r>
        <w:rPr>
          <w:rStyle w:val="FootnoteReference"/>
        </w:rPr>
        <w:footnoteRef/>
      </w:r>
      <w:r>
        <w:t xml:space="preserve"> </w:t>
      </w:r>
      <w:r>
        <w:t xml:space="preserve">Burian 2019, PMID 31119650.</w:t>
      </w:r>
    </w:p>
  </w:footnote>
  <w:footnote w:id="2056">
    <w:p>
      <w:pPr>
        <w:pStyle w:val="FootnoteText"/>
      </w:pPr>
      <w:r>
        <w:rPr>
          <w:rStyle w:val="FootnoteReference"/>
        </w:rPr>
        <w:footnoteRef/>
      </w:r>
      <w:r>
        <w:t xml:space="preserve"> </w:t>
      </w:r>
      <w:r>
        <w:t xml:space="preserve">Habbema 2017, PMID 28266027.</w:t>
      </w:r>
    </w:p>
  </w:footnote>
  <w:footnote w:id="2058">
    <w:p>
      <w:pPr>
        <w:pStyle w:val="FootnoteText"/>
      </w:pPr>
      <w:r>
        <w:rPr>
          <w:rStyle w:val="FootnoteReference"/>
        </w:rPr>
        <w:footnoteRef/>
      </w:r>
      <w:r>
        <w:t xml:space="preserve"> </w:t>
      </w:r>
      <w:r>
        <w:t xml:space="preserve">Devlin 2013, PMID 23537392; Dreyer 2019, PMID 30796078.</w:t>
      </w:r>
    </w:p>
  </w:footnote>
  <w:footnote w:id="2059">
    <w:p>
      <w:pPr>
        <w:pStyle w:val="FootnoteText"/>
      </w:pPr>
      <w:r>
        <w:rPr>
          <w:rStyle w:val="FootnoteReference"/>
        </w:rPr>
        <w:footnoteRef/>
      </w:r>
      <w:r>
        <w:t xml:space="preserve"> </w:t>
      </w:r>
      <w:r>
        <w:t xml:space="preserve">Mallory 2021, PMID 33460908.</w:t>
      </w:r>
    </w:p>
  </w:footnote>
  <w:footnote w:id="2060">
    <w:p>
      <w:pPr>
        <w:pStyle w:val="FootnoteText"/>
      </w:pPr>
      <w:r>
        <w:rPr>
          <w:rStyle w:val="FootnoteReference"/>
        </w:rPr>
        <w:footnoteRef/>
      </w:r>
      <w:r>
        <w:t xml:space="preserve"> </w:t>
      </w:r>
      <w:r>
        <w:t xml:space="preserve">Dreyer 2019, PMID 30796078.</w:t>
      </w:r>
    </w:p>
  </w:footnote>
  <w:footnote w:id="2061">
    <w:p>
      <w:pPr>
        <w:pStyle w:val="FootnoteText"/>
      </w:pPr>
      <w:r>
        <w:rPr>
          <w:rStyle w:val="FootnoteReference"/>
        </w:rPr>
        <w:footnoteRef/>
      </w:r>
      <w:r>
        <w:t xml:space="preserve"> </w:t>
      </w:r>
      <w:r>
        <w:t xml:space="preserve">Nelson 2012, PMID 23121206.</w:t>
      </w:r>
    </w:p>
  </w:footnote>
  <w:footnote w:id="2062">
    <w:p>
      <w:pPr>
        <w:pStyle w:val="FootnoteText"/>
      </w:pPr>
      <w:r>
        <w:rPr>
          <w:rStyle w:val="FootnoteReference"/>
        </w:rPr>
        <w:footnoteRef/>
      </w:r>
      <w:r>
        <w:t xml:space="preserve"> </w:t>
      </w:r>
      <w:r>
        <w:t xml:space="preserve">Peters 2020, PMID 31953620.</w:t>
      </w:r>
    </w:p>
  </w:footnote>
  <w:footnote w:id="2063">
    <w:p>
      <w:pPr>
        <w:pStyle w:val="FootnoteText"/>
      </w:pPr>
      <w:r>
        <w:rPr>
          <w:rStyle w:val="FootnoteReference"/>
        </w:rPr>
        <w:footnoteRef/>
      </w:r>
      <w:r>
        <w:t xml:space="preserve"> </w:t>
      </w:r>
      <w:r>
        <w:t xml:space="preserve">Kaski 2013, PMID 23648958.</w:t>
      </w:r>
    </w:p>
  </w:footnote>
  <w:footnote w:id="2064">
    <w:p>
      <w:pPr>
        <w:pStyle w:val="FootnoteText"/>
      </w:pPr>
      <w:r>
        <w:rPr>
          <w:rStyle w:val="FootnoteReference"/>
        </w:rPr>
        <w:footnoteRef/>
      </w:r>
      <w:r>
        <w:t xml:space="preserve"> </w:t>
      </w:r>
      <w:r>
        <w:t xml:space="preserve">Dickson 2025, PMID 41487785.</w:t>
      </w:r>
    </w:p>
  </w:footnote>
  <w:footnote w:id="2066">
    <w:p>
      <w:pPr>
        <w:pStyle w:val="FootnoteText"/>
      </w:pPr>
      <w:r>
        <w:rPr>
          <w:rStyle w:val="FootnoteReference"/>
        </w:rPr>
        <w:footnoteRef/>
      </w:r>
      <w:r>
        <w:t xml:space="preserve"> </w:t>
      </w:r>
      <w:r>
        <w:t xml:space="preserve">Breindahl 2015, PMID 24771717.</w:t>
      </w:r>
    </w:p>
  </w:footnote>
  <w:footnote w:id="2067">
    <w:p>
      <w:pPr>
        <w:pStyle w:val="FootnoteText"/>
      </w:pPr>
      <w:r>
        <w:rPr>
          <w:rStyle w:val="FootnoteReference"/>
        </w:rPr>
        <w:footnoteRef/>
      </w:r>
      <w:r>
        <w:t xml:space="preserve"> </w:t>
      </w:r>
      <w:r>
        <w:t xml:space="preserve">Deville 2024, PMID 39302005.</w:t>
      </w:r>
    </w:p>
  </w:footnote>
  <w:footnote w:id="2068">
    <w:p>
      <w:pPr>
        <w:pStyle w:val="FootnoteText"/>
      </w:pPr>
      <w:r>
        <w:rPr>
          <w:rStyle w:val="FootnoteReference"/>
        </w:rPr>
        <w:footnoteRef/>
      </w:r>
      <w:r>
        <w:t xml:space="preserve"> </w:t>
      </w:r>
      <w:r>
        <w:t xml:space="preserve">Gilhooley 2021, PMID 34464955.</w:t>
      </w:r>
    </w:p>
  </w:footnote>
  <w:footnote w:id="2071">
    <w:p>
      <w:pPr>
        <w:pStyle w:val="FootnoteText"/>
      </w:pPr>
      <w:r>
        <w:rPr>
          <w:rStyle w:val="FootnoteReference"/>
        </w:rPr>
        <w:footnoteRef/>
      </w:r>
      <w:r>
        <w:t xml:space="preserve"> </w:t>
      </w:r>
      <w:r>
        <w:t xml:space="preserve">Habbema 2017, PMID 28266027.</w:t>
      </w:r>
    </w:p>
  </w:footnote>
  <w:footnote w:id="2072">
    <w:p>
      <w:pPr>
        <w:pStyle w:val="FootnoteText"/>
      </w:pPr>
      <w:r>
        <w:rPr>
          <w:rStyle w:val="FootnoteReference"/>
        </w:rPr>
        <w:footnoteRef/>
      </w:r>
      <w:r>
        <w:t xml:space="preserve"> </w:t>
      </w:r>
      <w:r>
        <w:t xml:space="preserve">Yassin Alsabbagh 2025, PMID 40210573.</w:t>
      </w:r>
    </w:p>
  </w:footnote>
  <w:footnote w:id="2077">
    <w:p>
      <w:pPr>
        <w:pStyle w:val="FootnoteText"/>
      </w:pPr>
      <w:r>
        <w:rPr>
          <w:rStyle w:val="FootnoteReference"/>
        </w:rPr>
        <w:footnoteRef/>
      </w:r>
      <w:r>
        <w:t xml:space="preserve"> </w:t>
      </w:r>
      <w:r>
        <w:t xml:space="preserve">Hadley 2006, PMID 16412534.</w:t>
      </w:r>
    </w:p>
  </w:footnote>
  <w:footnote w:id="2078">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Homey 2025, PMID 40082741.</w:t>
      </w:r>
    </w:p>
  </w:footnote>
  <w:footnote w:id="2081">
    <w:p>
      <w:pPr>
        <w:pStyle w:val="FootnoteText"/>
      </w:pPr>
      <w:r>
        <w:rPr>
          <w:rStyle w:val="FootnoteReference"/>
        </w:rPr>
        <w:footnoteRef/>
      </w:r>
      <w:r>
        <w:t xml:space="preserve"> </w:t>
      </w:r>
      <w:r>
        <w:t xml:space="preserve">Minder 2023, PMID 37109595.</w:t>
      </w:r>
    </w:p>
  </w:footnote>
  <w:footnote w:id="2083">
    <w:p>
      <w:pPr>
        <w:pStyle w:val="FootnoteText"/>
      </w:pPr>
      <w:r>
        <w:rPr>
          <w:rStyle w:val="FootnoteReference"/>
        </w:rPr>
        <w:footnoteRef/>
      </w:r>
      <w:r>
        <w:t xml:space="preserve"> </w:t>
      </w:r>
      <w:r>
        <w:t xml:space="preserve">Dorr 2000, PMID 11045725.</w:t>
      </w:r>
    </w:p>
  </w:footnote>
  <w:footnote w:id="2084">
    <w:p>
      <w:pPr>
        <w:pStyle w:val="FootnoteText"/>
      </w:pPr>
      <w:r>
        <w:rPr>
          <w:rStyle w:val="FootnoteReference"/>
        </w:rPr>
        <w:footnoteRef/>
      </w:r>
      <w:r>
        <w:t xml:space="preserve"> </w:t>
      </w:r>
      <w:r>
        <w:t xml:space="preserve">Dorr 2004, PMID 15262693.</w:t>
      </w:r>
    </w:p>
  </w:footnote>
  <w:footnote w:id="2085">
    <w:p>
      <w:pPr>
        <w:pStyle w:val="FootnoteText"/>
      </w:pPr>
      <w:r>
        <w:rPr>
          <w:rStyle w:val="FootnoteReference"/>
        </w:rPr>
        <w:footnoteRef/>
      </w:r>
      <w:r>
        <w:t xml:space="preserve"> </w:t>
      </w:r>
      <w:r>
        <w:t xml:space="preserve">Fitzgerald 2006, PMID 16293341.</w:t>
      </w:r>
    </w:p>
  </w:footnote>
  <w:footnote w:id="2087">
    <w:p>
      <w:pPr>
        <w:pStyle w:val="FootnoteText"/>
      </w:pPr>
      <w:r>
        <w:rPr>
          <w:rStyle w:val="FootnoteReference"/>
        </w:rPr>
        <w:footnoteRef/>
      </w:r>
      <w:r>
        <w:t xml:space="preserve"> </w:t>
      </w:r>
      <w:r>
        <w:t xml:space="preserve">Harms 2009, PMID 19656325.</w:t>
      </w:r>
    </w:p>
  </w:footnote>
  <w:footnote w:id="2088">
    <w:p>
      <w:pPr>
        <w:pStyle w:val="FootnoteText"/>
      </w:pPr>
      <w:r>
        <w:rPr>
          <w:rStyle w:val="FootnoteReference"/>
        </w:rPr>
        <w:footnoteRef/>
      </w:r>
      <w:r>
        <w:t xml:space="preserve"> </w:t>
      </w:r>
      <w:r>
        <w:t xml:space="preserve">Langendonk 2015, PMID 26132941; NCT00979745, NCT01605136.</w:t>
      </w:r>
    </w:p>
  </w:footnote>
  <w:footnote w:id="2089">
    <w:p>
      <w:pPr>
        <w:pStyle w:val="FootnoteText"/>
      </w:pPr>
      <w:r>
        <w:rPr>
          <w:rStyle w:val="FootnoteReference"/>
        </w:rPr>
        <w:footnoteRef/>
      </w:r>
      <w:r>
        <w:t xml:space="preserve"> </w:t>
      </w:r>
      <w:r>
        <w:t xml:space="preserve">Heerfordt 2023, PMID 36525819.</w:t>
      </w:r>
    </w:p>
  </w:footnote>
  <w:footnote w:id="2091">
    <w:p>
      <w:pPr>
        <w:pStyle w:val="FootnoteText"/>
      </w:pPr>
      <w:r>
        <w:rPr>
          <w:rStyle w:val="FootnoteReference"/>
        </w:rPr>
        <w:footnoteRef/>
      </w:r>
      <w:r>
        <w:t xml:space="preserve"> </w:t>
      </w:r>
      <w:r>
        <w:t xml:space="preserve">Biolcati 2015, PMID 25494545.</w:t>
      </w:r>
    </w:p>
  </w:footnote>
  <w:footnote w:id="2092">
    <w:p>
      <w:pPr>
        <w:pStyle w:val="FootnoteText"/>
      </w:pPr>
      <w:r>
        <w:rPr>
          <w:rStyle w:val="FootnoteReference"/>
        </w:rPr>
        <w:footnoteRef/>
      </w:r>
      <w:r>
        <w:t xml:space="preserve"> </w:t>
      </w:r>
      <w:r>
        <w:t xml:space="preserve">Wensink 2020, PMID 32186677.</w:t>
      </w:r>
    </w:p>
  </w:footnote>
  <w:footnote w:id="2093">
    <w:p>
      <w:pPr>
        <w:pStyle w:val="FootnoteText"/>
      </w:pPr>
      <w:r>
        <w:rPr>
          <w:rStyle w:val="FootnoteReference"/>
        </w:rPr>
        <w:footnoteRef/>
      </w:r>
      <w:r>
        <w:t xml:space="preserve"> </w:t>
      </w:r>
      <w:r>
        <w:t xml:space="preserve">Seidl-Philipp 2026, PMID 41793078.</w:t>
      </w:r>
    </w:p>
  </w:footnote>
  <w:footnote w:id="2095">
    <w:p>
      <w:pPr>
        <w:pStyle w:val="FootnoteText"/>
      </w:pPr>
      <w:r>
        <w:rPr>
          <w:rStyle w:val="FootnoteReference"/>
        </w:rPr>
        <w:footnoteRef/>
      </w:r>
      <w:r>
        <w:t xml:space="preserve"> </w:t>
      </w:r>
      <w:r>
        <w:t xml:space="preserve">Minder 2023, PMID 37109595.</w:t>
      </w:r>
    </w:p>
  </w:footnote>
  <w:footnote w:id="2096">
    <w:p>
      <w:pPr>
        <w:pStyle w:val="FootnoteText"/>
      </w:pPr>
      <w:r>
        <w:rPr>
          <w:rStyle w:val="FootnoteReference"/>
        </w:rPr>
        <w:footnoteRef/>
      </w:r>
      <w:r>
        <w:t xml:space="preserve"> </w:t>
      </w:r>
      <w:r>
        <w:t xml:space="preserve">Kluijver 2024, PMID 38634774.</w:t>
      </w:r>
    </w:p>
  </w:footnote>
  <w:footnote w:id="2097">
    <w:p>
      <w:pPr>
        <w:pStyle w:val="FootnoteText"/>
      </w:pPr>
      <w:r>
        <w:rPr>
          <w:rStyle w:val="FootnoteReference"/>
        </w:rPr>
        <w:footnoteRef/>
      </w:r>
      <w:r>
        <w:t xml:space="preserve"> </w:t>
      </w:r>
      <w:r>
        <w:t xml:space="preserve">Lengweiler 2015, PMID 25402764.</w:t>
      </w:r>
    </w:p>
  </w:footnote>
  <w:footnote w:id="2099">
    <w:p>
      <w:pPr>
        <w:pStyle w:val="FootnoteText"/>
      </w:pPr>
      <w:r>
        <w:rPr>
          <w:rStyle w:val="FootnoteReference"/>
        </w:rPr>
        <w:footnoteRef/>
      </w:r>
      <w:r>
        <w:t xml:space="preserve"> </w:t>
      </w:r>
      <w:r>
        <w:t xml:space="preserve">Grimes 2013, PMID 23407924.</w:t>
      </w:r>
    </w:p>
  </w:footnote>
  <w:footnote w:id="2100">
    <w:p>
      <w:pPr>
        <w:pStyle w:val="FootnoteText"/>
      </w:pPr>
      <w:r>
        <w:rPr>
          <w:rStyle w:val="FootnoteReference"/>
        </w:rPr>
        <w:footnoteRef/>
      </w:r>
      <w:r>
        <w:t xml:space="preserve"> </w:t>
      </w:r>
      <w:r>
        <w:t xml:space="preserve">Lim 2015, PMID 25230094; NCT01430195.</w:t>
      </w:r>
    </w:p>
  </w:footnote>
  <w:footnote w:id="2101">
    <w:p>
      <w:pPr>
        <w:pStyle w:val="FootnoteText"/>
      </w:pPr>
      <w:r>
        <w:rPr>
          <w:rStyle w:val="FootnoteReference"/>
        </w:rPr>
        <w:footnoteRef/>
      </w:r>
      <w:r>
        <w:t xml:space="preserve"> </w:t>
      </w:r>
      <w:r>
        <w:t xml:space="preserve">Passeron 2015, PMID 25607635.</w:t>
      </w:r>
    </w:p>
  </w:footnote>
  <w:footnote w:id="2102">
    <w:p>
      <w:pPr>
        <w:pStyle w:val="FootnoteText"/>
      </w:pPr>
      <w:r>
        <w:rPr>
          <w:rStyle w:val="FootnoteReference"/>
        </w:rPr>
        <w:footnoteRef/>
      </w:r>
      <w:r>
        <w:t xml:space="preserve"> </w:t>
      </w:r>
      <w:r>
        <w:t xml:space="preserve">Toh 2020, PMID 31987791.</w:t>
      </w:r>
    </w:p>
  </w:footnote>
  <w:footnote w:id="2104">
    <w:p>
      <w:pPr>
        <w:pStyle w:val="FootnoteText"/>
      </w:pPr>
      <w:r>
        <w:rPr>
          <w:rStyle w:val="FootnoteReference"/>
        </w:rPr>
        <w:footnoteRef/>
      </w:r>
      <w:r>
        <w:t xml:space="preserve"> </w:t>
      </w:r>
      <w:r>
        <w:t xml:space="preserve">Haylett 2011, PMID 20969564.</w:t>
      </w:r>
    </w:p>
  </w:footnote>
  <w:footnote w:id="2105">
    <w:p>
      <w:pPr>
        <w:pStyle w:val="FootnoteText"/>
      </w:pPr>
      <w:r>
        <w:rPr>
          <w:rStyle w:val="FootnoteReference"/>
        </w:rPr>
        <w:footnoteRef/>
      </w:r>
      <w:r>
        <w:t xml:space="preserve"> </w:t>
      </w:r>
      <w:r>
        <w:t xml:space="preserve">Böhm 2014, PMID 22845050.</w:t>
      </w:r>
    </w:p>
  </w:footnote>
  <w:footnote w:id="2106">
    <w:p>
      <w:pPr>
        <w:pStyle w:val="FootnoteText"/>
      </w:pPr>
      <w:r>
        <w:rPr>
          <w:rStyle w:val="FootnoteReference"/>
        </w:rPr>
        <w:footnoteRef/>
      </w:r>
      <w:r>
        <w:t xml:space="preserve"> </w:t>
      </w:r>
      <w:r>
        <w:t xml:space="preserve">Biolcati 2014, PMID 24256215.</w:t>
      </w:r>
    </w:p>
  </w:footnote>
  <w:footnote w:id="2107">
    <w:p>
      <w:pPr>
        <w:pStyle w:val="FootnoteText"/>
      </w:pPr>
      <w:r>
        <w:rPr>
          <w:rStyle w:val="FootnoteReference"/>
        </w:rPr>
        <w:footnoteRef/>
      </w:r>
      <w:r>
        <w:t xml:space="preserve"> </w:t>
      </w:r>
      <w:r>
        <w:t xml:space="preserve">Stanislaus 2023, PMID 37496004.</w:t>
      </w:r>
    </w:p>
  </w:footnote>
  <w:footnote w:id="2108">
    <w:p>
      <w:pPr>
        <w:pStyle w:val="FootnoteText"/>
      </w:pPr>
      <w:r>
        <w:rPr>
          <w:rStyle w:val="FootnoteReference"/>
        </w:rPr>
        <w:footnoteRef/>
      </w:r>
      <w:r>
        <w:t xml:space="preserve"> </w:t>
      </w:r>
      <w:r>
        <w:t xml:space="preserve">Griffin 2026, PMID 42678656.</w:t>
      </w:r>
    </w:p>
  </w:footnote>
  <w:footnote w:id="2111">
    <w:p>
      <w:pPr>
        <w:pStyle w:val="FootnoteText"/>
      </w:pPr>
      <w:r>
        <w:rPr>
          <w:rStyle w:val="FootnoteReference"/>
        </w:rPr>
        <w:footnoteRef/>
      </w:r>
      <w:r>
        <w:t xml:space="preserve"> </w:t>
      </w:r>
      <w:r>
        <w:t xml:space="preserve">Biolcati 2014, PMID 24256215.</w:t>
      </w:r>
    </w:p>
  </w:footnote>
  <w:footnote w:id="2112">
    <w:p>
      <w:pPr>
        <w:pStyle w:val="FootnoteText"/>
      </w:pPr>
      <w:r>
        <w:rPr>
          <w:rStyle w:val="FootnoteReference"/>
        </w:rPr>
        <w:footnoteRef/>
      </w:r>
      <w:r>
        <w:t xml:space="preserve"> </w:t>
      </w:r>
      <w:r>
        <w:t xml:space="preserve">Chawathe 2026, PMID 41547183.</w:t>
      </w:r>
    </w:p>
  </w:footnote>
  <w:footnote w:id="2114">
    <w:p>
      <w:pPr>
        <w:pStyle w:val="FootnoteText"/>
      </w:pPr>
      <w:r>
        <w:rPr>
          <w:rStyle w:val="FootnoteReference"/>
        </w:rPr>
        <w:footnoteRef/>
      </w:r>
      <w:r>
        <w:t xml:space="preserve"> </w:t>
      </w:r>
      <w:r>
        <w:t xml:space="preserve">Langendonk 2015, PMID 26132941; Wensink 2020, PMID 32186677; Biolcati 2015, PMID 25494545.</w:t>
      </w:r>
    </w:p>
  </w:footnote>
  <w:footnote w:id="2115">
    <w:p>
      <w:pPr>
        <w:pStyle w:val="FootnoteText"/>
      </w:pPr>
      <w:r>
        <w:rPr>
          <w:rStyle w:val="FootnoteReference"/>
        </w:rPr>
        <w:footnoteRef/>
      </w:r>
      <w:r>
        <w:t xml:space="preserve"> </w:t>
      </w:r>
      <w:r>
        <w:t xml:space="preserve">Arisi 2021, PMID 33721252.</w:t>
      </w:r>
    </w:p>
  </w:footnote>
  <w:footnote w:id="2116">
    <w:p>
      <w:pPr>
        <w:pStyle w:val="FootnoteText"/>
      </w:pPr>
      <w:r>
        <w:rPr>
          <w:rStyle w:val="FootnoteReference"/>
        </w:rPr>
        <w:footnoteRef/>
      </w:r>
      <w:r>
        <w:t xml:space="preserve"> </w:t>
      </w:r>
      <w:r>
        <w:t xml:space="preserve">von Bartenwerffer 2011, PMID 21597671.</w:t>
      </w:r>
    </w:p>
  </w:footnote>
  <w:footnote w:id="2117">
    <w:p>
      <w:pPr>
        <w:pStyle w:val="FootnoteText"/>
      </w:pPr>
      <w:r>
        <w:rPr>
          <w:rStyle w:val="FootnoteReference"/>
        </w:rPr>
        <w:footnoteRef/>
      </w:r>
      <w:r>
        <w:t xml:space="preserve"> </w:t>
      </w:r>
      <w:r>
        <w:t xml:space="preserve">Kluijver 2024, PMID 38634774.</w:t>
      </w:r>
    </w:p>
  </w:footnote>
  <w:footnote w:id="2119">
    <w:p>
      <w:pPr>
        <w:pStyle w:val="FootnoteText"/>
      </w:pPr>
      <w:r>
        <w:rPr>
          <w:rStyle w:val="FootnoteReference"/>
        </w:rPr>
        <w:footnoteRef/>
      </w:r>
      <w:r>
        <w:t xml:space="preserve"> </w:t>
      </w:r>
      <w:r>
        <w:t xml:space="preserve">Barman-Aksözen 2026, PMID 41885813.</w:t>
      </w:r>
    </w:p>
  </w:footnote>
  <w:footnote w:id="2120">
    <w:p>
      <w:pPr>
        <w:pStyle w:val="FootnoteText"/>
      </w:pPr>
      <w:r>
        <w:rPr>
          <w:rStyle w:val="FootnoteReference"/>
        </w:rPr>
        <w:footnoteRef/>
      </w:r>
      <w:r>
        <w:t xml:space="preserve"> </w:t>
      </w:r>
      <w:r>
        <w:t xml:space="preserve">Minder 2026, PMID 41542313.</w:t>
      </w:r>
    </w:p>
  </w:footnote>
  <w:footnote w:id="2122">
    <w:p>
      <w:pPr>
        <w:pStyle w:val="FootnoteText"/>
      </w:pPr>
      <w:r>
        <w:rPr>
          <w:rStyle w:val="FootnoteReference"/>
        </w:rPr>
        <w:footnoteRef/>
      </w:r>
      <w:r>
        <w:t xml:space="preserve"> </w:t>
      </w:r>
      <w:r>
        <w:t xml:space="preserve">Habbema 2017, PMID 28266027.</w:t>
      </w:r>
    </w:p>
  </w:footnote>
  <w:footnote w:id="2125">
    <w:p>
      <w:pPr>
        <w:pStyle w:val="FootnoteText"/>
      </w:pPr>
      <w:r>
        <w:rPr>
          <w:rStyle w:val="FootnoteReference"/>
        </w:rPr>
        <w:footnoteRef/>
      </w:r>
      <w:r>
        <w:t xml:space="preserve"> </w:t>
      </w:r>
      <w:r>
        <w:t xml:space="preserve">Homey 2025, PMID 40082741.</w:t>
      </w:r>
    </w:p>
  </w:footnote>
  <w:footnote w:id="2126">
    <w:p>
      <w:pPr>
        <w:pStyle w:val="FootnoteText"/>
      </w:pPr>
      <w:r>
        <w:rPr>
          <w:rStyle w:val="FootnoteReference"/>
        </w:rPr>
        <w:footnoteRef/>
      </w:r>
      <w:r>
        <w:t xml:space="preserve"> </w:t>
      </w:r>
      <w:r>
        <w:t xml:space="preserve">Homey 2025, PMID 40082741; Seidl-Philipp 2026, PMID 41793078.</w:t>
      </w:r>
    </w:p>
  </w:footnote>
  <w:footnote w:id="2127">
    <w:p>
      <w:pPr>
        <w:pStyle w:val="FootnoteText"/>
      </w:pPr>
      <w:r>
        <w:rPr>
          <w:rStyle w:val="FootnoteReference"/>
        </w:rPr>
        <w:footnoteRef/>
      </w:r>
      <w:r>
        <w:t xml:space="preserve"> </w:t>
      </w:r>
      <w:r>
        <w:t xml:space="preserve">Barman-Aksözen 2024, PMID 38791830.</w:t>
      </w:r>
    </w:p>
  </w:footnote>
  <w:footnote w:id="2129">
    <w:p>
      <w:pPr>
        <w:pStyle w:val="FootnoteText"/>
      </w:pPr>
      <w:r>
        <w:rPr>
          <w:rStyle w:val="FootnoteReference"/>
        </w:rPr>
        <w:footnoteRef/>
      </w:r>
      <w:r>
        <w:t xml:space="preserve"> </w:t>
      </w:r>
      <w:r>
        <w:t xml:space="preserve">NCT06109649.</w:t>
      </w:r>
    </w:p>
  </w:footnote>
  <w:footnote w:id="2130">
    <w:p>
      <w:pPr>
        <w:pStyle w:val="FootnoteText"/>
      </w:pPr>
      <w:r>
        <w:rPr>
          <w:rStyle w:val="FootnoteReference"/>
        </w:rPr>
        <w:footnoteRef/>
      </w:r>
      <w:r>
        <w:t xml:space="preserve"> </w:t>
      </w:r>
      <w:r>
        <w:t xml:space="preserve">NCT05210582.</w:t>
      </w:r>
    </w:p>
  </w:footnote>
  <w:footnote w:id="2131">
    <w:p>
      <w:pPr>
        <w:pStyle w:val="FootnoteText"/>
      </w:pPr>
      <w:r>
        <w:rPr>
          <w:rStyle w:val="FootnoteReference"/>
        </w:rPr>
        <w:footnoteRef/>
      </w:r>
      <w:r>
        <w:t xml:space="preserve"> </w:t>
      </w:r>
      <w:r>
        <w:t xml:space="preserve">NCT05370235, NCT05159752.</w:t>
      </w:r>
    </w:p>
  </w:footnote>
  <w:footnote w:id="2132">
    <w:p>
      <w:pPr>
        <w:pStyle w:val="FootnoteText"/>
      </w:pPr>
      <w:r>
        <w:rPr>
          <w:rStyle w:val="FootnoteReference"/>
        </w:rPr>
        <w:footnoteRef/>
      </w:r>
      <w:r>
        <w:t xml:space="preserve"> </w:t>
      </w:r>
      <w:r>
        <w:t xml:space="preserve">NCT06388642.</w:t>
      </w:r>
    </w:p>
  </w:footnote>
  <w:footnote w:id="2133">
    <w:p>
      <w:pPr>
        <w:pStyle w:val="FootnoteText"/>
      </w:pPr>
      <w:r>
        <w:rPr>
          <w:rStyle w:val="FootnoteReference"/>
        </w:rPr>
        <w:footnoteRef/>
      </w:r>
      <w:r>
        <w:t xml:space="preserve"> </w:t>
      </w:r>
      <w:r>
        <w:t xml:space="preserve">Barman-Aksözen 2026, PMID 41885813.</w:t>
      </w:r>
    </w:p>
  </w:footnote>
  <w:footnote w:id="2137">
    <w:p>
      <w:pPr>
        <w:pStyle w:val="FootnoteText"/>
      </w:pPr>
      <w:r>
        <w:rPr>
          <w:rStyle w:val="FootnoteReference"/>
        </w:rPr>
        <w:footnoteRef/>
      </w:r>
      <w:r>
        <w:t xml:space="preserve"> </w:t>
      </w:r>
      <w:r>
        <w:t xml:space="preserve">Lee 1996, PMID 8944003.</w:t>
      </w:r>
    </w:p>
  </w:footnote>
  <w:footnote w:id="2138">
    <w:p>
      <w:pPr>
        <w:pStyle w:val="FootnoteText"/>
      </w:pPr>
      <w:r>
        <w:rPr>
          <w:rStyle w:val="FootnoteReference"/>
        </w:rPr>
        <w:footnoteRef/>
      </w:r>
      <w:r>
        <w:t xml:space="preserve"> </w:t>
      </w:r>
      <w:r>
        <w:t xml:space="preserve">Ohtaki 2001, PMID 11385580.</w:t>
      </w:r>
    </w:p>
  </w:footnote>
  <w:footnote w:id="2140">
    <w:p>
      <w:pPr>
        <w:pStyle w:val="FootnoteText"/>
      </w:pPr>
      <w:r>
        <w:rPr>
          <w:rStyle w:val="FootnoteReference"/>
        </w:rPr>
        <w:footnoteRef/>
      </w:r>
      <w:r>
        <w:t xml:space="preserve"> </w:t>
      </w:r>
      <w:r>
        <w:t xml:space="preserve">de Roux 2003, PMID 12944565; Seminara 2003, PMID 14573733.</w:t>
      </w:r>
    </w:p>
  </w:footnote>
  <w:footnote w:id="2142">
    <w:p>
      <w:pPr>
        <w:pStyle w:val="FootnoteText"/>
      </w:pPr>
      <w:r>
        <w:rPr>
          <w:rStyle w:val="FootnoteReference"/>
        </w:rPr>
        <w:footnoteRef/>
      </w:r>
      <w:r>
        <w:t xml:space="preserve"> </w:t>
      </w:r>
      <w:r>
        <w:t xml:space="preserve">Dhillo 2005, PMID 16174713.</w:t>
      </w:r>
    </w:p>
  </w:footnote>
  <w:footnote w:id="2143">
    <w:p>
      <w:pPr>
        <w:pStyle w:val="FootnoteText"/>
      </w:pPr>
      <w:r>
        <w:rPr>
          <w:rStyle w:val="FootnoteReference"/>
        </w:rPr>
        <w:footnoteRef/>
      </w:r>
      <w:r>
        <w:t xml:space="preserve"> </w:t>
      </w:r>
      <w:r>
        <w:t xml:space="preserve">Dhillo 2007, PMID 17635940.</w:t>
      </w:r>
    </w:p>
  </w:footnote>
  <w:footnote w:id="2144">
    <w:p>
      <w:pPr>
        <w:pStyle w:val="FootnoteText"/>
      </w:pPr>
      <w:r>
        <w:rPr>
          <w:rStyle w:val="FootnoteReference"/>
        </w:rPr>
        <w:footnoteRef/>
      </w:r>
      <w:r>
        <w:t xml:space="preserve"> </w:t>
      </w:r>
      <w:r>
        <w:t xml:space="preserve">George 2011, PMID 21632807.</w:t>
      </w:r>
    </w:p>
  </w:footnote>
  <w:footnote w:id="2145">
    <w:p>
      <w:pPr>
        <w:pStyle w:val="FootnoteText"/>
      </w:pPr>
      <w:r>
        <w:rPr>
          <w:rStyle w:val="FootnoteReference"/>
        </w:rPr>
        <w:footnoteRef/>
      </w:r>
      <w:r>
        <w:t xml:space="preserve"> </w:t>
      </w:r>
      <w:r>
        <w:t xml:space="preserve">Chan 2018, PMID 29669934.</w:t>
      </w:r>
    </w:p>
  </w:footnote>
  <w:footnote w:id="2147">
    <w:p>
      <w:pPr>
        <w:pStyle w:val="FootnoteText"/>
      </w:pPr>
      <w:r>
        <w:rPr>
          <w:rStyle w:val="FootnoteReference"/>
        </w:rPr>
        <w:footnoteRef/>
      </w:r>
      <w:r>
        <w:t xml:space="preserve"> </w:t>
      </w:r>
      <w:r>
        <w:t xml:space="preserve">Jayasena 2014, PMID 25036713; NCT01667406.</w:t>
      </w:r>
    </w:p>
  </w:footnote>
  <w:footnote w:id="2148">
    <w:p>
      <w:pPr>
        <w:pStyle w:val="FootnoteText"/>
      </w:pPr>
      <w:r>
        <w:rPr>
          <w:rStyle w:val="FootnoteReference"/>
        </w:rPr>
        <w:footnoteRef/>
      </w:r>
      <w:r>
        <w:t xml:space="preserve"> </w:t>
      </w:r>
      <w:r>
        <w:t xml:space="preserve">Abbara 2015, PMID 26192876.</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2017, PMID 28854728.</w:t>
      </w:r>
    </w:p>
  </w:footnote>
  <w:footnote w:id="2151">
    <w:p>
      <w:pPr>
        <w:pStyle w:val="FootnoteText"/>
      </w:pPr>
      <w:r>
        <w:rPr>
          <w:rStyle w:val="FootnoteReference"/>
        </w:rPr>
        <w:footnoteRef/>
      </w:r>
      <w:r>
        <w:t xml:space="preserve"> </w:t>
      </w:r>
      <w:r>
        <w:t xml:space="preserve">Abbara 2020, PMID 33196464.</w:t>
      </w:r>
    </w:p>
  </w:footnote>
  <w:footnote w:id="2152">
    <w:p>
      <w:pPr>
        <w:pStyle w:val="FootnoteText"/>
      </w:pPr>
      <w:r>
        <w:rPr>
          <w:rStyle w:val="FootnoteReference"/>
        </w:rPr>
        <w:footnoteRef/>
      </w:r>
      <w:r>
        <w:t xml:space="preserve"> </w:t>
      </w:r>
      <w:r>
        <w:t xml:space="preserve">Abbara 2024, PMID 37925096.</w:t>
      </w:r>
    </w:p>
  </w:footnote>
  <w:footnote w:id="2154">
    <w:p>
      <w:pPr>
        <w:pStyle w:val="FootnoteText"/>
      </w:pPr>
      <w:r>
        <w:rPr>
          <w:rStyle w:val="FootnoteReference"/>
        </w:rPr>
        <w:footnoteRef/>
      </w:r>
      <w:r>
        <w:t xml:space="preserve"> </w:t>
      </w:r>
      <w:r>
        <w:t xml:space="preserve">Jayasena 2009, PMID 19820030.</w:t>
      </w:r>
    </w:p>
  </w:footnote>
  <w:footnote w:id="2155">
    <w:p>
      <w:pPr>
        <w:pStyle w:val="FootnoteText"/>
      </w:pPr>
      <w:r>
        <w:rPr>
          <w:rStyle w:val="FootnoteReference"/>
        </w:rPr>
        <w:footnoteRef/>
      </w:r>
      <w:r>
        <w:t xml:space="preserve"> </w:t>
      </w:r>
      <w:r>
        <w:t xml:space="preserve">Jayasena 2010, PMID 20980998.</w:t>
      </w:r>
    </w:p>
  </w:footnote>
  <w:footnote w:id="2156">
    <w:p>
      <w:pPr>
        <w:pStyle w:val="FootnoteText"/>
      </w:pPr>
      <w:r>
        <w:rPr>
          <w:rStyle w:val="FootnoteReference"/>
        </w:rPr>
        <w:footnoteRef/>
      </w:r>
      <w:r>
        <w:t xml:space="preserve"> </w:t>
      </w:r>
      <w:r>
        <w:t xml:space="preserve">Jayasena 2014, PMID 24517142.</w:t>
      </w:r>
    </w:p>
  </w:footnote>
  <w:footnote w:id="2157">
    <w:p>
      <w:pPr>
        <w:pStyle w:val="FootnoteText"/>
      </w:pPr>
      <w:r>
        <w:rPr>
          <w:rStyle w:val="FootnoteReference"/>
        </w:rPr>
        <w:footnoteRef/>
      </w:r>
      <w:r>
        <w:t xml:space="preserve"> </w:t>
      </w:r>
      <w:r>
        <w:t xml:space="preserve">Young 2013, PMID 22377698.</w:t>
      </w:r>
    </w:p>
  </w:footnote>
  <w:footnote w:id="2158">
    <w:p>
      <w:pPr>
        <w:pStyle w:val="FootnoteText"/>
      </w:pPr>
      <w:r>
        <w:rPr>
          <w:rStyle w:val="FootnoteReference"/>
        </w:rPr>
        <w:footnoteRef/>
      </w:r>
      <w:r>
        <w:t xml:space="preserve"> </w:t>
      </w:r>
      <w:r>
        <w:t xml:space="preserve">Romero-Ruiz 2019, PMID 31820802.</w:t>
      </w:r>
    </w:p>
  </w:footnote>
  <w:footnote w:id="2160">
    <w:p>
      <w:pPr>
        <w:pStyle w:val="FootnoteText"/>
      </w:pPr>
      <w:r>
        <w:rPr>
          <w:rStyle w:val="FootnoteReference"/>
        </w:rPr>
        <w:footnoteRef/>
      </w:r>
      <w:r>
        <w:t xml:space="preserve"> </w:t>
      </w:r>
      <w:r>
        <w:t xml:space="preserve">George 2013, PMID 23153270.</w:t>
      </w:r>
    </w:p>
  </w:footnote>
  <w:footnote w:id="2161">
    <w:p>
      <w:pPr>
        <w:pStyle w:val="FootnoteText"/>
      </w:pPr>
      <w:r>
        <w:rPr>
          <w:rStyle w:val="FootnoteReference"/>
        </w:rPr>
        <w:footnoteRef/>
      </w:r>
      <w:r>
        <w:t xml:space="preserve"> </w:t>
      </w:r>
      <w:r>
        <w:t xml:space="preserve">Yeung 2026, PMID 42549827.</w:t>
      </w:r>
    </w:p>
  </w:footnote>
  <w:footnote w:id="2163">
    <w:p>
      <w:pPr>
        <w:pStyle w:val="FootnoteText"/>
      </w:pPr>
      <w:r>
        <w:rPr>
          <w:rStyle w:val="FootnoteReference"/>
        </w:rPr>
        <w:footnoteRef/>
      </w:r>
      <w:r>
        <w:t xml:space="preserve"> </w:t>
      </w:r>
      <w:r>
        <w:t xml:space="preserve">Mills 2023, PMID 36735255.</w:t>
      </w:r>
    </w:p>
  </w:footnote>
  <w:footnote w:id="2164">
    <w:p>
      <w:pPr>
        <w:pStyle w:val="FootnoteText"/>
      </w:pPr>
      <w:r>
        <w:rPr>
          <w:rStyle w:val="FootnoteReference"/>
        </w:rPr>
        <w:footnoteRef/>
      </w:r>
      <w:r>
        <w:t xml:space="preserve"> </w:t>
      </w:r>
      <w:r>
        <w:t xml:space="preserve">Thurston 2022, PMID 36287566.</w:t>
      </w:r>
    </w:p>
  </w:footnote>
  <w:footnote w:id="2165">
    <w:p>
      <w:pPr>
        <w:pStyle w:val="FootnoteText"/>
      </w:pPr>
      <w:r>
        <w:rPr>
          <w:rStyle w:val="FootnoteReference"/>
        </w:rPr>
        <w:footnoteRef/>
      </w:r>
      <w:r>
        <w:t xml:space="preserve"> </w:t>
      </w:r>
      <w:r>
        <w:t xml:space="preserve">Mills 2025, PMID 40036336.</w:t>
      </w:r>
    </w:p>
  </w:footnote>
  <w:footnote w:id="2167">
    <w:p>
      <w:pPr>
        <w:pStyle w:val="FootnoteText"/>
      </w:pPr>
      <w:r>
        <w:rPr>
          <w:rStyle w:val="FootnoteReference"/>
        </w:rPr>
        <w:footnoteRef/>
      </w:r>
      <w:r>
        <w:t xml:space="preserve"> </w:t>
      </w:r>
      <w:r>
        <w:t xml:space="preserve">Mills 2025, PMID 40215751.</w:t>
      </w:r>
    </w:p>
  </w:footnote>
  <w:footnote w:id="2169">
    <w:p>
      <w:pPr>
        <w:pStyle w:val="FootnoteText"/>
      </w:pPr>
      <w:r>
        <w:rPr>
          <w:rStyle w:val="FootnoteReference"/>
        </w:rPr>
        <w:footnoteRef/>
      </w:r>
      <w:r>
        <w:t xml:space="preserve"> </w:t>
      </w:r>
      <w:r>
        <w:t xml:space="preserve">Comninos 2022, PMID 35244717.</w:t>
      </w:r>
    </w:p>
  </w:footnote>
  <w:footnote w:id="2170">
    <w:p>
      <w:pPr>
        <w:pStyle w:val="FootnoteText"/>
      </w:pPr>
      <w:r>
        <w:rPr>
          <w:rStyle w:val="FootnoteReference"/>
        </w:rPr>
        <w:footnoteRef/>
      </w:r>
      <w:r>
        <w:t xml:space="preserve"> </w:t>
      </w:r>
      <w:r>
        <w:t xml:space="preserve">Izzi-Engbeaya 2018, PMID 29974637.</w:t>
      </w:r>
    </w:p>
  </w:footnote>
  <w:footnote w:id="2171">
    <w:p>
      <w:pPr>
        <w:pStyle w:val="FootnoteText"/>
      </w:pPr>
      <w:r>
        <w:rPr>
          <w:rStyle w:val="FootnoteReference"/>
        </w:rPr>
        <w:footnoteRef/>
      </w:r>
      <w:r>
        <w:t xml:space="preserve"> </w:t>
      </w:r>
      <w:r>
        <w:t xml:space="preserve">Galbiati 2025, PMID 39965102.</w:t>
      </w:r>
    </w:p>
  </w:footnote>
  <w:footnote w:id="2173">
    <w:p>
      <w:pPr>
        <w:pStyle w:val="FootnoteText"/>
      </w:pPr>
      <w:r>
        <w:rPr>
          <w:rStyle w:val="FootnoteReference"/>
        </w:rPr>
        <w:footnoteRef/>
      </w:r>
      <w:r>
        <w:t xml:space="preserve"> </w:t>
      </w:r>
      <w:r>
        <w:t xml:space="preserve">MacLean 2014, PMID 24762108.</w:t>
      </w:r>
    </w:p>
  </w:footnote>
  <w:footnote w:id="2174">
    <w:p>
      <w:pPr>
        <w:pStyle w:val="FootnoteText"/>
      </w:pPr>
      <w:r>
        <w:rPr>
          <w:rStyle w:val="FootnoteReference"/>
        </w:rPr>
        <w:footnoteRef/>
      </w:r>
      <w:r>
        <w:t xml:space="preserve"> </w:t>
      </w:r>
      <w:r>
        <w:t xml:space="preserve">NCT02369796, NCT02381288.</w:t>
      </w:r>
    </w:p>
  </w:footnote>
  <w:footnote w:id="2177">
    <w:p>
      <w:pPr>
        <w:pStyle w:val="FootnoteText"/>
      </w:pPr>
      <w:r>
        <w:rPr>
          <w:rStyle w:val="FootnoteReference"/>
        </w:rPr>
        <w:footnoteRef/>
      </w:r>
      <w:r>
        <w:t xml:space="preserve"> </w:t>
      </w:r>
      <w:r>
        <w:t xml:space="preserve">Seminara 2003, PMID 14573733.</w:t>
      </w:r>
    </w:p>
  </w:footnote>
  <w:footnote w:id="2178">
    <w:p>
      <w:pPr>
        <w:pStyle w:val="FootnoteText"/>
      </w:pPr>
      <w:r>
        <w:rPr>
          <w:rStyle w:val="FootnoteReference"/>
        </w:rPr>
        <w:footnoteRef/>
      </w:r>
      <w:r>
        <w:t xml:space="preserve"> </w:t>
      </w:r>
      <w:r>
        <w:t xml:space="preserve">Lee 1996, PMID 8944003; Ohtaki 2001, PMID 11385580.</w:t>
      </w:r>
    </w:p>
  </w:footnote>
  <w:footnote w:id="2179">
    <w:p>
      <w:pPr>
        <w:pStyle w:val="FootnoteText"/>
      </w:pPr>
      <w:r>
        <w:rPr>
          <w:rStyle w:val="FootnoteReference"/>
        </w:rPr>
        <w:footnoteRef/>
      </w:r>
      <w:r>
        <w:t xml:space="preserve"> </w:t>
      </w:r>
      <w:r>
        <w:t xml:space="preserve">Romero-Ruiz 2019, PMID 31820802.</w:t>
      </w:r>
    </w:p>
  </w:footnote>
  <w:footnote w:id="2180">
    <w:p>
      <w:pPr>
        <w:pStyle w:val="FootnoteText"/>
      </w:pPr>
      <w:r>
        <w:rPr>
          <w:rStyle w:val="FootnoteReference"/>
        </w:rPr>
        <w:footnoteRef/>
      </w:r>
      <w:r>
        <w:t xml:space="preserve"> </w:t>
      </w:r>
      <w:r>
        <w:t xml:space="preserve">Koysombat 2025, PMID 39813600.</w:t>
      </w:r>
    </w:p>
  </w:footnote>
  <w:footnote w:id="2182">
    <w:p>
      <w:pPr>
        <w:pStyle w:val="FootnoteText"/>
      </w:pPr>
      <w:r>
        <w:rPr>
          <w:rStyle w:val="FootnoteReference"/>
        </w:rPr>
        <w:footnoteRef/>
      </w:r>
      <w:r>
        <w:t xml:space="preserve"> </w:t>
      </w:r>
      <w:r>
        <w:t xml:space="preserve">Jayasena 2010, PMID 20980998; Thurston 2022, PMID 36287566; Mills 2025, PMID 40215751.</w:t>
      </w:r>
    </w:p>
  </w:footnote>
  <w:footnote w:id="2183">
    <w:p>
      <w:pPr>
        <w:pStyle w:val="FootnoteText"/>
      </w:pPr>
      <w:r>
        <w:rPr>
          <w:rStyle w:val="FootnoteReference"/>
        </w:rPr>
        <w:footnoteRef/>
      </w:r>
      <w:r>
        <w:t xml:space="preserve"> </w:t>
      </w:r>
      <w:r>
        <w:t xml:space="preserve">Jayasena 2014, PMID 24863252.</w:t>
      </w:r>
    </w:p>
  </w:footnote>
  <w:footnote w:id="2184">
    <w:p>
      <w:pPr>
        <w:pStyle w:val="FootnoteText"/>
      </w:pPr>
      <w:r>
        <w:rPr>
          <w:rStyle w:val="FootnoteReference"/>
        </w:rPr>
        <w:footnoteRef/>
      </w:r>
      <w:r>
        <w:t xml:space="preserve"> </w:t>
      </w:r>
      <w:r>
        <w:t xml:space="preserve">Mills 2025, PMID 40036336.</w:t>
      </w:r>
    </w:p>
  </w:footnote>
  <w:footnote w:id="2185">
    <w:p>
      <w:pPr>
        <w:pStyle w:val="FootnoteText"/>
      </w:pPr>
      <w:r>
        <w:rPr>
          <w:rStyle w:val="FootnoteReference"/>
        </w:rPr>
        <w:footnoteRef/>
      </w:r>
      <w:r>
        <w:t xml:space="preserve"> </w:t>
      </w:r>
      <w:r>
        <w:t xml:space="preserve">MacLean 2014, PMID 24762108.</w:t>
      </w:r>
    </w:p>
  </w:footnote>
  <w:footnote w:id="2191">
    <w:p>
      <w:pPr>
        <w:pStyle w:val="FootnoteText"/>
      </w:pPr>
      <w:r>
        <w:rPr>
          <w:rStyle w:val="FootnoteReference"/>
        </w:rPr>
        <w:footnoteRef/>
      </w:r>
      <w:r>
        <w:t xml:space="preserve"> </w:t>
      </w:r>
      <w:r>
        <w:t xml:space="preserve">NCT07224490.</w:t>
      </w:r>
    </w:p>
  </w:footnote>
  <w:footnote w:id="2192">
    <w:p>
      <w:pPr>
        <w:pStyle w:val="FootnoteText"/>
      </w:pPr>
      <w:r>
        <w:rPr>
          <w:rStyle w:val="FootnoteReference"/>
        </w:rPr>
        <w:footnoteRef/>
      </w:r>
      <w:r>
        <w:t xml:space="preserve"> </w:t>
      </w:r>
      <w:r>
        <w:t xml:space="preserve">NCT04648969.</w:t>
      </w:r>
    </w:p>
  </w:footnote>
  <w:footnote w:id="2198">
    <w:p>
      <w:pPr>
        <w:pStyle w:val="FootnoteText"/>
      </w:pPr>
      <w:r>
        <w:rPr>
          <w:rStyle w:val="FootnoteReference"/>
        </w:rPr>
        <w:footnoteRef/>
      </w:r>
      <w:r>
        <w:t xml:space="preserve"> </w:t>
      </w:r>
      <w:r>
        <w:t xml:space="preserve">Leng 2016, PMID 26049207.</w:t>
      </w:r>
    </w:p>
  </w:footnote>
  <w:footnote w:id="2199">
    <w:p>
      <w:pPr>
        <w:pStyle w:val="FootnoteText"/>
      </w:pPr>
      <w:r>
        <w:rPr>
          <w:rStyle w:val="FootnoteReference"/>
        </w:rPr>
        <w:footnoteRef/>
      </w:r>
      <w:r>
        <w:t xml:space="preserve"> </w:t>
      </w:r>
      <w:r>
        <w:t xml:space="preserve">Lee 2018, PMID 28289281.</w:t>
      </w:r>
    </w:p>
  </w:footnote>
  <w:footnote w:id="2200">
    <w:p>
      <w:pPr>
        <w:pStyle w:val="FootnoteText"/>
      </w:pPr>
      <w:r>
        <w:rPr>
          <w:rStyle w:val="FootnoteReference"/>
        </w:rPr>
        <w:footnoteRef/>
      </w:r>
      <w:r>
        <w:t xml:space="preserve"> </w:t>
      </w:r>
      <w:r>
        <w:t xml:space="preserve">Lee 2020, PMID 32494001.</w:t>
      </w:r>
    </w:p>
  </w:footnote>
  <w:footnote w:id="2201">
    <w:p>
      <w:pPr>
        <w:pStyle w:val="FootnoteText"/>
      </w:pPr>
      <w:r>
        <w:rPr>
          <w:rStyle w:val="FootnoteReference"/>
        </w:rPr>
        <w:footnoteRef/>
      </w:r>
      <w:r>
        <w:t xml:space="preserve"> </w:t>
      </w:r>
      <w:r>
        <w:t xml:space="preserve">Martins 2020, PMID 32127545.</w:t>
      </w:r>
    </w:p>
  </w:footnote>
  <w:footnote w:id="2202">
    <w:p>
      <w:pPr>
        <w:pStyle w:val="FootnoteText"/>
      </w:pPr>
      <w:r>
        <w:rPr>
          <w:rStyle w:val="FootnoteReference"/>
        </w:rPr>
        <w:footnoteRef/>
      </w:r>
      <w:r>
        <w:t xml:space="preserve"> </w:t>
      </w:r>
      <w:r>
        <w:t xml:space="preserve">Valstad 2017, PMID 28442403.</w:t>
      </w:r>
    </w:p>
  </w:footnote>
  <w:footnote w:id="2203">
    <w:p>
      <w:pPr>
        <w:pStyle w:val="FootnoteText"/>
      </w:pPr>
      <w:r>
        <w:rPr>
          <w:rStyle w:val="FootnoteReference"/>
        </w:rPr>
        <w:footnoteRef/>
      </w:r>
      <w:r>
        <w:t xml:space="preserve"> </w:t>
      </w:r>
      <w:r>
        <w:t xml:space="preserve">Leng 2016, PMID 26049207.</w:t>
      </w:r>
    </w:p>
  </w:footnote>
  <w:footnote w:id="2204">
    <w:p>
      <w:pPr>
        <w:pStyle w:val="FootnoteText"/>
      </w:pPr>
      <w:r>
        <w:rPr>
          <w:rStyle w:val="FootnoteReference"/>
        </w:rPr>
        <w:footnoteRef/>
      </w:r>
      <w:r>
        <w:t xml:space="preserve"> </w:t>
      </w:r>
      <w:r>
        <w:t xml:space="preserve">Quintana 2021, PMID 32807845.</w:t>
      </w:r>
    </w:p>
  </w:footnote>
  <w:footnote w:id="2206">
    <w:p>
      <w:pPr>
        <w:pStyle w:val="FootnoteText"/>
      </w:pPr>
      <w:r>
        <w:rPr>
          <w:rStyle w:val="FootnoteReference"/>
        </w:rPr>
        <w:footnoteRef/>
      </w:r>
      <w:r>
        <w:t xml:space="preserve"> </w:t>
      </w:r>
      <w:r>
        <w:t xml:space="preserve">Salati 2019, PMID 31032882.</w:t>
      </w:r>
    </w:p>
  </w:footnote>
  <w:footnote w:id="2209">
    <w:p>
      <w:pPr>
        <w:pStyle w:val="FootnoteText"/>
      </w:pPr>
      <w:r>
        <w:rPr>
          <w:rStyle w:val="FootnoteReference"/>
        </w:rPr>
        <w:footnoteRef/>
      </w:r>
      <w:r>
        <w:t xml:space="preserve"> </w:t>
      </w:r>
      <w:r>
        <w:t xml:space="preserve">Kosfeld 2005, PMID 15931222.</w:t>
      </w:r>
    </w:p>
  </w:footnote>
  <w:footnote w:id="2210">
    <w:p>
      <w:pPr>
        <w:pStyle w:val="FootnoteText"/>
      </w:pPr>
      <w:r>
        <w:rPr>
          <w:rStyle w:val="FootnoteReference"/>
        </w:rPr>
        <w:footnoteRef/>
      </w:r>
      <w:r>
        <w:t xml:space="preserve"> </w:t>
      </w:r>
      <w:r>
        <w:t xml:space="preserve">Heinrichs 2003, PMID 14675803.</w:t>
      </w:r>
    </w:p>
  </w:footnote>
  <w:footnote w:id="2211">
    <w:p>
      <w:pPr>
        <w:pStyle w:val="FootnoteText"/>
      </w:pPr>
      <w:r>
        <w:rPr>
          <w:rStyle w:val="FootnoteReference"/>
        </w:rPr>
        <w:footnoteRef/>
      </w:r>
      <w:r>
        <w:t xml:space="preserve"> </w:t>
      </w:r>
      <w:r>
        <w:t xml:space="preserve">Leppanen 2017, PMID 28467893.</w:t>
      </w:r>
    </w:p>
  </w:footnote>
  <w:footnote w:id="2213">
    <w:p>
      <w:pPr>
        <w:pStyle w:val="FootnoteText"/>
      </w:pPr>
      <w:r>
        <w:rPr>
          <w:rStyle w:val="FootnoteReference"/>
        </w:rPr>
        <w:footnoteRef/>
      </w:r>
      <w:r>
        <w:t xml:space="preserve"> </w:t>
      </w:r>
      <w:r>
        <w:t xml:space="preserve">Nave 2015, PMID 26581735.</w:t>
      </w:r>
    </w:p>
  </w:footnote>
  <w:footnote w:id="2214">
    <w:p>
      <w:pPr>
        <w:pStyle w:val="FootnoteText"/>
      </w:pPr>
      <w:r>
        <w:rPr>
          <w:rStyle w:val="FootnoteReference"/>
        </w:rPr>
        <w:footnoteRef/>
      </w:r>
      <w:r>
        <w:t xml:space="preserve"> </w:t>
      </w:r>
      <w:r>
        <w:t xml:space="preserve">Walum 2016, PMID 26210057.</w:t>
      </w:r>
    </w:p>
  </w:footnote>
  <w:footnote w:id="2215">
    <w:p>
      <w:pPr>
        <w:pStyle w:val="FootnoteText"/>
      </w:pPr>
      <w:r>
        <w:rPr>
          <w:rStyle w:val="FootnoteReference"/>
        </w:rPr>
        <w:footnoteRef/>
      </w:r>
      <w:r>
        <w:t xml:space="preserve"> </w:t>
      </w:r>
      <w:r>
        <w:t xml:space="preserve">Declerck 2020, PMID 32514040.</w:t>
      </w:r>
    </w:p>
  </w:footnote>
  <w:footnote w:id="2216">
    <w:p>
      <w:pPr>
        <w:pStyle w:val="FootnoteText"/>
      </w:pPr>
      <w:r>
        <w:rPr>
          <w:rStyle w:val="FootnoteReference"/>
        </w:rPr>
        <w:footnoteRef/>
      </w:r>
      <w:r>
        <w:t xml:space="preserve"> </w:t>
      </w:r>
      <w:r>
        <w:t xml:space="preserve">Vogt 2026, PMID 42561025.</w:t>
      </w:r>
    </w:p>
  </w:footnote>
  <w:footnote w:id="2217">
    <w:p>
      <w:pPr>
        <w:pStyle w:val="FootnoteText"/>
      </w:pPr>
      <w:r>
        <w:rPr>
          <w:rStyle w:val="FootnoteReference"/>
        </w:rPr>
        <w:footnoteRef/>
      </w:r>
      <w:r>
        <w:t xml:space="preserve"> </w:t>
      </w:r>
      <w:r>
        <w:t xml:space="preserve">Iversen 2026, PMID 41389446.</w:t>
      </w:r>
    </w:p>
  </w:footnote>
  <w:footnote w:id="2219">
    <w:p>
      <w:pPr>
        <w:pStyle w:val="FootnoteText"/>
      </w:pPr>
      <w:r>
        <w:rPr>
          <w:rStyle w:val="FootnoteReference"/>
        </w:rPr>
        <w:footnoteRef/>
      </w:r>
      <w:r>
        <w:t xml:space="preserve"> </w:t>
      </w:r>
      <w:r>
        <w:t xml:space="preserve">Sikich 2021, PMID 34644471.</w:t>
      </w:r>
    </w:p>
  </w:footnote>
  <w:footnote w:id="2220">
    <w:p>
      <w:pPr>
        <w:pStyle w:val="FootnoteText"/>
      </w:pPr>
      <w:r>
        <w:rPr>
          <w:rStyle w:val="FootnoteReference"/>
        </w:rPr>
        <w:footnoteRef/>
      </w:r>
      <w:r>
        <w:t xml:space="preserve"> </w:t>
      </w:r>
      <w:r>
        <w:t xml:space="preserve">Preti 2014, PMID 24679173.</w:t>
      </w:r>
    </w:p>
  </w:footnote>
  <w:footnote w:id="2221">
    <w:p>
      <w:pPr>
        <w:pStyle w:val="FootnoteText"/>
      </w:pPr>
      <w:r>
        <w:rPr>
          <w:rStyle w:val="FootnoteReference"/>
        </w:rPr>
        <w:footnoteRef/>
      </w:r>
      <w:r>
        <w:t xml:space="preserve"> </w:t>
      </w:r>
      <w:r>
        <w:t xml:space="preserve">Sikich 2021, PMID 34644471; NCT01944046.</w:t>
      </w:r>
    </w:p>
  </w:footnote>
  <w:footnote w:id="2222">
    <w:p>
      <w:pPr>
        <w:pStyle w:val="FootnoteText"/>
      </w:pPr>
      <w:r>
        <w:rPr>
          <w:rStyle w:val="FootnoteReference"/>
        </w:rPr>
        <w:footnoteRef/>
      </w:r>
      <w:r>
        <w:t xml:space="preserve"> </w:t>
      </w:r>
      <w:r>
        <w:t xml:space="preserve">Yatawara 2016, PMID 26503762.</w:t>
      </w:r>
    </w:p>
  </w:footnote>
  <w:footnote w:id="2223">
    <w:p>
      <w:pPr>
        <w:pStyle w:val="FootnoteText"/>
      </w:pPr>
      <w:r>
        <w:rPr>
          <w:rStyle w:val="FootnoteReference"/>
        </w:rPr>
        <w:footnoteRef/>
      </w:r>
      <w:r>
        <w:t xml:space="preserve"> </w:t>
      </w:r>
      <w:r>
        <w:t xml:space="preserve">Guastella 2023, PMID 36302965.</w:t>
      </w:r>
    </w:p>
  </w:footnote>
  <w:footnote w:id="2224">
    <w:p>
      <w:pPr>
        <w:pStyle w:val="FootnoteText"/>
      </w:pPr>
      <w:r>
        <w:rPr>
          <w:rStyle w:val="FootnoteReference"/>
        </w:rPr>
        <w:footnoteRef/>
      </w:r>
      <w:r>
        <w:t xml:space="preserve"> </w:t>
      </w:r>
      <w:r>
        <w:t xml:space="preserve">Guastella 2015, PMID 25087908.</w:t>
      </w:r>
    </w:p>
  </w:footnote>
  <w:footnote w:id="2225">
    <w:p>
      <w:pPr>
        <w:pStyle w:val="FootnoteText"/>
      </w:pPr>
      <w:r>
        <w:rPr>
          <w:rStyle w:val="FootnoteReference"/>
        </w:rPr>
        <w:footnoteRef/>
      </w:r>
      <w:r>
        <w:t xml:space="preserve"> </w:t>
      </w:r>
      <w:r>
        <w:t xml:space="preserve">Moerkerke 2024, PMID 38167302.</w:t>
      </w:r>
    </w:p>
  </w:footnote>
  <w:footnote w:id="2226">
    <w:p>
      <w:pPr>
        <w:pStyle w:val="FootnoteText"/>
      </w:pPr>
      <w:r>
        <w:rPr>
          <w:rStyle w:val="FootnoteReference"/>
        </w:rPr>
        <w:footnoteRef/>
      </w:r>
      <w:r>
        <w:t xml:space="preserve"> </w:t>
      </w:r>
      <w:r>
        <w:t xml:space="preserve">Moerkerke 2024, PMID 39709442.</w:t>
      </w:r>
    </w:p>
  </w:footnote>
  <w:footnote w:id="2227">
    <w:p>
      <w:pPr>
        <w:pStyle w:val="FootnoteText"/>
      </w:pPr>
      <w:r>
        <w:rPr>
          <w:rStyle w:val="FootnoteReference"/>
        </w:rPr>
        <w:footnoteRef/>
      </w:r>
      <w:r>
        <w:t xml:space="preserve"> </w:t>
      </w:r>
      <w:r>
        <w:t xml:space="preserve">Keech 2018, PMID 29032324.</w:t>
      </w:r>
    </w:p>
  </w:footnote>
  <w:footnote w:id="2228">
    <w:p>
      <w:pPr>
        <w:pStyle w:val="FootnoteText"/>
      </w:pPr>
      <w:r>
        <w:rPr>
          <w:rStyle w:val="FootnoteReference"/>
        </w:rPr>
        <w:footnoteRef/>
      </w:r>
      <w:r>
        <w:t xml:space="preserve"> </w:t>
      </w:r>
      <w:r>
        <w:t xml:space="preserve">Huang 2021, PMID 33400920.</w:t>
      </w:r>
    </w:p>
  </w:footnote>
  <w:footnote w:id="2229">
    <w:p>
      <w:pPr>
        <w:pStyle w:val="FootnoteText"/>
      </w:pPr>
      <w:r>
        <w:rPr>
          <w:rStyle w:val="FootnoteReference"/>
        </w:rPr>
        <w:footnoteRef/>
      </w:r>
      <w:r>
        <w:t xml:space="preserve"> </w:t>
      </w:r>
      <w:r>
        <w:t xml:space="preserve">Bonnieux 2026, PMID 42134427.</w:t>
      </w:r>
    </w:p>
  </w:footnote>
  <w:footnote w:id="2230">
    <w:p>
      <w:pPr>
        <w:pStyle w:val="FootnoteText"/>
      </w:pPr>
      <w:r>
        <w:rPr>
          <w:rStyle w:val="FootnoteReference"/>
        </w:rPr>
        <w:footnoteRef/>
      </w:r>
      <w:r>
        <w:t xml:space="preserve"> </w:t>
      </w:r>
      <w:r>
        <w:t xml:space="preserve">Boulton 2026, PMID 42144048.</w:t>
      </w:r>
    </w:p>
  </w:footnote>
  <w:footnote w:id="2232">
    <w:p>
      <w:pPr>
        <w:pStyle w:val="FootnoteText"/>
      </w:pPr>
      <w:r>
        <w:rPr>
          <w:rStyle w:val="FootnoteReference"/>
        </w:rPr>
        <w:footnoteRef/>
      </w:r>
      <w:r>
        <w:t xml:space="preserve"> </w:t>
      </w:r>
      <w:r>
        <w:t xml:space="preserve">Jarskog 2017, PMID 28094169.</w:t>
      </w:r>
    </w:p>
  </w:footnote>
  <w:footnote w:id="2233">
    <w:p>
      <w:pPr>
        <w:pStyle w:val="FootnoteText"/>
      </w:pPr>
      <w:r>
        <w:rPr>
          <w:rStyle w:val="FootnoteReference"/>
        </w:rPr>
        <w:footnoteRef/>
      </w:r>
      <w:r>
        <w:t xml:space="preserve"> </w:t>
      </w:r>
      <w:r>
        <w:t xml:space="preserve">Sabe 2021, PMID 33890987.</w:t>
      </w:r>
    </w:p>
  </w:footnote>
  <w:footnote w:id="2234">
    <w:p>
      <w:pPr>
        <w:pStyle w:val="FootnoteText"/>
      </w:pPr>
      <w:r>
        <w:rPr>
          <w:rStyle w:val="FootnoteReference"/>
        </w:rPr>
        <w:footnoteRef/>
      </w:r>
      <w:r>
        <w:t xml:space="preserve"> </w:t>
      </w:r>
      <w:r>
        <w:t xml:space="preserve">Bonnieux 2026, PMID 42134427.</w:t>
      </w:r>
    </w:p>
  </w:footnote>
  <w:footnote w:id="2235">
    <w:p>
      <w:pPr>
        <w:pStyle w:val="FootnoteText"/>
      </w:pPr>
      <w:r>
        <w:rPr>
          <w:rStyle w:val="FootnoteReference"/>
        </w:rPr>
        <w:footnoteRef/>
      </w:r>
      <w:r>
        <w:t xml:space="preserve"> </w:t>
      </w:r>
      <w:r>
        <w:t xml:space="preserve">Melby 2019, PMID 30784955.</w:t>
      </w:r>
    </w:p>
  </w:footnote>
  <w:footnote w:id="2236">
    <w:p>
      <w:pPr>
        <w:pStyle w:val="FootnoteText"/>
      </w:pPr>
      <w:r>
        <w:rPr>
          <w:rStyle w:val="FootnoteReference"/>
        </w:rPr>
        <w:footnoteRef/>
      </w:r>
      <w:r>
        <w:t xml:space="preserve"> </w:t>
      </w:r>
      <w:r>
        <w:t xml:space="preserve">Santos 2026, PMID 42335670.</w:t>
      </w:r>
    </w:p>
  </w:footnote>
  <w:footnote w:id="2237">
    <w:p>
      <w:pPr>
        <w:pStyle w:val="FootnoteText"/>
      </w:pPr>
      <w:r>
        <w:rPr>
          <w:rStyle w:val="FootnoteReference"/>
        </w:rPr>
        <w:footnoteRef/>
      </w:r>
      <w:r>
        <w:t xml:space="preserve"> </w:t>
      </w:r>
      <w:r>
        <w:t xml:space="preserve">Pérez-Arqueros 2025, PMID 39366103.</w:t>
      </w:r>
    </w:p>
  </w:footnote>
  <w:footnote w:id="2238">
    <w:p>
      <w:pPr>
        <w:pStyle w:val="FootnoteText"/>
      </w:pPr>
      <w:r>
        <w:rPr>
          <w:rStyle w:val="FootnoteReference"/>
        </w:rPr>
        <w:footnoteRef/>
      </w:r>
      <w:r>
        <w:t xml:space="preserve"> </w:t>
      </w:r>
      <w:r>
        <w:t xml:space="preserve">Riem 2025, PMID 40614394.</w:t>
      </w:r>
    </w:p>
  </w:footnote>
  <w:footnote w:id="2240">
    <w:p>
      <w:pPr>
        <w:pStyle w:val="FootnoteText"/>
      </w:pPr>
      <w:r>
        <w:rPr>
          <w:rStyle w:val="FootnoteReference"/>
        </w:rPr>
        <w:footnoteRef/>
      </w:r>
      <w:r>
        <w:t xml:space="preserve"> </w:t>
      </w:r>
      <w:r>
        <w:t xml:space="preserve">Chen 2021, PMID 34600216.</w:t>
      </w:r>
    </w:p>
  </w:footnote>
  <w:footnote w:id="2241">
    <w:p>
      <w:pPr>
        <w:pStyle w:val="FootnoteText"/>
      </w:pPr>
      <w:r>
        <w:rPr>
          <w:rStyle w:val="FootnoteReference"/>
        </w:rPr>
        <w:footnoteRef/>
      </w:r>
      <w:r>
        <w:t xml:space="preserve"> </w:t>
      </w:r>
      <w:r>
        <w:t xml:space="preserve">Plessow 2024, PMID 38815173.</w:t>
      </w:r>
    </w:p>
  </w:footnote>
  <w:footnote w:id="2242">
    <w:p>
      <w:pPr>
        <w:pStyle w:val="FootnoteText"/>
      </w:pPr>
      <w:r>
        <w:rPr>
          <w:rStyle w:val="FootnoteReference"/>
        </w:rPr>
        <w:footnoteRef/>
      </w:r>
      <w:r>
        <w:t xml:space="preserve"> </w:t>
      </w:r>
      <w:r>
        <w:t xml:space="preserve">Espinoza 2021, PMID 34029521.</w:t>
      </w:r>
    </w:p>
  </w:footnote>
  <w:footnote w:id="2243">
    <w:p>
      <w:pPr>
        <w:pStyle w:val="FootnoteText"/>
      </w:pPr>
      <w:r>
        <w:rPr>
          <w:rStyle w:val="FootnoteReference"/>
        </w:rPr>
        <w:footnoteRef/>
      </w:r>
      <w:r>
        <w:t xml:space="preserve"> </w:t>
      </w:r>
      <w:r>
        <w:t xml:space="preserve">Shalma 2023, PMID 36774885.</w:t>
      </w:r>
    </w:p>
  </w:footnote>
  <w:footnote w:id="2244">
    <w:p>
      <w:pPr>
        <w:pStyle w:val="FootnoteText"/>
      </w:pPr>
      <w:r>
        <w:rPr>
          <w:rStyle w:val="FootnoteReference"/>
        </w:rPr>
        <w:footnoteRef/>
      </w:r>
      <w:r>
        <w:t xml:space="preserve"> </w:t>
      </w:r>
      <w:r>
        <w:t xml:space="preserve">Hollander 2021, PMID 33190843.</w:t>
      </w:r>
    </w:p>
  </w:footnote>
  <w:footnote w:id="2245">
    <w:p>
      <w:pPr>
        <w:pStyle w:val="FootnoteText"/>
      </w:pPr>
      <w:r>
        <w:rPr>
          <w:rStyle w:val="FootnoteReference"/>
        </w:rPr>
        <w:footnoteRef/>
      </w:r>
      <w:r>
        <w:t xml:space="preserve"> </w:t>
      </w:r>
      <w:r>
        <w:t xml:space="preserve">Lopes 2023, PMID 36463692.</w:t>
      </w:r>
    </w:p>
  </w:footnote>
  <w:footnote w:id="2247">
    <w:p>
      <w:pPr>
        <w:pStyle w:val="FootnoteText"/>
      </w:pPr>
      <w:r>
        <w:rPr>
          <w:rStyle w:val="FootnoteReference"/>
        </w:rPr>
        <w:footnoteRef/>
      </w:r>
      <w:r>
        <w:t xml:space="preserve"> </w:t>
      </w:r>
      <w:r>
        <w:t xml:space="preserve">Burri 2008, PMID 18375074.</w:t>
      </w:r>
    </w:p>
  </w:footnote>
  <w:footnote w:id="2248">
    <w:p>
      <w:pPr>
        <w:pStyle w:val="FootnoteText"/>
      </w:pPr>
      <w:r>
        <w:rPr>
          <w:rStyle w:val="FootnoteReference"/>
        </w:rPr>
        <w:footnoteRef/>
      </w:r>
      <w:r>
        <w:t xml:space="preserve"> </w:t>
      </w:r>
      <w:r>
        <w:t xml:space="preserve">Weinberger 2018, PMID 29995725.</w:t>
      </w:r>
    </w:p>
  </w:footnote>
  <w:footnote w:id="2250">
    <w:p>
      <w:pPr>
        <w:pStyle w:val="FootnoteText"/>
      </w:pPr>
      <w:r>
        <w:rPr>
          <w:rStyle w:val="FootnoteReference"/>
        </w:rPr>
        <w:footnoteRef/>
      </w:r>
      <w:r>
        <w:t xml:space="preserve"> </w:t>
      </w:r>
      <w:r>
        <w:t xml:space="preserve">Atila 2023, PMID 37192642.</w:t>
      </w:r>
    </w:p>
  </w:footnote>
  <w:footnote w:id="2251">
    <w:p>
      <w:pPr>
        <w:pStyle w:val="FootnoteText"/>
      </w:pPr>
      <w:r>
        <w:rPr>
          <w:rStyle w:val="FootnoteReference"/>
        </w:rPr>
        <w:footnoteRef/>
      </w:r>
      <w:r>
        <w:t xml:space="preserve"> </w:t>
      </w:r>
      <w:r>
        <w:t xml:space="preserve">NCT06036004.</w:t>
      </w:r>
    </w:p>
  </w:footnote>
  <w:footnote w:id="2254">
    <w:p>
      <w:pPr>
        <w:pStyle w:val="FootnoteText"/>
      </w:pPr>
      <w:r>
        <w:rPr>
          <w:rStyle w:val="FootnoteReference"/>
        </w:rPr>
        <w:footnoteRef/>
      </w:r>
      <w:r>
        <w:t xml:space="preserve"> </w:t>
      </w:r>
      <w:r>
        <w:t xml:space="preserve">Minakova 2019, PMID 30629642.</w:t>
      </w:r>
    </w:p>
  </w:footnote>
  <w:footnote w:id="2255">
    <w:p>
      <w:pPr>
        <w:pStyle w:val="FootnoteText"/>
      </w:pPr>
      <w:r>
        <w:rPr>
          <w:rStyle w:val="FootnoteReference"/>
        </w:rPr>
        <w:footnoteRef/>
      </w:r>
      <w:r>
        <w:t xml:space="preserve"> </w:t>
      </w:r>
      <w:r>
        <w:t xml:space="preserve">Lee 2020, PMID 32494001.</w:t>
      </w:r>
    </w:p>
  </w:footnote>
  <w:footnote w:id="2257">
    <w:p>
      <w:pPr>
        <w:pStyle w:val="FootnoteText"/>
      </w:pPr>
      <w:r>
        <w:rPr>
          <w:rStyle w:val="FootnoteReference"/>
        </w:rPr>
        <w:footnoteRef/>
      </w:r>
      <w:r>
        <w:t xml:space="preserve"> </w:t>
      </w:r>
      <w:r>
        <w:t xml:space="preserve">MacDonald 2011, PMID 21429671.</w:t>
      </w:r>
    </w:p>
  </w:footnote>
  <w:footnote w:id="2258">
    <w:p>
      <w:pPr>
        <w:pStyle w:val="FootnoteText"/>
      </w:pPr>
      <w:r>
        <w:rPr>
          <w:rStyle w:val="FootnoteReference"/>
        </w:rPr>
        <w:footnoteRef/>
      </w:r>
      <w:r>
        <w:t xml:space="preserve"> </w:t>
      </w:r>
      <w:r>
        <w:t xml:space="preserve">Sikich 2021, PMID 34644471.</w:t>
      </w:r>
    </w:p>
  </w:footnote>
  <w:footnote w:id="2259">
    <w:p>
      <w:pPr>
        <w:pStyle w:val="FootnoteText"/>
      </w:pPr>
      <w:r>
        <w:rPr>
          <w:rStyle w:val="FootnoteReference"/>
        </w:rPr>
        <w:footnoteRef/>
      </w:r>
      <w:r>
        <w:t xml:space="preserve"> </w:t>
      </w:r>
      <w:r>
        <w:t xml:space="preserve">Rung 2021, PMID 33982141.</w:t>
      </w:r>
    </w:p>
  </w:footnote>
  <w:footnote w:id="2260">
    <w:p>
      <w:pPr>
        <w:pStyle w:val="FootnoteText"/>
      </w:pPr>
      <w:r>
        <w:rPr>
          <w:rStyle w:val="FootnoteReference"/>
        </w:rPr>
        <w:footnoteRef/>
      </w:r>
      <w:r>
        <w:t xml:space="preserve"> </w:t>
      </w:r>
      <w:r>
        <w:t xml:space="preserve">Yatawara 2016, PMID 26503762.</w:t>
      </w:r>
    </w:p>
  </w:footnote>
  <w:footnote w:id="2262">
    <w:p>
      <w:pPr>
        <w:pStyle w:val="FootnoteText"/>
      </w:pPr>
      <w:r>
        <w:rPr>
          <w:rStyle w:val="FootnoteReference"/>
        </w:rPr>
        <w:footnoteRef/>
      </w:r>
      <w:r>
        <w:t xml:space="preserve"> </w:t>
      </w:r>
      <w:r>
        <w:t xml:space="preserve">Mayer-Hubner 1996, PMID 8596357.</w:t>
      </w:r>
    </w:p>
  </w:footnote>
  <w:footnote w:id="2263">
    <w:p>
      <w:pPr>
        <w:pStyle w:val="FootnoteText"/>
      </w:pPr>
      <w:r>
        <w:rPr>
          <w:rStyle w:val="FootnoteReference"/>
        </w:rPr>
        <w:footnoteRef/>
      </w:r>
      <w:r>
        <w:t xml:space="preserve"> </w:t>
      </w:r>
      <w:r>
        <w:t xml:space="preserve">Meusel 2021, PMID 33296278.</w:t>
      </w:r>
    </w:p>
  </w:footnote>
  <w:footnote w:id="2268">
    <w:p>
      <w:pPr>
        <w:pStyle w:val="FootnoteText"/>
      </w:pPr>
      <w:r>
        <w:rPr>
          <w:rStyle w:val="FootnoteReference"/>
        </w:rPr>
        <w:footnoteRef/>
      </w:r>
      <w:r>
        <w:t xml:space="preserve"> </w:t>
      </w:r>
      <w:r>
        <w:t xml:space="preserve">NCT04903002.</w:t>
      </w:r>
    </w:p>
  </w:footnote>
  <w:footnote w:id="2269">
    <w:p>
      <w:pPr>
        <w:pStyle w:val="FootnoteText"/>
      </w:pPr>
      <w:r>
        <w:rPr>
          <w:rStyle w:val="FootnoteReference"/>
        </w:rPr>
        <w:footnoteRef/>
      </w:r>
      <w:r>
        <w:t xml:space="preserve"> </w:t>
      </w:r>
      <w:r>
        <w:t xml:space="preserve">NCT06036004.</w:t>
      </w:r>
    </w:p>
  </w:footnote>
  <w:footnote w:id="2270">
    <w:p>
      <w:pPr>
        <w:pStyle w:val="FootnoteText"/>
      </w:pPr>
      <w:r>
        <w:rPr>
          <w:rStyle w:val="FootnoteReference"/>
        </w:rPr>
        <w:footnoteRef/>
      </w:r>
      <w:r>
        <w:t xml:space="preserve"> </w:t>
      </w:r>
      <w:r>
        <w:t xml:space="preserve">NCT05754073.</w:t>
      </w:r>
    </w:p>
  </w:footnote>
  <w:footnote w:id="2271">
    <w:p>
      <w:pPr>
        <w:pStyle w:val="FootnoteText"/>
      </w:pPr>
      <w:r>
        <w:rPr>
          <w:rStyle w:val="FootnoteReference"/>
        </w:rPr>
        <w:footnoteRef/>
      </w:r>
      <w:r>
        <w:t xml:space="preserve"> </w:t>
      </w:r>
      <w:r>
        <w:t xml:space="preserve">NCT05664516.</w:t>
      </w:r>
    </w:p>
  </w:footnote>
  <w:footnote w:id="2272">
    <w:p>
      <w:pPr>
        <w:pStyle w:val="FootnoteText"/>
      </w:pPr>
      <w:r>
        <w:rPr>
          <w:rStyle w:val="FootnoteReference"/>
        </w:rPr>
        <w:footnoteRef/>
      </w:r>
      <w:r>
        <w:t xml:space="preserve"> </w:t>
      </w:r>
      <w:r>
        <w:t xml:space="preserve">NCT07730294.</w:t>
      </w:r>
    </w:p>
  </w:footnote>
  <w:footnote w:id="2278">
    <w:p>
      <w:pPr>
        <w:pStyle w:val="FootnoteText"/>
      </w:pPr>
      <w:r>
        <w:rPr>
          <w:rStyle w:val="FootnoteReference"/>
        </w:rPr>
        <w:footnoteRef/>
      </w:r>
      <w:r>
        <w:t xml:space="preserve"> </w:t>
      </w:r>
      <w:r>
        <w:t xml:space="preserve">Steg 1985, PMID 2934695.</w:t>
      </w:r>
    </w:p>
  </w:footnote>
  <w:footnote w:id="2279">
    <w:p>
      <w:pPr>
        <w:pStyle w:val="FootnoteText"/>
      </w:pPr>
      <w:r>
        <w:rPr>
          <w:rStyle w:val="FootnoteReference"/>
        </w:rPr>
        <w:footnoteRef/>
      </w:r>
      <w:r>
        <w:t xml:space="preserve"> </w:t>
      </w:r>
      <w:r>
        <w:t xml:space="preserve">Segarra 1996, PMID 8773342; Falkenbach 1997, PMID 9189734.</w:t>
      </w:r>
    </w:p>
  </w:footnote>
  <w:footnote w:id="2280">
    <w:p>
      <w:pPr>
        <w:pStyle w:val="FootnoteText"/>
      </w:pPr>
      <w:r>
        <w:rPr>
          <w:rStyle w:val="FootnoteReference"/>
        </w:rPr>
        <w:footnoteRef/>
      </w:r>
      <w:r>
        <w:t xml:space="preserve"> </w:t>
      </w:r>
      <w:r>
        <w:t xml:space="preserve">Kandemir 2011, PMID 21448328.</w:t>
      </w:r>
    </w:p>
  </w:footnote>
  <w:footnote w:id="2281">
    <w:p>
      <w:pPr>
        <w:pStyle w:val="FootnoteText"/>
      </w:pPr>
      <w:r>
        <w:rPr>
          <w:rStyle w:val="FootnoteReference"/>
        </w:rPr>
        <w:footnoteRef/>
      </w:r>
      <w:r>
        <w:t xml:space="preserve"> </w:t>
      </w:r>
      <w:r>
        <w:t xml:space="preserve">Ab Rahim 2020, PMID 32871650.</w:t>
      </w:r>
    </w:p>
  </w:footnote>
  <w:footnote w:id="2282">
    <w:p>
      <w:pPr>
        <w:pStyle w:val="FootnoteText"/>
      </w:pPr>
      <w:r>
        <w:rPr>
          <w:rStyle w:val="FootnoteReference"/>
        </w:rPr>
        <w:footnoteRef/>
      </w:r>
      <w:r>
        <w:t xml:space="preserve"> </w:t>
      </w:r>
      <w:r>
        <w:t xml:space="preserve">Chioma 2025, PMID 41384863.</w:t>
      </w:r>
    </w:p>
  </w:footnote>
  <w:footnote w:id="2284">
    <w:p>
      <w:pPr>
        <w:pStyle w:val="FootnoteText"/>
      </w:pPr>
      <w:r>
        <w:rPr>
          <w:rStyle w:val="FootnoteReference"/>
        </w:rPr>
        <w:footnoteRef/>
      </w:r>
      <w:r>
        <w:t xml:space="preserve"> </w:t>
      </w:r>
      <w:r>
        <w:t xml:space="preserve">Quaas 2022, PMID 36378460.</w:t>
      </w:r>
    </w:p>
  </w:footnote>
  <w:footnote w:id="2285">
    <w:p>
      <w:pPr>
        <w:pStyle w:val="FootnoteText"/>
      </w:pPr>
      <w:r>
        <w:rPr>
          <w:rStyle w:val="FootnoteReference"/>
        </w:rPr>
        <w:footnoteRef/>
      </w:r>
      <w:r>
        <w:t xml:space="preserve"> </w:t>
      </w:r>
      <w:r>
        <w:t xml:space="preserve">Filicori 1994, PMID 7962297.</w:t>
      </w:r>
    </w:p>
  </w:footnote>
  <w:footnote w:id="2286">
    <w:p>
      <w:pPr>
        <w:pStyle w:val="FootnoteText"/>
      </w:pPr>
      <w:r>
        <w:rPr>
          <w:rStyle w:val="FootnoteReference"/>
        </w:rPr>
        <w:footnoteRef/>
      </w:r>
      <w:r>
        <w:t xml:space="preserve"> </w:t>
      </w:r>
      <w:r>
        <w:t xml:space="preserve">Santoro 1990, PMID 2122733.</w:t>
      </w:r>
    </w:p>
  </w:footnote>
  <w:footnote w:id="2287">
    <w:p>
      <w:pPr>
        <w:pStyle w:val="FootnoteText"/>
      </w:pPr>
      <w:r>
        <w:rPr>
          <w:rStyle w:val="FootnoteReference"/>
        </w:rPr>
        <w:footnoteRef/>
      </w:r>
      <w:r>
        <w:t xml:space="preserve"> </w:t>
      </w:r>
      <w:r>
        <w:t xml:space="preserve">Christin-Maitre 2007, PMID 17293247.</w:t>
      </w:r>
    </w:p>
  </w:footnote>
  <w:footnote w:id="2288">
    <w:p>
      <w:pPr>
        <w:pStyle w:val="FootnoteText"/>
      </w:pPr>
      <w:r>
        <w:rPr>
          <w:rStyle w:val="FootnoteReference"/>
        </w:rPr>
        <w:footnoteRef/>
      </w:r>
      <w:r>
        <w:t xml:space="preserve"> </w:t>
      </w:r>
      <w:r>
        <w:t xml:space="preserve">Quaas 2022, PMID 36378460.</w:t>
      </w:r>
    </w:p>
  </w:footnote>
  <w:footnote w:id="2290">
    <w:p>
      <w:pPr>
        <w:pStyle w:val="FootnoteText"/>
      </w:pPr>
      <w:r>
        <w:rPr>
          <w:rStyle w:val="FootnoteReference"/>
        </w:rPr>
        <w:footnoteRef/>
      </w:r>
      <w:r>
        <w:t xml:space="preserve"> </w:t>
      </w:r>
      <w:r>
        <w:t xml:space="preserve">Kliesch 1994, PMID 7921222.</w:t>
      </w:r>
    </w:p>
  </w:footnote>
  <w:footnote w:id="2291">
    <w:p>
      <w:pPr>
        <w:pStyle w:val="FootnoteText"/>
      </w:pPr>
      <w:r>
        <w:rPr>
          <w:rStyle w:val="FootnoteReference"/>
        </w:rPr>
        <w:footnoteRef/>
      </w:r>
      <w:r>
        <w:t xml:space="preserve"> </w:t>
      </w:r>
      <w:r>
        <w:t xml:space="preserve">Gong 2015, PMID 25978110.</w:t>
      </w:r>
    </w:p>
  </w:footnote>
  <w:footnote w:id="2292">
    <w:p>
      <w:pPr>
        <w:pStyle w:val="FootnoteText"/>
      </w:pPr>
      <w:r>
        <w:rPr>
          <w:rStyle w:val="FootnoteReference"/>
        </w:rPr>
        <w:footnoteRef/>
      </w:r>
      <w:r>
        <w:t xml:space="preserve"> </w:t>
      </w:r>
      <w:r>
        <w:t xml:space="preserve">Dwyer 2013, PMID 24037890.</w:t>
      </w:r>
    </w:p>
  </w:footnote>
  <w:footnote w:id="2294">
    <w:p>
      <w:pPr>
        <w:pStyle w:val="FootnoteText"/>
      </w:pPr>
      <w:r>
        <w:rPr>
          <w:rStyle w:val="FootnoteReference"/>
        </w:rPr>
        <w:footnoteRef/>
      </w:r>
      <w:r>
        <w:t xml:space="preserve"> </w:t>
      </w:r>
      <w:r>
        <w:t xml:space="preserve">Spinelli 2014, PMID 25106891.</w:t>
      </w:r>
    </w:p>
  </w:footnote>
  <w:footnote w:id="2295">
    <w:p>
      <w:pPr>
        <w:pStyle w:val="FootnoteText"/>
      </w:pPr>
      <w:r>
        <w:rPr>
          <w:rStyle w:val="FootnoteReference"/>
        </w:rPr>
        <w:footnoteRef/>
      </w:r>
      <w:r>
        <w:t xml:space="preserve"> </w:t>
      </w:r>
      <w:r>
        <w:t xml:space="preserve">Fiala 2022, PMID 35691791.</w:t>
      </w:r>
    </w:p>
  </w:footnote>
  <w:footnote w:id="2299">
    <w:p>
      <w:pPr>
        <w:pStyle w:val="FootnoteText"/>
      </w:pPr>
      <w:r>
        <w:rPr>
          <w:rStyle w:val="FootnoteReference"/>
        </w:rPr>
        <w:footnoteRef/>
      </w:r>
      <w:r>
        <w:t xml:space="preserve"> </w:t>
      </w:r>
      <w:r>
        <w:t xml:space="preserve">Santoro 1990, PMID 2122733; Christin-Maitre 2007, PMID 17293247.</w:t>
      </w:r>
    </w:p>
  </w:footnote>
  <w:footnote w:id="2303">
    <w:p>
      <w:pPr>
        <w:pStyle w:val="FootnoteText"/>
      </w:pPr>
      <w:r>
        <w:rPr>
          <w:rStyle w:val="FootnoteReference"/>
        </w:rPr>
        <w:footnoteRef/>
      </w:r>
      <w:r>
        <w:t xml:space="preserve"> </w:t>
      </w:r>
      <w:r>
        <w:t xml:space="preserve">Smit 2026, PMID 42644333.</w:t>
      </w:r>
    </w:p>
  </w:footnote>
  <w:footnote w:id="2304">
    <w:p>
      <w:pPr>
        <w:pStyle w:val="FootnoteText"/>
      </w:pPr>
      <w:r>
        <w:rPr>
          <w:rStyle w:val="FootnoteReference"/>
        </w:rPr>
        <w:footnoteRef/>
      </w:r>
      <w:r>
        <w:t xml:space="preserve"> </w:t>
      </w:r>
      <w:r>
        <w:t xml:space="preserve">Smit 2021, PMID 33550376.</w:t>
      </w:r>
    </w:p>
  </w:footnote>
  <w:footnote w:id="2305">
    <w:p>
      <w:pPr>
        <w:pStyle w:val="FootnoteText"/>
      </w:pPr>
      <w:r>
        <w:rPr>
          <w:rStyle w:val="FootnoteReference"/>
        </w:rPr>
        <w:footnoteRef/>
      </w:r>
      <w:r>
        <w:t xml:space="preserve"> </w:t>
      </w:r>
      <w:r>
        <w:t xml:space="preserve">Torrini 2023, PMID 36858006.</w:t>
      </w:r>
    </w:p>
  </w:footnote>
  <w:footnote w:id="2308">
    <w:p>
      <w:pPr>
        <w:pStyle w:val="FootnoteText"/>
      </w:pPr>
      <w:r>
        <w:rPr>
          <w:rStyle w:val="FootnoteReference"/>
        </w:rPr>
        <w:footnoteRef/>
      </w:r>
      <w:r>
        <w:t xml:space="preserve"> </w:t>
      </w:r>
      <w:r>
        <w:t xml:space="preserve">NCT07152730.</w:t>
      </w:r>
    </w:p>
  </w:footnote>
  <w:footnote w:id="2309">
    <w:p>
      <w:pPr>
        <w:pStyle w:val="FootnoteText"/>
      </w:pPr>
      <w:r>
        <w:rPr>
          <w:rStyle w:val="FootnoteReference"/>
        </w:rPr>
        <w:footnoteRef/>
      </w:r>
      <w:r>
        <w:t xml:space="preserve"> </w:t>
      </w:r>
      <w:r>
        <w:t xml:space="preserve">NCT02310074.</w:t>
      </w:r>
    </w:p>
  </w:footnote>
  <w:footnote w:id="2310">
    <w:p>
      <w:pPr>
        <w:pStyle w:val="FootnoteText"/>
      </w:pPr>
      <w:r>
        <w:rPr>
          <w:rStyle w:val="FootnoteReference"/>
        </w:rPr>
        <w:footnoteRef/>
      </w:r>
      <w:r>
        <w:t xml:space="preserve"> </w:t>
      </w:r>
      <w:r>
        <w:t xml:space="preserve">NCT03989024.</w:t>
      </w:r>
    </w:p>
  </w:footnote>
  <w:footnote w:id="2315">
    <w:p>
      <w:pPr>
        <w:pStyle w:val="FootnoteText"/>
      </w:pPr>
      <w:r>
        <w:rPr>
          <w:rStyle w:val="FootnoteReference"/>
        </w:rPr>
        <w:footnoteRef/>
      </w:r>
      <w:r>
        <w:t xml:space="preserve"> </w:t>
      </w:r>
      <w:r>
        <w:t xml:space="preserve">Myung 2025, PMID 40324552.</w:t>
      </w:r>
    </w:p>
  </w:footnote>
  <w:footnote w:id="2321">
    <w:p>
      <w:pPr>
        <w:pStyle w:val="FootnoteText"/>
      </w:pPr>
      <w:r>
        <w:rPr>
          <w:rStyle w:val="FootnoteReference"/>
        </w:rPr>
        <w:footnoteRef/>
      </w:r>
      <w:r>
        <w:t xml:space="preserve"> </w:t>
      </w:r>
      <w:r>
        <w:t xml:space="preserve">Iwai 2005, PMID 16076145.</w:t>
      </w:r>
    </w:p>
  </w:footnote>
  <w:footnote w:id="2322">
    <w:p>
      <w:pPr>
        <w:pStyle w:val="FootnoteText"/>
      </w:pPr>
      <w:r>
        <w:rPr>
          <w:rStyle w:val="FootnoteReference"/>
        </w:rPr>
        <w:footnoteRef/>
      </w:r>
      <w:r>
        <w:t xml:space="preserve"> </w:t>
      </w:r>
      <w:r>
        <w:t xml:space="preserve">Yamamoto 2016, PMID 26934933.</w:t>
      </w:r>
    </w:p>
  </w:footnote>
  <w:footnote w:id="2323">
    <w:p>
      <w:pPr>
        <w:pStyle w:val="FootnoteText"/>
      </w:pPr>
      <w:r>
        <w:rPr>
          <w:rStyle w:val="FootnoteReference"/>
        </w:rPr>
        <w:footnoteRef/>
      </w:r>
      <w:r>
        <w:t xml:space="preserve"> </w:t>
      </w:r>
      <w:r>
        <w:t xml:space="preserve">Shaw 2017, PMID 27852613.</w:t>
      </w:r>
    </w:p>
  </w:footnote>
  <w:footnote w:id="2324">
    <w:p>
      <w:pPr>
        <w:pStyle w:val="FootnoteText"/>
      </w:pPr>
      <w:r>
        <w:rPr>
          <w:rStyle w:val="FootnoteReference"/>
        </w:rPr>
        <w:footnoteRef/>
      </w:r>
      <w:r>
        <w:t xml:space="preserve"> </w:t>
      </w:r>
      <w:r>
        <w:t xml:space="preserve">Stenbæk 2016, PMID 26655163.</w:t>
      </w:r>
    </w:p>
  </w:footnote>
  <w:footnote w:id="2326">
    <w:p>
      <w:pPr>
        <w:pStyle w:val="FootnoteText"/>
      </w:pPr>
      <w:r>
        <w:rPr>
          <w:rStyle w:val="FootnoteReference"/>
        </w:rPr>
        <w:footnoteRef/>
      </w:r>
      <w:r>
        <w:t xml:space="preserve"> </w:t>
      </w:r>
      <w:r>
        <w:t xml:space="preserve">Hexsel 2017, PMID 28786550.</w:t>
      </w:r>
    </w:p>
  </w:footnote>
  <w:footnote w:id="2327">
    <w:p>
      <w:pPr>
        <w:pStyle w:val="FootnoteText"/>
      </w:pPr>
      <w:r>
        <w:rPr>
          <w:rStyle w:val="FootnoteReference"/>
        </w:rPr>
        <w:footnoteRef/>
      </w:r>
      <w:r>
        <w:t xml:space="preserve"> </w:t>
      </w:r>
      <w:r>
        <w:t xml:space="preserve">Sugihara 2018, PMID 30061579.</w:t>
      </w:r>
    </w:p>
  </w:footnote>
  <w:footnote w:id="2329">
    <w:p>
      <w:pPr>
        <w:pStyle w:val="FootnoteText"/>
      </w:pPr>
      <w:r>
        <w:rPr>
          <w:rStyle w:val="FootnoteReference"/>
        </w:rPr>
        <w:footnoteRef/>
      </w:r>
      <w:r>
        <w:t xml:space="preserve"> </w:t>
      </w:r>
      <w:r>
        <w:t xml:space="preserve">de Miranda 2021, PMID 33742704.</w:t>
      </w:r>
    </w:p>
  </w:footnote>
  <w:footnote w:id="2330">
    <w:p>
      <w:pPr>
        <w:pStyle w:val="FootnoteText"/>
      </w:pPr>
      <w:r>
        <w:rPr>
          <w:rStyle w:val="FootnoteReference"/>
        </w:rPr>
        <w:footnoteRef/>
      </w:r>
      <w:r>
        <w:t xml:space="preserve"> </w:t>
      </w:r>
      <w:r>
        <w:t xml:space="preserve">Pu 2023, PMID 37432180.</w:t>
      </w:r>
    </w:p>
  </w:footnote>
  <w:footnote w:id="2331">
    <w:p>
      <w:pPr>
        <w:pStyle w:val="FootnoteText"/>
      </w:pPr>
      <w:r>
        <w:rPr>
          <w:rStyle w:val="FootnoteReference"/>
        </w:rPr>
        <w:footnoteRef/>
      </w:r>
      <w:r>
        <w:t xml:space="preserve"> </w:t>
      </w:r>
      <w:r>
        <w:t xml:space="preserve">Danessa 2025, PMID 40826844.</w:t>
      </w:r>
    </w:p>
  </w:footnote>
  <w:footnote w:id="2332">
    <w:p>
      <w:pPr>
        <w:pStyle w:val="FootnoteText"/>
      </w:pPr>
      <w:r>
        <w:rPr>
          <w:rStyle w:val="FootnoteReference"/>
        </w:rPr>
        <w:footnoteRef/>
      </w:r>
      <w:r>
        <w:t xml:space="preserve"> </w:t>
      </w:r>
      <w:r>
        <w:t xml:space="preserve">Myung 2025, PMID 40324552.</w:t>
      </w:r>
    </w:p>
  </w:footnote>
  <w:footnote w:id="2334">
    <w:p>
      <w:pPr>
        <w:pStyle w:val="FootnoteText"/>
      </w:pPr>
      <w:r>
        <w:rPr>
          <w:rStyle w:val="FootnoteReference"/>
        </w:rPr>
        <w:footnoteRef/>
      </w:r>
      <w:r>
        <w:t xml:space="preserve"> </w:t>
      </w:r>
      <w:r>
        <w:t xml:space="preserve">García-Coronado 2019, PMID 30368550.</w:t>
      </w:r>
    </w:p>
  </w:footnote>
  <w:footnote w:id="2335">
    <w:p>
      <w:pPr>
        <w:pStyle w:val="FootnoteText"/>
      </w:pPr>
      <w:r>
        <w:rPr>
          <w:rStyle w:val="FootnoteReference"/>
        </w:rPr>
        <w:footnoteRef/>
      </w:r>
      <w:r>
        <w:t xml:space="preserve"> </w:t>
      </w:r>
      <w:r>
        <w:t xml:space="preserve">Liang 2024, PMID 38218227.</w:t>
      </w:r>
    </w:p>
  </w:footnote>
  <w:footnote w:id="2336">
    <w:p>
      <w:pPr>
        <w:pStyle w:val="FootnoteText"/>
      </w:pPr>
      <w:r>
        <w:rPr>
          <w:rStyle w:val="FootnoteReference"/>
        </w:rPr>
        <w:footnoteRef/>
      </w:r>
      <w:r>
        <w:t xml:space="preserve"> </w:t>
      </w:r>
      <w:r>
        <w:t xml:space="preserve">Lin 2023, PMID 37717022.</w:t>
      </w:r>
    </w:p>
  </w:footnote>
  <w:footnote w:id="2337">
    <w:p>
      <w:pPr>
        <w:pStyle w:val="FootnoteText"/>
      </w:pPr>
      <w:r>
        <w:rPr>
          <w:rStyle w:val="FootnoteReference"/>
        </w:rPr>
        <w:footnoteRef/>
      </w:r>
      <w:r>
        <w:t xml:space="preserve"> </w:t>
      </w:r>
      <w:r>
        <w:t xml:space="preserve">Simental-Mendía 2025, PMID 39212129.</w:t>
      </w:r>
    </w:p>
  </w:footnote>
  <w:footnote w:id="2338">
    <w:p>
      <w:pPr>
        <w:pStyle w:val="FootnoteText"/>
      </w:pPr>
      <w:r>
        <w:rPr>
          <w:rStyle w:val="FootnoteReference"/>
        </w:rPr>
        <w:footnoteRef/>
      </w:r>
      <w:r>
        <w:t xml:space="preserve"> </w:t>
      </w:r>
      <w:r>
        <w:t xml:space="preserve">Liu 2018, PMID 29018060.</w:t>
      </w:r>
    </w:p>
  </w:footnote>
  <w:footnote w:id="2340">
    <w:p>
      <w:pPr>
        <w:pStyle w:val="FootnoteText"/>
      </w:pPr>
      <w:r>
        <w:rPr>
          <w:rStyle w:val="FootnoteReference"/>
        </w:rPr>
        <w:footnoteRef/>
      </w:r>
      <w:r>
        <w:t xml:space="preserve"> </w:t>
      </w:r>
      <w:r>
        <w:t xml:space="preserve">Trentham 1993, PMID 8378772.</w:t>
      </w:r>
    </w:p>
  </w:footnote>
  <w:footnote w:id="2341">
    <w:p>
      <w:pPr>
        <w:pStyle w:val="FootnoteText"/>
      </w:pPr>
      <w:r>
        <w:rPr>
          <w:rStyle w:val="FootnoteReference"/>
        </w:rPr>
        <w:footnoteRef/>
      </w:r>
      <w:r>
        <w:t xml:space="preserve"> </w:t>
      </w:r>
      <w:r>
        <w:t xml:space="preserve">Barnett 1998, PMID 9485087.</w:t>
      </w:r>
    </w:p>
  </w:footnote>
  <w:footnote w:id="2344">
    <w:p>
      <w:pPr>
        <w:pStyle w:val="FootnoteText"/>
      </w:pPr>
      <w:r>
        <w:rPr>
          <w:rStyle w:val="FootnoteReference"/>
        </w:rPr>
        <w:footnoteRef/>
      </w:r>
      <w:r>
        <w:t xml:space="preserve"> </w:t>
      </w:r>
      <w:r>
        <w:t xml:space="preserve">Zdzieblik 2015, PMID 26353786.</w:t>
      </w:r>
    </w:p>
  </w:footnote>
  <w:footnote w:id="2345">
    <w:p>
      <w:pPr>
        <w:pStyle w:val="FootnoteText"/>
      </w:pPr>
      <w:r>
        <w:rPr>
          <w:rStyle w:val="FootnoteReference"/>
        </w:rPr>
        <w:footnoteRef/>
      </w:r>
      <w:r>
        <w:t xml:space="preserve"> </w:t>
      </w:r>
      <w:r>
        <w:t xml:space="preserve">Oikawa 2020, PMID 31919527.</w:t>
      </w:r>
    </w:p>
  </w:footnote>
  <w:footnote w:id="2346">
    <w:p>
      <w:pPr>
        <w:pStyle w:val="FootnoteText"/>
      </w:pPr>
      <w:r>
        <w:rPr>
          <w:rStyle w:val="FootnoteReference"/>
        </w:rPr>
        <w:footnoteRef/>
      </w:r>
      <w:r>
        <w:t xml:space="preserve"> </w:t>
      </w:r>
      <w:r>
        <w:t xml:space="preserve">Jacinto 2022, PMID 35042187.</w:t>
      </w:r>
    </w:p>
  </w:footnote>
  <w:footnote w:id="2347">
    <w:p>
      <w:pPr>
        <w:pStyle w:val="FootnoteText"/>
      </w:pPr>
      <w:r>
        <w:rPr>
          <w:rStyle w:val="FootnoteReference"/>
        </w:rPr>
        <w:footnoteRef/>
      </w:r>
      <w:r>
        <w:t xml:space="preserve"> </w:t>
      </w:r>
      <w:r>
        <w:t xml:space="preserve">Kirmse 2024, PMID 39086044.</w:t>
      </w:r>
    </w:p>
  </w:footnote>
  <w:footnote w:id="2348">
    <w:p>
      <w:pPr>
        <w:pStyle w:val="FootnoteText"/>
      </w:pPr>
      <w:r>
        <w:rPr>
          <w:rStyle w:val="FootnoteReference"/>
        </w:rPr>
        <w:footnoteRef/>
      </w:r>
      <w:r>
        <w:t xml:space="preserve"> </w:t>
      </w:r>
      <w:r>
        <w:t xml:space="preserve">Bischof 2024, PMID 39060741.</w:t>
      </w:r>
    </w:p>
  </w:footnote>
  <w:footnote w:id="2349">
    <w:p>
      <w:pPr>
        <w:pStyle w:val="FootnoteText"/>
      </w:pPr>
      <w:r>
        <w:rPr>
          <w:rStyle w:val="FootnoteReference"/>
        </w:rPr>
        <w:footnoteRef/>
      </w:r>
      <w:r>
        <w:t xml:space="preserve"> </w:t>
      </w:r>
      <w:r>
        <w:t xml:space="preserve">Khatri 2021, PMID 34491424.</w:t>
      </w:r>
    </w:p>
  </w:footnote>
  <w:footnote w:id="2351">
    <w:p>
      <w:pPr>
        <w:pStyle w:val="FootnoteText"/>
      </w:pPr>
      <w:r>
        <w:rPr>
          <w:rStyle w:val="FootnoteReference"/>
        </w:rPr>
        <w:footnoteRef/>
      </w:r>
      <w:r>
        <w:t xml:space="preserve"> </w:t>
      </w:r>
      <w:r>
        <w:t xml:space="preserve">Jalili 2023, PMID 35658958.</w:t>
      </w:r>
    </w:p>
  </w:footnote>
  <w:footnote w:id="2354">
    <w:p>
      <w:pPr>
        <w:pStyle w:val="FootnoteText"/>
      </w:pPr>
      <w:r>
        <w:rPr>
          <w:rStyle w:val="FootnoteReference"/>
        </w:rPr>
        <w:footnoteRef/>
      </w:r>
      <w:r>
        <w:t xml:space="preserve"> </w:t>
      </w:r>
      <w:r>
        <w:t xml:space="preserve">Asserin 2015, PMID 26362110.</w:t>
      </w:r>
    </w:p>
  </w:footnote>
  <w:footnote w:id="2355">
    <w:p>
      <w:pPr>
        <w:pStyle w:val="FootnoteText"/>
      </w:pPr>
      <w:r>
        <w:rPr>
          <w:rStyle w:val="FootnoteReference"/>
        </w:rPr>
        <w:footnoteRef/>
      </w:r>
      <w:r>
        <w:t xml:space="preserve"> </w:t>
      </w:r>
      <w:r>
        <w:t xml:space="preserve">Inacio 2024, PMID 38892477.</w:t>
      </w:r>
    </w:p>
  </w:footnote>
  <w:footnote w:id="2356">
    <w:p>
      <w:pPr>
        <w:pStyle w:val="FootnoteText"/>
      </w:pPr>
      <w:r>
        <w:rPr>
          <w:rStyle w:val="FootnoteReference"/>
        </w:rPr>
        <w:footnoteRef/>
      </w:r>
      <w:r>
        <w:t xml:space="preserve"> </w:t>
      </w:r>
      <w:r>
        <w:t xml:space="preserve">Bischof 2026, PMID 41168365.</w:t>
      </w:r>
    </w:p>
  </w:footnote>
  <w:footnote w:id="2358">
    <w:p>
      <w:pPr>
        <w:pStyle w:val="FootnoteText"/>
      </w:pPr>
      <w:r>
        <w:rPr>
          <w:rStyle w:val="FootnoteReference"/>
        </w:rPr>
        <w:footnoteRef/>
      </w:r>
      <w:r>
        <w:t xml:space="preserve"> </w:t>
      </w:r>
      <w:r>
        <w:t xml:space="preserve">Liang 2024, PMID 38218227.</w:t>
      </w:r>
    </w:p>
  </w:footnote>
  <w:footnote w:id="2359">
    <w:p>
      <w:pPr>
        <w:pStyle w:val="FootnoteText"/>
      </w:pPr>
      <w:r>
        <w:rPr>
          <w:rStyle w:val="FootnoteReference"/>
        </w:rPr>
        <w:footnoteRef/>
      </w:r>
      <w:r>
        <w:t xml:space="preserve"> </w:t>
      </w:r>
      <w:r>
        <w:t xml:space="preserve">Knight 2006, PMID 17021603.</w:t>
      </w:r>
    </w:p>
  </w:footnote>
  <w:footnote w:id="2362">
    <w:p>
      <w:pPr>
        <w:pStyle w:val="FootnoteText"/>
      </w:pPr>
      <w:r>
        <w:rPr>
          <w:rStyle w:val="FootnoteReference"/>
        </w:rPr>
        <w:footnoteRef/>
      </w:r>
      <w:r>
        <w:t xml:space="preserve"> </w:t>
      </w:r>
      <w:r>
        <w:t xml:space="preserve">NCT04998188.</w:t>
      </w:r>
    </w:p>
  </w:footnote>
  <w:footnote w:id="2363">
    <w:p>
      <w:pPr>
        <w:pStyle w:val="FootnoteText"/>
      </w:pPr>
      <w:r>
        <w:rPr>
          <w:rStyle w:val="FootnoteReference"/>
        </w:rPr>
        <w:footnoteRef/>
      </w:r>
      <w:r>
        <w:t xml:space="preserve"> </w:t>
      </w:r>
      <w:r>
        <w:t xml:space="preserve">NCT07800780.</w:t>
      </w:r>
    </w:p>
  </w:footnote>
  <w:footnote w:id="2364">
    <w:p>
      <w:pPr>
        <w:pStyle w:val="FootnoteText"/>
      </w:pPr>
      <w:r>
        <w:rPr>
          <w:rStyle w:val="FootnoteReference"/>
        </w:rPr>
        <w:footnoteRef/>
      </w:r>
      <w:r>
        <w:t xml:space="preserve"> </w:t>
      </w:r>
      <w:r>
        <w:t xml:space="preserve">NCT05823727.</w:t>
      </w:r>
    </w:p>
  </w:footnote>
  <w:footnote w:id="2365">
    <w:p>
      <w:pPr>
        <w:pStyle w:val="FootnoteText"/>
      </w:pPr>
      <w:r>
        <w:rPr>
          <w:rStyle w:val="FootnoteReference"/>
        </w:rPr>
        <w:footnoteRef/>
      </w:r>
      <w:r>
        <w:t xml:space="preserve"> </w:t>
      </w:r>
      <w:r>
        <w:t xml:space="preserve">NCT07473037.</w:t>
      </w:r>
    </w:p>
  </w:footnote>
  <w:footnote w:id="2366">
    <w:p>
      <w:pPr>
        <w:pStyle w:val="FootnoteText"/>
      </w:pPr>
      <w:r>
        <w:rPr>
          <w:rStyle w:val="FootnoteReference"/>
        </w:rPr>
        <w:footnoteRef/>
      </w:r>
      <w:r>
        <w:t xml:space="preserve"> </w:t>
      </w:r>
      <w:r>
        <w:t xml:space="preserve">NCT07456449.</w:t>
      </w:r>
    </w:p>
  </w:footnote>
  <w:footnote w:id="2367">
    <w:p>
      <w:pPr>
        <w:pStyle w:val="FootnoteText"/>
      </w:pPr>
      <w:r>
        <w:rPr>
          <w:rStyle w:val="FootnoteReference"/>
        </w:rPr>
        <w:footnoteRef/>
      </w:r>
      <w:r>
        <w:t xml:space="preserve"> </w:t>
      </w:r>
      <w:r>
        <w:t xml:space="preserve">NCT07229014.</w:t>
      </w:r>
    </w:p>
  </w:footnote>
  <w:footnote w:id="2368">
    <w:p>
      <w:pPr>
        <w:pStyle w:val="FootnoteText"/>
      </w:pPr>
      <w:r>
        <w:rPr>
          <w:rStyle w:val="FootnoteReference"/>
        </w:rPr>
        <w:footnoteRef/>
      </w:r>
      <w:r>
        <w:t xml:space="preserve"> </w:t>
      </w:r>
      <w:r>
        <w:t xml:space="preserve">Myung 2025, PMID 40324552.</w:t>
      </w:r>
    </w:p>
  </w:footnote>
  <w:footnote w:id="2373">
    <w:p>
      <w:pPr>
        <w:pStyle w:val="FootnoteText"/>
      </w:pPr>
      <w:r>
        <w:rPr>
          <w:rStyle w:val="FootnoteReference"/>
        </w:rPr>
        <w:footnoteRef/>
      </w:r>
      <w:r>
        <w:t xml:space="preserve"> </w:t>
      </w:r>
      <w:r>
        <w:t xml:space="preserve">Nakamura 1995, PMID 7673515.</w:t>
      </w:r>
    </w:p>
  </w:footnote>
  <w:footnote w:id="2374">
    <w:p>
      <w:pPr>
        <w:pStyle w:val="FootnoteText"/>
      </w:pPr>
      <w:r>
        <w:rPr>
          <w:rStyle w:val="FootnoteReference"/>
        </w:rPr>
        <w:footnoteRef/>
      </w:r>
      <w:r>
        <w:t xml:space="preserve"> </w:t>
      </w:r>
      <w:r>
        <w:t xml:space="preserve">Foltz 2007, PMID 17374660.</w:t>
      </w:r>
    </w:p>
  </w:footnote>
  <w:footnote w:id="2375">
    <w:p>
      <w:pPr>
        <w:pStyle w:val="FootnoteText"/>
      </w:pPr>
      <w:r>
        <w:rPr>
          <w:rStyle w:val="FootnoteReference"/>
        </w:rPr>
        <w:footnoteRef/>
      </w:r>
      <w:r>
        <w:t xml:space="preserve"> </w:t>
      </w:r>
      <w:r>
        <w:t xml:space="preserve">Wuerzner 2009, PMID 19506528.</w:t>
      </w:r>
    </w:p>
  </w:footnote>
  <w:footnote w:id="2378">
    <w:p>
      <w:pPr>
        <w:pStyle w:val="FootnoteText"/>
      </w:pPr>
      <w:r>
        <w:rPr>
          <w:rStyle w:val="FootnoteReference"/>
        </w:rPr>
        <w:footnoteRef/>
      </w:r>
      <w:r>
        <w:t xml:space="preserve"> </w:t>
      </w:r>
      <w:r>
        <w:t xml:space="preserve">Geleijnse 2010, PMID 19884823.</w:t>
      </w:r>
    </w:p>
  </w:footnote>
  <w:footnote w:id="2380">
    <w:p>
      <w:pPr>
        <w:pStyle w:val="FootnoteText"/>
      </w:pPr>
      <w:r>
        <w:rPr>
          <w:rStyle w:val="FootnoteReference"/>
        </w:rPr>
        <w:footnoteRef/>
      </w:r>
      <w:r>
        <w:t xml:space="preserve"> </w:t>
      </w:r>
      <w:r>
        <w:t xml:space="preserve">Jauhiainen 2012, PMID 22617279.</w:t>
      </w:r>
    </w:p>
  </w:footnote>
  <w:footnote w:id="2381">
    <w:p>
      <w:pPr>
        <w:pStyle w:val="FootnoteText"/>
      </w:pPr>
      <w:r>
        <w:rPr>
          <w:rStyle w:val="FootnoteReference"/>
        </w:rPr>
        <w:footnoteRef/>
      </w:r>
      <w:r>
        <w:t xml:space="preserve"> </w:t>
      </w:r>
      <w:r>
        <w:t xml:space="preserve">Turpeinen 2012, PMID 22398753.</w:t>
      </w:r>
    </w:p>
  </w:footnote>
  <w:footnote w:id="2382">
    <w:p>
      <w:pPr>
        <w:pStyle w:val="FootnoteText"/>
      </w:pPr>
      <w:r>
        <w:rPr>
          <w:rStyle w:val="FootnoteReference"/>
        </w:rPr>
        <w:footnoteRef/>
      </w:r>
      <w:r>
        <w:t xml:space="preserve"> </w:t>
      </w:r>
      <w:r>
        <w:t xml:space="preserve">Cicero 2011, PMID 21753776; Cicero 2016, PMID 26683986.</w:t>
      </w:r>
    </w:p>
  </w:footnote>
  <w:footnote w:id="2383">
    <w:p>
      <w:pPr>
        <w:pStyle w:val="FootnoteText"/>
      </w:pPr>
      <w:r>
        <w:rPr>
          <w:rStyle w:val="FootnoteReference"/>
        </w:rPr>
        <w:footnoteRef/>
      </w:r>
      <w:r>
        <w:t xml:space="preserve"> </w:t>
      </w:r>
      <w:r>
        <w:t xml:space="preserve">Germino 2010, PMID 20433527.</w:t>
      </w:r>
    </w:p>
  </w:footnote>
  <w:footnote w:id="2385">
    <w:p>
      <w:pPr>
        <w:pStyle w:val="FootnoteText"/>
      </w:pPr>
      <w:r>
        <w:rPr>
          <w:rStyle w:val="FootnoteReference"/>
        </w:rPr>
        <w:footnoteRef/>
      </w:r>
      <w:r>
        <w:t xml:space="preserve"> </w:t>
      </w:r>
      <w:r>
        <w:t xml:space="preserve">Fekete 2015, PMID 25608938.</w:t>
      </w:r>
    </w:p>
  </w:footnote>
  <w:footnote w:id="2388">
    <w:p>
      <w:pPr>
        <w:pStyle w:val="FootnoteText"/>
      </w:pPr>
      <w:r>
        <w:rPr>
          <w:rStyle w:val="FootnoteReference"/>
        </w:rPr>
        <w:footnoteRef/>
      </w:r>
      <w:r>
        <w:t xml:space="preserve"> </w:t>
      </w:r>
      <w:r>
        <w:t xml:space="preserve">Nakamura 1995, PMID 7673515.</w:t>
      </w:r>
    </w:p>
  </w:footnote>
  <w:footnote w:id="2389">
    <w:p>
      <w:pPr>
        <w:pStyle w:val="FootnoteText"/>
      </w:pPr>
      <w:r>
        <w:rPr>
          <w:rStyle w:val="FootnoteReference"/>
        </w:rPr>
        <w:footnoteRef/>
      </w:r>
      <w:r>
        <w:t xml:space="preserve"> </w:t>
      </w:r>
      <w:r>
        <w:t xml:space="preserve">Hirota 2011, PMID 21221598.</w:t>
      </w:r>
    </w:p>
  </w:footnote>
  <w:footnote w:id="2390">
    <w:p>
      <w:pPr>
        <w:pStyle w:val="FootnoteText"/>
      </w:pPr>
      <w:r>
        <w:rPr>
          <w:rStyle w:val="FootnoteReference"/>
        </w:rPr>
        <w:footnoteRef/>
      </w:r>
      <w:r>
        <w:t xml:space="preserve"> </w:t>
      </w:r>
      <w:r>
        <w:t xml:space="preserve">Foltz 2007, PMID 17374660.</w:t>
      </w:r>
    </w:p>
  </w:footnote>
  <w:footnote w:id="2391">
    <w:p>
      <w:pPr>
        <w:pStyle w:val="FootnoteText"/>
      </w:pPr>
      <w:r>
        <w:rPr>
          <w:rStyle w:val="FootnoteReference"/>
        </w:rPr>
        <w:footnoteRef/>
      </w:r>
      <w:r>
        <w:t xml:space="preserve"> </w:t>
      </w:r>
      <w:r>
        <w:t xml:space="preserve">Gregory 2024, PMID 37904282.</w:t>
      </w:r>
    </w:p>
  </w:footnote>
  <w:footnote w:id="2392">
    <w:p>
      <w:pPr>
        <w:pStyle w:val="FootnoteText"/>
      </w:pPr>
      <w:r>
        <w:rPr>
          <w:rStyle w:val="FootnoteReference"/>
        </w:rPr>
        <w:footnoteRef/>
      </w:r>
      <w:r>
        <w:t xml:space="preserve"> </w:t>
      </w:r>
      <w:r>
        <w:t xml:space="preserve">Dent 2007, PMID 17383063.</w:t>
      </w:r>
    </w:p>
  </w:footnote>
  <w:footnote w:id="2393">
    <w:p>
      <w:pPr>
        <w:pStyle w:val="FootnoteText"/>
      </w:pPr>
      <w:r>
        <w:rPr>
          <w:rStyle w:val="FootnoteReference"/>
        </w:rPr>
        <w:footnoteRef/>
      </w:r>
      <w:r>
        <w:t xml:space="preserve"> </w:t>
      </w:r>
      <w:r>
        <w:t xml:space="preserve">Ponstein-Simarro Doorten 2009, PMID 18955104.</w:t>
      </w:r>
    </w:p>
  </w:footnote>
  <w:footnote w:id="2397">
    <w:p>
      <w:pPr>
        <w:pStyle w:val="FootnoteText"/>
      </w:pPr>
      <w:r>
        <w:rPr>
          <w:rStyle w:val="FootnoteReference"/>
        </w:rPr>
        <w:footnoteRef/>
      </w:r>
      <w:r>
        <w:t xml:space="preserve"> </w:t>
      </w:r>
      <w:r>
        <w:t xml:space="preserve">NCT00924157.</w:t>
      </w:r>
    </w:p>
  </w:footnote>
  <w:footnote w:id="2402">
    <w:p>
      <w:pPr>
        <w:pStyle w:val="FootnoteText"/>
      </w:pPr>
      <w:r>
        <w:rPr>
          <w:rStyle w:val="FootnoteReference"/>
        </w:rPr>
        <w:footnoteRef/>
      </w:r>
      <w:r>
        <w:t xml:space="preserve"> </w:t>
      </w:r>
      <w:r>
        <w:t xml:space="preserve">Baguet 2010, PMID 20671038.</w:t>
      </w:r>
    </w:p>
  </w:footnote>
  <w:footnote w:id="2403">
    <w:p>
      <w:pPr>
        <w:pStyle w:val="FootnoteText"/>
      </w:pPr>
      <w:r>
        <w:rPr>
          <w:rStyle w:val="FootnoteReference"/>
        </w:rPr>
        <w:footnoteRef/>
      </w:r>
      <w:r>
        <w:t xml:space="preserve"> </w:t>
      </w:r>
      <w:r>
        <w:t xml:space="preserve">Gardner 1991, PMID 1910085.</w:t>
      </w:r>
    </w:p>
  </w:footnote>
  <w:footnote w:id="2404">
    <w:p>
      <w:pPr>
        <w:pStyle w:val="FootnoteText"/>
      </w:pPr>
      <w:r>
        <w:rPr>
          <w:rStyle w:val="FootnoteReference"/>
        </w:rPr>
        <w:footnoteRef/>
      </w:r>
      <w:r>
        <w:t xml:space="preserve"> </w:t>
      </w:r>
      <w:r>
        <w:t xml:space="preserve">Baba 2024, PMID 39215872.</w:t>
      </w:r>
    </w:p>
  </w:footnote>
  <w:footnote w:id="2406">
    <w:p>
      <w:pPr>
        <w:pStyle w:val="FootnoteText"/>
      </w:pPr>
      <w:r>
        <w:rPr>
          <w:rStyle w:val="FootnoteReference"/>
        </w:rPr>
        <w:footnoteRef/>
      </w:r>
      <w:r>
        <w:t xml:space="preserve"> </w:t>
      </w:r>
      <w:r>
        <w:t xml:space="preserve">Harris 2006, PMID 16554972.</w:t>
      </w:r>
    </w:p>
  </w:footnote>
  <w:footnote w:id="2407">
    <w:p>
      <w:pPr>
        <w:pStyle w:val="FootnoteText"/>
      </w:pPr>
      <w:r>
        <w:rPr>
          <w:rStyle w:val="FootnoteReference"/>
        </w:rPr>
        <w:footnoteRef/>
      </w:r>
      <w:r>
        <w:t xml:space="preserve"> </w:t>
      </w:r>
      <w:r>
        <w:t xml:space="preserve">Yamaguchi 2021, PMID 33148972.</w:t>
      </w:r>
    </w:p>
  </w:footnote>
  <w:footnote w:id="2408">
    <w:p>
      <w:pPr>
        <w:pStyle w:val="FootnoteText"/>
      </w:pPr>
      <w:r>
        <w:rPr>
          <w:rStyle w:val="FootnoteReference"/>
        </w:rPr>
        <w:footnoteRef/>
      </w:r>
      <w:r>
        <w:t xml:space="preserve"> </w:t>
      </w:r>
      <w:r>
        <w:t xml:space="preserve">Rezende 2020, PMID 32922303.</w:t>
      </w:r>
    </w:p>
  </w:footnote>
  <w:footnote w:id="2411">
    <w:p>
      <w:pPr>
        <w:pStyle w:val="FootnoteText"/>
      </w:pPr>
      <w:r>
        <w:rPr>
          <w:rStyle w:val="FootnoteReference"/>
        </w:rPr>
        <w:footnoteRef/>
      </w:r>
      <w:r>
        <w:t xml:space="preserve"> </w:t>
      </w:r>
      <w:r>
        <w:t xml:space="preserve">Saunders 2017, PMID 27797728.</w:t>
      </w:r>
    </w:p>
  </w:footnote>
  <w:footnote w:id="2412">
    <w:p>
      <w:pPr>
        <w:pStyle w:val="FootnoteText"/>
      </w:pPr>
      <w:r>
        <w:rPr>
          <w:rStyle w:val="FootnoteReference"/>
        </w:rPr>
        <w:footnoteRef/>
      </w:r>
      <w:r>
        <w:t xml:space="preserve"> </w:t>
      </w:r>
      <w:r>
        <w:t xml:space="preserve">Derave 2007, PMID 17690198.</w:t>
      </w:r>
    </w:p>
  </w:footnote>
  <w:footnote w:id="2413">
    <w:p>
      <w:pPr>
        <w:pStyle w:val="FootnoteText"/>
      </w:pPr>
      <w:r>
        <w:rPr>
          <w:rStyle w:val="FootnoteReference"/>
        </w:rPr>
        <w:footnoteRef/>
      </w:r>
      <w:r>
        <w:t xml:space="preserve"> </w:t>
      </w:r>
      <w:r>
        <w:t xml:space="preserve">Chung 2014, PMID 24457999.</w:t>
      </w:r>
    </w:p>
  </w:footnote>
  <w:footnote w:id="2414">
    <w:p>
      <w:pPr>
        <w:pStyle w:val="FootnoteText"/>
      </w:pPr>
      <w:r>
        <w:rPr>
          <w:rStyle w:val="FootnoteReference"/>
        </w:rPr>
        <w:footnoteRef/>
      </w:r>
      <w:r>
        <w:t xml:space="preserve"> </w:t>
      </w:r>
      <w:r>
        <w:t xml:space="preserve">O’Toole 2026, PMID 42308284.</w:t>
      </w:r>
    </w:p>
  </w:footnote>
  <w:footnote w:id="2416">
    <w:p>
      <w:pPr>
        <w:pStyle w:val="FootnoteText"/>
      </w:pPr>
      <w:r>
        <w:rPr>
          <w:rStyle w:val="FootnoteReference"/>
        </w:rPr>
        <w:footnoteRef/>
      </w:r>
      <w:r>
        <w:t xml:space="preserve"> </w:t>
      </w:r>
      <w:r>
        <w:t xml:space="preserve">Peng 2020, PMID 31987255.</w:t>
      </w:r>
    </w:p>
  </w:footnote>
  <w:footnote w:id="2417">
    <w:p>
      <w:pPr>
        <w:pStyle w:val="FootnoteText"/>
      </w:pPr>
      <w:r>
        <w:rPr>
          <w:rStyle w:val="FootnoteReference"/>
        </w:rPr>
        <w:footnoteRef/>
      </w:r>
      <w:r>
        <w:t xml:space="preserve"> </w:t>
      </w:r>
      <w:r>
        <w:t xml:space="preserve">Matthews 2021, PMID 34333586.</w:t>
      </w:r>
    </w:p>
  </w:footnote>
  <w:footnote w:id="2418">
    <w:p>
      <w:pPr>
        <w:pStyle w:val="FootnoteText"/>
      </w:pPr>
      <w:r>
        <w:rPr>
          <w:rStyle w:val="FootnoteReference"/>
        </w:rPr>
        <w:footnoteRef/>
      </w:r>
      <w:r>
        <w:t xml:space="preserve"> </w:t>
      </w:r>
      <w:r>
        <w:t xml:space="preserve">Li 2025, PMID 40999397.</w:t>
      </w:r>
    </w:p>
  </w:footnote>
  <w:footnote w:id="2420">
    <w:p>
      <w:pPr>
        <w:pStyle w:val="FootnoteText"/>
      </w:pPr>
      <w:r>
        <w:rPr>
          <w:rStyle w:val="FootnoteReference"/>
        </w:rPr>
        <w:footnoteRef/>
      </w:r>
      <w:r>
        <w:t xml:space="preserve"> </w:t>
      </w:r>
      <w:r>
        <w:t xml:space="preserve">Saadati 2024, PMID 38086332.</w:t>
      </w:r>
    </w:p>
  </w:footnote>
  <w:footnote w:id="2422">
    <w:p>
      <w:pPr>
        <w:pStyle w:val="FootnoteText"/>
      </w:pPr>
      <w:r>
        <w:rPr>
          <w:rStyle w:val="FootnoteReference"/>
        </w:rPr>
        <w:footnoteRef/>
      </w:r>
      <w:r>
        <w:t xml:space="preserve"> </w:t>
      </w:r>
      <w:r>
        <w:t xml:space="preserve">Hisatsune 2016, PMID 26682691.</w:t>
      </w:r>
    </w:p>
  </w:footnote>
  <w:footnote w:id="2423">
    <w:p>
      <w:pPr>
        <w:pStyle w:val="FootnoteText"/>
      </w:pPr>
      <w:r>
        <w:rPr>
          <w:rStyle w:val="FootnoteReference"/>
        </w:rPr>
        <w:footnoteRef/>
      </w:r>
      <w:r>
        <w:t xml:space="preserve"> </w:t>
      </w:r>
      <w:r>
        <w:t xml:space="preserve">Masuoka 2019, PMID 31319510.</w:t>
      </w:r>
    </w:p>
  </w:footnote>
  <w:footnote w:id="2424">
    <w:p>
      <w:pPr>
        <w:pStyle w:val="FootnoteText"/>
      </w:pPr>
      <w:r>
        <w:rPr>
          <w:rStyle w:val="FootnoteReference"/>
        </w:rPr>
        <w:footnoteRef/>
      </w:r>
      <w:r>
        <w:t xml:space="preserve"> </w:t>
      </w:r>
      <w:r>
        <w:t xml:space="preserve">O’Toole 2025, PMID 39919936.</w:t>
      </w:r>
    </w:p>
  </w:footnote>
  <w:footnote w:id="2425">
    <w:p>
      <w:pPr>
        <w:pStyle w:val="FootnoteText"/>
      </w:pPr>
      <w:r>
        <w:rPr>
          <w:rStyle w:val="FootnoteReference"/>
        </w:rPr>
        <w:footnoteRef/>
      </w:r>
      <w:r>
        <w:t xml:space="preserve"> </w:t>
      </w:r>
      <w:r>
        <w:t xml:space="preserve">Hsiao 2026, PMID 42123986.</w:t>
      </w:r>
    </w:p>
  </w:footnote>
  <w:footnote w:id="2426">
    <w:p>
      <w:pPr>
        <w:pStyle w:val="FootnoteText"/>
      </w:pPr>
      <w:r>
        <w:rPr>
          <w:rStyle w:val="FootnoteReference"/>
        </w:rPr>
        <w:footnoteRef/>
      </w:r>
      <w:r>
        <w:t xml:space="preserve"> </w:t>
      </w:r>
      <w:r>
        <w:t xml:space="preserve">Kabthymer 2025, PMID 38545720.</w:t>
      </w:r>
    </w:p>
  </w:footnote>
  <w:footnote w:id="2427">
    <w:p>
      <w:pPr>
        <w:pStyle w:val="FootnoteText"/>
      </w:pPr>
      <w:r>
        <w:rPr>
          <w:rStyle w:val="FootnoteReference"/>
        </w:rPr>
        <w:footnoteRef/>
      </w:r>
      <w:r>
        <w:t xml:space="preserve"> </w:t>
      </w:r>
      <w:r>
        <w:t xml:space="preserve">Chez 2002, PMID 12585724.</w:t>
      </w:r>
    </w:p>
  </w:footnote>
  <w:footnote w:id="2428">
    <w:p>
      <w:pPr>
        <w:pStyle w:val="FootnoteText"/>
      </w:pPr>
      <w:r>
        <w:rPr>
          <w:rStyle w:val="FootnoteReference"/>
        </w:rPr>
        <w:footnoteRef/>
      </w:r>
      <w:r>
        <w:t xml:space="preserve"> </w:t>
      </w:r>
      <w:r>
        <w:t xml:space="preserve">Abraham 2020, PMID 33170378.</w:t>
      </w:r>
    </w:p>
  </w:footnote>
  <w:footnote w:id="2430">
    <w:p>
      <w:pPr>
        <w:pStyle w:val="FootnoteText"/>
      </w:pPr>
      <w:r>
        <w:rPr>
          <w:rStyle w:val="FootnoteReference"/>
        </w:rPr>
        <w:footnoteRef/>
      </w:r>
      <w:r>
        <w:t xml:space="preserve"> </w:t>
      </w:r>
      <w:r>
        <w:t xml:space="preserve">Yehia 2019, PMID 30592963.</w:t>
      </w:r>
    </w:p>
  </w:footnote>
  <w:footnote w:id="2431">
    <w:p>
      <w:pPr>
        <w:pStyle w:val="FootnoteText"/>
      </w:pPr>
      <w:r>
        <w:rPr>
          <w:rStyle w:val="FootnoteReference"/>
        </w:rPr>
        <w:footnoteRef/>
      </w:r>
      <w:r>
        <w:t xml:space="preserve"> </w:t>
      </w:r>
      <w:r>
        <w:t xml:space="preserve">Lombardi 2015, PMID 25287762.</w:t>
      </w:r>
    </w:p>
  </w:footnote>
  <w:footnote w:id="2432">
    <w:p>
      <w:pPr>
        <w:pStyle w:val="FootnoteText"/>
      </w:pPr>
      <w:r>
        <w:rPr>
          <w:rStyle w:val="FootnoteReference"/>
        </w:rPr>
        <w:footnoteRef/>
      </w:r>
      <w:r>
        <w:t xml:space="preserve"> </w:t>
      </w:r>
      <w:r>
        <w:t xml:space="preserve">Baraniuk 2013, PMID 23618477.</w:t>
      </w:r>
    </w:p>
  </w:footnote>
  <w:footnote w:id="2433">
    <w:p>
      <w:pPr>
        <w:pStyle w:val="FootnoteText"/>
      </w:pPr>
      <w:r>
        <w:rPr>
          <w:rStyle w:val="FootnoteReference"/>
        </w:rPr>
        <w:footnoteRef/>
      </w:r>
      <w:r>
        <w:t xml:space="preserve"> </w:t>
      </w:r>
      <w:r>
        <w:t xml:space="preserve">Babizhayev 2012, PMID 21756141.</w:t>
      </w:r>
    </w:p>
  </w:footnote>
  <w:footnote w:id="2435">
    <w:p>
      <w:pPr>
        <w:pStyle w:val="FootnoteText"/>
      </w:pPr>
      <w:r>
        <w:rPr>
          <w:rStyle w:val="FootnoteReference"/>
        </w:rPr>
        <w:footnoteRef/>
      </w:r>
      <w:r>
        <w:t xml:space="preserve"> </w:t>
      </w:r>
      <w:r>
        <w:t xml:space="preserve">Shen 2022, PMID 35999163.</w:t>
      </w:r>
    </w:p>
  </w:footnote>
  <w:footnote w:id="2436">
    <w:p>
      <w:pPr>
        <w:pStyle w:val="FootnoteText"/>
      </w:pPr>
      <w:r>
        <w:rPr>
          <w:rStyle w:val="FootnoteReference"/>
        </w:rPr>
        <w:footnoteRef/>
      </w:r>
      <w:r>
        <w:t xml:space="preserve"> </w:t>
      </w:r>
      <w:r>
        <w:t xml:space="preserve">Dubois 2017, PMID 28245346.</w:t>
      </w:r>
    </w:p>
  </w:footnote>
  <w:footnote w:id="2439">
    <w:p>
      <w:pPr>
        <w:pStyle w:val="FootnoteText"/>
      </w:pPr>
      <w:r>
        <w:rPr>
          <w:rStyle w:val="FootnoteReference"/>
        </w:rPr>
        <w:footnoteRef/>
      </w:r>
      <w:r>
        <w:t xml:space="preserve"> </w:t>
      </w:r>
      <w:r>
        <w:t xml:space="preserve">Matthews 2021, PMID 34333586.</w:t>
      </w:r>
    </w:p>
  </w:footnote>
  <w:footnote w:id="2440">
    <w:p>
      <w:pPr>
        <w:pStyle w:val="FootnoteText"/>
      </w:pPr>
      <w:r>
        <w:rPr>
          <w:rStyle w:val="FootnoteReference"/>
        </w:rPr>
        <w:footnoteRef/>
      </w:r>
      <w:r>
        <w:t xml:space="preserve"> </w:t>
      </w:r>
      <w:r>
        <w:t xml:space="preserve">Qiu 2020, PMID 32803273.</w:t>
      </w:r>
    </w:p>
  </w:footnote>
  <w:footnote w:id="2442">
    <w:p>
      <w:pPr>
        <w:pStyle w:val="FootnoteText"/>
      </w:pPr>
      <w:r>
        <w:rPr>
          <w:rStyle w:val="FootnoteReference"/>
        </w:rPr>
        <w:footnoteRef/>
      </w:r>
      <w:r>
        <w:t xml:space="preserve"> </w:t>
      </w:r>
      <w:r>
        <w:t xml:space="preserve">Baba 2024, PMID 39215872.</w:t>
      </w:r>
    </w:p>
  </w:footnote>
  <w:footnote w:id="2443">
    <w:p>
      <w:pPr>
        <w:pStyle w:val="FootnoteText"/>
      </w:pPr>
      <w:r>
        <w:rPr>
          <w:rStyle w:val="FootnoteReference"/>
        </w:rPr>
        <w:footnoteRef/>
      </w:r>
      <w:r>
        <w:t xml:space="preserve"> </w:t>
      </w:r>
      <w:r>
        <w:t xml:space="preserve">Dolan 2019, PMID 30980076.</w:t>
      </w:r>
    </w:p>
  </w:footnote>
  <w:footnote w:id="2446">
    <w:p>
      <w:pPr>
        <w:pStyle w:val="FootnoteText"/>
      </w:pPr>
      <w:r>
        <w:rPr>
          <w:rStyle w:val="FootnoteReference"/>
        </w:rPr>
        <w:footnoteRef/>
      </w:r>
      <w:r>
        <w:t xml:space="preserve"> </w:t>
      </w:r>
      <w:r>
        <w:t xml:space="preserve">NCT06480760.</w:t>
      </w:r>
    </w:p>
  </w:footnote>
  <w:footnote w:id="2447">
    <w:p>
      <w:pPr>
        <w:pStyle w:val="FootnoteText"/>
      </w:pPr>
      <w:r>
        <w:rPr>
          <w:rStyle w:val="FootnoteReference"/>
        </w:rPr>
        <w:footnoteRef/>
      </w:r>
      <w:r>
        <w:t xml:space="preserve"> </w:t>
      </w:r>
      <w:r>
        <w:t xml:space="preserve">NCT07475546.</w:t>
      </w:r>
    </w:p>
  </w:footnote>
  <w:footnote w:id="2448">
    <w:p>
      <w:pPr>
        <w:pStyle w:val="FootnoteText"/>
      </w:pPr>
      <w:r>
        <w:rPr>
          <w:rStyle w:val="FootnoteReference"/>
        </w:rPr>
        <w:footnoteRef/>
      </w:r>
      <w:r>
        <w:t xml:space="preserve"> </w:t>
      </w:r>
      <w:r>
        <w:t xml:space="preserve">NCT03314987.</w:t>
      </w:r>
    </w:p>
  </w:footnote>
  <w:footnote w:id="2452">
    <w:p>
      <w:pPr>
        <w:pStyle w:val="FootnoteText"/>
      </w:pPr>
      <w:r>
        <w:rPr>
          <w:rStyle w:val="FootnoteReference"/>
        </w:rPr>
        <w:footnoteRef/>
      </w:r>
      <w:r>
        <w:t xml:space="preserve"> </w:t>
      </w:r>
      <w:r>
        <w:t xml:space="preserve">Pickart 1973, PMID 4349963.</w:t>
      </w:r>
    </w:p>
  </w:footnote>
  <w:footnote w:id="2454">
    <w:p>
      <w:pPr>
        <w:pStyle w:val="FootnoteText"/>
      </w:pPr>
      <w:r>
        <w:rPr>
          <w:rStyle w:val="FootnoteReference"/>
        </w:rPr>
        <w:footnoteRef/>
      </w:r>
      <w:r>
        <w:t xml:space="preserve"> </w:t>
      </w:r>
      <w:r>
        <w:t xml:space="preserve">Pickart 1980, PMID 7453802.</w:t>
      </w:r>
    </w:p>
  </w:footnote>
  <w:footnote w:id="2455">
    <w:p>
      <w:pPr>
        <w:pStyle w:val="FootnoteText"/>
      </w:pPr>
      <w:r>
        <w:rPr>
          <w:rStyle w:val="FootnoteReference"/>
        </w:rPr>
        <w:footnoteRef/>
      </w:r>
      <w:r>
        <w:t xml:space="preserve"> </w:t>
      </w:r>
      <w:r>
        <w:t xml:space="preserve">Maquart 1988, PMID 3169264.</w:t>
      </w:r>
    </w:p>
  </w:footnote>
  <w:footnote w:id="2456">
    <w:p>
      <w:pPr>
        <w:pStyle w:val="FootnoteText"/>
      </w:pPr>
      <w:r>
        <w:rPr>
          <w:rStyle w:val="FootnoteReference"/>
        </w:rPr>
        <w:footnoteRef/>
      </w:r>
      <w:r>
        <w:t xml:space="preserve"> </w:t>
      </w:r>
      <w:r>
        <w:t xml:space="preserve">Pickart 2015, PMID 26236730; Pickart 2018, PMID 29986520.</w:t>
      </w:r>
    </w:p>
  </w:footnote>
  <w:footnote w:id="2457">
    <w:p>
      <w:pPr>
        <w:pStyle w:val="FootnoteText"/>
      </w:pPr>
      <w:r>
        <w:rPr>
          <w:rStyle w:val="FootnoteReference"/>
        </w:rPr>
        <w:footnoteRef/>
      </w:r>
      <w:r>
        <w:t xml:space="preserve"> </w:t>
      </w:r>
      <w:r>
        <w:t xml:space="preserve">Mortazavi 2025, PMID 39963574.</w:t>
      </w:r>
    </w:p>
  </w:footnote>
  <w:footnote w:id="2458">
    <w:p>
      <w:pPr>
        <w:pStyle w:val="FootnoteText"/>
      </w:pPr>
      <w:r>
        <w:rPr>
          <w:rStyle w:val="FootnoteReference"/>
        </w:rPr>
        <w:footnoteRef/>
      </w:r>
      <w:r>
        <w:t xml:space="preserve"> </w:t>
      </w:r>
      <w:r>
        <w:t xml:space="preserve">Trzaska 2026, PMID 42790608.</w:t>
      </w:r>
    </w:p>
  </w:footnote>
  <w:footnote w:id="2461">
    <w:p>
      <w:pPr>
        <w:pStyle w:val="FootnoteText"/>
      </w:pPr>
      <w:r>
        <w:rPr>
          <w:rStyle w:val="FootnoteReference"/>
        </w:rPr>
        <w:footnoteRef/>
      </w:r>
      <w:r>
        <w:t xml:space="preserve"> </w:t>
      </w:r>
      <w:r>
        <w:t xml:space="preserve">Nukaly 2026, PMID 41924746.</w:t>
      </w:r>
    </w:p>
  </w:footnote>
  <w:footnote w:id="2462">
    <w:p>
      <w:pPr>
        <w:pStyle w:val="FootnoteText"/>
      </w:pPr>
      <w:r>
        <w:rPr>
          <w:rStyle w:val="FootnoteReference"/>
        </w:rPr>
        <w:footnoteRef/>
      </w:r>
      <w:r>
        <w:t xml:space="preserve"> </w:t>
      </w:r>
      <w:r>
        <w:t xml:space="preserve">Mayfield 2026, PMID 41476424.</w:t>
      </w:r>
    </w:p>
  </w:footnote>
  <w:footnote w:id="2463">
    <w:p>
      <w:pPr>
        <w:pStyle w:val="FootnoteText"/>
      </w:pPr>
      <w:r>
        <w:rPr>
          <w:rStyle w:val="FootnoteReference"/>
        </w:rPr>
        <w:footnoteRef/>
      </w:r>
      <w:r>
        <w:t xml:space="preserve"> </w:t>
      </w:r>
      <w:r>
        <w:t xml:space="preserve">Mendias 2026, PMID 41966639.</w:t>
      </w:r>
    </w:p>
  </w:footnote>
  <w:footnote w:id="2465">
    <w:p>
      <w:pPr>
        <w:pStyle w:val="FootnoteText"/>
      </w:pPr>
      <w:r>
        <w:rPr>
          <w:rStyle w:val="FootnoteReference"/>
        </w:rPr>
        <w:footnoteRef/>
      </w:r>
      <w:r>
        <w:t xml:space="preserve"> </w:t>
      </w:r>
      <w:r>
        <w:t xml:space="preserve">Maquart 1988, PMID 3169264.</w:t>
      </w:r>
    </w:p>
  </w:footnote>
  <w:footnote w:id="2466">
    <w:p>
      <w:pPr>
        <w:pStyle w:val="FootnoteText"/>
      </w:pPr>
      <w:r>
        <w:rPr>
          <w:rStyle w:val="FootnoteReference"/>
        </w:rPr>
        <w:footnoteRef/>
      </w:r>
      <w:r>
        <w:t xml:space="preserve"> </w:t>
      </w:r>
      <w:r>
        <w:t xml:space="preserve">Canapp 2003, PMID 14648529.</w:t>
      </w:r>
    </w:p>
  </w:footnote>
  <w:footnote w:id="2467">
    <w:p>
      <w:pPr>
        <w:pStyle w:val="FootnoteText"/>
      </w:pPr>
      <w:r>
        <w:rPr>
          <w:rStyle w:val="FootnoteReference"/>
        </w:rPr>
        <w:footnoteRef/>
      </w:r>
      <w:r>
        <w:t xml:space="preserve"> </w:t>
      </w:r>
      <w:r>
        <w:t xml:space="preserve">Wang 2017, PMID 28370978.</w:t>
      </w:r>
    </w:p>
  </w:footnote>
  <w:footnote w:id="2468">
    <w:p>
      <w:pPr>
        <w:pStyle w:val="FootnoteText"/>
      </w:pPr>
      <w:r>
        <w:rPr>
          <w:rStyle w:val="FootnoteReference"/>
        </w:rPr>
        <w:footnoteRef/>
      </w:r>
      <w:r>
        <w:t xml:space="preserve"> </w:t>
      </w:r>
      <w:r>
        <w:t xml:space="preserve">Ma 2020, PMID 31809714.</w:t>
      </w:r>
    </w:p>
  </w:footnote>
  <w:footnote w:id="2469">
    <w:p>
      <w:pPr>
        <w:pStyle w:val="FootnoteText"/>
      </w:pPr>
      <w:r>
        <w:rPr>
          <w:rStyle w:val="FootnoteReference"/>
        </w:rPr>
        <w:footnoteRef/>
      </w:r>
      <w:r>
        <w:t xml:space="preserve"> </w:t>
      </w:r>
      <w:r>
        <w:t xml:space="preserve">Fu 2015, PMID 25731775.</w:t>
      </w:r>
    </w:p>
  </w:footnote>
  <w:footnote w:id="2470">
    <w:p>
      <w:pPr>
        <w:pStyle w:val="FootnoteText"/>
      </w:pPr>
      <w:r>
        <w:rPr>
          <w:rStyle w:val="FootnoteReference"/>
        </w:rPr>
        <w:footnoteRef/>
      </w:r>
      <w:r>
        <w:t xml:space="preserve"> </w:t>
      </w:r>
      <w:r>
        <w:t xml:space="preserve">Mazzola 2026, PMID 42245779.</w:t>
      </w:r>
    </w:p>
  </w:footnote>
  <w:footnote w:id="2472">
    <w:p>
      <w:pPr>
        <w:pStyle w:val="FootnoteText"/>
      </w:pPr>
      <w:r>
        <w:rPr>
          <w:rStyle w:val="FootnoteReference"/>
        </w:rPr>
        <w:footnoteRef/>
      </w:r>
      <w:r>
        <w:t xml:space="preserve"> </w:t>
      </w:r>
      <w:r>
        <w:t xml:space="preserve">Pickart 1980, PMID 7453802.</w:t>
      </w:r>
    </w:p>
  </w:footnote>
  <w:footnote w:id="2473">
    <w:p>
      <w:pPr>
        <w:pStyle w:val="FootnoteText"/>
      </w:pPr>
      <w:r>
        <w:rPr>
          <w:rStyle w:val="FootnoteReference"/>
        </w:rPr>
        <w:footnoteRef/>
      </w:r>
      <w:r>
        <w:t xml:space="preserve"> </w:t>
      </w:r>
      <w:r>
        <w:t xml:space="preserve">Moiz 2026, PMID 42757290.</w:t>
      </w:r>
    </w:p>
  </w:footnote>
  <w:footnote w:id="2476">
    <w:p>
      <w:pPr>
        <w:pStyle w:val="FootnoteText"/>
      </w:pPr>
      <w:r>
        <w:rPr>
          <w:rStyle w:val="FootnoteReference"/>
        </w:rPr>
        <w:footnoteRef/>
      </w:r>
      <w:r>
        <w:t xml:space="preserve"> </w:t>
      </w:r>
      <w:r>
        <w:t xml:space="preserve">NCT07706361.</w:t>
      </w:r>
    </w:p>
  </w:footnote>
  <w:footnote w:id="2481">
    <w:p>
      <w:pPr>
        <w:pStyle w:val="FootnoteText"/>
      </w:pPr>
      <w:r>
        <w:rPr>
          <w:rStyle w:val="FootnoteReference"/>
        </w:rPr>
        <w:footnoteRef/>
      </w:r>
      <w:r>
        <w:t xml:space="preserve"> </w:t>
      </w:r>
      <w:r>
        <w:t xml:space="preserve">Katayama 1993, PMID 8486721.</w:t>
      </w:r>
    </w:p>
  </w:footnote>
  <w:footnote w:id="2482">
    <w:p>
      <w:pPr>
        <w:pStyle w:val="FootnoteText"/>
      </w:pPr>
      <w:r>
        <w:rPr>
          <w:rStyle w:val="FootnoteReference"/>
        </w:rPr>
        <w:footnoteRef/>
      </w:r>
      <w:r>
        <w:t xml:space="preserve"> </w:t>
      </w:r>
      <w:r>
        <w:t xml:space="preserve">Jones 2013, PMID 23320752.</w:t>
      </w:r>
    </w:p>
  </w:footnote>
  <w:footnote w:id="2483">
    <w:p>
      <w:pPr>
        <w:pStyle w:val="FootnoteText"/>
      </w:pPr>
      <w:r>
        <w:rPr>
          <w:rStyle w:val="FootnoteReference"/>
        </w:rPr>
        <w:footnoteRef/>
      </w:r>
      <w:r>
        <w:t xml:space="preserve"> </w:t>
      </w:r>
      <w:r>
        <w:t xml:space="preserve">Trzaska 2026, PMID 42790608.</w:t>
      </w:r>
    </w:p>
  </w:footnote>
  <w:footnote w:id="2485">
    <w:p>
      <w:pPr>
        <w:pStyle w:val="FootnoteText"/>
      </w:pPr>
      <w:r>
        <w:rPr>
          <w:rStyle w:val="FootnoteReference"/>
        </w:rPr>
        <w:footnoteRef/>
      </w:r>
      <w:r>
        <w:t xml:space="preserve"> </w:t>
      </w:r>
      <w:r>
        <w:t xml:space="preserve">Kaczvinsky 2009, PMID 19735523.</w:t>
      </w:r>
    </w:p>
  </w:footnote>
  <w:footnote w:id="2486">
    <w:p>
      <w:pPr>
        <w:pStyle w:val="FootnoteText"/>
      </w:pPr>
      <w:r>
        <w:rPr>
          <w:rStyle w:val="FootnoteReference"/>
        </w:rPr>
        <w:footnoteRef/>
      </w:r>
      <w:r>
        <w:t xml:space="preserve"> </w:t>
      </w:r>
      <w:r>
        <w:t xml:space="preserve">Nukaly 2026, PMID 41924746.</w:t>
      </w:r>
    </w:p>
  </w:footnote>
  <w:footnote w:id="2488">
    <w:p>
      <w:pPr>
        <w:pStyle w:val="FootnoteText"/>
      </w:pPr>
      <w:r>
        <w:rPr>
          <w:rStyle w:val="FootnoteReference"/>
        </w:rPr>
        <w:footnoteRef/>
      </w:r>
      <w:r>
        <w:t xml:space="preserve"> </w:t>
      </w:r>
      <w:r>
        <w:t xml:space="preserve">Katayama 1993, PMID 8486721; Jones 2013, PMID 23320752.</w:t>
      </w:r>
    </w:p>
  </w:footnote>
  <w:footnote w:id="2489">
    <w:p>
      <w:pPr>
        <w:pStyle w:val="FootnoteText"/>
      </w:pPr>
      <w:r>
        <w:rPr>
          <w:rStyle w:val="FootnoteReference"/>
        </w:rPr>
        <w:footnoteRef/>
      </w:r>
      <w:r>
        <w:t xml:space="preserve"> </w:t>
      </w:r>
      <w:r>
        <w:t xml:space="preserve">Park 2017, PMID 30603464.</w:t>
      </w:r>
    </w:p>
  </w:footnote>
  <w:footnote w:id="2490">
    <w:p>
      <w:pPr>
        <w:pStyle w:val="FootnoteText"/>
      </w:pPr>
      <w:r>
        <w:rPr>
          <w:rStyle w:val="FootnoteReference"/>
        </w:rPr>
        <w:footnoteRef/>
      </w:r>
      <w:r>
        <w:t xml:space="preserve"> </w:t>
      </w:r>
      <w:r>
        <w:t xml:space="preserve">Kachooeian 2022, PMID 35874243.</w:t>
      </w:r>
    </w:p>
  </w:footnote>
  <w:footnote w:id="2492">
    <w:p>
      <w:pPr>
        <w:pStyle w:val="FootnoteText"/>
      </w:pPr>
      <w:r>
        <w:rPr>
          <w:rStyle w:val="FootnoteReference"/>
        </w:rPr>
        <w:footnoteRef/>
      </w:r>
      <w:r>
        <w:t xml:space="preserve"> </w:t>
      </w:r>
      <w:r>
        <w:t xml:space="preserve">Röper 2004, PMID 15127162.</w:t>
      </w:r>
    </w:p>
  </w:footnote>
  <w:footnote w:id="2493">
    <w:p>
      <w:pPr>
        <w:pStyle w:val="FootnoteText"/>
      </w:pPr>
      <w:r>
        <w:rPr>
          <w:rStyle w:val="FootnoteReference"/>
        </w:rPr>
        <w:footnoteRef/>
      </w:r>
      <w:r>
        <w:t xml:space="preserve"> </w:t>
      </w:r>
      <w:r>
        <w:t xml:space="preserve">Bjerke 2026, PMID 41953401.</w:t>
      </w:r>
    </w:p>
  </w:footnote>
  <w:footnote w:id="2500">
    <w:p>
      <w:pPr>
        <w:pStyle w:val="FootnoteText"/>
      </w:pPr>
      <w:r>
        <w:rPr>
          <w:rStyle w:val="FootnoteReference"/>
        </w:rPr>
        <w:footnoteRef/>
      </w:r>
      <w:r>
        <w:t xml:space="preserve"> </w:t>
      </w:r>
      <w:r>
        <w:t xml:space="preserve">Blanes-Mira 2002, PMID 18498523.</w:t>
      </w:r>
    </w:p>
  </w:footnote>
  <w:footnote w:id="2501">
    <w:p>
      <w:pPr>
        <w:pStyle w:val="FootnoteText"/>
      </w:pPr>
      <w:r>
        <w:rPr>
          <w:rStyle w:val="FootnoteReference"/>
        </w:rPr>
        <w:footnoteRef/>
      </w:r>
      <w:r>
        <w:t xml:space="preserve"> </w:t>
      </w:r>
      <w:r>
        <w:t xml:space="preserve">Kraeling 2015, PMID 24754410.</w:t>
      </w:r>
    </w:p>
  </w:footnote>
  <w:footnote w:id="2502">
    <w:p>
      <w:pPr>
        <w:pStyle w:val="FootnoteText"/>
      </w:pPr>
      <w:r>
        <w:rPr>
          <w:rStyle w:val="FootnoteReference"/>
        </w:rPr>
        <w:footnoteRef/>
      </w:r>
      <w:r>
        <w:t xml:space="preserve"> </w:t>
      </w:r>
      <w:r>
        <w:t xml:space="preserve">Zdrada-Nowak 2025, PMID 40565185.</w:t>
      </w:r>
    </w:p>
  </w:footnote>
  <w:footnote w:id="2504">
    <w:p>
      <w:pPr>
        <w:pStyle w:val="FootnoteText"/>
      </w:pPr>
      <w:r>
        <w:rPr>
          <w:rStyle w:val="FootnoteReference"/>
        </w:rPr>
        <w:footnoteRef/>
      </w:r>
      <w:r>
        <w:t xml:space="preserve"> </w:t>
      </w:r>
      <w:r>
        <w:t xml:space="preserve">Wang 2013, PMID 23607739.</w:t>
      </w:r>
    </w:p>
  </w:footnote>
  <w:footnote w:id="2505">
    <w:p>
      <w:pPr>
        <w:pStyle w:val="FootnoteText"/>
      </w:pPr>
      <w:r>
        <w:rPr>
          <w:rStyle w:val="FootnoteReference"/>
        </w:rPr>
        <w:footnoteRef/>
      </w:r>
      <w:r>
        <w:t xml:space="preserve"> </w:t>
      </w:r>
      <w:r>
        <w:t xml:space="preserve">NCT01750346.</w:t>
      </w:r>
    </w:p>
  </w:footnote>
  <w:footnote w:id="2506">
    <w:p>
      <w:pPr>
        <w:pStyle w:val="FootnoteText"/>
      </w:pPr>
      <w:r>
        <w:rPr>
          <w:rStyle w:val="FootnoteReference"/>
        </w:rPr>
        <w:footnoteRef/>
      </w:r>
      <w:r>
        <w:t xml:space="preserve"> </w:t>
      </w:r>
      <w:r>
        <w:t xml:space="preserve">An 2019, PMID 33911590.</w:t>
      </w:r>
    </w:p>
  </w:footnote>
  <w:footnote w:id="2507">
    <w:p>
      <w:pPr>
        <w:pStyle w:val="FootnoteText"/>
      </w:pPr>
      <w:r>
        <w:rPr>
          <w:rStyle w:val="FootnoteReference"/>
        </w:rPr>
        <w:footnoteRef/>
      </w:r>
      <w:r>
        <w:t xml:space="preserve"> </w:t>
      </w:r>
      <w:r>
        <w:t xml:space="preserve">NCT02597777.</w:t>
      </w:r>
    </w:p>
  </w:footnote>
  <w:footnote w:id="2508">
    <w:p>
      <w:pPr>
        <w:pStyle w:val="FootnoteText"/>
      </w:pPr>
      <w:r>
        <w:rPr>
          <w:rStyle w:val="FootnoteReference"/>
        </w:rPr>
        <w:footnoteRef/>
      </w:r>
      <w:r>
        <w:t xml:space="preserve"> </w:t>
      </w:r>
      <w:r>
        <w:t xml:space="preserve">NCT01381484.</w:t>
      </w:r>
    </w:p>
  </w:footnote>
  <w:footnote w:id="2511">
    <w:p>
      <w:pPr>
        <w:pStyle w:val="FootnoteText"/>
      </w:pPr>
      <w:r>
        <w:rPr>
          <w:rStyle w:val="FootnoteReference"/>
        </w:rPr>
        <w:footnoteRef/>
      </w:r>
      <w:r>
        <w:t xml:space="preserve"> </w:t>
      </w:r>
      <w:r>
        <w:t xml:space="preserve">Blanes-Mira 2002, PMID 18498523.</w:t>
      </w:r>
    </w:p>
  </w:footnote>
  <w:footnote w:id="2512">
    <w:p>
      <w:pPr>
        <w:pStyle w:val="FootnoteText"/>
      </w:pPr>
      <w:r>
        <w:rPr>
          <w:rStyle w:val="FootnoteReference"/>
        </w:rPr>
        <w:footnoteRef/>
      </w:r>
      <w:r>
        <w:t xml:space="preserve"> </w:t>
      </w:r>
      <w:r>
        <w:t xml:space="preserve">Grosicki 2014, PMID 24644551.</w:t>
      </w:r>
    </w:p>
  </w:footnote>
  <w:footnote w:id="2513">
    <w:p>
      <w:pPr>
        <w:pStyle w:val="FootnoteText"/>
      </w:pPr>
      <w:r>
        <w:rPr>
          <w:rStyle w:val="FootnoteReference"/>
        </w:rPr>
        <w:footnoteRef/>
      </w:r>
      <w:r>
        <w:t xml:space="preserve"> </w:t>
      </w:r>
      <w:r>
        <w:t xml:space="preserve">Wang 2013, PMID 23464592.</w:t>
      </w:r>
    </w:p>
  </w:footnote>
  <w:footnote w:id="2514">
    <w:p>
      <w:pPr>
        <w:pStyle w:val="FootnoteText"/>
      </w:pPr>
      <w:r>
        <w:rPr>
          <w:rStyle w:val="FootnoteReference"/>
        </w:rPr>
        <w:footnoteRef/>
      </w:r>
      <w:r>
        <w:t xml:space="preserve"> </w:t>
      </w:r>
      <w:r>
        <w:t xml:space="preserve">Kraeling 2015, PMID 24754410.</w:t>
      </w:r>
    </w:p>
  </w:footnote>
  <w:footnote w:id="2516">
    <w:p>
      <w:pPr>
        <w:pStyle w:val="FootnoteText"/>
      </w:pPr>
      <w:r>
        <w:rPr>
          <w:rStyle w:val="FootnoteReference"/>
        </w:rPr>
        <w:footnoteRef/>
      </w:r>
      <w:r>
        <w:t xml:space="preserve"> </w:t>
      </w:r>
      <w:r>
        <w:t xml:space="preserve">Johnson 2025, PMID 40673537.</w:t>
      </w:r>
    </w:p>
  </w:footnote>
  <w:footnote w:id="2517">
    <w:p>
      <w:pPr>
        <w:pStyle w:val="FootnoteText"/>
      </w:pPr>
      <w:r>
        <w:rPr>
          <w:rStyle w:val="FootnoteReference"/>
        </w:rPr>
        <w:footnoteRef/>
      </w:r>
      <w:r>
        <w:t xml:space="preserve"> </w:t>
      </w:r>
      <w:r>
        <w:t xml:space="preserve">Chen 2021, PMID 33748252.</w:t>
      </w:r>
    </w:p>
  </w:footnote>
  <w:footnote w:id="2538">
    <w:p>
      <w:pPr>
        <w:pStyle w:val="FootnoteText"/>
      </w:pPr>
      <w:r>
        <w:rPr>
          <w:rStyle w:val="FootnoteReference"/>
        </w:rPr>
        <w:footnoteRef/>
      </w:r>
      <w:r>
        <w:t xml:space="preserve"> </w:t>
      </w:r>
      <w:r>
        <w:t xml:space="preserve">Gao 2026, PMID 42251595.</w:t>
      </w:r>
    </w:p>
  </w:footnote>
  <w:footnote w:id="2539">
    <w:p>
      <w:pPr>
        <w:pStyle w:val="FootnoteText"/>
      </w:pPr>
      <w:r>
        <w:rPr>
          <w:rStyle w:val="FootnoteReference"/>
        </w:rPr>
        <w:footnoteRef/>
      </w:r>
      <w:r>
        <w:t xml:space="preserve"> </w:t>
      </w:r>
      <w:r>
        <w:t xml:space="preserve">NCT06662383.</w:t>
      </w:r>
    </w:p>
  </w:footnote>
  <w:footnote w:id="2541">
    <w:p>
      <w:pPr>
        <w:pStyle w:val="FootnoteText"/>
      </w:pPr>
      <w:r>
        <w:rPr>
          <w:rStyle w:val="FootnoteReference"/>
        </w:rPr>
        <w:footnoteRef/>
      </w:r>
      <w:r>
        <w:t xml:space="preserve"> </w:t>
      </w:r>
      <w:r>
        <w:t xml:space="preserve">Rubino 2021, PMID 33755728.</w:t>
      </w:r>
    </w:p>
  </w:footnote>
  <w:footnote w:id="2542">
    <w:p>
      <w:pPr>
        <w:pStyle w:val="FootnoteText"/>
      </w:pPr>
      <w:r>
        <w:rPr>
          <w:rStyle w:val="FootnoteReference"/>
        </w:rPr>
        <w:footnoteRef/>
      </w:r>
      <w:r>
        <w:t xml:space="preserve"> </w:t>
      </w:r>
      <w:r>
        <w:t xml:space="preserve">Aronne 2024, PMID 38078870.</w:t>
      </w:r>
    </w:p>
  </w:footnote>
  <w:footnote w:id="2545">
    <w:p>
      <w:pPr>
        <w:pStyle w:val="FootnoteText"/>
      </w:pPr>
      <w:r>
        <w:rPr>
          <w:rStyle w:val="FootnoteReference"/>
        </w:rPr>
        <w:footnoteRef/>
      </w:r>
      <w:r>
        <w:t xml:space="preserve"> </w:t>
      </w:r>
      <w:r>
        <w:t xml:space="preserve">Edelman 2006, PMID 17003291.</w:t>
      </w:r>
    </w:p>
  </w:footnote>
  <w:footnote w:id="2547">
    <w:p>
      <w:pPr>
        <w:pStyle w:val="FootnoteText"/>
      </w:pPr>
      <w:r>
        <w:rPr>
          <w:rStyle w:val="FootnoteReference"/>
        </w:rPr>
        <w:footnoteRef/>
      </w:r>
      <w:r>
        <w:t xml:space="preserve"> </w:t>
      </w:r>
      <w:r>
        <w:t xml:space="preserve">Kristensen 2019, PMID 31422062.</w:t>
      </w:r>
    </w:p>
  </w:footnote>
  <w:footnote w:id="2548">
    <w:p>
      <w:pPr>
        <w:pStyle w:val="FootnoteText"/>
      </w:pPr>
      <w:r>
        <w:rPr>
          <w:rStyle w:val="FootnoteReference"/>
        </w:rPr>
        <w:footnoteRef/>
      </w:r>
      <w:r>
        <w:t xml:space="preserve"> </w:t>
      </w:r>
      <w:r>
        <w:t xml:space="preserve">Kosiborod 2023, PMID 37622681.</w:t>
      </w:r>
    </w:p>
  </w:footnote>
  <w:footnote w:id="2549">
    <w:p>
      <w:pPr>
        <w:pStyle w:val="FootnoteText"/>
      </w:pPr>
      <w:r>
        <w:rPr>
          <w:rStyle w:val="FootnoteReference"/>
        </w:rPr>
        <w:footnoteRef/>
      </w:r>
      <w:r>
        <w:t xml:space="preserve"> </w:t>
      </w:r>
      <w:r>
        <w:t xml:space="preserve">NCT05556512.</w:t>
      </w:r>
    </w:p>
  </w:footnote>
  <w:footnote w:id="2550">
    <w:p>
      <w:pPr>
        <w:pStyle w:val="FootnoteText"/>
      </w:pPr>
      <w:r>
        <w:rPr>
          <w:rStyle w:val="FootnoteReference"/>
        </w:rPr>
        <w:footnoteRef/>
      </w:r>
      <w:r>
        <w:t xml:space="preserve"> </w:t>
      </w:r>
      <w:r>
        <w:t xml:space="preserve">NCT06383390.</w:t>
      </w:r>
    </w:p>
  </w:footnote>
  <w:footnote w:id="2551">
    <w:p>
      <w:pPr>
        <w:pStyle w:val="FootnoteText"/>
      </w:pPr>
      <w:r>
        <w:rPr>
          <w:rStyle w:val="FootnoteReference"/>
        </w:rPr>
        <w:footnoteRef/>
      </w:r>
      <w:r>
        <w:t xml:space="preserve"> </w:t>
      </w:r>
      <w:r>
        <w:t xml:space="preserve">NCT05669755.</w:t>
      </w:r>
    </w:p>
  </w:footnote>
  <w:footnote w:id="2552">
    <w:p>
      <w:pPr>
        <w:pStyle w:val="FootnoteText"/>
      </w:pPr>
      <w:r>
        <w:rPr>
          <w:rStyle w:val="FootnoteReference"/>
        </w:rPr>
        <w:footnoteRef/>
      </w:r>
      <w:r>
        <w:t xml:space="preserve"> </w:t>
      </w:r>
      <w:r>
        <w:t xml:space="preserve">NCT07037433.</w:t>
      </w:r>
    </w:p>
  </w:footnote>
  <w:footnote w:id="2553">
    <w:p>
      <w:pPr>
        <w:pStyle w:val="FootnoteText"/>
      </w:pPr>
      <w:r>
        <w:rPr>
          <w:rStyle w:val="FootnoteReference"/>
        </w:rPr>
        <w:footnoteRef/>
      </w:r>
      <w:r>
        <w:t xml:space="preserve"> </w:t>
      </w:r>
      <w:r>
        <w:t xml:space="preserve">NCT07241390.</w:t>
      </w:r>
    </w:p>
  </w:footnote>
  <w:footnote w:id="2555">
    <w:p>
      <w:pPr>
        <w:pStyle w:val="FootnoteText"/>
      </w:pPr>
      <w:r>
        <w:rPr>
          <w:rStyle w:val="FootnoteReference"/>
        </w:rPr>
        <w:footnoteRef/>
      </w:r>
      <w:r>
        <w:t xml:space="preserve"> </w:t>
      </w:r>
      <w:r>
        <w:t xml:space="preserve">Perkovic 2024, PMID 38785209.</w:t>
      </w:r>
    </w:p>
  </w:footnote>
  <w:footnote w:id="2556">
    <w:p>
      <w:pPr>
        <w:pStyle w:val="FootnoteText"/>
      </w:pPr>
      <w:r>
        <w:rPr>
          <w:rStyle w:val="FootnoteReference"/>
        </w:rPr>
        <w:footnoteRef/>
      </w:r>
      <w:r>
        <w:t xml:space="preserve"> </w:t>
      </w:r>
      <w:r>
        <w:t xml:space="preserve">Mann 2017, PMID 28854085.</w:t>
      </w:r>
    </w:p>
  </w:footnote>
  <w:footnote w:id="2557">
    <w:p>
      <w:pPr>
        <w:pStyle w:val="FootnoteText"/>
      </w:pPr>
      <w:r>
        <w:rPr>
          <w:rStyle w:val="FootnoteReference"/>
        </w:rPr>
        <w:footnoteRef/>
      </w:r>
      <w:r>
        <w:t xml:space="preserve"> </w:t>
      </w:r>
      <w:r>
        <w:t xml:space="preserve">Gerstein 2019, PMID 31189509.</w:t>
      </w:r>
    </w:p>
  </w:footnote>
  <w:footnote w:id="2558">
    <w:p>
      <w:pPr>
        <w:pStyle w:val="FootnoteText"/>
      </w:pPr>
      <w:r>
        <w:rPr>
          <w:rStyle w:val="FootnoteReference"/>
        </w:rPr>
        <w:footnoteRef/>
      </w:r>
      <w:r>
        <w:t xml:space="preserve"> </w:t>
      </w:r>
      <w:r>
        <w:t xml:space="preserve">Kristensen 2019, PMID 31422062.</w:t>
      </w:r>
    </w:p>
  </w:footnote>
  <w:footnote w:id="2559">
    <w:p>
      <w:pPr>
        <w:pStyle w:val="FootnoteText"/>
      </w:pPr>
      <w:r>
        <w:rPr>
          <w:rStyle w:val="FootnoteReference"/>
        </w:rPr>
        <w:footnoteRef/>
      </w:r>
      <w:r>
        <w:t xml:space="preserve"> </w:t>
      </w:r>
      <w:r>
        <w:t xml:space="preserve">McGuire 2025, PMID 40162642.</w:t>
      </w:r>
    </w:p>
  </w:footnote>
  <w:footnote w:id="2560">
    <w:p>
      <w:pPr>
        <w:pStyle w:val="FootnoteText"/>
      </w:pPr>
      <w:r>
        <w:rPr>
          <w:rStyle w:val="FootnoteReference"/>
        </w:rPr>
        <w:footnoteRef/>
      </w:r>
      <w:r>
        <w:t xml:space="preserve"> </w:t>
      </w:r>
      <w:r>
        <w:t xml:space="preserve">NCT06632444.</w:t>
      </w:r>
    </w:p>
  </w:footnote>
  <w:footnote w:id="2561">
    <w:p>
      <w:pPr>
        <w:pStyle w:val="FootnoteText"/>
      </w:pPr>
      <w:r>
        <w:rPr>
          <w:rStyle w:val="FootnoteReference"/>
        </w:rPr>
        <w:footnoteRef/>
      </w:r>
      <w:r>
        <w:t xml:space="preserve"> </w:t>
      </w:r>
      <w:r>
        <w:t xml:space="preserve">NCT06632457.</w:t>
      </w:r>
    </w:p>
  </w:footnote>
  <w:footnote w:id="2563">
    <w:p>
      <w:pPr>
        <w:pStyle w:val="FootnoteText"/>
      </w:pPr>
      <w:r>
        <w:rPr>
          <w:rStyle w:val="FootnoteReference"/>
        </w:rPr>
        <w:footnoteRef/>
      </w:r>
      <w:r>
        <w:t xml:space="preserve"> </w:t>
      </w:r>
      <w:r>
        <w:t xml:space="preserve">Buse 2013, PMID 23141817.</w:t>
      </w:r>
    </w:p>
  </w:footnote>
  <w:footnote w:id="2564">
    <w:p>
      <w:pPr>
        <w:pStyle w:val="FootnoteText"/>
      </w:pPr>
      <w:r>
        <w:rPr>
          <w:rStyle w:val="FootnoteReference"/>
        </w:rPr>
        <w:footnoteRef/>
      </w:r>
      <w:r>
        <w:t xml:space="preserve"> </w:t>
      </w:r>
      <w:r>
        <w:t xml:space="preserve">Rubino 2022, PMID 35015037.</w:t>
      </w:r>
    </w:p>
  </w:footnote>
  <w:footnote w:id="2565">
    <w:p>
      <w:pPr>
        <w:pStyle w:val="FootnoteText"/>
      </w:pPr>
      <w:r>
        <w:rPr>
          <w:rStyle w:val="FootnoteReference"/>
        </w:rPr>
        <w:footnoteRef/>
      </w:r>
      <w:r>
        <w:t xml:space="preserve"> </w:t>
      </w:r>
      <w:r>
        <w:t xml:space="preserve">Frías 2021, PMID 34170647.</w:t>
      </w:r>
    </w:p>
  </w:footnote>
  <w:footnote w:id="2566">
    <w:p>
      <w:pPr>
        <w:pStyle w:val="FootnoteText"/>
      </w:pPr>
      <w:r>
        <w:rPr>
          <w:rStyle w:val="FootnoteReference"/>
        </w:rPr>
        <w:footnoteRef/>
      </w:r>
      <w:r>
        <w:t xml:space="preserve"> </w:t>
      </w:r>
      <w:r>
        <w:t xml:space="preserve">Yamauchi 2026, PMID 42009015.</w:t>
      </w:r>
    </w:p>
  </w:footnote>
  <w:footnote w:id="2567">
    <w:p>
      <w:pPr>
        <w:pStyle w:val="FootnoteText"/>
      </w:pPr>
      <w:r>
        <w:rPr>
          <w:rStyle w:val="FootnoteReference"/>
        </w:rPr>
        <w:footnoteRef/>
      </w:r>
      <w:r>
        <w:t xml:space="preserve"> </w:t>
      </w:r>
      <w:r>
        <w:t xml:space="preserve">Hsia 2026, PMID 42628555.</w:t>
      </w:r>
    </w:p>
  </w:footnote>
  <w:footnote w:id="2568">
    <w:p>
      <w:pPr>
        <w:pStyle w:val="FootnoteText"/>
      </w:pPr>
      <w:r>
        <w:rPr>
          <w:rStyle w:val="FootnoteReference"/>
        </w:rPr>
        <w:footnoteRef/>
      </w:r>
      <w:r>
        <w:t xml:space="preserve"> </w:t>
      </w:r>
      <w:r>
        <w:t xml:space="preserve">Kristensen 2019, PMID 31422062.</w:t>
      </w:r>
    </w:p>
  </w:footnote>
  <w:footnote w:id="2569">
    <w:p>
      <w:pPr>
        <w:pStyle w:val="FootnoteText"/>
      </w:pPr>
      <w:r>
        <w:rPr>
          <w:rStyle w:val="FootnoteReference"/>
        </w:rPr>
        <w:footnoteRef/>
      </w:r>
      <w:r>
        <w:t xml:space="preserve"> </w:t>
      </w:r>
      <w:r>
        <w:t xml:space="preserve">Sodhi 2023, PMID 37796527.</w:t>
      </w:r>
    </w:p>
  </w:footnote>
  <w:footnote w:id="2570">
    <w:p>
      <w:pPr>
        <w:pStyle w:val="FootnoteText"/>
      </w:pPr>
      <w:r>
        <w:rPr>
          <w:rStyle w:val="FootnoteReference"/>
        </w:rPr>
        <w:footnoteRef/>
      </w:r>
      <w:r>
        <w:t xml:space="preserve"> </w:t>
      </w:r>
      <w:r>
        <w:t xml:space="preserve">Silverii 2025, PMID 40437949.</w:t>
      </w:r>
    </w:p>
  </w:footnote>
  <w:footnote w:id="2571">
    <w:p>
      <w:pPr>
        <w:pStyle w:val="FootnoteText"/>
      </w:pPr>
      <w:r>
        <w:rPr>
          <w:rStyle w:val="FootnoteReference"/>
        </w:rPr>
        <w:footnoteRef/>
      </w:r>
      <w:r>
        <w:t xml:space="preserve"> </w:t>
      </w:r>
      <w:r>
        <w:t xml:space="preserve">Simonsen 2025, PMID 40098249.</w:t>
      </w:r>
    </w:p>
  </w:footnote>
  <w:footnote w:id="2572">
    <w:p>
      <w:pPr>
        <w:pStyle w:val="FootnoteText"/>
      </w:pPr>
      <w:r>
        <w:rPr>
          <w:rStyle w:val="FootnoteReference"/>
        </w:rPr>
        <w:footnoteRef/>
      </w:r>
      <w:r>
        <w:t xml:space="preserve"> </w:t>
      </w:r>
      <w:r>
        <w:t xml:space="preserve">Look 2025, PMID 39996356.</w:t>
      </w:r>
    </w:p>
  </w:footnote>
  <w:footnote w:id="2574">
    <w:p>
      <w:pPr>
        <w:pStyle w:val="FootnoteText"/>
      </w:pPr>
      <w:r>
        <w:rPr>
          <w:rStyle w:val="FootnoteReference"/>
        </w:rPr>
        <w:footnoteRef/>
      </w:r>
      <w:r>
        <w:t xml:space="preserve"> </w:t>
      </w:r>
      <w:r>
        <w:t xml:space="preserve">NCT06662383.</w:t>
      </w:r>
    </w:p>
  </w:footnote>
  <w:footnote w:id="2575">
    <w:p>
      <w:pPr>
        <w:pStyle w:val="FootnoteText"/>
      </w:pPr>
      <w:r>
        <w:rPr>
          <w:rStyle w:val="FootnoteReference"/>
        </w:rPr>
        <w:footnoteRef/>
      </w:r>
      <w:r>
        <w:t xml:space="preserve"> </w:t>
      </w:r>
      <w:r>
        <w:t xml:space="preserve">NCT06184568, NCT06884293.</w:t>
      </w:r>
    </w:p>
  </w:footnote>
  <w:footnote w:id="2580">
    <w:p>
      <w:pPr>
        <w:pStyle w:val="FootnoteText"/>
      </w:pPr>
      <w:r>
        <w:rPr>
          <w:rStyle w:val="FootnoteReference"/>
        </w:rPr>
        <w:footnoteRef/>
      </w:r>
      <w:r>
        <w:t xml:space="preserve"> </w:t>
      </w:r>
      <w:r>
        <w:t xml:space="preserve">Porsteinsson 2025, PMID 41393340.</w:t>
      </w:r>
    </w:p>
  </w:footnote>
  <w:footnote w:id="2582">
    <w:p>
      <w:pPr>
        <w:pStyle w:val="FootnoteText"/>
      </w:pPr>
      <w:r>
        <w:rPr>
          <w:rStyle w:val="FootnoteReference"/>
        </w:rPr>
        <w:footnoteRef/>
      </w:r>
      <w:r>
        <w:t xml:space="preserve"> </w:t>
      </w:r>
      <w:r>
        <w:t xml:space="preserve">Nass 2008, PMID 18981485.</w:t>
      </w:r>
    </w:p>
  </w:footnote>
  <w:footnote w:id="2584">
    <w:p>
      <w:pPr>
        <w:pStyle w:val="FootnoteText"/>
      </w:pPr>
      <w:r>
        <w:rPr>
          <w:rStyle w:val="FootnoteReference"/>
        </w:rPr>
        <w:footnoteRef/>
      </w:r>
      <w:r>
        <w:t xml:space="preserve"> </w:t>
      </w:r>
      <w:r>
        <w:t xml:space="preserve">Gajda 2019, PMID 30136411.</w:t>
      </w:r>
    </w:p>
  </w:footnote>
  <w:footnote w:id="2586">
    <w:p>
      <w:pPr>
        <w:pStyle w:val="FootnoteText"/>
      </w:pPr>
      <w:r>
        <w:rPr>
          <w:rStyle w:val="FootnoteReference"/>
        </w:rPr>
        <w:footnoteRef/>
      </w:r>
      <w:r>
        <w:t xml:space="preserve"> </w:t>
      </w:r>
      <w:r>
        <w:t xml:space="preserve">Beck 2014, PMID 25331030.</w:t>
      </w:r>
    </w:p>
  </w:footnote>
  <w:footnote w:id="2587">
    <w:p>
      <w:pPr>
        <w:pStyle w:val="FootnoteText"/>
      </w:pPr>
      <w:r>
        <w:rPr>
          <w:rStyle w:val="FootnoteReference"/>
        </w:rPr>
        <w:footnoteRef/>
      </w:r>
      <w:r>
        <w:t xml:space="preserve"> </w:t>
      </w:r>
      <w:r>
        <w:t xml:space="preserve">Leal 2014, PMID 24619793.</w:t>
      </w:r>
    </w:p>
  </w:footnote>
  <w:footnote w:id="2588">
    <w:p>
      <w:pPr>
        <w:pStyle w:val="FootnoteText"/>
      </w:pPr>
      <w:r>
        <w:rPr>
          <w:rStyle w:val="FootnoteReference"/>
        </w:rPr>
        <w:footnoteRef/>
      </w:r>
      <w:r>
        <w:t xml:space="preserve"> </w:t>
      </w:r>
      <w:r>
        <w:t xml:space="preserve">Myung 2025, PMID 40324552.</w:t>
      </w:r>
    </w:p>
  </w:footnote>
  <w:footnote w:id="2591">
    <w:p>
      <w:pPr>
        <w:pStyle w:val="FootnoteText"/>
      </w:pPr>
      <w:r>
        <w:rPr>
          <w:rStyle w:val="FootnoteReference"/>
        </w:rPr>
        <w:footnoteRef/>
      </w:r>
      <w:r>
        <w:t xml:space="preserve"> </w:t>
      </w:r>
      <w:r>
        <w:t xml:space="preserve">Breindahl 2015, PMID 24771717.</w:t>
      </w:r>
    </w:p>
  </w:footnote>
  <w:footnote w:id="2603">
    <w:p>
      <w:pPr>
        <w:pStyle w:val="FootnoteText"/>
      </w:pPr>
      <w:r>
        <w:rPr>
          <w:rStyle w:val="FootnoteReference"/>
        </w:rPr>
        <w:footnoteRef/>
      </w:r>
      <w:r>
        <w:t xml:space="preserve"> </w:t>
      </w:r>
      <w:r>
        <w:t xml:space="preserve">Simonsen 2025, PMID 40098249.</w:t>
      </w:r>
    </w:p>
  </w:footnote>
  <w:footnote w:id="2604">
    <w:p>
      <w:pPr>
        <w:pStyle w:val="FootnoteText"/>
      </w:pPr>
      <w:r>
        <w:rPr>
          <w:rStyle w:val="FootnoteReference"/>
        </w:rPr>
        <w:footnoteRef/>
      </w:r>
      <w:r>
        <w:t xml:space="preserve"> </w:t>
      </w:r>
      <w:r>
        <w:t xml:space="preserve">Yang 2026, PMID 41915388.</w:t>
      </w:r>
    </w:p>
  </w:footnote>
  <w:footnote w:id="2605">
    <w:p>
      <w:pPr>
        <w:pStyle w:val="FootnoteText"/>
      </w:pPr>
      <w:r>
        <w:rPr>
          <w:rStyle w:val="FootnoteReference"/>
        </w:rPr>
        <w:footnoteRef/>
      </w:r>
      <w:r>
        <w:t xml:space="preserve"> </w:t>
      </w:r>
      <w:r>
        <w:t xml:space="preserve">Ismaiel 2025, PMID 40804463.</w:t>
      </w:r>
    </w:p>
  </w:footnote>
  <w:footnote w:id="2606">
    <w:p>
      <w:pPr>
        <w:pStyle w:val="FootnoteText"/>
      </w:pPr>
      <w:r>
        <w:rPr>
          <w:rStyle w:val="FootnoteReference"/>
        </w:rPr>
        <w:footnoteRef/>
      </w:r>
      <w:r>
        <w:t xml:space="preserve"> </w:t>
      </w:r>
      <w:r>
        <w:t xml:space="preserve">Sanyal 2024, PMID 38847460.</w:t>
      </w:r>
    </w:p>
  </w:footnote>
  <w:footnote w:id="2607">
    <w:p>
      <w:pPr>
        <w:pStyle w:val="FootnoteText"/>
      </w:pPr>
      <w:r>
        <w:rPr>
          <w:rStyle w:val="FootnoteReference"/>
        </w:rPr>
        <w:footnoteRef/>
      </w:r>
      <w:r>
        <w:t xml:space="preserve"> </w:t>
      </w:r>
      <w:r>
        <w:t xml:space="preserve">Clayton 2022, PMID 35147466.</w:t>
      </w:r>
    </w:p>
  </w:footnote>
  <w:footnote w:id="2608">
    <w:p>
      <w:pPr>
        <w:pStyle w:val="FootnoteText"/>
      </w:pPr>
      <w:r>
        <w:rPr>
          <w:rStyle w:val="FootnoteReference"/>
        </w:rPr>
        <w:footnoteRef/>
      </w:r>
      <w:r>
        <w:t xml:space="preserve"> </w:t>
      </w:r>
      <w:r>
        <w:t xml:space="preserve">Edelman 2006, PMID 17003291.</w:t>
      </w:r>
    </w:p>
  </w:footnote>
  <w:footnote w:id="2609">
    <w:p>
      <w:pPr>
        <w:pStyle w:val="FootnoteText"/>
      </w:pPr>
      <w:r>
        <w:rPr>
          <w:rStyle w:val="FootnoteReference"/>
        </w:rPr>
        <w:footnoteRef/>
      </w:r>
      <w:r>
        <w:t xml:space="preserve"> </w:t>
      </w:r>
      <w:r>
        <w:t xml:space="preserve">Sridharan 2026, PMID 39924461.</w:t>
      </w:r>
    </w:p>
  </w:footnote>
  <w:footnote w:id="2610">
    <w:p>
      <w:pPr>
        <w:pStyle w:val="FootnoteText"/>
      </w:pPr>
      <w:r>
        <w:rPr>
          <w:rStyle w:val="FootnoteReference"/>
        </w:rPr>
        <w:footnoteRef/>
      </w:r>
      <w:r>
        <w:t xml:space="preserve"> </w:t>
      </w:r>
      <w:r>
        <w:t xml:space="preserve">Sodhi 2023, PMID 37796527.</w:t>
      </w:r>
    </w:p>
  </w:footnote>
  <w:footnote w:id="2611">
    <w:p>
      <w:pPr>
        <w:pStyle w:val="FootnoteText"/>
      </w:pPr>
      <w:r>
        <w:rPr>
          <w:rStyle w:val="FootnoteReference"/>
        </w:rPr>
        <w:footnoteRef/>
      </w:r>
      <w:r>
        <w:t xml:space="preserve"> </w:t>
      </w:r>
      <w:r>
        <w:t xml:space="preserve">Chiang 2025, PMID 40499738.</w:t>
      </w:r>
    </w:p>
  </w:footnote>
  <w:footnote w:id="2612">
    <w:p>
      <w:pPr>
        <w:pStyle w:val="FootnoteText"/>
      </w:pPr>
      <w:r>
        <w:rPr>
          <w:rStyle w:val="FootnoteReference"/>
        </w:rPr>
        <w:footnoteRef/>
      </w:r>
      <w:r>
        <w:t xml:space="preserve"> </w:t>
      </w:r>
      <w:r>
        <w:t xml:space="preserve">Crisafulli 2026, PMID 41183330.</w:t>
      </w:r>
    </w:p>
  </w:footnote>
  <w:footnote w:id="2614">
    <w:p>
      <w:pPr>
        <w:pStyle w:val="FootnoteText"/>
      </w:pPr>
      <w:r>
        <w:rPr>
          <w:rStyle w:val="FootnoteReference"/>
        </w:rPr>
        <w:footnoteRef/>
      </w:r>
      <w:r>
        <w:t xml:space="preserve"> </w:t>
      </w:r>
      <w:r>
        <w:t xml:space="preserve">He 2022, PMID 35344001.</w:t>
      </w:r>
    </w:p>
  </w:footnote>
  <w:footnote w:id="2615">
    <w:p>
      <w:pPr>
        <w:pStyle w:val="FootnoteText"/>
      </w:pPr>
      <w:r>
        <w:rPr>
          <w:rStyle w:val="FootnoteReference"/>
        </w:rPr>
        <w:footnoteRef/>
      </w:r>
      <w:r>
        <w:t xml:space="preserve"> </w:t>
      </w:r>
      <w:r>
        <w:t xml:space="preserve">Weghuber 2022, PMID 36322838.</w:t>
      </w:r>
    </w:p>
  </w:footnote>
  <w:footnote w:id="2616">
    <w:p>
      <w:pPr>
        <w:pStyle w:val="FootnoteText"/>
      </w:pPr>
      <w:r>
        <w:rPr>
          <w:rStyle w:val="FootnoteReference"/>
        </w:rPr>
        <w:footnoteRef/>
      </w:r>
      <w:r>
        <w:t xml:space="preserve"> </w:t>
      </w:r>
      <w:r>
        <w:t xml:space="preserve">Wen 2025, PMID 40988099.</w:t>
      </w:r>
    </w:p>
  </w:footnote>
  <w:footnote w:id="2618">
    <w:p>
      <w:pPr>
        <w:pStyle w:val="FootnoteText"/>
      </w:pPr>
      <w:r>
        <w:rPr>
          <w:rStyle w:val="FootnoteReference"/>
        </w:rPr>
        <w:footnoteRef/>
      </w:r>
      <w:r>
        <w:t xml:space="preserve"> </w:t>
      </w:r>
      <w:r>
        <w:t xml:space="preserve">Hegedüs 2018, PMID 29279300.</w:t>
      </w:r>
    </w:p>
  </w:footnote>
  <w:footnote w:id="2620">
    <w:p>
      <w:pPr>
        <w:pStyle w:val="FootnoteText"/>
      </w:pPr>
      <w:r>
        <w:rPr>
          <w:rStyle w:val="FootnoteReference"/>
        </w:rPr>
        <w:footnoteRef/>
      </w:r>
      <w:r>
        <w:t xml:space="preserve"> </w:t>
      </w:r>
      <w:r>
        <w:t xml:space="preserve">Marso 2016, PMID 27633186.</w:t>
      </w:r>
    </w:p>
  </w:footnote>
  <w:footnote w:id="2621">
    <w:p>
      <w:pPr>
        <w:pStyle w:val="FootnoteText"/>
      </w:pPr>
      <w:r>
        <w:rPr>
          <w:rStyle w:val="FootnoteReference"/>
        </w:rPr>
        <w:footnoteRef/>
      </w:r>
      <w:r>
        <w:t xml:space="preserve"> </w:t>
      </w:r>
      <w:r>
        <w:t xml:space="preserve">Natividade 2025, PMID 40810985.</w:t>
      </w:r>
    </w:p>
  </w:footnote>
  <w:footnote w:id="2622">
    <w:p>
      <w:pPr>
        <w:pStyle w:val="FootnoteText"/>
      </w:pPr>
      <w:r>
        <w:rPr>
          <w:rStyle w:val="FootnoteReference"/>
        </w:rPr>
        <w:footnoteRef/>
      </w:r>
      <w:r>
        <w:t xml:space="preserve"> </w:t>
      </w:r>
      <w:r>
        <w:t xml:space="preserve">Hathaway 2024, PMID 38958939.</w:t>
      </w:r>
    </w:p>
  </w:footnote>
  <w:footnote w:id="2623">
    <w:p>
      <w:pPr>
        <w:pStyle w:val="FootnoteText"/>
      </w:pPr>
      <w:r>
        <w:rPr>
          <w:rStyle w:val="FootnoteReference"/>
        </w:rPr>
        <w:footnoteRef/>
      </w:r>
      <w:r>
        <w:t xml:space="preserve"> </w:t>
      </w:r>
      <w:r>
        <w:t xml:space="preserve">Simonsen 2025, PMID 40098249.</w:t>
      </w:r>
    </w:p>
  </w:footnote>
  <w:footnote w:id="2624">
    <w:p>
      <w:pPr>
        <w:pStyle w:val="FootnoteText"/>
      </w:pPr>
      <w:r>
        <w:rPr>
          <w:rStyle w:val="FootnoteReference"/>
        </w:rPr>
        <w:footnoteRef/>
      </w:r>
      <w:r>
        <w:t xml:space="preserve"> </w:t>
      </w:r>
      <w:r>
        <w:t xml:space="preserve">Wang 2025, PMID 40788646.</w:t>
      </w:r>
    </w:p>
  </w:footnote>
  <w:footnote w:id="2625">
    <w:p>
      <w:pPr>
        <w:pStyle w:val="FootnoteText"/>
      </w:pPr>
      <w:r>
        <w:rPr>
          <w:rStyle w:val="FootnoteReference"/>
        </w:rPr>
        <w:footnoteRef/>
      </w:r>
      <w:r>
        <w:t xml:space="preserve"> </w:t>
      </w:r>
      <w:r>
        <w:t xml:space="preserve">Chou 2025, PMID 39491755.</w:t>
      </w:r>
    </w:p>
  </w:footnote>
  <w:footnote w:id="2626">
    <w:p>
      <w:pPr>
        <w:pStyle w:val="FootnoteText"/>
      </w:pPr>
      <w:r>
        <w:rPr>
          <w:rStyle w:val="FootnoteReference"/>
        </w:rPr>
        <w:footnoteRef/>
      </w:r>
      <w:r>
        <w:t xml:space="preserve"> </w:t>
      </w:r>
      <w:r>
        <w:t xml:space="preserve">Liu 2026, PMID 41475544.</w:t>
      </w:r>
    </w:p>
  </w:footnote>
  <w:footnote w:id="2628">
    <w:p>
      <w:pPr>
        <w:pStyle w:val="FootnoteText"/>
      </w:pPr>
      <w:r>
        <w:rPr>
          <w:rStyle w:val="FootnoteReference"/>
        </w:rPr>
        <w:footnoteRef/>
      </w:r>
      <w:r>
        <w:t xml:space="preserve"> </w:t>
      </w:r>
      <w:r>
        <w:t xml:space="preserve">Marso 2016, PMID 27633186.</w:t>
      </w:r>
    </w:p>
  </w:footnote>
  <w:footnote w:id="2629">
    <w:p>
      <w:pPr>
        <w:pStyle w:val="FootnoteText"/>
      </w:pPr>
      <w:r>
        <w:rPr>
          <w:rStyle w:val="FootnoteReference"/>
        </w:rPr>
        <w:footnoteRef/>
      </w:r>
      <w:r>
        <w:t xml:space="preserve"> </w:t>
      </w:r>
      <w:r>
        <w:t xml:space="preserve">Bellido 2026, PMID 42810372.</w:t>
      </w:r>
    </w:p>
  </w:footnote>
  <w:footnote w:id="2630">
    <w:p>
      <w:pPr>
        <w:pStyle w:val="FootnoteText"/>
      </w:pPr>
      <w:r>
        <w:rPr>
          <w:rStyle w:val="FootnoteReference"/>
        </w:rPr>
        <w:footnoteRef/>
      </w:r>
      <w:r>
        <w:t xml:space="preserve"> </w:t>
      </w:r>
      <w:r>
        <w:t xml:space="preserve">Liu 2007, PMID 17227934.</w:t>
      </w:r>
    </w:p>
  </w:footnote>
  <w:footnote w:id="2631">
    <w:p>
      <w:pPr>
        <w:pStyle w:val="FootnoteText"/>
      </w:pPr>
      <w:r>
        <w:rPr>
          <w:rStyle w:val="FootnoteReference"/>
        </w:rPr>
        <w:footnoteRef/>
      </w:r>
      <w:r>
        <w:t xml:space="preserve"> </w:t>
      </w:r>
      <w:r>
        <w:t xml:space="preserve">Adunsky 2011, PMID 21067829.</w:t>
      </w:r>
    </w:p>
  </w:footnote>
  <w:footnote w:id="2632">
    <w:p>
      <w:pPr>
        <w:pStyle w:val="FootnoteText"/>
      </w:pPr>
      <w:r>
        <w:rPr>
          <w:rStyle w:val="FootnoteReference"/>
        </w:rPr>
        <w:footnoteRef/>
      </w:r>
      <w:r>
        <w:t xml:space="preserve"> </w:t>
      </w:r>
      <w:r>
        <w:t xml:space="preserve">White 2017, PMID 27977473.</w:t>
      </w:r>
    </w:p>
  </w:footnote>
  <w:footnote w:id="2633">
    <w:p>
      <w:pPr>
        <w:pStyle w:val="FootnoteText"/>
      </w:pPr>
      <w:r>
        <w:rPr>
          <w:rStyle w:val="FootnoteReference"/>
        </w:rPr>
        <w:footnoteRef/>
      </w:r>
      <w:r>
        <w:t xml:space="preserve"> </w:t>
      </w:r>
      <w:r>
        <w:t xml:space="preserve">Lissy 2021, PMID 32961034.</w:t>
      </w:r>
    </w:p>
  </w:footnote>
  <w:footnote w:id="2634">
    <w:p>
      <w:pPr>
        <w:pStyle w:val="FootnoteText"/>
      </w:pPr>
      <w:r>
        <w:rPr>
          <w:rStyle w:val="FootnoteReference"/>
        </w:rPr>
        <w:footnoteRef/>
      </w:r>
      <w:r>
        <w:t xml:space="preserve"> </w:t>
      </w:r>
      <w:r>
        <w:t xml:space="preserve">Mayer-Hubner 1996, PMID 8596357.</w:t>
      </w:r>
    </w:p>
  </w:footnote>
  <w:footnote w:id="2635">
    <w:p>
      <w:pPr>
        <w:pStyle w:val="FootnoteText"/>
      </w:pPr>
      <w:r>
        <w:rPr>
          <w:rStyle w:val="FootnoteReference"/>
        </w:rPr>
        <w:footnoteRef/>
      </w:r>
      <w:r>
        <w:t xml:space="preserve"> </w:t>
      </w:r>
      <w:r>
        <w:t xml:space="preserve">Nelson 2012, PMID 23121206.</w:t>
      </w:r>
    </w:p>
  </w:footnote>
  <w:footnote w:id="2637">
    <w:p>
      <w:pPr>
        <w:pStyle w:val="FootnoteText"/>
      </w:pPr>
      <w:r>
        <w:rPr>
          <w:rStyle w:val="FootnoteReference"/>
        </w:rPr>
        <w:footnoteRef/>
      </w:r>
      <w:r>
        <w:t xml:space="preserve"> </w:t>
      </w:r>
      <w:r>
        <w:t xml:space="preserve">Han 2026, PMID 41852258.</w:t>
      </w:r>
    </w:p>
  </w:footnote>
  <w:footnote w:id="2638">
    <w:p>
      <w:pPr>
        <w:pStyle w:val="FootnoteText"/>
      </w:pPr>
      <w:r>
        <w:rPr>
          <w:rStyle w:val="FootnoteReference"/>
        </w:rPr>
        <w:footnoteRef/>
      </w:r>
      <w:r>
        <w:t xml:space="preserve"> </w:t>
      </w:r>
      <w:r>
        <w:t xml:space="preserve">Ueda 2024, PMID 39226030.</w:t>
      </w:r>
    </w:p>
  </w:footnote>
  <w:footnote w:id="2639">
    <w:p>
      <w:pPr>
        <w:pStyle w:val="FootnoteText"/>
      </w:pPr>
      <w:r>
        <w:rPr>
          <w:rStyle w:val="FootnoteReference"/>
        </w:rPr>
        <w:footnoteRef/>
      </w:r>
      <w:r>
        <w:t xml:space="preserve"> </w:t>
      </w:r>
      <w:r>
        <w:t xml:space="preserve">Wadden 2026, PMID 41537305.</w:t>
      </w:r>
    </w:p>
  </w:footnote>
  <w:footnote w:id="2640">
    <w:p>
      <w:pPr>
        <w:pStyle w:val="FootnoteText"/>
      </w:pPr>
      <w:r>
        <w:rPr>
          <w:rStyle w:val="FootnoteReference"/>
        </w:rPr>
        <w:footnoteRef/>
      </w:r>
      <w:r>
        <w:t xml:space="preserve"> </w:t>
      </w:r>
      <w:r>
        <w:t xml:space="preserve">Silva 2026, PMID 42115753.</w:t>
      </w:r>
    </w:p>
  </w:footnote>
  <w:footnote w:id="2642">
    <w:p>
      <w:pPr>
        <w:pStyle w:val="FootnoteText"/>
      </w:pPr>
      <w:r>
        <w:rPr>
          <w:rStyle w:val="FootnoteReference"/>
        </w:rPr>
        <w:footnoteRef/>
      </w:r>
      <w:r>
        <w:t xml:space="preserve"> </w:t>
      </w:r>
      <w:r>
        <w:t xml:space="preserve">Sridharan 2026, PMID 39924461.</w:t>
      </w:r>
    </w:p>
  </w:footnote>
  <w:footnote w:id="2643">
    <w:p>
      <w:pPr>
        <w:pStyle w:val="FootnoteText"/>
      </w:pPr>
      <w:r>
        <w:rPr>
          <w:rStyle w:val="FootnoteReference"/>
        </w:rPr>
        <w:footnoteRef/>
      </w:r>
      <w:r>
        <w:t xml:space="preserve"> </w:t>
      </w:r>
      <w:r>
        <w:t xml:space="preserve">Kanti 2021, PMID 34058738.</w:t>
      </w:r>
    </w:p>
  </w:footnote>
  <w:footnote w:id="2644">
    <w:p>
      <w:pPr>
        <w:pStyle w:val="FootnoteText"/>
      </w:pPr>
      <w:r>
        <w:rPr>
          <w:rStyle w:val="FootnoteReference"/>
        </w:rPr>
        <w:footnoteRef/>
      </w:r>
      <w:r>
        <w:t xml:space="preserve"> </w:t>
      </w:r>
      <w:r>
        <w:t xml:space="preserve">Clayton 2022, PMID 35147466.</w:t>
      </w:r>
    </w:p>
  </w:footnote>
  <w:footnote w:id="2645">
    <w:p>
      <w:pPr>
        <w:pStyle w:val="FootnoteText"/>
      </w:pPr>
      <w:r>
        <w:rPr>
          <w:rStyle w:val="FootnoteReference"/>
        </w:rPr>
        <w:footnoteRef/>
      </w:r>
      <w:r>
        <w:t xml:space="preserve"> </w:t>
      </w:r>
      <w:r>
        <w:t xml:space="preserve">Burian 2019, PMID 31119650.</w:t>
      </w:r>
    </w:p>
  </w:footnote>
  <w:footnote w:id="2646">
    <w:p>
      <w:pPr>
        <w:pStyle w:val="FootnoteText"/>
      </w:pPr>
      <w:r>
        <w:rPr>
          <w:rStyle w:val="FootnoteReference"/>
        </w:rPr>
        <w:footnoteRef/>
      </w:r>
      <w:r>
        <w:t xml:space="preserve"> </w:t>
      </w:r>
      <w:r>
        <w:t xml:space="preserve">Gupta 2026, PMID 42930571.</w:t>
      </w:r>
    </w:p>
  </w:footnote>
  <w:footnote w:id="2647">
    <w:p>
      <w:pPr>
        <w:pStyle w:val="FootnoteText"/>
      </w:pPr>
      <w:r>
        <w:rPr>
          <w:rStyle w:val="FootnoteReference"/>
        </w:rPr>
        <w:footnoteRef/>
      </w:r>
      <w:r>
        <w:t xml:space="preserve"> </w:t>
      </w:r>
      <w:r>
        <w:t xml:space="preserve">Bellido 2026, PMID 42810372.</w:t>
      </w:r>
    </w:p>
  </w:footnote>
  <w:footnote w:id="2648">
    <w:p>
      <w:pPr>
        <w:pStyle w:val="FootnoteText"/>
      </w:pPr>
      <w:r>
        <w:rPr>
          <w:rStyle w:val="FootnoteReference"/>
        </w:rPr>
        <w:footnoteRef/>
      </w:r>
      <w:r>
        <w:t xml:space="preserve"> </w:t>
      </w:r>
      <w:r>
        <w:t xml:space="preserve">Dolkar 2018, PMID 29665030.</w:t>
      </w:r>
    </w:p>
  </w:footnote>
  <w:footnote w:id="2650">
    <w:p>
      <w:pPr>
        <w:pStyle w:val="FootnoteText"/>
      </w:pPr>
      <w:r>
        <w:rPr>
          <w:rStyle w:val="FootnoteReference"/>
        </w:rPr>
        <w:footnoteRef/>
      </w:r>
      <w:r>
        <w:t xml:space="preserve"> </w:t>
      </w:r>
      <w:r>
        <w:t xml:space="preserve">Arimura 2016, PMID 27020037.</w:t>
      </w:r>
    </w:p>
  </w:footnote>
  <w:footnote w:id="2651">
    <w:p>
      <w:pPr>
        <w:pStyle w:val="FootnoteText"/>
      </w:pPr>
      <w:r>
        <w:rPr>
          <w:rStyle w:val="FootnoteReference"/>
        </w:rPr>
        <w:footnoteRef/>
      </w:r>
      <w:r>
        <w:t xml:space="preserve"> </w:t>
      </w:r>
      <w:r>
        <w:t xml:space="preserve">MacLean 2014, PMID 24762108.</w:t>
      </w:r>
    </w:p>
  </w:footnote>
  <w:footnote w:id="2652">
    <w:p>
      <w:pPr>
        <w:pStyle w:val="FootnoteText"/>
      </w:pPr>
      <w:r>
        <w:rPr>
          <w:rStyle w:val="FootnoteReference"/>
        </w:rPr>
        <w:footnoteRef/>
      </w:r>
      <w:r>
        <w:t xml:space="preserve"> </w:t>
      </w:r>
      <w:r>
        <w:t xml:space="preserve">Liu 2007, PMID 17227934.</w:t>
      </w:r>
    </w:p>
  </w:footnote>
  <w:footnote w:id="2654">
    <w:p>
      <w:pPr>
        <w:pStyle w:val="FootnoteText"/>
      </w:pPr>
      <w:r>
        <w:rPr>
          <w:rStyle w:val="FootnoteReference"/>
        </w:rPr>
        <w:footnoteRef/>
      </w:r>
      <w:r>
        <w:t xml:space="preserve"> </w:t>
      </w:r>
      <w:r>
        <w:t xml:space="preserve">Chernausek 2007, PMID 17192294.</w:t>
      </w:r>
    </w:p>
  </w:footnote>
  <w:footnote w:id="2655">
    <w:p>
      <w:pPr>
        <w:pStyle w:val="FootnoteText"/>
      </w:pPr>
      <w:r>
        <w:rPr>
          <w:rStyle w:val="FootnoteReference"/>
        </w:rPr>
        <w:footnoteRef/>
      </w:r>
      <w:r>
        <w:t xml:space="preserve"> </w:t>
      </w:r>
      <w:r>
        <w:t xml:space="preserve">Edelman 2006, PMID 17003291.</w:t>
      </w:r>
    </w:p>
  </w:footnote>
  <w:footnote w:id="2656">
    <w:p>
      <w:pPr>
        <w:pStyle w:val="FootnoteText"/>
      </w:pPr>
      <w:r>
        <w:rPr>
          <w:rStyle w:val="FootnoteReference"/>
        </w:rPr>
        <w:footnoteRef/>
      </w:r>
      <w:r>
        <w:t xml:space="preserve"> </w:t>
      </w:r>
      <w:r>
        <w:t xml:space="preserve">Kendall 2005, PMID 15855571.</w:t>
      </w:r>
    </w:p>
  </w:footnote>
  <w:footnote w:id="2657">
    <w:p>
      <w:pPr>
        <w:pStyle w:val="FootnoteText"/>
      </w:pPr>
      <w:r>
        <w:rPr>
          <w:rStyle w:val="FootnoteReference"/>
        </w:rPr>
        <w:footnoteRef/>
      </w:r>
      <w:r>
        <w:t xml:space="preserve"> </w:t>
      </w:r>
      <w:r>
        <w:t xml:space="preserve">Nass 2008, PMID 18981485.</w:t>
      </w:r>
    </w:p>
  </w:footnote>
  <w:footnote w:id="2658">
    <w:p>
      <w:pPr>
        <w:pStyle w:val="FootnoteText"/>
      </w:pPr>
      <w:r>
        <w:rPr>
          <w:rStyle w:val="FootnoteReference"/>
        </w:rPr>
        <w:footnoteRef/>
      </w:r>
      <w:r>
        <w:t xml:space="preserve"> </w:t>
      </w:r>
      <w:r>
        <w:t xml:space="preserve">Liu 2007, PMID 17227934.</w:t>
      </w:r>
    </w:p>
  </w:footnote>
  <w:footnote w:id="2662">
    <w:p>
      <w:pPr>
        <w:pStyle w:val="FootnoteText"/>
      </w:pPr>
      <w:r>
        <w:rPr>
          <w:rStyle w:val="FootnoteReference"/>
        </w:rPr>
        <w:footnoteRef/>
      </w:r>
      <w:r>
        <w:t xml:space="preserve"> </w:t>
      </w:r>
      <w:r>
        <w:t xml:space="preserve">Silverii 2025, PMID 40437949.</w:t>
      </w:r>
    </w:p>
  </w:footnote>
  <w:footnote w:id="2664">
    <w:p>
      <w:pPr>
        <w:pStyle w:val="FootnoteText"/>
      </w:pPr>
      <w:r>
        <w:rPr>
          <w:rStyle w:val="FootnoteReference"/>
        </w:rPr>
        <w:footnoteRef/>
      </w:r>
      <w:r>
        <w:t xml:space="preserve"> </w:t>
      </w:r>
      <w:r>
        <w:t xml:space="preserve">Renehan 2004, PMID 15110491.</w:t>
      </w:r>
    </w:p>
  </w:footnote>
  <w:footnote w:id="2665">
    <w:p>
      <w:pPr>
        <w:pStyle w:val="FootnoteText"/>
      </w:pPr>
      <w:r>
        <w:rPr>
          <w:rStyle w:val="FootnoteReference"/>
        </w:rPr>
        <w:footnoteRef/>
      </w:r>
      <w:r>
        <w:t xml:space="preserve"> </w:t>
      </w:r>
      <w:r>
        <w:t xml:space="preserve">Murphy 2020, PMID 32169310.</w:t>
      </w:r>
    </w:p>
  </w:footnote>
  <w:footnote w:id="2666">
    <w:p>
      <w:pPr>
        <w:pStyle w:val="FootnoteText"/>
      </w:pPr>
      <w:r>
        <w:rPr>
          <w:rStyle w:val="FootnoteReference"/>
        </w:rPr>
        <w:footnoteRef/>
      </w:r>
      <w:r>
        <w:t xml:space="preserve"> </w:t>
      </w:r>
      <w:r>
        <w:t xml:space="preserve">Murphy 2020, PMID 31884074.</w:t>
      </w:r>
    </w:p>
  </w:footnote>
  <w:footnote w:id="2667">
    <w:p>
      <w:pPr>
        <w:pStyle w:val="FootnoteText"/>
      </w:pPr>
      <w:r>
        <w:rPr>
          <w:rStyle w:val="FootnoteReference"/>
        </w:rPr>
        <w:footnoteRef/>
      </w:r>
      <w:r>
        <w:t xml:space="preserve"> </w:t>
      </w:r>
      <w:r>
        <w:t xml:space="preserve">Murphy 2020, PMID 32169310.</w:t>
      </w:r>
    </w:p>
  </w:footnote>
  <w:footnote w:id="2668">
    <w:p>
      <w:pPr>
        <w:pStyle w:val="FootnoteText"/>
      </w:pPr>
      <w:r>
        <w:rPr>
          <w:rStyle w:val="FootnoteReference"/>
        </w:rPr>
        <w:footnoteRef/>
      </w:r>
      <w:r>
        <w:t xml:space="preserve"> </w:t>
      </w:r>
      <w:r>
        <w:t xml:space="preserve">Dal 2018, PMID 29590449.</w:t>
      </w:r>
    </w:p>
  </w:footnote>
  <w:footnote w:id="2669">
    <w:p>
      <w:pPr>
        <w:pStyle w:val="FootnoteText"/>
      </w:pPr>
      <w:r>
        <w:rPr>
          <w:rStyle w:val="FootnoteReference"/>
        </w:rPr>
        <w:footnoteRef/>
      </w:r>
      <w:r>
        <w:t xml:space="preserve"> </w:t>
      </w:r>
      <w:r>
        <w:t xml:space="preserve">Guevara-Aguirre 2011, PMID 21325617.</w:t>
      </w:r>
    </w:p>
  </w:footnote>
  <w:footnote w:id="2670">
    <w:p>
      <w:pPr>
        <w:pStyle w:val="FootnoteText"/>
      </w:pPr>
      <w:r>
        <w:rPr>
          <w:rStyle w:val="FootnoteReference"/>
        </w:rPr>
        <w:footnoteRef/>
      </w:r>
      <w:r>
        <w:t xml:space="preserve"> </w:t>
      </w:r>
      <w:r>
        <w:t xml:space="preserve">Swerdlow 2017, PMID 28187225.</w:t>
      </w:r>
    </w:p>
  </w:footnote>
  <w:footnote w:id="2671">
    <w:p>
      <w:pPr>
        <w:pStyle w:val="FootnoteText"/>
      </w:pPr>
      <w:r>
        <w:rPr>
          <w:rStyle w:val="FootnoteReference"/>
        </w:rPr>
        <w:footnoteRef/>
      </w:r>
      <w:r>
        <w:t xml:space="preserve"> </w:t>
      </w:r>
      <w:r>
        <w:t xml:space="preserve">Child 2015, PMID 25810462.</w:t>
      </w:r>
    </w:p>
  </w:footnote>
  <w:footnote w:id="2672">
    <w:p>
      <w:pPr>
        <w:pStyle w:val="FootnoteText"/>
      </w:pPr>
      <w:r>
        <w:rPr>
          <w:rStyle w:val="FootnoteReference"/>
        </w:rPr>
        <w:footnoteRef/>
      </w:r>
      <w:r>
        <w:t xml:space="preserve"> </w:t>
      </w:r>
      <w:r>
        <w:t xml:space="preserve">Nass 2008, PMID 18981485.</w:t>
      </w:r>
    </w:p>
  </w:footnote>
  <w:footnote w:id="2674">
    <w:p>
      <w:pPr>
        <w:pStyle w:val="FootnoteText"/>
      </w:pPr>
      <w:r>
        <w:rPr>
          <w:rStyle w:val="FootnoteReference"/>
        </w:rPr>
        <w:footnoteRef/>
      </w:r>
      <w:r>
        <w:t xml:space="preserve"> </w:t>
      </w:r>
      <w:r>
        <w:t xml:space="preserve">Hsieh 2017, PMID 27847966.</w:t>
      </w:r>
    </w:p>
  </w:footnote>
  <w:footnote w:id="2675">
    <w:p>
      <w:pPr>
        <w:pStyle w:val="FootnoteText"/>
      </w:pPr>
      <w:r>
        <w:rPr>
          <w:rStyle w:val="FootnoteReference"/>
        </w:rPr>
        <w:footnoteRef/>
      </w:r>
      <w:r>
        <w:t xml:space="preserve"> </w:t>
      </w:r>
      <w:r>
        <w:t xml:space="preserve">Sikiric 2025, PMID 40573323.</w:t>
      </w:r>
    </w:p>
  </w:footnote>
  <w:footnote w:id="2676">
    <w:p>
      <w:pPr>
        <w:pStyle w:val="FootnoteText"/>
      </w:pPr>
      <w:r>
        <w:rPr>
          <w:rStyle w:val="FootnoteReference"/>
        </w:rPr>
        <w:footnoteRef/>
      </w:r>
      <w:r>
        <w:t xml:space="preserve"> </w:t>
      </w:r>
      <w:r>
        <w:t xml:space="preserve">Wang 2016, PMID 27596300.</w:t>
      </w:r>
    </w:p>
  </w:footnote>
  <w:footnote w:id="2677">
    <w:p>
      <w:pPr>
        <w:pStyle w:val="FootnoteText"/>
      </w:pPr>
      <w:r>
        <w:rPr>
          <w:rStyle w:val="FootnoteReference"/>
        </w:rPr>
        <w:footnoteRef/>
      </w:r>
      <w:r>
        <w:t xml:space="preserve"> </w:t>
      </w:r>
      <w:r>
        <w:t xml:space="preserve">Larsson 2007, PMID 17495241.</w:t>
      </w:r>
    </w:p>
  </w:footnote>
  <w:footnote w:id="2678">
    <w:p>
      <w:pPr>
        <w:pStyle w:val="FootnoteText"/>
      </w:pPr>
      <w:r>
        <w:rPr>
          <w:rStyle w:val="FootnoteReference"/>
        </w:rPr>
        <w:footnoteRef/>
      </w:r>
      <w:r>
        <w:t xml:space="preserve"> </w:t>
      </w:r>
      <w:r>
        <w:t xml:space="preserve">Moreno Ayala 2020, PMID 32444831.</w:t>
      </w:r>
    </w:p>
  </w:footnote>
  <w:footnote w:id="2679">
    <w:p>
      <w:pPr>
        <w:pStyle w:val="FootnoteText"/>
      </w:pPr>
      <w:r>
        <w:rPr>
          <w:rStyle w:val="FootnoteReference"/>
        </w:rPr>
        <w:footnoteRef/>
      </w:r>
      <w:r>
        <w:t xml:space="preserve"> </w:t>
      </w:r>
      <w:r>
        <w:t xml:space="preserve">Al-Dulaimi 2025, PMID 40908429.</w:t>
      </w:r>
    </w:p>
  </w:footnote>
  <w:footnote w:id="2680">
    <w:p>
      <w:pPr>
        <w:pStyle w:val="FootnoteText"/>
      </w:pPr>
      <w:r>
        <w:rPr>
          <w:rStyle w:val="FootnoteReference"/>
        </w:rPr>
        <w:footnoteRef/>
      </w:r>
      <w:r>
        <w:t xml:space="preserve"> </w:t>
      </w:r>
      <w:r>
        <w:t xml:space="preserve">Anisimov 2003, PMID 14501183.</w:t>
      </w:r>
    </w:p>
  </w:footnote>
  <w:footnote w:id="2681">
    <w:p>
      <w:pPr>
        <w:pStyle w:val="FootnoteText"/>
      </w:pPr>
      <w:r>
        <w:rPr>
          <w:rStyle w:val="FootnoteReference"/>
        </w:rPr>
        <w:footnoteRef/>
      </w:r>
      <w:r>
        <w:t xml:space="preserve"> </w:t>
      </w:r>
      <w:r>
        <w:t xml:space="preserve">Chen 2018, PMID 29843147.</w:t>
      </w:r>
    </w:p>
  </w:footnote>
  <w:footnote w:id="2682">
    <w:p>
      <w:pPr>
        <w:pStyle w:val="FootnoteText"/>
      </w:pPr>
      <w:r>
        <w:rPr>
          <w:rStyle w:val="FootnoteReference"/>
        </w:rPr>
        <w:footnoteRef/>
      </w:r>
      <w:r>
        <w:t xml:space="preserve"> </w:t>
      </w:r>
      <w:r>
        <w:t xml:space="preserve">Wright 2015, PMID 25649658.</w:t>
      </w:r>
    </w:p>
  </w:footnote>
  <w:footnote w:id="2684">
    <w:p>
      <w:pPr>
        <w:pStyle w:val="FootnoteText"/>
      </w:pPr>
      <w:r>
        <w:rPr>
          <w:rStyle w:val="FootnoteReference"/>
        </w:rPr>
        <w:footnoteRef/>
      </w:r>
      <w:r>
        <w:t xml:space="preserve"> </w:t>
      </w:r>
      <w:r>
        <w:t xml:space="preserve">Habbema 2017, PMID 28266027.</w:t>
      </w:r>
    </w:p>
  </w:footnote>
  <w:footnote w:id="2685">
    <w:p>
      <w:pPr>
        <w:pStyle w:val="FootnoteText"/>
      </w:pPr>
      <w:r>
        <w:rPr>
          <w:rStyle w:val="FootnoteReference"/>
        </w:rPr>
        <w:footnoteRef/>
      </w:r>
      <w:r>
        <w:t xml:space="preserve"> </w:t>
      </w:r>
      <w:r>
        <w:t xml:space="preserve">Burian 2019, PMID 31119650.</w:t>
      </w:r>
    </w:p>
  </w:footnote>
  <w:footnote w:id="2686">
    <w:p>
      <w:pPr>
        <w:pStyle w:val="FootnoteText"/>
      </w:pPr>
      <w:r>
        <w:rPr>
          <w:rStyle w:val="FootnoteReference"/>
        </w:rPr>
        <w:footnoteRef/>
      </w:r>
      <w:r>
        <w:t xml:space="preserve"> </w:t>
      </w:r>
      <w:r>
        <w:t xml:space="preserve">Arisi 2021, PMID 33721252.</w:t>
      </w:r>
    </w:p>
  </w:footnote>
  <w:footnote w:id="2687">
    <w:p>
      <w:pPr>
        <w:pStyle w:val="FootnoteText"/>
      </w:pPr>
      <w:r>
        <w:rPr>
          <w:rStyle w:val="FootnoteReference"/>
        </w:rPr>
        <w:footnoteRef/>
      </w:r>
      <w:r>
        <w:t xml:space="preserve"> </w:t>
      </w:r>
      <w:r>
        <w:t xml:space="preserve">Kanti 2021, PMID 34058738.</w:t>
      </w:r>
    </w:p>
  </w:footnote>
  <w:footnote w:id="2689">
    <w:p>
      <w:pPr>
        <w:pStyle w:val="FootnoteText"/>
      </w:pPr>
      <w:r>
        <w:rPr>
          <w:rStyle w:val="FootnoteReference"/>
        </w:rPr>
        <w:footnoteRef/>
      </w:r>
      <w:r>
        <w:t xml:space="preserve"> </w:t>
      </w:r>
      <w:r>
        <w:t xml:space="preserve">Bjerre Knudsen 2010, PMID 20203154.</w:t>
      </w:r>
    </w:p>
  </w:footnote>
  <w:footnote w:id="2690">
    <w:p>
      <w:pPr>
        <w:pStyle w:val="FootnoteText"/>
      </w:pPr>
      <w:r>
        <w:rPr>
          <w:rStyle w:val="FootnoteReference"/>
        </w:rPr>
        <w:footnoteRef/>
      </w:r>
      <w:r>
        <w:t xml:space="preserve"> </w:t>
      </w:r>
      <w:r>
        <w:t xml:space="preserve">Gier 2012, PMID 22031513.</w:t>
      </w:r>
    </w:p>
  </w:footnote>
  <w:footnote w:id="2691">
    <w:p>
      <w:pPr>
        <w:pStyle w:val="FootnoteText"/>
      </w:pPr>
      <w:r>
        <w:rPr>
          <w:rStyle w:val="FootnoteReference"/>
        </w:rPr>
        <w:footnoteRef/>
      </w:r>
      <w:r>
        <w:t xml:space="preserve"> </w:t>
      </w:r>
      <w:r>
        <w:t xml:space="preserve">Hegedüs 2018, PMID 29279300.</w:t>
      </w:r>
    </w:p>
  </w:footnote>
  <w:footnote w:id="2692">
    <w:p>
      <w:pPr>
        <w:pStyle w:val="FootnoteText"/>
      </w:pPr>
      <w:r>
        <w:rPr>
          <w:rStyle w:val="FootnoteReference"/>
        </w:rPr>
        <w:footnoteRef/>
      </w:r>
      <w:r>
        <w:t xml:space="preserve"> </w:t>
      </w:r>
      <w:r>
        <w:t xml:space="preserve">Bezin 2023, PMID 36356111.</w:t>
      </w:r>
    </w:p>
  </w:footnote>
  <w:footnote w:id="2693">
    <w:p>
      <w:pPr>
        <w:pStyle w:val="FootnoteText"/>
      </w:pPr>
      <w:r>
        <w:rPr>
          <w:rStyle w:val="FootnoteReference"/>
        </w:rPr>
        <w:footnoteRef/>
      </w:r>
      <w:r>
        <w:t xml:space="preserve"> </w:t>
      </w:r>
      <w:r>
        <w:t xml:space="preserve">Pasternak 2024, PMID 38683947.</w:t>
      </w:r>
    </w:p>
  </w:footnote>
  <w:footnote w:id="2694">
    <w:p>
      <w:pPr>
        <w:pStyle w:val="FootnoteText"/>
      </w:pPr>
      <w:r>
        <w:rPr>
          <w:rStyle w:val="FootnoteReference"/>
        </w:rPr>
        <w:footnoteRef/>
      </w:r>
      <w:r>
        <w:t xml:space="preserve"> </w:t>
      </w:r>
      <w:r>
        <w:t xml:space="preserve">Silverii 2025, PMID 40437949.</w:t>
      </w:r>
    </w:p>
  </w:footnote>
  <w:footnote w:id="2696">
    <w:p>
      <w:pPr>
        <w:pStyle w:val="FootnoteText"/>
      </w:pPr>
      <w:r>
        <w:rPr>
          <w:rStyle w:val="FootnoteReference"/>
        </w:rPr>
        <w:footnoteRef/>
      </w:r>
      <w:r>
        <w:t xml:space="preserve"> </w:t>
      </w:r>
      <w:r>
        <w:t xml:space="preserve">Wen 2025, PMID 40988099.</w:t>
      </w:r>
    </w:p>
  </w:footnote>
  <w:footnote w:id="2697">
    <w:p>
      <w:pPr>
        <w:pStyle w:val="FootnoteText"/>
      </w:pPr>
      <w:r>
        <w:rPr>
          <w:rStyle w:val="FootnoteReference"/>
        </w:rPr>
        <w:footnoteRef/>
      </w:r>
      <w:r>
        <w:t xml:space="preserve"> </w:t>
      </w:r>
      <w:r>
        <w:t xml:space="preserve">Wang 2024, PMID 38967919.</w:t>
      </w:r>
    </w:p>
  </w:footnote>
  <w:footnote w:id="2698">
    <w:p>
      <w:pPr>
        <w:pStyle w:val="FootnoteText"/>
      </w:pPr>
      <w:r>
        <w:rPr>
          <w:rStyle w:val="FootnoteReference"/>
        </w:rPr>
        <w:footnoteRef/>
      </w:r>
      <w:r>
        <w:t xml:space="preserve"> </w:t>
      </w:r>
      <w:r>
        <w:t xml:space="preserve">Rajan 2026, PMID 42541759.</w:t>
      </w:r>
    </w:p>
  </w:footnote>
  <w:footnote w:id="2703">
    <w:p>
      <w:pPr>
        <w:pStyle w:val="FootnoteText"/>
      </w:pPr>
      <w:r>
        <w:rPr>
          <w:rStyle w:val="FootnoteReference"/>
        </w:rPr>
        <w:footnoteRef/>
      </w:r>
      <w:r>
        <w:t xml:space="preserve"> </w:t>
      </w:r>
      <w:r>
        <w:t xml:space="preserve">Shankar 2014, PMID 24764037.</w:t>
      </w:r>
    </w:p>
  </w:footnote>
  <w:footnote w:id="2705">
    <w:p>
      <w:pPr>
        <w:pStyle w:val="FootnoteText"/>
      </w:pPr>
      <w:r>
        <w:rPr>
          <w:rStyle w:val="FootnoteReference"/>
        </w:rPr>
        <w:footnoteRef/>
      </w:r>
      <w:r>
        <w:t xml:space="preserve"> </w:t>
      </w:r>
      <w:r>
        <w:t xml:space="preserve">Buse 2011, PMID 21450987.</w:t>
      </w:r>
    </w:p>
  </w:footnote>
  <w:footnote w:id="2706">
    <w:p>
      <w:pPr>
        <w:pStyle w:val="FootnoteText"/>
      </w:pPr>
      <w:r>
        <w:rPr>
          <w:rStyle w:val="FootnoteReference"/>
        </w:rPr>
        <w:footnoteRef/>
      </w:r>
      <w:r>
        <w:t xml:space="preserve"> </w:t>
      </w:r>
      <w:r>
        <w:t xml:space="preserve">Mullins 2024, PMID 37700637.</w:t>
      </w:r>
    </w:p>
  </w:footnote>
  <w:footnote w:id="2708">
    <w:p>
      <w:pPr>
        <w:pStyle w:val="FootnoteText"/>
      </w:pPr>
      <w:r>
        <w:rPr>
          <w:rStyle w:val="FootnoteReference"/>
        </w:rPr>
        <w:footnoteRef/>
      </w:r>
      <w:r>
        <w:t xml:space="preserve"> </w:t>
      </w:r>
      <w:r>
        <w:t xml:space="preserve">Taj 2026, PMID 41395692.</w:t>
      </w:r>
    </w:p>
  </w:footnote>
  <w:footnote w:id="2709">
    <w:p>
      <w:pPr>
        <w:pStyle w:val="FootnoteText"/>
      </w:pPr>
      <w:r>
        <w:rPr>
          <w:rStyle w:val="FootnoteReference"/>
        </w:rPr>
        <w:footnoteRef/>
      </w:r>
      <w:r>
        <w:t xml:space="preserve"> </w:t>
      </w:r>
      <w:r>
        <w:t xml:space="preserve">Wysham 2015, PMID 25744115.</w:t>
      </w:r>
    </w:p>
  </w:footnote>
  <w:footnote w:id="2710">
    <w:p>
      <w:pPr>
        <w:pStyle w:val="FootnoteText"/>
      </w:pPr>
      <w:r>
        <w:rPr>
          <w:rStyle w:val="FootnoteReference"/>
        </w:rPr>
        <w:footnoteRef/>
      </w:r>
      <w:r>
        <w:t xml:space="preserve"> </w:t>
      </w:r>
      <w:r>
        <w:t xml:space="preserve">Chen 2021, PMID 33748252.</w:t>
      </w:r>
    </w:p>
  </w:footnote>
  <w:footnote w:id="2712">
    <w:p>
      <w:pPr>
        <w:pStyle w:val="FootnoteText"/>
      </w:pPr>
      <w:r>
        <w:rPr>
          <w:rStyle w:val="FootnoteReference"/>
        </w:rPr>
        <w:footnoteRef/>
      </w:r>
      <w:r>
        <w:t xml:space="preserve"> </w:t>
      </w:r>
      <w:r>
        <w:t xml:space="preserve">Anthony 2024, PMID 38363873.</w:t>
      </w:r>
    </w:p>
  </w:footnote>
  <w:footnote w:id="2713">
    <w:p>
      <w:pPr>
        <w:pStyle w:val="FootnoteText"/>
      </w:pPr>
      <w:r>
        <w:rPr>
          <w:rStyle w:val="FootnoteReference"/>
        </w:rPr>
        <w:footnoteRef/>
      </w:r>
      <w:r>
        <w:t xml:space="preserve"> </w:t>
      </w:r>
      <w:r>
        <w:t xml:space="preserve">Pradhan 2022, PMID 35136902.</w:t>
      </w:r>
    </w:p>
  </w:footnote>
  <w:footnote w:id="2714">
    <w:p>
      <w:pPr>
        <w:pStyle w:val="FootnoteText"/>
      </w:pPr>
      <w:r>
        <w:rPr>
          <w:rStyle w:val="FootnoteReference"/>
        </w:rPr>
        <w:footnoteRef/>
      </w:r>
      <w:r>
        <w:t xml:space="preserve"> </w:t>
      </w:r>
      <w:r>
        <w:t xml:space="preserve">Ornelas 2018, PMID 30350785.</w:t>
      </w:r>
    </w:p>
  </w:footnote>
  <w:footnote w:id="2715">
    <w:p>
      <w:pPr>
        <w:pStyle w:val="FootnoteText"/>
      </w:pPr>
      <w:r>
        <w:rPr>
          <w:rStyle w:val="FootnoteReference"/>
        </w:rPr>
        <w:footnoteRef/>
      </w:r>
      <w:r>
        <w:t xml:space="preserve"> </w:t>
      </w:r>
      <w:r>
        <w:t xml:space="preserve">Shamriz 2019, PMID 31296642.</w:t>
      </w:r>
    </w:p>
  </w:footnote>
  <w:footnote w:id="2716">
    <w:p>
      <w:pPr>
        <w:pStyle w:val="FootnoteText"/>
      </w:pPr>
      <w:r>
        <w:rPr>
          <w:rStyle w:val="FootnoteReference"/>
        </w:rPr>
        <w:footnoteRef/>
      </w:r>
      <w:r>
        <w:t xml:space="preserve"> </w:t>
      </w:r>
      <w:r>
        <w:t xml:space="preserve">He 2023, PMID 38186543.</w:t>
      </w:r>
    </w:p>
  </w:footnote>
  <w:footnote w:id="2717">
    <w:p>
      <w:pPr>
        <w:pStyle w:val="FootnoteText"/>
      </w:pPr>
      <w:r>
        <w:rPr>
          <w:rStyle w:val="FootnoteReference"/>
        </w:rPr>
        <w:footnoteRef/>
      </w:r>
      <w:r>
        <w:t xml:space="preserve"> </w:t>
      </w:r>
      <w:r>
        <w:t xml:space="preserve">Kraft 2026, PMID 42194666.</w:t>
      </w:r>
    </w:p>
  </w:footnote>
  <w:footnote w:id="2718">
    <w:p>
      <w:pPr>
        <w:pStyle w:val="FootnoteText"/>
      </w:pPr>
      <w:r>
        <w:rPr>
          <w:rStyle w:val="FootnoteReference"/>
        </w:rPr>
        <w:footnoteRef/>
      </w:r>
      <w:r>
        <w:t xml:space="preserve"> </w:t>
      </w:r>
      <w:r>
        <w:t xml:space="preserve">Trimmel 2024, PMID 39055722.</w:t>
      </w:r>
    </w:p>
  </w:footnote>
  <w:footnote w:id="2719">
    <w:p>
      <w:pPr>
        <w:pStyle w:val="FootnoteText"/>
      </w:pPr>
      <w:r>
        <w:rPr>
          <w:rStyle w:val="FootnoteReference"/>
        </w:rPr>
        <w:footnoteRef/>
      </w:r>
      <w:r>
        <w:t xml:space="preserve"> </w:t>
      </w:r>
      <w:r>
        <w:t xml:space="preserve">Röper 2004, PMID 15127162.</w:t>
      </w:r>
    </w:p>
  </w:footnote>
  <w:footnote w:id="2721">
    <w:p>
      <w:pPr>
        <w:pStyle w:val="FootnoteText"/>
      </w:pPr>
      <w:r>
        <w:rPr>
          <w:rStyle w:val="FootnoteReference"/>
        </w:rPr>
        <w:footnoteRef/>
      </w:r>
      <w:r>
        <w:t xml:space="preserve"> </w:t>
      </w:r>
      <w:r>
        <w:t xml:space="preserve">Lande 2007, PMID 17873860.</w:t>
      </w:r>
    </w:p>
  </w:footnote>
  <w:footnote w:id="2722">
    <w:p>
      <w:pPr>
        <w:pStyle w:val="FootnoteText"/>
      </w:pPr>
      <w:r>
        <w:rPr>
          <w:rStyle w:val="FootnoteReference"/>
        </w:rPr>
        <w:footnoteRef/>
      </w:r>
      <w:r>
        <w:t xml:space="preserve"> </w:t>
      </w:r>
      <w:r>
        <w:t xml:space="preserve">Lande 2014, PMID 25470744.</w:t>
      </w:r>
    </w:p>
  </w:footnote>
  <w:footnote w:id="2723">
    <w:p>
      <w:pPr>
        <w:pStyle w:val="FootnoteText"/>
      </w:pPr>
      <w:r>
        <w:rPr>
          <w:rStyle w:val="FootnoteReference"/>
        </w:rPr>
        <w:footnoteRef/>
      </w:r>
      <w:r>
        <w:t xml:space="preserve"> </w:t>
      </w:r>
      <w:r>
        <w:t xml:space="preserve">Dolkar 2018, PMID 29665030.</w:t>
      </w:r>
    </w:p>
  </w:footnote>
  <w:footnote w:id="2724">
    <w:p>
      <w:pPr>
        <w:pStyle w:val="FootnoteText"/>
      </w:pPr>
      <w:r>
        <w:rPr>
          <w:rStyle w:val="FootnoteReference"/>
        </w:rPr>
        <w:footnoteRef/>
      </w:r>
      <w:r>
        <w:t xml:space="preserve"> </w:t>
      </w:r>
      <w:r>
        <w:t xml:space="preserve">Gupta 2026, PMID 42930571.</w:t>
      </w:r>
    </w:p>
  </w:footnote>
  <w:footnote w:id="2726">
    <w:p>
      <w:pPr>
        <w:pStyle w:val="FootnoteText"/>
      </w:pPr>
      <w:r>
        <w:rPr>
          <w:rStyle w:val="FootnoteReference"/>
        </w:rPr>
        <w:footnoteRef/>
      </w:r>
      <w:r>
        <w:t xml:space="preserve"> </w:t>
      </w:r>
      <w:r>
        <w:t xml:space="preserve">De Groot 2023, PMID 37467878.</w:t>
      </w:r>
    </w:p>
  </w:footnote>
  <w:footnote w:id="2727">
    <w:p>
      <w:pPr>
        <w:pStyle w:val="FootnoteText"/>
      </w:pPr>
      <w:r>
        <w:rPr>
          <w:rStyle w:val="FootnoteReference"/>
        </w:rPr>
        <w:footnoteRef/>
      </w:r>
      <w:r>
        <w:t xml:space="preserve"> </w:t>
      </w:r>
      <w:r>
        <w:t xml:space="preserve">Mattei 2025, PMID 41445733.</w:t>
      </w:r>
    </w:p>
  </w:footnote>
  <w:footnote w:id="2728">
    <w:p>
      <w:pPr>
        <w:pStyle w:val="FootnoteText"/>
      </w:pPr>
      <w:r>
        <w:rPr>
          <w:rStyle w:val="FootnoteReference"/>
        </w:rPr>
        <w:footnoteRef/>
      </w:r>
      <w:r>
        <w:t xml:space="preserve"> </w:t>
      </w:r>
      <w:r>
        <w:t xml:space="preserve">Hach 2024, PMID 39379664.</w:t>
      </w:r>
    </w:p>
  </w:footnote>
  <w:footnote w:id="2729">
    <w:p>
      <w:pPr>
        <w:pStyle w:val="FootnoteText"/>
      </w:pPr>
      <w:r>
        <w:rPr>
          <w:rStyle w:val="FootnoteReference"/>
        </w:rPr>
        <w:footnoteRef/>
      </w:r>
      <w:r>
        <w:t xml:space="preserve"> </w:t>
      </w:r>
      <w:r>
        <w:t xml:space="preserve">Tang 2025, PMID 40398094.</w:t>
      </w:r>
    </w:p>
  </w:footnote>
  <w:footnote w:id="2730">
    <w:p>
      <w:pPr>
        <w:pStyle w:val="FootnoteText"/>
      </w:pPr>
      <w:r>
        <w:rPr>
          <w:rStyle w:val="FootnoteReference"/>
        </w:rPr>
        <w:footnoteRef/>
      </w:r>
      <w:r>
        <w:t xml:space="preserve"> </w:t>
      </w:r>
      <w:r>
        <w:t xml:space="preserve">Janvier 2018, PMID 28941153.</w:t>
      </w:r>
    </w:p>
  </w:footnote>
  <w:footnote w:id="2734">
    <w:p>
      <w:pPr>
        <w:pStyle w:val="FootnoteText"/>
      </w:pPr>
      <w:r>
        <w:rPr>
          <w:rStyle w:val="FootnoteReference"/>
        </w:rPr>
        <w:footnoteRef/>
      </w:r>
      <w:r>
        <w:t xml:space="preserve"> </w:t>
      </w:r>
      <w:r>
        <w:t xml:space="preserve">Vanhee 2015, PMID 26003685.</w:t>
      </w:r>
    </w:p>
  </w:footnote>
  <w:footnote w:id="2736">
    <w:p>
      <w:pPr>
        <w:pStyle w:val="FootnoteText"/>
      </w:pPr>
      <w:r>
        <w:rPr>
          <w:rStyle w:val="FootnoteReference"/>
        </w:rPr>
        <w:footnoteRef/>
      </w:r>
      <w:r>
        <w:t xml:space="preserve"> </w:t>
      </w:r>
      <w:r>
        <w:t xml:space="preserve">Høj 2021, PMID 33686802.</w:t>
      </w:r>
    </w:p>
  </w:footnote>
  <w:footnote w:id="2737">
    <w:p>
      <w:pPr>
        <w:pStyle w:val="FootnoteText"/>
      </w:pPr>
      <w:r>
        <w:rPr>
          <w:rStyle w:val="FootnoteReference"/>
        </w:rPr>
        <w:footnoteRef/>
      </w:r>
      <w:r>
        <w:t xml:space="preserve"> </w:t>
      </w:r>
      <w:r>
        <w:t xml:space="preserve">Venhuis 2016, PMID 26456392.</w:t>
      </w:r>
    </w:p>
  </w:footnote>
  <w:footnote w:id="2738">
    <w:p>
      <w:pPr>
        <w:pStyle w:val="FootnoteText"/>
      </w:pPr>
      <w:r>
        <w:rPr>
          <w:rStyle w:val="FootnoteReference"/>
        </w:rPr>
        <w:footnoteRef/>
      </w:r>
      <w:r>
        <w:t xml:space="preserve"> </w:t>
      </w:r>
      <w:r>
        <w:t xml:space="preserve">Vanhee 2017, PMID 27390261.</w:t>
      </w:r>
    </w:p>
  </w:footnote>
  <w:footnote w:id="2739">
    <w:p>
      <w:pPr>
        <w:pStyle w:val="FootnoteText"/>
      </w:pPr>
      <w:r>
        <w:rPr>
          <w:rStyle w:val="FootnoteReference"/>
        </w:rPr>
        <w:footnoteRef/>
      </w:r>
      <w:r>
        <w:t xml:space="preserve"> </w:t>
      </w:r>
      <w:r>
        <w:t xml:space="preserve">Delcourt 2023, PMID 36482504.</w:t>
      </w:r>
    </w:p>
  </w:footnote>
  <w:footnote w:id="2740">
    <w:p>
      <w:pPr>
        <w:pStyle w:val="FootnoteText"/>
      </w:pPr>
      <w:r>
        <w:rPr>
          <w:rStyle w:val="FootnoteReference"/>
        </w:rPr>
        <w:footnoteRef/>
      </w:r>
      <w:r>
        <w:t xml:space="preserve"> </w:t>
      </w:r>
      <w:r>
        <w:t xml:space="preserve">Van Wagoner 2017, PMID 29183075.</w:t>
      </w:r>
    </w:p>
  </w:footnote>
  <w:footnote w:id="2742">
    <w:p>
      <w:pPr>
        <w:pStyle w:val="FootnoteText"/>
      </w:pPr>
      <w:r>
        <w:rPr>
          <w:rStyle w:val="FootnoteReference"/>
        </w:rPr>
        <w:footnoteRef/>
      </w:r>
      <w:r>
        <w:t xml:space="preserve"> </w:t>
      </w:r>
      <w:r>
        <w:t xml:space="preserve">Van Wagoner 2017, PMID 29183075.</w:t>
      </w:r>
    </w:p>
  </w:footnote>
  <w:footnote w:id="2743">
    <w:p>
      <w:pPr>
        <w:pStyle w:val="FootnoteText"/>
      </w:pPr>
      <w:r>
        <w:rPr>
          <w:rStyle w:val="FootnoteReference"/>
        </w:rPr>
        <w:footnoteRef/>
      </w:r>
      <w:r>
        <w:t xml:space="preserve"> </w:t>
      </w:r>
      <w:r>
        <w:t xml:space="preserve">Fabresse 2021, PMID 33838562.</w:t>
      </w:r>
    </w:p>
  </w:footnote>
  <w:footnote w:id="2744">
    <w:p>
      <w:pPr>
        <w:pStyle w:val="FootnoteText"/>
      </w:pPr>
      <w:r>
        <w:rPr>
          <w:rStyle w:val="FootnoteReference"/>
        </w:rPr>
        <w:footnoteRef/>
      </w:r>
      <w:r>
        <w:t xml:space="preserve"> </w:t>
      </w:r>
      <w:r>
        <w:t xml:space="preserve">Barrios 2025, PMID 40551438.</w:t>
      </w:r>
    </w:p>
  </w:footnote>
  <w:footnote w:id="2746">
    <w:p>
      <w:pPr>
        <w:pStyle w:val="FootnoteText"/>
      </w:pPr>
      <w:r>
        <w:rPr>
          <w:rStyle w:val="FootnoteReference"/>
        </w:rPr>
        <w:footnoteRef/>
      </w:r>
      <w:r>
        <w:t xml:space="preserve"> </w:t>
      </w:r>
      <w:r>
        <w:t xml:space="preserve">Janvier 2018, PMID 30029448.</w:t>
      </w:r>
    </w:p>
  </w:footnote>
  <w:footnote w:id="2747">
    <w:p>
      <w:pPr>
        <w:pStyle w:val="FootnoteText"/>
      </w:pPr>
      <w:r>
        <w:rPr>
          <w:rStyle w:val="FootnoteReference"/>
        </w:rPr>
        <w:footnoteRef/>
      </w:r>
      <w:r>
        <w:t xml:space="preserve"> </w:t>
      </w:r>
      <w:r>
        <w:t xml:space="preserve">Mongongu 2021, PMID 33587816.</w:t>
      </w:r>
    </w:p>
  </w:footnote>
  <w:footnote w:id="2748">
    <w:p>
      <w:pPr>
        <w:pStyle w:val="FootnoteText"/>
      </w:pPr>
      <w:r>
        <w:rPr>
          <w:rStyle w:val="FootnoteReference"/>
        </w:rPr>
        <w:footnoteRef/>
      </w:r>
      <w:r>
        <w:t xml:space="preserve"> </w:t>
      </w:r>
      <w:r>
        <w:t xml:space="preserve">Deville 2024, PMID 39302005.</w:t>
      </w:r>
    </w:p>
  </w:footnote>
  <w:footnote w:id="2749">
    <w:p>
      <w:pPr>
        <w:pStyle w:val="FootnoteText"/>
      </w:pPr>
      <w:r>
        <w:rPr>
          <w:rStyle w:val="FootnoteReference"/>
        </w:rPr>
        <w:footnoteRef/>
      </w:r>
      <w:r>
        <w:t xml:space="preserve"> </w:t>
      </w:r>
      <w:r>
        <w:t xml:space="preserve">Gajda 2019, PMID 30136411.</w:t>
      </w:r>
    </w:p>
  </w:footnote>
  <w:footnote w:id="2751">
    <w:p>
      <w:pPr>
        <w:pStyle w:val="FootnoteText"/>
      </w:pPr>
      <w:r>
        <w:rPr>
          <w:rStyle w:val="FootnoteReference"/>
        </w:rPr>
        <w:footnoteRef/>
      </w:r>
      <w:r>
        <w:t xml:space="preserve"> </w:t>
      </w:r>
      <w:r>
        <w:t xml:space="preserve">Janvier 2018, PMID 30029448.</w:t>
      </w:r>
    </w:p>
  </w:footnote>
  <w:footnote w:id="2752">
    <w:p>
      <w:pPr>
        <w:pStyle w:val="FootnoteText"/>
      </w:pPr>
      <w:r>
        <w:rPr>
          <w:rStyle w:val="FootnoteReference"/>
        </w:rPr>
        <w:footnoteRef/>
      </w:r>
      <w:r>
        <w:t xml:space="preserve"> </w:t>
      </w:r>
      <w:r>
        <w:t xml:space="preserve">Janvier 2018, PMID 28941153.</w:t>
      </w:r>
    </w:p>
  </w:footnote>
  <w:footnote w:id="2753">
    <w:p>
      <w:pPr>
        <w:pStyle w:val="FootnoteText"/>
      </w:pPr>
      <w:r>
        <w:rPr>
          <w:rStyle w:val="FootnoteReference"/>
        </w:rPr>
        <w:footnoteRef/>
      </w:r>
      <w:r>
        <w:t xml:space="preserve"> </w:t>
      </w:r>
      <w:r>
        <w:t xml:space="preserve">Ashraf 2024, PMID 39509151.</w:t>
      </w:r>
    </w:p>
  </w:footnote>
  <w:footnote w:id="2756">
    <w:p>
      <w:pPr>
        <w:pStyle w:val="FootnoteText"/>
      </w:pPr>
      <w:r>
        <w:rPr>
          <w:rStyle w:val="FootnoteReference"/>
        </w:rPr>
        <w:footnoteRef/>
      </w:r>
      <w:r>
        <w:t xml:space="preserve"> </w:t>
      </w:r>
      <w:r>
        <w:t xml:space="preserve">Deconinck 2021, PMID 33453144.</w:t>
      </w:r>
    </w:p>
  </w:footnote>
  <w:footnote w:id="2757">
    <w:p>
      <w:pPr>
        <w:pStyle w:val="FootnoteText"/>
      </w:pPr>
      <w:r>
        <w:rPr>
          <w:rStyle w:val="FootnoteReference"/>
        </w:rPr>
        <w:footnoteRef/>
      </w:r>
      <w:r>
        <w:t xml:space="preserve"> </w:t>
      </w:r>
      <w:r>
        <w:t xml:space="preserve">Vanhee 2015, PMID 25535022.</w:t>
      </w:r>
    </w:p>
  </w:footnote>
  <w:footnote w:id="2758">
    <w:p>
      <w:pPr>
        <w:pStyle w:val="FootnoteText"/>
      </w:pPr>
      <w:r>
        <w:rPr>
          <w:rStyle w:val="FootnoteReference"/>
        </w:rPr>
        <w:footnoteRef/>
      </w:r>
      <w:r>
        <w:t xml:space="preserve"> </w:t>
      </w:r>
      <w:r>
        <w:t xml:space="preserve">Vanhee 2020, PMID 31667971.</w:t>
      </w:r>
    </w:p>
  </w:footnote>
  <w:footnote w:id="2759">
    <w:p>
      <w:pPr>
        <w:pStyle w:val="FootnoteText"/>
      </w:pPr>
      <w:r>
        <w:rPr>
          <w:rStyle w:val="FootnoteReference"/>
        </w:rPr>
        <w:footnoteRef/>
      </w:r>
      <w:r>
        <w:t xml:space="preserve"> </w:t>
      </w:r>
      <w:r>
        <w:t xml:space="preserve">White 2026, PMID 41480958.</w:t>
      </w:r>
    </w:p>
  </w:footnote>
  <w:footnote w:id="2760">
    <w:p>
      <w:pPr>
        <w:pStyle w:val="FootnoteText"/>
      </w:pPr>
      <w:r>
        <w:rPr>
          <w:rStyle w:val="FootnoteReference"/>
        </w:rPr>
        <w:footnoteRef/>
      </w:r>
      <w:r>
        <w:t xml:space="preserve"> </w:t>
      </w:r>
      <w:r>
        <w:t xml:space="preserve">Barrios 2025, PMID 40551438.</w:t>
      </w:r>
    </w:p>
  </w:footnote>
  <w:footnote w:id="2763">
    <w:p>
      <w:pPr>
        <w:pStyle w:val="FootnoteText"/>
      </w:pPr>
      <w:r>
        <w:rPr>
          <w:rStyle w:val="FootnoteReference"/>
        </w:rPr>
        <w:footnoteRef/>
      </w:r>
      <w:r>
        <w:t xml:space="preserve"> </w:t>
      </w:r>
      <w:r>
        <w:t xml:space="preserve">Gaw 2024, PMID 38421490.</w:t>
      </w:r>
    </w:p>
  </w:footnote>
  <w:footnote w:id="2764">
    <w:p>
      <w:pPr>
        <w:pStyle w:val="FootnoteText"/>
      </w:pPr>
      <w:r>
        <w:rPr>
          <w:rStyle w:val="FootnoteReference"/>
        </w:rPr>
        <w:footnoteRef/>
      </w:r>
      <w:r>
        <w:t xml:space="preserve"> </w:t>
      </w:r>
      <w:r>
        <w:t xml:space="preserve">Senthilkumar 2026, PMID 41784916.</w:t>
      </w:r>
    </w:p>
  </w:footnote>
  <w:footnote w:id="2765">
    <w:p>
      <w:pPr>
        <w:pStyle w:val="FootnoteText"/>
      </w:pPr>
      <w:r>
        <w:rPr>
          <w:rStyle w:val="FootnoteReference"/>
        </w:rPr>
        <w:footnoteRef/>
      </w:r>
      <w:r>
        <w:t xml:space="preserve"> </w:t>
      </w:r>
      <w:r>
        <w:t xml:space="preserve">Gaw 2024, PMID 38421490; Ho 2025, PMID 40371098.</w:t>
      </w:r>
    </w:p>
  </w:footnote>
  <w:footnote w:id="2766">
    <w:p>
      <w:pPr>
        <w:pStyle w:val="FootnoteText"/>
      </w:pPr>
      <w:r>
        <w:rPr>
          <w:rStyle w:val="FootnoteReference"/>
        </w:rPr>
        <w:footnoteRef/>
      </w:r>
      <w:r>
        <w:t xml:space="preserve"> </w:t>
      </w:r>
      <w:r>
        <w:t xml:space="preserve">Marshall 2024, PMID 38861153.</w:t>
      </w:r>
    </w:p>
  </w:footnote>
  <w:footnote w:id="2767">
    <w:p>
      <w:pPr>
        <w:pStyle w:val="FootnoteText"/>
      </w:pPr>
      <w:r>
        <w:rPr>
          <w:rStyle w:val="FootnoteReference"/>
        </w:rPr>
        <w:footnoteRef/>
      </w:r>
      <w:r>
        <w:t xml:space="preserve"> </w:t>
      </w:r>
      <w:r>
        <w:t xml:space="preserve">Ho 2025, PMID 40371098.</w:t>
      </w:r>
    </w:p>
  </w:footnote>
  <w:footnote w:id="2768">
    <w:p>
      <w:pPr>
        <w:pStyle w:val="FootnoteText"/>
      </w:pPr>
      <w:r>
        <w:rPr>
          <w:rStyle w:val="FootnoteReference"/>
        </w:rPr>
        <w:footnoteRef/>
      </w:r>
      <w:r>
        <w:t xml:space="preserve"> </w:t>
      </w:r>
      <w:r>
        <w:t xml:space="preserve">Gaw 2024, PMID 38421490; Senthilkumar 2026, PMID 41784916.</w:t>
      </w:r>
    </w:p>
  </w:footnote>
  <w:footnote w:id="2769">
    <w:p>
      <w:pPr>
        <w:pStyle w:val="FootnoteText"/>
      </w:pPr>
      <w:r>
        <w:rPr>
          <w:rStyle w:val="FootnoteReference"/>
        </w:rPr>
        <w:footnoteRef/>
      </w:r>
      <w:r>
        <w:t xml:space="preserve"> </w:t>
      </w:r>
      <w:r>
        <w:t xml:space="preserve">Muschler 2025, PMID 39803696.</w:t>
      </w:r>
    </w:p>
  </w:footnote>
  <w:footnote w:id="2770">
    <w:p>
      <w:pPr>
        <w:pStyle w:val="FootnoteText"/>
      </w:pPr>
      <w:r>
        <w:rPr>
          <w:rStyle w:val="FootnoteReference"/>
        </w:rPr>
        <w:footnoteRef/>
      </w:r>
      <w:r>
        <w:t xml:space="preserve"> </w:t>
      </w:r>
      <w:r>
        <w:t xml:space="preserve">Ho 2025, PMID 40371098.</w:t>
      </w:r>
    </w:p>
  </w:footnote>
  <w:footnote w:id="2771">
    <w:p>
      <w:pPr>
        <w:pStyle w:val="FootnoteText"/>
      </w:pPr>
      <w:r>
        <w:rPr>
          <w:rStyle w:val="FootnoteReference"/>
        </w:rPr>
        <w:footnoteRef/>
      </w:r>
      <w:r>
        <w:t xml:space="preserve"> </w:t>
      </w:r>
      <w:r>
        <w:t xml:space="preserve">Marshall 2024, PMID 38861153.</w:t>
      </w:r>
    </w:p>
  </w:footnote>
  <w:footnote w:id="2772">
    <w:p>
      <w:pPr>
        <w:pStyle w:val="FootnoteText"/>
      </w:pPr>
      <w:r>
        <w:rPr>
          <w:rStyle w:val="FootnoteReference"/>
        </w:rPr>
        <w:footnoteRef/>
      </w:r>
      <w:r>
        <w:t xml:space="preserve"> </w:t>
      </w:r>
      <w:r>
        <w:t xml:space="preserve">Kraft 2026, PMID 42194666.</w:t>
      </w:r>
    </w:p>
  </w:footnote>
  <w:footnote w:id="2773">
    <w:p>
      <w:pPr>
        <w:pStyle w:val="FootnoteText"/>
      </w:pPr>
      <w:r>
        <w:rPr>
          <w:rStyle w:val="FootnoteReference"/>
        </w:rPr>
        <w:footnoteRef/>
      </w:r>
      <w:r>
        <w:t xml:space="preserve"> </w:t>
      </w:r>
      <w:r>
        <w:t xml:space="preserve">Senthilkumar 2026, PMID 41784916.</w:t>
      </w:r>
    </w:p>
  </w:footnote>
  <w:footnote w:id="2778">
    <w:p>
      <w:pPr>
        <w:pStyle w:val="FootnoteText"/>
      </w:pPr>
      <w:r>
        <w:rPr>
          <w:rStyle w:val="FootnoteReference"/>
        </w:rPr>
        <w:footnoteRef/>
      </w:r>
      <w:r>
        <w:t xml:space="preserve"> </w:t>
      </w:r>
      <w:r>
        <w:t xml:space="preserve">Cesta 2024, PMID 38079178.</w:t>
      </w:r>
    </w:p>
  </w:footnote>
  <w:footnote w:id="2779">
    <w:p>
      <w:pPr>
        <w:pStyle w:val="FootnoteText"/>
      </w:pPr>
      <w:r>
        <w:rPr>
          <w:rStyle w:val="FootnoteReference"/>
        </w:rPr>
        <w:footnoteRef/>
      </w:r>
      <w:r>
        <w:t xml:space="preserve"> </w:t>
      </w:r>
      <w:r>
        <w:t xml:space="preserve">Dao 2024, PMID 38663923.</w:t>
      </w:r>
    </w:p>
  </w:footnote>
  <w:footnote w:id="2780">
    <w:p>
      <w:pPr>
        <w:pStyle w:val="FootnoteText"/>
      </w:pPr>
      <w:r>
        <w:rPr>
          <w:rStyle w:val="FootnoteReference"/>
        </w:rPr>
        <w:footnoteRef/>
      </w:r>
      <w:r>
        <w:t xml:space="preserve"> </w:t>
      </w:r>
      <w:r>
        <w:t xml:space="preserve">Brown 2026, PMID 42258827.</w:t>
      </w:r>
    </w:p>
  </w:footnote>
  <w:footnote w:id="2781">
    <w:p>
      <w:pPr>
        <w:pStyle w:val="FootnoteText"/>
      </w:pPr>
      <w:r>
        <w:rPr>
          <w:rStyle w:val="FootnoteReference"/>
        </w:rPr>
        <w:footnoteRef/>
      </w:r>
      <w:r>
        <w:t xml:space="preserve"> </w:t>
      </w:r>
      <w:r>
        <w:t xml:space="preserve">Uysal 2026, PMID 42420519.</w:t>
      </w:r>
    </w:p>
  </w:footnote>
  <w:footnote w:id="2782">
    <w:p>
      <w:pPr>
        <w:pStyle w:val="FootnoteText"/>
      </w:pPr>
      <w:r>
        <w:rPr>
          <w:rStyle w:val="FootnoteReference"/>
        </w:rPr>
        <w:footnoteRef/>
      </w:r>
      <w:r>
        <w:t xml:space="preserve"> </w:t>
      </w:r>
      <w:r>
        <w:t xml:space="preserve">NCT06867835.</w:t>
      </w:r>
    </w:p>
  </w:footnote>
  <w:footnote w:id="2784">
    <w:p>
      <w:pPr>
        <w:pStyle w:val="FootnoteText"/>
      </w:pPr>
      <w:r>
        <w:rPr>
          <w:rStyle w:val="FootnoteReference"/>
        </w:rPr>
        <w:footnoteRef/>
      </w:r>
      <w:r>
        <w:t xml:space="preserve"> </w:t>
      </w:r>
      <w:r>
        <w:t xml:space="preserve">Kapitza 2015, PMID 25475122.</w:t>
      </w:r>
    </w:p>
  </w:footnote>
  <w:footnote w:id="2785">
    <w:p>
      <w:pPr>
        <w:pStyle w:val="FootnoteText"/>
      </w:pPr>
      <w:r>
        <w:rPr>
          <w:rStyle w:val="FootnoteReference"/>
        </w:rPr>
        <w:footnoteRef/>
      </w:r>
      <w:r>
        <w:t xml:space="preserve"> </w:t>
      </w:r>
      <w:r>
        <w:t xml:space="preserve">Skelley 2024, PMID 37940101.</w:t>
      </w:r>
    </w:p>
  </w:footnote>
  <w:footnote w:id="2786">
    <w:p>
      <w:pPr>
        <w:pStyle w:val="FootnoteText"/>
      </w:pPr>
      <w:r>
        <w:rPr>
          <w:rStyle w:val="FootnoteReference"/>
        </w:rPr>
        <w:footnoteRef/>
      </w:r>
      <w:r>
        <w:t xml:space="preserve"> </w:t>
      </w:r>
      <w:r>
        <w:t xml:space="preserve">Clayton 2022, PMID 35147466.</w:t>
      </w:r>
    </w:p>
  </w:footnote>
  <w:footnote w:id="2787">
    <w:p>
      <w:pPr>
        <w:pStyle w:val="FootnoteText"/>
      </w:pPr>
      <w:r>
        <w:rPr>
          <w:rStyle w:val="FootnoteReference"/>
        </w:rPr>
        <w:footnoteRef/>
      </w:r>
      <w:r>
        <w:t xml:space="preserve"> </w:t>
      </w:r>
      <w:r>
        <w:t xml:space="preserve">Lissy 2021, PMID 32961034.</w:t>
      </w:r>
    </w:p>
  </w:footnote>
  <w:footnote w:id="2789">
    <w:p>
      <w:pPr>
        <w:pStyle w:val="FootnoteText"/>
      </w:pPr>
      <w:r>
        <w:rPr>
          <w:rStyle w:val="FootnoteReference"/>
        </w:rPr>
        <w:footnoteRef/>
      </w:r>
      <w:r>
        <w:t xml:space="preserve"> </w:t>
      </w:r>
      <w:r>
        <w:t xml:space="preserve">Baig 2025, PMID 39694296.</w:t>
      </w:r>
    </w:p>
  </w:footnote>
  <w:footnote w:id="2790">
    <w:p>
      <w:pPr>
        <w:pStyle w:val="FootnoteText"/>
      </w:pPr>
      <w:r>
        <w:rPr>
          <w:rStyle w:val="FootnoteReference"/>
        </w:rPr>
        <w:footnoteRef/>
      </w:r>
      <w:r>
        <w:t xml:space="preserve"> </w:t>
      </w:r>
      <w:r>
        <w:t xml:space="preserve">Vlaeminck 2026, PMID 41631344.</w:t>
      </w:r>
    </w:p>
  </w:footnote>
  <w:footnote w:id="2791">
    <w:p>
      <w:pPr>
        <w:pStyle w:val="FootnoteText"/>
      </w:pPr>
      <w:r>
        <w:rPr>
          <w:rStyle w:val="FootnoteReference"/>
        </w:rPr>
        <w:footnoteRef/>
      </w:r>
      <w:r>
        <w:t xml:space="preserve"> </w:t>
      </w:r>
      <w:r>
        <w:t xml:space="preserve">Wu 2026, PMID 40940281.</w:t>
      </w:r>
    </w:p>
  </w:footnote>
  <w:footnote w:id="2792">
    <w:p>
      <w:pPr>
        <w:pStyle w:val="FootnoteText"/>
      </w:pPr>
      <w:r>
        <w:rPr>
          <w:rStyle w:val="FootnoteReference"/>
        </w:rPr>
        <w:footnoteRef/>
      </w:r>
      <w:r>
        <w:t xml:space="preserve"> </w:t>
      </w:r>
      <w:r>
        <w:t xml:space="preserve">NCT07276763.</w:t>
      </w:r>
    </w:p>
  </w:footnote>
  <w:footnote w:id="2794">
    <w:p>
      <w:pPr>
        <w:pStyle w:val="FootnoteText"/>
      </w:pPr>
      <w:r>
        <w:rPr>
          <w:rStyle w:val="FootnoteReference"/>
        </w:rPr>
        <w:footnoteRef/>
      </w:r>
      <w:r>
        <w:t xml:space="preserve"> </w:t>
      </w:r>
      <w:r>
        <w:t xml:space="preserve">Kendall 2005, PMID 15855571.</w:t>
      </w:r>
    </w:p>
  </w:footnote>
  <w:footnote w:id="2795">
    <w:p>
      <w:pPr>
        <w:pStyle w:val="FootnoteText"/>
      </w:pPr>
      <w:r>
        <w:rPr>
          <w:rStyle w:val="FootnoteReference"/>
        </w:rPr>
        <w:footnoteRef/>
      </w:r>
      <w:r>
        <w:t xml:space="preserve"> </w:t>
      </w:r>
      <w:r>
        <w:t xml:space="preserve">Edelman 2006, PMID 17003291.</w:t>
      </w:r>
    </w:p>
  </w:footnote>
  <w:footnote w:id="2797">
    <w:p>
      <w:pPr>
        <w:pStyle w:val="FootnoteText"/>
      </w:pPr>
      <w:r>
        <w:rPr>
          <w:rStyle w:val="FootnoteReference"/>
        </w:rPr>
        <w:footnoteRef/>
      </w:r>
      <w:r>
        <w:t xml:space="preserve"> </w:t>
      </w:r>
      <w:r>
        <w:t xml:space="preserve">Kelly 2020, PMID 32233338.</w:t>
      </w:r>
    </w:p>
  </w:footnote>
  <w:footnote w:id="2798">
    <w:p>
      <w:pPr>
        <w:pStyle w:val="FootnoteText"/>
      </w:pPr>
      <w:r>
        <w:rPr>
          <w:rStyle w:val="FootnoteReference"/>
        </w:rPr>
        <w:footnoteRef/>
      </w:r>
      <w:r>
        <w:t xml:space="preserve"> </w:t>
      </w:r>
      <w:r>
        <w:t xml:space="preserve">Silva 2026, PMID 42115753.</w:t>
      </w:r>
    </w:p>
  </w:footnote>
  <w:footnote w:id="2799">
    <w:p>
      <w:pPr>
        <w:pStyle w:val="FootnoteText"/>
      </w:pPr>
      <w:r>
        <w:rPr>
          <w:rStyle w:val="FootnoteReference"/>
        </w:rPr>
        <w:footnoteRef/>
      </w:r>
      <w:r>
        <w:t xml:space="preserve"> </w:t>
      </w:r>
      <w:r>
        <w:t xml:space="preserve">Senthilkumar 2026, PMID 41784916.</w:t>
      </w:r>
    </w:p>
  </w:footnote>
  <w:footnote w:id="2800">
    <w:p>
      <w:pPr>
        <w:pStyle w:val="FootnoteText"/>
      </w:pPr>
      <w:r>
        <w:rPr>
          <w:rStyle w:val="FootnoteReference"/>
        </w:rPr>
        <w:footnoteRef/>
      </w:r>
      <w:r>
        <w:t xml:space="preserve"> </w:t>
      </w:r>
      <w:r>
        <w:t xml:space="preserve">Coutinho 2026, PMID 41880199.</w:t>
      </w:r>
    </w:p>
  </w:footnote>
  <w:footnote w:id="2802">
    <w:p>
      <w:pPr>
        <w:pStyle w:val="FootnoteText"/>
      </w:pPr>
      <w:r>
        <w:rPr>
          <w:rStyle w:val="FootnoteReference"/>
        </w:rPr>
        <w:footnoteRef/>
      </w:r>
      <w:r>
        <w:t xml:space="preserve"> </w:t>
      </w:r>
      <w:r>
        <w:t xml:space="preserve">Liu 2007, PMID 17227934.</w:t>
      </w:r>
    </w:p>
  </w:footnote>
  <w:footnote w:id="2803">
    <w:p>
      <w:pPr>
        <w:pStyle w:val="FootnoteText"/>
      </w:pPr>
      <w:r>
        <w:rPr>
          <w:rStyle w:val="FootnoteReference"/>
        </w:rPr>
        <w:footnoteRef/>
      </w:r>
      <w:r>
        <w:t xml:space="preserve"> </w:t>
      </w:r>
      <w:r>
        <w:t xml:space="preserve">Adunsky 2011, PMID 21067829.</w:t>
      </w:r>
    </w:p>
  </w:footnote>
  <w:footnote w:id="2805">
    <w:p>
      <w:pPr>
        <w:pStyle w:val="FootnoteText"/>
      </w:pPr>
      <w:r>
        <w:rPr>
          <w:rStyle w:val="FootnoteReference"/>
        </w:rPr>
        <w:footnoteRef/>
      </w:r>
      <w:r>
        <w:t xml:space="preserve"> </w:t>
      </w:r>
      <w:r>
        <w:t xml:space="preserve">Look 2025, PMID 39996356.</w:t>
      </w:r>
    </w:p>
  </w:footnote>
  <w:footnote w:id="2806">
    <w:p>
      <w:pPr>
        <w:pStyle w:val="FootnoteText"/>
      </w:pPr>
      <w:r>
        <w:rPr>
          <w:rStyle w:val="FootnoteReference"/>
        </w:rPr>
        <w:footnoteRef/>
      </w:r>
      <w:r>
        <w:t xml:space="preserve"> </w:t>
      </w:r>
      <w:r>
        <w:t xml:space="preserve">Karakasis 2025, PMID 39719170.</w:t>
      </w:r>
    </w:p>
  </w:footnote>
  <w:footnote w:id="2807">
    <w:p>
      <w:pPr>
        <w:pStyle w:val="FootnoteText"/>
      </w:pPr>
      <w:r>
        <w:rPr>
          <w:rStyle w:val="FootnoteReference"/>
        </w:rPr>
        <w:footnoteRef/>
      </w:r>
      <w:r>
        <w:t xml:space="preserve"> </w:t>
      </w:r>
      <w:r>
        <w:t xml:space="preserve">Batsis 2026, PMID 41996180.</w:t>
      </w:r>
    </w:p>
  </w:footnote>
  <w:footnote w:id="2808">
    <w:p>
      <w:pPr>
        <w:pStyle w:val="FootnoteText"/>
      </w:pPr>
      <w:r>
        <w:rPr>
          <w:rStyle w:val="FootnoteReference"/>
        </w:rPr>
        <w:footnoteRef/>
      </w:r>
      <w:r>
        <w:t xml:space="preserve"> </w:t>
      </w:r>
      <w:r>
        <w:t xml:space="preserve">Laverde 2026, PMID 42321502.</w:t>
      </w:r>
    </w:p>
  </w:footnote>
  <w:footnote w:id="2810">
    <w:p>
      <w:pPr>
        <w:pStyle w:val="FootnoteText"/>
      </w:pPr>
      <w:r>
        <w:rPr>
          <w:rStyle w:val="FootnoteReference"/>
        </w:rPr>
        <w:footnoteRef/>
      </w:r>
      <w:r>
        <w:t xml:space="preserve"> </w:t>
      </w:r>
      <w:r>
        <w:t xml:space="preserve">Guerdjikova 2024, PMID 38329147.</w:t>
      </w:r>
    </w:p>
  </w:footnote>
  <w:footnote w:id="2811">
    <w:p>
      <w:pPr>
        <w:pStyle w:val="FootnoteText"/>
      </w:pPr>
      <w:r>
        <w:rPr>
          <w:rStyle w:val="FootnoteReference"/>
        </w:rPr>
        <w:footnoteRef/>
      </w:r>
      <w:r>
        <w:t xml:space="preserve"> </w:t>
      </w:r>
      <w:r>
        <w:t xml:space="preserve">Peiper 2026, PMID 42340738.</w:t>
      </w:r>
    </w:p>
  </w:footnote>
  <w:footnote w:id="2812">
    <w:p>
      <w:pPr>
        <w:pStyle w:val="FootnoteText"/>
      </w:pPr>
      <w:r>
        <w:rPr>
          <w:rStyle w:val="FootnoteReference"/>
        </w:rPr>
        <w:footnoteRef/>
      </w:r>
      <w:r>
        <w:t xml:space="preserve"> </w:t>
      </w:r>
      <w:r>
        <w:t xml:space="preserve">Keshen 2026, PMID 42742590.</w:t>
      </w:r>
    </w:p>
  </w:footnote>
  <w:footnote w:id="2813">
    <w:p>
      <w:pPr>
        <w:pStyle w:val="FootnoteText"/>
      </w:pPr>
      <w:r>
        <w:rPr>
          <w:rStyle w:val="FootnoteReference"/>
        </w:rPr>
        <w:footnoteRef/>
      </w:r>
      <w:r>
        <w:t xml:space="preserve"> </w:t>
      </w:r>
      <w:r>
        <w:t xml:space="preserve">Keshen 2026, PMID 42742590.</w:t>
      </w:r>
    </w:p>
  </w:footnote>
  <w:footnote w:id="2815">
    <w:p>
      <w:pPr>
        <w:pStyle w:val="FootnoteText"/>
      </w:pPr>
      <w:r>
        <w:rPr>
          <w:rStyle w:val="FootnoteReference"/>
        </w:rPr>
        <w:footnoteRef/>
      </w:r>
      <w:r>
        <w:t xml:space="preserve"> </w:t>
      </w:r>
      <w:r>
        <w:t xml:space="preserve">Borschel 2026, PMID 42874322.</w:t>
      </w:r>
    </w:p>
  </w:footnote>
  <w:footnote w:id="2816">
    <w:p>
      <w:pPr>
        <w:pStyle w:val="FootnoteText"/>
      </w:pPr>
      <w:r>
        <w:rPr>
          <w:rStyle w:val="FootnoteReference"/>
        </w:rPr>
        <w:footnoteRef/>
      </w:r>
      <w:r>
        <w:t xml:space="preserve"> </w:t>
      </w:r>
      <w:r>
        <w:t xml:space="preserve">Barrios 2025, PMID 40551438.</w:t>
      </w:r>
    </w:p>
  </w:footnote>
  <w:footnote w:id="2817">
    <w:p>
      <w:pPr>
        <w:pStyle w:val="FootnoteText"/>
      </w:pPr>
      <w:r>
        <w:rPr>
          <w:rStyle w:val="FootnoteReference"/>
        </w:rPr>
        <w:footnoteRef/>
      </w:r>
      <w:r>
        <w:t xml:space="preserve"> </w:t>
      </w:r>
      <w:r>
        <w:t xml:space="preserve">Gajda 2019, PMID 30136411.</w:t>
      </w:r>
    </w:p>
  </w:footnote>
  <w:footnote w:id="2818">
    <w:p>
      <w:pPr>
        <w:pStyle w:val="FootnoteText"/>
      </w:pPr>
      <w:r>
        <w:rPr>
          <w:rStyle w:val="FootnoteReference"/>
        </w:rPr>
        <w:footnoteRef/>
      </w:r>
      <w:r>
        <w:t xml:space="preserve"> </w:t>
      </w:r>
      <w:r>
        <w:t xml:space="preserve">La Vignera 2026, PMID 42511463.</w:t>
      </w:r>
    </w:p>
  </w:footnote>
  <w:footnote w:id="2819">
    <w:p>
      <w:pPr>
        <w:pStyle w:val="FootnoteText"/>
      </w:pPr>
      <w:r>
        <w:rPr>
          <w:rStyle w:val="FootnoteReference"/>
        </w:rPr>
        <w:footnoteRef/>
      </w:r>
      <w:r>
        <w:t xml:space="preserve"> </w:t>
      </w:r>
      <w:r>
        <w:t xml:space="preserve">Villegas Meza 2026, PMID 42160466.</w:t>
      </w:r>
    </w:p>
  </w:footnote>
  <w:footnote w:id="2824">
    <w:p>
      <w:pPr>
        <w:pStyle w:val="FootnoteText"/>
      </w:pPr>
      <w:r>
        <w:rPr>
          <w:rStyle w:val="FootnoteReference"/>
        </w:rPr>
        <w:footnoteRef/>
      </w:r>
      <w:r>
        <w:t xml:space="preserve"> </w:t>
      </w:r>
      <w:r>
        <w:t xml:space="preserve">NCT07543458.</w:t>
      </w:r>
    </w:p>
  </w:footnote>
  <w:footnote w:id="2825">
    <w:p>
      <w:pPr>
        <w:pStyle w:val="FootnoteText"/>
      </w:pPr>
      <w:r>
        <w:rPr>
          <w:rStyle w:val="FootnoteReference"/>
        </w:rPr>
        <w:footnoteRef/>
      </w:r>
      <w:r>
        <w:t xml:space="preserve"> </w:t>
      </w:r>
      <w:r>
        <w:t xml:space="preserve">NCT04020055, NCT06904261.</w:t>
      </w:r>
    </w:p>
  </w:footnote>
  <w:footnote w:id="2827">
    <w:p>
      <w:pPr>
        <w:pStyle w:val="FootnoteText"/>
      </w:pPr>
      <w:r>
        <w:rPr>
          <w:rStyle w:val="FootnoteReference"/>
        </w:rPr>
        <w:footnoteRef/>
      </w:r>
      <w:r>
        <w:t xml:space="preserve"> </w:t>
      </w:r>
      <w:r>
        <w:t xml:space="preserve">NCT05086614.</w:t>
      </w:r>
    </w:p>
  </w:footnote>
  <w:footnote w:id="2828">
    <w:p>
      <w:pPr>
        <w:pStyle w:val="FootnoteText"/>
      </w:pPr>
      <w:r>
        <w:rPr>
          <w:rStyle w:val="FootnoteReference"/>
        </w:rPr>
        <w:footnoteRef/>
      </w:r>
      <w:r>
        <w:t xml:space="preserve"> </w:t>
      </w:r>
      <w:r>
        <w:t xml:space="preserve">NCT05555589.</w:t>
      </w:r>
    </w:p>
  </w:footnote>
  <w:footnote w:id="2829">
    <w:p>
      <w:pPr>
        <w:pStyle w:val="FootnoteText"/>
      </w:pPr>
      <w:r>
        <w:rPr>
          <w:rStyle w:val="FootnoteReference"/>
        </w:rPr>
        <w:footnoteRef/>
      </w:r>
      <w:r>
        <w:t xml:space="preserve"> </w:t>
      </w:r>
      <w:r>
        <w:t xml:space="preserve">NCT06373731.</w:t>
      </w:r>
    </w:p>
  </w:footnote>
  <w:footnote w:id="2830">
    <w:p>
      <w:pPr>
        <w:pStyle w:val="FootnoteText"/>
      </w:pPr>
      <w:r>
        <w:rPr>
          <w:rStyle w:val="FootnoteReference"/>
        </w:rPr>
        <w:footnoteRef/>
      </w:r>
      <w:r>
        <w:t xml:space="preserve"> </w:t>
      </w:r>
      <w:r>
        <w:t xml:space="preserve">NCT06109649.</w:t>
      </w:r>
    </w:p>
  </w:footnote>
  <w:footnote w:id="2831">
    <w:p>
      <w:pPr>
        <w:pStyle w:val="FootnoteText"/>
      </w:pPr>
      <w:r>
        <w:rPr>
          <w:rStyle w:val="FootnoteReference"/>
        </w:rPr>
        <w:footnoteRef/>
      </w:r>
      <w:r>
        <w:t xml:space="preserve"> </w:t>
      </w:r>
      <w:r>
        <w:t xml:space="preserve">NCT06948214.</w:t>
      </w:r>
    </w:p>
  </w:footnote>
  <w:footnote w:id="2832">
    <w:p>
      <w:pPr>
        <w:pStyle w:val="FootnoteText"/>
      </w:pPr>
      <w:r>
        <w:rPr>
          <w:rStyle w:val="FootnoteReference"/>
        </w:rPr>
        <w:footnoteRef/>
      </w:r>
      <w:r>
        <w:t xml:space="preserve"> </w:t>
      </w:r>
      <w:r>
        <w:t xml:space="preserve">NCT04903002.</w:t>
      </w:r>
    </w:p>
  </w:footnote>
  <w:footnote w:id="2833">
    <w:p>
      <w:pPr>
        <w:pStyle w:val="FootnoteText"/>
      </w:pPr>
      <w:r>
        <w:rPr>
          <w:rStyle w:val="FootnoteReference"/>
        </w:rPr>
        <w:footnoteRef/>
      </w:r>
      <w:r>
        <w:t xml:space="preserve"> </w:t>
      </w:r>
      <w:r>
        <w:t xml:space="preserve">NCT07675980.</w:t>
      </w:r>
    </w:p>
  </w:footnote>
  <w:footnote w:id="2836">
    <w:p>
      <w:pPr>
        <w:pStyle w:val="FootnoteText"/>
      </w:pPr>
      <w:r>
        <w:rPr>
          <w:rStyle w:val="FootnoteReference"/>
        </w:rPr>
        <w:footnoteRef/>
      </w:r>
      <w:r>
        <w:t xml:space="preserve"> </w:t>
      </w:r>
      <w:r>
        <w:t xml:space="preserve">NCT06662383.</w:t>
      </w:r>
    </w:p>
  </w:footnote>
  <w:footnote w:id="2837">
    <w:p>
      <w:pPr>
        <w:pStyle w:val="FootnoteText"/>
      </w:pPr>
      <w:r>
        <w:rPr>
          <w:rStyle w:val="FootnoteReference"/>
        </w:rPr>
        <w:footnoteRef/>
      </w:r>
      <w:r>
        <w:t xml:space="preserve"> </w:t>
      </w:r>
      <w:r>
        <w:t xml:space="preserve">NCT07889648.</w:t>
      </w:r>
    </w:p>
  </w:footnote>
  <w:footnote w:id="2838">
    <w:p>
      <w:pPr>
        <w:pStyle w:val="FootnoteText"/>
      </w:pPr>
      <w:r>
        <w:rPr>
          <w:rStyle w:val="FootnoteReference"/>
        </w:rPr>
        <w:footnoteRef/>
      </w:r>
      <w:r>
        <w:t xml:space="preserve"> </w:t>
      </w:r>
      <w:r>
        <w:t xml:space="preserve">NCT06780449.</w:t>
      </w:r>
    </w:p>
  </w:footnote>
  <w:footnote w:id="2839">
    <w:p>
      <w:pPr>
        <w:pStyle w:val="FootnoteText"/>
      </w:pPr>
      <w:r>
        <w:rPr>
          <w:rStyle w:val="FootnoteReference"/>
        </w:rPr>
        <w:footnoteRef/>
      </w:r>
      <w:r>
        <w:t xml:space="preserve"> </w:t>
      </w:r>
      <w:r>
        <w:t xml:space="preserve">NCT07575399.</w:t>
      </w:r>
    </w:p>
  </w:footnote>
  <w:footnote w:id="2840">
    <w:p>
      <w:pPr>
        <w:pStyle w:val="FootnoteText"/>
      </w:pPr>
      <w:r>
        <w:rPr>
          <w:rStyle w:val="FootnoteReference"/>
        </w:rPr>
        <w:footnoteRef/>
      </w:r>
      <w:r>
        <w:t xml:space="preserve"> </w:t>
      </w:r>
      <w:r>
        <w:t xml:space="preserve">NCT07845500.</w:t>
      </w:r>
    </w:p>
  </w:footnote>
  <w:footnote w:id="2841">
    <w:p>
      <w:pPr>
        <w:pStyle w:val="FootnoteText"/>
      </w:pPr>
      <w:r>
        <w:rPr>
          <w:rStyle w:val="FootnoteReference"/>
        </w:rPr>
        <w:footnoteRef/>
      </w:r>
      <w:r>
        <w:t xml:space="preserve"> </w:t>
      </w:r>
      <w:r>
        <w:t xml:space="preserve">Aronne 2024, PMID 38078870.</w:t>
      </w:r>
    </w:p>
  </w:footnote>
  <w:footnote w:id="2842">
    <w:p>
      <w:pPr>
        <w:pStyle w:val="FootnoteText"/>
      </w:pPr>
      <w:r>
        <w:rPr>
          <w:rStyle w:val="FootnoteReference"/>
        </w:rPr>
        <w:footnoteRef/>
      </w:r>
      <w:r>
        <w:t xml:space="preserve"> </w:t>
      </w:r>
      <w:r>
        <w:t xml:space="preserve">NCT06257966.</w:t>
      </w:r>
    </w:p>
  </w:footnote>
  <w:footnote w:id="2843">
    <w:p>
      <w:pPr>
        <w:pStyle w:val="FootnoteText"/>
      </w:pPr>
      <w:r>
        <w:rPr>
          <w:rStyle w:val="FootnoteReference"/>
        </w:rPr>
        <w:footnoteRef/>
      </w:r>
      <w:r>
        <w:t xml:space="preserve"> </w:t>
      </w:r>
      <w:r>
        <w:t xml:space="preserve">NCT06439277, NCT07817875.</w:t>
      </w:r>
    </w:p>
  </w:footnote>
  <w:footnote w:id="2844">
    <w:p>
      <w:pPr>
        <w:pStyle w:val="FootnoteText"/>
      </w:pPr>
      <w:r>
        <w:rPr>
          <w:rStyle w:val="FootnoteReference"/>
        </w:rPr>
        <w:footnoteRef/>
      </w:r>
      <w:r>
        <w:t xml:space="preserve"> </w:t>
      </w:r>
      <w:r>
        <w:t xml:space="preserve">NCT06672939.</w:t>
      </w:r>
    </w:p>
  </w:footnote>
  <w:footnote w:id="2846">
    <w:p>
      <w:pPr>
        <w:pStyle w:val="FootnoteText"/>
      </w:pPr>
      <w:r>
        <w:rPr>
          <w:rStyle w:val="FootnoteReference"/>
        </w:rPr>
        <w:footnoteRef/>
      </w:r>
      <w:r>
        <w:t xml:space="preserve"> </w:t>
      </w:r>
      <w:r>
        <w:t xml:space="preserve">Jastreboff 2023, PMID 37366315.</w:t>
      </w:r>
    </w:p>
  </w:footnote>
  <w:footnote w:id="2847">
    <w:p>
      <w:pPr>
        <w:pStyle w:val="FootnoteText"/>
      </w:pPr>
      <w:r>
        <w:rPr>
          <w:rStyle w:val="FootnoteReference"/>
        </w:rPr>
        <w:footnoteRef/>
      </w:r>
      <w:r>
        <w:t xml:space="preserve"> </w:t>
      </w:r>
      <w:r>
        <w:t xml:space="preserve">Jastreboff 2026, PMID 42814954.</w:t>
      </w:r>
    </w:p>
  </w:footnote>
  <w:footnote w:id="2848">
    <w:p>
      <w:pPr>
        <w:pStyle w:val="FootnoteText"/>
      </w:pPr>
      <w:r>
        <w:rPr>
          <w:rStyle w:val="FootnoteReference"/>
        </w:rPr>
        <w:footnoteRef/>
      </w:r>
      <w:r>
        <w:t xml:space="preserve"> </w:t>
      </w:r>
      <w:r>
        <w:t xml:space="preserve">NCT06383390.</w:t>
      </w:r>
    </w:p>
  </w:footnote>
  <w:footnote w:id="2850">
    <w:p>
      <w:pPr>
        <w:pStyle w:val="FootnoteText"/>
      </w:pPr>
      <w:r>
        <w:rPr>
          <w:rStyle w:val="FootnoteReference"/>
        </w:rPr>
        <w:footnoteRef/>
      </w:r>
      <w:r>
        <w:t xml:space="preserve"> </w:t>
      </w:r>
      <w:r>
        <w:t xml:space="preserve">Garvey 2025, PMID 40544433.</w:t>
      </w:r>
    </w:p>
  </w:footnote>
  <w:footnote w:id="2851">
    <w:p>
      <w:pPr>
        <w:pStyle w:val="FootnoteText"/>
      </w:pPr>
      <w:r>
        <w:rPr>
          <w:rStyle w:val="FootnoteReference"/>
        </w:rPr>
        <w:footnoteRef/>
      </w:r>
      <w:r>
        <w:t xml:space="preserve"> </w:t>
      </w:r>
      <w:r>
        <w:t xml:space="preserve">Dahl 2025, PMID 40550231.</w:t>
      </w:r>
    </w:p>
  </w:footnote>
  <w:footnote w:id="2852">
    <w:p>
      <w:pPr>
        <w:pStyle w:val="FootnoteText"/>
      </w:pPr>
      <w:r>
        <w:rPr>
          <w:rStyle w:val="FootnoteReference"/>
        </w:rPr>
        <w:footnoteRef/>
      </w:r>
      <w:r>
        <w:t xml:space="preserve"> </w:t>
      </w:r>
      <w:r>
        <w:t xml:space="preserve">Billings 2025, PMID 41207310.</w:t>
      </w:r>
    </w:p>
  </w:footnote>
  <w:footnote w:id="2853">
    <w:p>
      <w:pPr>
        <w:pStyle w:val="FootnoteText"/>
      </w:pPr>
      <w:r>
        <w:rPr>
          <w:rStyle w:val="FootnoteReference"/>
        </w:rPr>
        <w:footnoteRef/>
      </w:r>
      <w:r>
        <w:t xml:space="preserve"> </w:t>
      </w:r>
      <w:r>
        <w:t xml:space="preserve">Garvey 2026, PMID 42810355.</w:t>
      </w:r>
    </w:p>
  </w:footnote>
  <w:footnote w:id="2855">
    <w:p>
      <w:pPr>
        <w:pStyle w:val="FootnoteText"/>
      </w:pPr>
      <w:r>
        <w:rPr>
          <w:rStyle w:val="FootnoteReference"/>
        </w:rPr>
        <w:footnoteRef/>
      </w:r>
      <w:r>
        <w:t xml:space="preserve"> </w:t>
      </w:r>
      <w:r>
        <w:t xml:space="preserve">Yie 2026, PMID 42592044.</w:t>
      </w:r>
    </w:p>
  </w:footnote>
  <w:footnote w:id="2856">
    <w:p>
      <w:pPr>
        <w:pStyle w:val="FootnoteText"/>
      </w:pPr>
      <w:r>
        <w:rPr>
          <w:rStyle w:val="FootnoteReference"/>
        </w:rPr>
        <w:footnoteRef/>
      </w:r>
      <w:r>
        <w:t xml:space="preserve"> </w:t>
      </w:r>
      <w:r>
        <w:t xml:space="preserve">Jastreboff 2025, PMID 40549887.</w:t>
      </w:r>
    </w:p>
  </w:footnote>
  <w:footnote w:id="2858">
    <w:p>
      <w:pPr>
        <w:pStyle w:val="FootnoteText"/>
      </w:pPr>
      <w:r>
        <w:rPr>
          <w:rStyle w:val="FootnoteReference"/>
        </w:rPr>
        <w:footnoteRef/>
      </w:r>
      <w:r>
        <w:t xml:space="preserve"> </w:t>
      </w:r>
      <w:r>
        <w:t xml:space="preserve">Heymsfield 2021, PMID 33439265.</w:t>
      </w:r>
    </w:p>
  </w:footnote>
  <w:footnote w:id="2859">
    <w:p>
      <w:pPr>
        <w:pStyle w:val="FootnoteText"/>
      </w:pPr>
      <w:r>
        <w:rPr>
          <w:rStyle w:val="FootnoteReference"/>
        </w:rPr>
        <w:footnoteRef/>
      </w:r>
      <w:r>
        <w:t xml:space="preserve"> </w:t>
      </w:r>
      <w:r>
        <w:t xml:space="preserve">Heymsfield 2026, PMID 41772149.</w:t>
      </w:r>
    </w:p>
  </w:footnote>
  <w:footnote w:id="2860">
    <w:p>
      <w:pPr>
        <w:pStyle w:val="FootnoteText"/>
      </w:pPr>
      <w:r>
        <w:rPr>
          <w:rStyle w:val="FootnoteReference"/>
        </w:rPr>
        <w:footnoteRef/>
      </w:r>
      <w:r>
        <w:t xml:space="preserve"> </w:t>
      </w:r>
      <w:r>
        <w:t xml:space="preserve">NCT05933499.</w:t>
      </w:r>
    </w:p>
  </w:footnote>
  <w:footnote w:id="2866">
    <w:p>
      <w:pPr>
        <w:pStyle w:val="FootnoteText"/>
      </w:pPr>
      <w:r>
        <w:rPr>
          <w:rStyle w:val="FootnoteReference"/>
        </w:rPr>
        <w:footnoteRef/>
      </w:r>
      <w:r>
        <w:t xml:space="preserve"> </w:t>
      </w:r>
      <w:r>
        <w:t xml:space="preserve">Drucker 2020, PMID 31848464.</w:t>
      </w:r>
    </w:p>
  </w:footnote>
  <w:footnote w:id="2867">
    <w:p>
      <w:pPr>
        <w:pStyle w:val="FootnoteText"/>
      </w:pPr>
      <w:r>
        <w:rPr>
          <w:rStyle w:val="FootnoteReference"/>
        </w:rPr>
        <w:footnoteRef/>
      </w:r>
      <w:r>
        <w:t xml:space="preserve"> </w:t>
      </w:r>
      <w:r>
        <w:t xml:space="preserve">Vahora 2026, PMID 42687069.</w:t>
      </w:r>
    </w:p>
  </w:footnote>
  <w:footnote w:id="2869">
    <w:p>
      <w:pPr>
        <w:pStyle w:val="FootnoteText"/>
      </w:pPr>
      <w:r>
        <w:rPr>
          <w:rStyle w:val="FootnoteReference"/>
        </w:rPr>
        <w:footnoteRef/>
      </w:r>
      <w:r>
        <w:t xml:space="preserve"> </w:t>
      </w:r>
      <w:r>
        <w:t xml:space="preserve">Levi 2026, PMID 42437874.</w:t>
      </w:r>
    </w:p>
  </w:footnote>
  <w:footnote w:id="2871">
    <w:p>
      <w:pPr>
        <w:pStyle w:val="FootnoteText"/>
      </w:pPr>
      <w:r>
        <w:rPr>
          <w:rStyle w:val="FootnoteReference"/>
        </w:rPr>
        <w:footnoteRef/>
      </w:r>
      <w:r>
        <w:t xml:space="preserve"> </w:t>
      </w:r>
      <w:r>
        <w:t xml:space="preserve">McGuire 2025, PMID 40162642.</w:t>
      </w:r>
    </w:p>
  </w:footnote>
  <w:footnote w:id="2873">
    <w:p>
      <w:pPr>
        <w:pStyle w:val="FootnoteText"/>
      </w:pPr>
      <w:r>
        <w:rPr>
          <w:rStyle w:val="FootnoteReference"/>
        </w:rPr>
        <w:footnoteRef/>
      </w:r>
      <w:r>
        <w:t xml:space="preserve"> </w:t>
      </w:r>
      <w:r>
        <w:t xml:space="preserve">Mora 2026, PMID 42532079.</w:t>
      </w:r>
    </w:p>
  </w:footnote>
  <w:footnote w:id="2874">
    <w:p>
      <w:pPr>
        <w:pStyle w:val="FootnoteText"/>
      </w:pPr>
      <w:r>
        <w:rPr>
          <w:rStyle w:val="FootnoteReference"/>
        </w:rPr>
        <w:footnoteRef/>
      </w:r>
      <w:r>
        <w:t xml:space="preserve"> </w:t>
      </w:r>
      <w:r>
        <w:t xml:space="preserve">NCT07815067.</w:t>
      </w:r>
    </w:p>
  </w:footnote>
  <w:footnote w:id="2876">
    <w:p>
      <w:pPr>
        <w:pStyle w:val="FootnoteText"/>
      </w:pPr>
      <w:r>
        <w:rPr>
          <w:rStyle w:val="FootnoteReference"/>
        </w:rPr>
        <w:footnoteRef/>
      </w:r>
      <w:r>
        <w:t xml:space="preserve"> </w:t>
      </w:r>
      <w:r>
        <w:t xml:space="preserve">Johns 2023, PMID 37125593.</w:t>
      </w:r>
    </w:p>
  </w:footnote>
  <w:footnote w:id="2877">
    <w:p>
      <w:pPr>
        <w:pStyle w:val="FootnoteText"/>
      </w:pPr>
      <w:r>
        <w:rPr>
          <w:rStyle w:val="FootnoteReference"/>
        </w:rPr>
        <w:footnoteRef/>
      </w:r>
      <w:r>
        <w:t xml:space="preserve"> </w:t>
      </w:r>
      <w:r>
        <w:t xml:space="preserve">Navar 2026, PMID 41879224.</w:t>
      </w:r>
    </w:p>
  </w:footnote>
  <w:footnote w:id="2878">
    <w:p>
      <w:pPr>
        <w:pStyle w:val="FootnoteText"/>
      </w:pPr>
      <w:r>
        <w:rPr>
          <w:rStyle w:val="FootnoteReference"/>
        </w:rPr>
        <w:footnoteRef/>
      </w:r>
      <w:r>
        <w:t xml:space="preserve"> </w:t>
      </w:r>
      <w:r>
        <w:t xml:space="preserve">Bissonnette 2025, PMID 41191940.</w:t>
      </w:r>
    </w:p>
  </w:footnote>
  <w:footnote w:id="2879">
    <w:p>
      <w:pPr>
        <w:pStyle w:val="FootnoteText"/>
      </w:pPr>
      <w:r>
        <w:rPr>
          <w:rStyle w:val="FootnoteReference"/>
        </w:rPr>
        <w:footnoteRef/>
      </w:r>
      <w:r>
        <w:t xml:space="preserve"> </w:t>
      </w:r>
      <w:r>
        <w:t xml:space="preserve">Knight 2025, PMID 40629250.</w:t>
      </w:r>
    </w:p>
  </w:footnote>
  <w:footnote w:id="2882">
    <w:p>
      <w:pPr>
        <w:pStyle w:val="FootnoteText"/>
      </w:pPr>
      <w:r>
        <w:rPr>
          <w:rStyle w:val="FootnoteReference"/>
        </w:rPr>
        <w:footnoteRef/>
      </w:r>
      <w:r>
        <w:t xml:space="preserve"> </w:t>
      </w:r>
      <w:r>
        <w:t xml:space="preserve">Rosenstock 2026, PMID 41765029.</w:t>
      </w:r>
    </w:p>
  </w:footnote>
  <w:footnote w:id="2883">
    <w:p>
      <w:pPr>
        <w:pStyle w:val="FootnoteText"/>
      </w:pPr>
      <w:r>
        <w:rPr>
          <w:rStyle w:val="FootnoteReference"/>
        </w:rPr>
        <w:footnoteRef/>
      </w:r>
      <w:r>
        <w:t xml:space="preserve"> </w:t>
      </w:r>
      <w:r>
        <w:t xml:space="preserve">Wharton 2025, PMID 40960239.</w:t>
      </w:r>
    </w:p>
  </w:footnote>
  <w:footnote w:id="2884">
    <w:p>
      <w:pPr>
        <w:pStyle w:val="FootnoteText"/>
      </w:pPr>
      <w:r>
        <w:rPr>
          <w:rStyle w:val="FootnoteReference"/>
        </w:rPr>
        <w:footnoteRef/>
      </w:r>
      <w:r>
        <w:t xml:space="preserve"> </w:t>
      </w:r>
      <w:r>
        <w:t xml:space="preserve">Rosenstock 2026, PMID 41765029.</w:t>
      </w:r>
    </w:p>
  </w:footnote>
  <w:footnote w:id="2885">
    <w:p>
      <w:pPr>
        <w:pStyle w:val="FootnoteText"/>
      </w:pPr>
      <w:r>
        <w:rPr>
          <w:rStyle w:val="FootnoteReference"/>
        </w:rPr>
        <w:footnoteRef/>
      </w:r>
      <w:r>
        <w:t xml:space="preserve"> </w:t>
      </w:r>
      <w:r>
        <w:t xml:space="preserve">Aronne 2026, PMID 42120723.</w:t>
      </w:r>
    </w:p>
  </w:footnote>
  <w:footnote w:id="2886">
    <w:p>
      <w:pPr>
        <w:pStyle w:val="FootnoteText"/>
      </w:pPr>
      <w:r>
        <w:rPr>
          <w:rStyle w:val="FootnoteReference"/>
        </w:rPr>
        <w:footnoteRef/>
      </w:r>
      <w:r>
        <w:t xml:space="preserve"> </w:t>
      </w:r>
      <w:r>
        <w:t xml:space="preserve">Wharton 2026, PMID 42338042.</w:t>
      </w:r>
    </w:p>
  </w:footnote>
  <w:footnote w:id="2888">
    <w:p>
      <w:pPr>
        <w:pStyle w:val="FootnoteText"/>
      </w:pPr>
      <w:r>
        <w:rPr>
          <w:rStyle w:val="FootnoteReference"/>
        </w:rPr>
        <w:footnoteRef/>
      </w:r>
      <w:r>
        <w:t xml:space="preserve"> </w:t>
      </w:r>
      <w:r>
        <w:t xml:space="preserve">Buckeridge 2025, PMID 40539310.</w:t>
      </w:r>
    </w:p>
  </w:footnote>
  <w:footnote w:id="2891">
    <w:p>
      <w:pPr>
        <w:pStyle w:val="FootnoteText"/>
      </w:pPr>
      <w:r>
        <w:rPr>
          <w:rStyle w:val="FootnoteReference"/>
        </w:rPr>
        <w:footnoteRef/>
      </w:r>
      <w:r>
        <w:t xml:space="preserve"> </w:t>
      </w:r>
      <w:r>
        <w:t xml:space="preserve">Michalak 2026, PMID 42225305.</w:t>
      </w:r>
    </w:p>
  </w:footnote>
  <w:footnote w:id="2893">
    <w:p>
      <w:pPr>
        <w:pStyle w:val="FootnoteText"/>
      </w:pPr>
      <w:r>
        <w:rPr>
          <w:rStyle w:val="FootnoteReference"/>
        </w:rPr>
        <w:footnoteRef/>
      </w:r>
      <w:r>
        <w:t xml:space="preserve"> </w:t>
      </w:r>
      <w:r>
        <w:t xml:space="preserve">Vahora 2026, PMID 42687069.</w:t>
      </w:r>
    </w:p>
  </w:footnote>
  <w:footnote w:id="2894">
    <w:p>
      <w:pPr>
        <w:pStyle w:val="FootnoteText"/>
      </w:pPr>
      <w:r>
        <w:rPr>
          <w:rStyle w:val="FootnoteReference"/>
        </w:rPr>
        <w:footnoteRef/>
      </w:r>
      <w:r>
        <w:t xml:space="preserve"> </w:t>
      </w:r>
      <w:r>
        <w:t xml:space="preserve">NCT07241390.</w:t>
      </w:r>
    </w:p>
  </w:footnote>
  <w:footnote w:id="2895">
    <w:p>
      <w:pPr>
        <w:pStyle w:val="FootnoteText"/>
      </w:pPr>
      <w:r>
        <w:rPr>
          <w:rStyle w:val="FootnoteReference"/>
        </w:rPr>
        <w:footnoteRef/>
      </w:r>
      <w:r>
        <w:t xml:space="preserve"> </w:t>
      </w:r>
      <w:r>
        <w:t xml:space="preserve">Levi 2026, PMID 42437874.</w:t>
      </w:r>
    </w:p>
  </w:footnote>
  <w:footnote w:id="2896">
    <w:p>
      <w:pPr>
        <w:pStyle w:val="FootnoteText"/>
      </w:pPr>
      <w:r>
        <w:rPr>
          <w:rStyle w:val="FootnoteReference"/>
        </w:rPr>
        <w:footnoteRef/>
      </w:r>
      <w:r>
        <w:t xml:space="preserve"> </w:t>
      </w:r>
      <w:r>
        <w:t xml:space="preserve">Belcourt 2026, PMID 41689811.</w:t>
      </w:r>
    </w:p>
  </w:footnote>
  <w:footnote w:id="2897">
    <w:p>
      <w:pPr>
        <w:pStyle w:val="FootnoteText"/>
      </w:pPr>
      <w:r>
        <w:rPr>
          <w:rStyle w:val="FootnoteReference"/>
        </w:rPr>
        <w:footnoteRef/>
      </w:r>
      <w:r>
        <w:t xml:space="preserve"> </w:t>
      </w:r>
      <w:r>
        <w:t xml:space="preserve">Hach 2024, PMID 39379664.</w:t>
      </w:r>
    </w:p>
  </w:footnote>
  <w:footnote w:id="2902">
    <w:p>
      <w:pPr>
        <w:pStyle w:val="FootnoteText"/>
      </w:pPr>
      <w:r>
        <w:rPr>
          <w:rStyle w:val="FootnoteReference"/>
        </w:rPr>
        <w:footnoteRef/>
      </w:r>
      <w:r>
        <w:t xml:space="preserve"> </w:t>
      </w:r>
      <w:r>
        <w:t xml:space="preserve">Hach 2024, PMID 39379664.</w:t>
      </w:r>
    </w:p>
  </w:footnote>
  <w:footnote w:id="2904">
    <w:p>
      <w:pPr>
        <w:pStyle w:val="FootnoteText"/>
      </w:pPr>
      <w:r>
        <w:rPr>
          <w:rStyle w:val="FootnoteReference"/>
        </w:rPr>
        <w:footnoteRef/>
      </w:r>
      <w:r>
        <w:t xml:space="preserve"> </w:t>
      </w:r>
      <w:r>
        <w:t xml:space="preserve">Rubino 2022, PMID 35015037.</w:t>
      </w:r>
    </w:p>
  </w:footnote>
  <w:footnote w:id="2906">
    <w:p>
      <w:pPr>
        <w:pStyle w:val="FootnoteText"/>
      </w:pPr>
      <w:r>
        <w:rPr>
          <w:rStyle w:val="FootnoteReference"/>
        </w:rPr>
        <w:footnoteRef/>
      </w:r>
      <w:r>
        <w:t xml:space="preserve"> </w:t>
      </w:r>
      <w:r>
        <w:t xml:space="preserve">Levi 2026, PMID 42437874.</w:t>
      </w:r>
    </w:p>
  </w:footnote>
  <w:footnote w:id="2907">
    <w:p>
      <w:pPr>
        <w:pStyle w:val="FootnoteText"/>
      </w:pPr>
      <w:r>
        <w:rPr>
          <w:rStyle w:val="FootnoteReference"/>
        </w:rPr>
        <w:footnoteRef/>
      </w:r>
      <w:r>
        <w:t xml:space="preserve"> </w:t>
      </w:r>
      <w:r>
        <w:t xml:space="preserve">Mohan 2026, PMID 42747945.</w:t>
      </w:r>
    </w:p>
  </w:footnote>
  <w:footnote w:id="2908">
    <w:p>
      <w:pPr>
        <w:pStyle w:val="FootnoteText"/>
      </w:pPr>
      <w:r>
        <w:rPr>
          <w:rStyle w:val="FootnoteReference"/>
        </w:rPr>
        <w:footnoteRef/>
      </w:r>
      <w:r>
        <w:t xml:space="preserve"> </w:t>
      </w:r>
      <w:r>
        <w:t xml:space="preserve">Mani 2025, PMID 41358329.</w:t>
      </w:r>
    </w:p>
  </w:footnote>
  <w:footnote w:id="2909">
    <w:p>
      <w:pPr>
        <w:pStyle w:val="FootnoteText"/>
      </w:pPr>
      <w:r>
        <w:rPr>
          <w:rStyle w:val="FootnoteReference"/>
        </w:rPr>
        <w:footnoteRef/>
      </w:r>
      <w:r>
        <w:t xml:space="preserve"> </w:t>
      </w:r>
      <w:r>
        <w:t xml:space="preserve">Celletti 2026, PMID 41324410.</w:t>
      </w:r>
    </w:p>
  </w:footnote>
  <w:footnote w:id="2912">
    <w:p>
      <w:pPr>
        <w:pStyle w:val="FootnoteText"/>
      </w:pPr>
      <w:r>
        <w:rPr>
          <w:rStyle w:val="FootnoteReference"/>
        </w:rPr>
        <w:footnoteRef/>
      </w:r>
      <w:r>
        <w:t xml:space="preserve"> </w:t>
      </w:r>
      <w:r>
        <w:t xml:space="preserve">DiStefano 2025, PMID 39776466.</w:t>
      </w:r>
    </w:p>
  </w:footnote>
  <w:footnote w:id="2913">
    <w:p>
      <w:pPr>
        <w:pStyle w:val="FootnoteText"/>
      </w:pPr>
      <w:r>
        <w:rPr>
          <w:rStyle w:val="FootnoteReference"/>
        </w:rPr>
        <w:footnoteRef/>
      </w:r>
      <w:r>
        <w:t xml:space="preserve"> </w:t>
      </w:r>
      <w:r>
        <w:t xml:space="preserve">Belcourt 2026, PMID 41689811.</w:t>
      </w:r>
    </w:p>
  </w:footnote>
  <w:footnote w:id="2914">
    <w:p>
      <w:pPr>
        <w:pStyle w:val="FootnoteText"/>
      </w:pPr>
      <w:r>
        <w:rPr>
          <w:rStyle w:val="FootnoteReference"/>
        </w:rPr>
        <w:footnoteRef/>
      </w:r>
      <w:r>
        <w:t xml:space="preserve"> </w:t>
      </w:r>
      <w:r>
        <w:t xml:space="preserve">Jordan 2026, PMID 42010938.</w:t>
      </w:r>
    </w:p>
  </w:footnote>
  <w:footnote w:id="2916">
    <w:p>
      <w:pPr>
        <w:pStyle w:val="FootnoteText"/>
      </w:pPr>
      <w:r>
        <w:rPr>
          <w:rStyle w:val="FootnoteReference"/>
        </w:rPr>
        <w:footnoteRef/>
      </w:r>
      <w:r>
        <w:t xml:space="preserve"> </w:t>
      </w:r>
      <w:r>
        <w:t xml:space="preserve">Mailhac 2024, PMID 38685990.</w:t>
      </w:r>
    </w:p>
  </w:footnote>
  <w:footnote w:id="2917">
    <w:p>
      <w:pPr>
        <w:pStyle w:val="FootnoteText"/>
      </w:pPr>
      <w:r>
        <w:rPr>
          <w:rStyle w:val="FootnoteReference"/>
        </w:rPr>
        <w:footnoteRef/>
      </w:r>
      <w:r>
        <w:t xml:space="preserve"> </w:t>
      </w:r>
      <w:r>
        <w:t xml:space="preserve">Gasoyan 2025, PMID 41039650.</w:t>
      </w:r>
    </w:p>
  </w:footnote>
  <w:footnote w:id="2919">
    <w:p>
      <w:pPr>
        <w:pStyle w:val="FootnoteText"/>
      </w:pPr>
      <w:r>
        <w:rPr>
          <w:rStyle w:val="FootnoteReference"/>
        </w:rPr>
        <w:footnoteRef/>
      </w:r>
      <w:r>
        <w:t xml:space="preserve"> </w:t>
      </w:r>
      <w:r>
        <w:t xml:space="preserve">Hwang 2025, PMID 40085108.</w:t>
      </w:r>
    </w:p>
  </w:footnote>
  <w:footnote w:id="2920">
    <w:p>
      <w:pPr>
        <w:pStyle w:val="FootnoteText"/>
      </w:pPr>
      <w:r>
        <w:rPr>
          <w:rStyle w:val="FootnoteReference"/>
        </w:rPr>
        <w:footnoteRef/>
      </w:r>
      <w:r>
        <w:t xml:space="preserve"> </w:t>
      </w:r>
      <w:r>
        <w:t xml:space="preserve">Dhippayom 2026, PMID 41365841.</w:t>
      </w:r>
    </w:p>
  </w:footnote>
  <w:footnote w:id="2921">
    <w:p>
      <w:pPr>
        <w:pStyle w:val="FootnoteText"/>
      </w:pPr>
      <w:r>
        <w:rPr>
          <w:rStyle w:val="FootnoteReference"/>
        </w:rPr>
        <w:footnoteRef/>
      </w:r>
      <w:r>
        <w:t xml:space="preserve"> </w:t>
      </w:r>
      <w:r>
        <w:t xml:space="preserve">Hennessy 2026, PMID 41637062.</w:t>
      </w:r>
    </w:p>
  </w:footnote>
  <w:footnote w:id="2922">
    <w:p>
      <w:pPr>
        <w:pStyle w:val="FootnoteText"/>
      </w:pPr>
      <w:r>
        <w:rPr>
          <w:rStyle w:val="FootnoteReference"/>
        </w:rPr>
        <w:footnoteRef/>
      </w:r>
      <w:r>
        <w:t xml:space="preserve"> </w:t>
      </w:r>
      <w:r>
        <w:t xml:space="preserve">Scannell 2026, PMID 42640207.</w:t>
      </w:r>
    </w:p>
  </w:footnote>
  <w:footnote w:id="2925">
    <w:p>
      <w:pPr>
        <w:pStyle w:val="FootnoteText"/>
      </w:pPr>
      <w:r>
        <w:rPr>
          <w:rStyle w:val="FootnoteReference"/>
        </w:rPr>
        <w:footnoteRef/>
      </w:r>
      <w:r>
        <w:t xml:space="preserve"> </w:t>
      </w:r>
      <w:r>
        <w:t xml:space="preserve">Wilding 2022, PMID 35441470.</w:t>
      </w:r>
    </w:p>
  </w:footnote>
  <w:footnote w:id="2929">
    <w:p>
      <w:pPr>
        <w:pStyle w:val="FootnoteText"/>
      </w:pPr>
      <w:r>
        <w:rPr>
          <w:rStyle w:val="FootnoteReference"/>
        </w:rPr>
        <w:footnoteRef/>
      </w:r>
      <w:r>
        <w:t xml:space="preserve"> </w:t>
      </w:r>
      <w:r>
        <w:t xml:space="preserve">Cummings 2026, PMID 41865758.</w:t>
      </w:r>
    </w:p>
  </w:footnote>
  <w:footnote w:id="2930">
    <w:p>
      <w:pPr>
        <w:pStyle w:val="FootnoteText"/>
      </w:pPr>
      <w:r>
        <w:rPr>
          <w:rStyle w:val="FootnoteReference"/>
        </w:rPr>
        <w:footnoteRef/>
      </w:r>
      <w:r>
        <w:t xml:space="preserve"> </w:t>
      </w:r>
      <w:r>
        <w:t xml:space="preserve">Vijiaratnam 2025, PMID 39919773.</w:t>
      </w:r>
    </w:p>
  </w:footnote>
  <w:footnote w:id="2931">
    <w:p>
      <w:pPr>
        <w:pStyle w:val="FootnoteText"/>
      </w:pPr>
      <w:r>
        <w:rPr>
          <w:rStyle w:val="FootnoteReference"/>
        </w:rPr>
        <w:footnoteRef/>
      </w:r>
      <w:r>
        <w:t xml:space="preserve"> </w:t>
      </w:r>
      <w:r>
        <w:t xml:space="preserve">NCT05556512.</w:t>
      </w:r>
    </w:p>
  </w:footnote>
  <w:footnote w:id="2932">
    <w:p>
      <w:pPr>
        <w:pStyle w:val="FootnoteText"/>
      </w:pPr>
      <w:r>
        <w:rPr>
          <w:rStyle w:val="FootnoteReference"/>
        </w:rPr>
        <w:footnoteRef/>
      </w:r>
      <w:r>
        <w:t xml:space="preserve"> </w:t>
      </w:r>
      <w:r>
        <w:t xml:space="preserve">NCT05669755.</w:t>
      </w:r>
    </w:p>
  </w:footnote>
  <w:footnote w:id="2933">
    <w:p>
      <w:pPr>
        <w:pStyle w:val="FootnoteText"/>
      </w:pPr>
      <w:r>
        <w:rPr>
          <w:rStyle w:val="FootnoteReference"/>
        </w:rPr>
        <w:footnoteRef/>
      </w:r>
      <w:r>
        <w:t xml:space="preserve"> </w:t>
      </w:r>
      <w:r>
        <w:t xml:space="preserve">NCT06383390.</w:t>
      </w:r>
    </w:p>
  </w:footnote>
  <w:footnote w:id="2934">
    <w:p>
      <w:pPr>
        <w:pStyle w:val="FootnoteText"/>
      </w:pPr>
      <w:r>
        <w:rPr>
          <w:rStyle w:val="FootnoteReference"/>
        </w:rPr>
        <w:footnoteRef/>
      </w:r>
      <w:r>
        <w:t xml:space="preserve"> </w:t>
      </w:r>
      <w:r>
        <w:t xml:space="preserve">NCT06632457.</w:t>
      </w:r>
    </w:p>
  </w:footnote>
  <w:footnote w:id="2935">
    <w:p>
      <w:pPr>
        <w:pStyle w:val="FootnoteText"/>
      </w:pPr>
      <w:r>
        <w:rPr>
          <w:rStyle w:val="FootnoteReference"/>
        </w:rPr>
        <w:footnoteRef/>
      </w:r>
      <w:r>
        <w:t xml:space="preserve"> </w:t>
      </w:r>
      <w:r>
        <w:t xml:space="preserve">NCT07037433, NCT07037459.</w:t>
      </w:r>
    </w:p>
  </w:footnote>
  <w:footnote w:id="2936">
    <w:p>
      <w:pPr>
        <w:pStyle w:val="FootnoteText"/>
      </w:pPr>
      <w:r>
        <w:rPr>
          <w:rStyle w:val="FootnoteReference"/>
        </w:rPr>
        <w:footnoteRef/>
      </w:r>
      <w:r>
        <w:t xml:space="preserve"> </w:t>
      </w:r>
      <w:r>
        <w:t xml:space="preserve">NCT07861100.</w:t>
      </w:r>
    </w:p>
  </w:footnote>
  <w:footnote w:id="2937">
    <w:p>
      <w:pPr>
        <w:pStyle w:val="FootnoteText"/>
      </w:pPr>
      <w:r>
        <w:rPr>
          <w:rStyle w:val="FootnoteReference"/>
        </w:rPr>
        <w:footnoteRef/>
      </w:r>
      <w:r>
        <w:t xml:space="preserve"> </w:t>
      </w:r>
      <w:r>
        <w:t xml:space="preserve">NCT07241390.</w:t>
      </w:r>
    </w:p>
  </w:footnote>
  <w:footnote w:id="2938">
    <w:p>
      <w:pPr>
        <w:pStyle w:val="FootnoteText"/>
      </w:pPr>
      <w:r>
        <w:rPr>
          <w:rStyle w:val="FootnoteReference"/>
        </w:rPr>
        <w:footnoteRef/>
      </w:r>
      <w:r>
        <w:t xml:space="preserve"> </w:t>
      </w:r>
      <w:r>
        <w:t xml:space="preserve">NCT07165028.</w:t>
      </w:r>
    </w:p>
  </w:footnote>
  <w:footnote w:id="2939">
    <w:p>
      <w:pPr>
        <w:pStyle w:val="FootnoteText"/>
      </w:pPr>
      <w:r>
        <w:rPr>
          <w:rStyle w:val="FootnoteReference"/>
        </w:rPr>
        <w:footnoteRef/>
      </w:r>
      <w:r>
        <w:t xml:space="preserve"> </w:t>
      </w:r>
      <w:r>
        <w:t xml:space="preserve">Levi 2026, PMID 42437874.</w:t>
      </w:r>
    </w:p>
  </w:footnote>
  <w:footnote w:id="2941">
    <w:p>
      <w:pPr>
        <w:pStyle w:val="FootnoteText"/>
      </w:pPr>
      <w:r>
        <w:rPr>
          <w:rStyle w:val="FootnoteReference"/>
        </w:rPr>
        <w:footnoteRef/>
      </w:r>
      <w:r>
        <w:t xml:space="preserve"> </w:t>
      </w:r>
      <w:r>
        <w:t xml:space="preserve">NCT05086614.</w:t>
      </w:r>
    </w:p>
  </w:footnote>
  <w:footnote w:id="2942">
    <w:p>
      <w:pPr>
        <w:pStyle w:val="FootnoteText"/>
      </w:pPr>
      <w:r>
        <w:rPr>
          <w:rStyle w:val="FootnoteReference"/>
        </w:rPr>
        <w:footnoteRef/>
      </w:r>
      <w:r>
        <w:t xml:space="preserve"> </w:t>
      </w:r>
      <w:r>
        <w:t xml:space="preserve">NCT05555589.</w:t>
      </w:r>
    </w:p>
  </w:footnote>
  <w:footnote w:id="2944">
    <w:p>
      <w:pPr>
        <w:pStyle w:val="FootnoteText"/>
      </w:pPr>
      <w:r>
        <w:rPr>
          <w:rStyle w:val="FootnoteReference"/>
        </w:rPr>
        <w:footnoteRef/>
      </w:r>
      <w:r>
        <w:t xml:space="preserve"> </w:t>
      </w:r>
      <w:r>
        <w:t xml:space="preserve">NCT00903110.</w:t>
      </w:r>
    </w:p>
  </w:footnote>
  <w:footnote w:id="2946">
    <w:p>
      <w:pPr>
        <w:pStyle w:val="FootnoteText"/>
      </w:pPr>
      <w:r>
        <w:rPr>
          <w:rStyle w:val="FootnoteReference"/>
        </w:rPr>
        <w:footnoteRef/>
      </w:r>
      <w:r>
        <w:t xml:space="preserve"> </w:t>
      </w:r>
      <w:r>
        <w:t xml:space="preserve">NCT06373731.</w:t>
      </w:r>
    </w:p>
  </w:footnote>
  <w:footnote w:id="2947">
    <w:p>
      <w:pPr>
        <w:pStyle w:val="FootnoteText"/>
      </w:pPr>
      <w:r>
        <w:rPr>
          <w:rStyle w:val="FootnoteReference"/>
        </w:rPr>
        <w:footnoteRef/>
      </w:r>
      <w:r>
        <w:t xml:space="preserve"> </w:t>
      </w:r>
      <w:r>
        <w:t xml:space="preserve">NCT05755997.</w:t>
      </w:r>
    </w:p>
  </w:footnote>
  <w:footnote w:id="2948">
    <w:p>
      <w:pPr>
        <w:pStyle w:val="FootnoteText"/>
      </w:pPr>
      <w:r>
        <w:rPr>
          <w:rStyle w:val="FootnoteReference"/>
        </w:rPr>
        <w:footnoteRef/>
      </w:r>
      <w:r>
        <w:t xml:space="preserve"> </w:t>
      </w:r>
      <w:r>
        <w:t xml:space="preserve">NCT07888595.</w:t>
      </w:r>
    </w:p>
  </w:footnote>
  <w:footnote w:id="2950">
    <w:p>
      <w:pPr>
        <w:pStyle w:val="FootnoteText"/>
      </w:pPr>
      <w:r>
        <w:rPr>
          <w:rStyle w:val="FootnoteReference"/>
        </w:rPr>
        <w:footnoteRef/>
      </w:r>
      <w:r>
        <w:t xml:space="preserve"> </w:t>
      </w:r>
      <w:r>
        <w:t xml:space="preserve">NCT06109649.</w:t>
      </w:r>
    </w:p>
  </w:footnote>
  <w:footnote w:id="2953">
    <w:p>
      <w:pPr>
        <w:pStyle w:val="FootnoteText"/>
      </w:pPr>
      <w:r>
        <w:rPr>
          <w:rStyle w:val="FootnoteReference"/>
        </w:rPr>
        <w:footnoteRef/>
      </w:r>
      <w:r>
        <w:t xml:space="preserve"> </w:t>
      </w:r>
      <w:r>
        <w:t xml:space="preserve">Celletti 2026, PMID 41324410.</w:t>
      </w:r>
    </w:p>
  </w:footnote>
  <w:footnote w:id="2955">
    <w:p>
      <w:pPr>
        <w:pStyle w:val="FootnoteText"/>
      </w:pPr>
      <w:r>
        <w:rPr>
          <w:rStyle w:val="FootnoteReference"/>
        </w:rPr>
        <w:footnoteRef/>
      </w:r>
      <w:r>
        <w:t xml:space="preserve"> </w:t>
      </w:r>
      <w:r>
        <w:t xml:space="preserve">Wilding 2022, PMID 35441470.</w:t>
      </w:r>
    </w:p>
  </w:footnote>
  <w:footnote w:id="2956">
    <w:p>
      <w:pPr>
        <w:pStyle w:val="FootnoteText"/>
      </w:pPr>
      <w:r>
        <w:rPr>
          <w:rStyle w:val="FootnoteReference"/>
        </w:rPr>
        <w:footnoteRef/>
      </w:r>
      <w:r>
        <w:t xml:space="preserve"> </w:t>
      </w:r>
      <w:r>
        <w:t xml:space="preserve">Aronne 2024, PMID 38078870.</w:t>
      </w:r>
    </w:p>
  </w:footnote>
  <w:footnote w:id="2957">
    <w:p>
      <w:pPr>
        <w:pStyle w:val="FootnoteText"/>
      </w:pPr>
      <w:r>
        <w:rPr>
          <w:rStyle w:val="FootnoteReference"/>
        </w:rPr>
        <w:footnoteRef/>
      </w:r>
      <w:r>
        <w:t xml:space="preserve"> </w:t>
      </w:r>
      <w:r>
        <w:t xml:space="preserve">Aronne 2026, PMID 42120723.</w:t>
      </w:r>
    </w:p>
  </w:footnote>
  <w:footnote w:id="2958">
    <w:p>
      <w:pPr>
        <w:pStyle w:val="FootnoteText"/>
      </w:pPr>
      <w:r>
        <w:rPr>
          <w:rStyle w:val="FootnoteReference"/>
        </w:rPr>
        <w:footnoteRef/>
      </w:r>
      <w:r>
        <w:t xml:space="preserve"> </w:t>
      </w:r>
      <w:r>
        <w:t xml:space="preserve">Cengiz 2025, PMID 39950222.</w:t>
      </w:r>
    </w:p>
  </w:footnote>
  <w:footnote w:id="2960">
    <w:p>
      <w:pPr>
        <w:pStyle w:val="FootnoteText"/>
      </w:pPr>
      <w:r>
        <w:rPr>
          <w:rStyle w:val="FootnoteReference"/>
        </w:rPr>
        <w:footnoteRef/>
      </w:r>
      <w:r>
        <w:t xml:space="preserve"> </w:t>
      </w:r>
      <w:r>
        <w:t xml:space="preserve">Celletti 2026, PMID 41324410.</w:t>
      </w:r>
    </w:p>
  </w:footnote>
  <w:footnote w:id="2962">
    <w:p>
      <w:pPr>
        <w:pStyle w:val="FootnoteText"/>
      </w:pPr>
      <w:r>
        <w:rPr>
          <w:rStyle w:val="FootnoteReference"/>
        </w:rPr>
        <w:footnoteRef/>
      </w:r>
      <w:r>
        <w:t xml:space="preserve"> </w:t>
      </w:r>
      <w:r>
        <w:t xml:space="preserve">Rubin 2026, PMID 42853576.</w:t>
      </w:r>
    </w:p>
  </w:footnote>
  <w:footnote w:id="2963">
    <w:p>
      <w:pPr>
        <w:pStyle w:val="FootnoteText"/>
      </w:pPr>
      <w:r>
        <w:rPr>
          <w:rStyle w:val="FootnoteReference"/>
        </w:rPr>
        <w:footnoteRef/>
      </w:r>
      <w:r>
        <w:t xml:space="preserve"> </w:t>
      </w:r>
      <w:r>
        <w:t xml:space="preserve">Belcourt 2026, PMID 41689811.</w:t>
      </w:r>
    </w:p>
  </w:footnote>
  <w:footnote w:id="2964">
    <w:p>
      <w:pPr>
        <w:pStyle w:val="FootnoteText"/>
      </w:pPr>
      <w:r>
        <w:rPr>
          <w:rStyle w:val="FootnoteReference"/>
        </w:rPr>
        <w:footnoteRef/>
      </w:r>
      <w:r>
        <w:t xml:space="preserve"> </w:t>
      </w:r>
      <w:r>
        <w:t xml:space="preserve">Willis 2026, PMID 42752426.</w:t>
      </w:r>
    </w:p>
  </w:footnote>
  <w:footnote w:id="2966">
    <w:p>
      <w:pPr>
        <w:pStyle w:val="FootnoteText"/>
      </w:pPr>
      <w:r>
        <w:rPr>
          <w:rStyle w:val="FootnoteReference"/>
        </w:rPr>
        <w:footnoteRef/>
      </w:r>
      <w:r>
        <w:t xml:space="preserve"> </w:t>
      </w:r>
      <w:r>
        <w:t xml:space="preserve">Wei 2025, PMID 40787887.</w:t>
      </w:r>
    </w:p>
  </w:footnote>
  <w:footnote w:id="2967">
    <w:p>
      <w:pPr>
        <w:pStyle w:val="FootnoteText"/>
      </w:pPr>
      <w:r>
        <w:rPr>
          <w:rStyle w:val="FootnoteReference"/>
        </w:rPr>
        <w:footnoteRef/>
      </w:r>
      <w:r>
        <w:t xml:space="preserve"> </w:t>
      </w:r>
      <w:r>
        <w:t xml:space="preserve">Rettie 2025, PMID 40542165.</w:t>
      </w:r>
    </w:p>
  </w:footnote>
  <w:footnote w:id="2968">
    <w:p>
      <w:pPr>
        <w:pStyle w:val="FootnoteText"/>
      </w:pPr>
      <w:r>
        <w:rPr>
          <w:rStyle w:val="FootnoteReference"/>
        </w:rPr>
        <w:footnoteRef/>
      </w:r>
      <w:r>
        <w:t xml:space="preserve"> </w:t>
      </w:r>
      <w:r>
        <w:t xml:space="preserve">Wang 2025, PMID 39825096.</w:t>
      </w:r>
    </w:p>
  </w:footnote>
  <w:footnote w:id="2969">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péptidos, de la semaglutida al BPC-157: lo que muestran realmente los estudios en humanos, los riesgos conocidos, la situación legal y el futuro de la investigación.</dc:description>
  <dc:language>es-ES</dc:language>
  <dc:subject/>
  <cp:keywords/>
  <dcterms:created xsi:type="dcterms:W3CDTF">2026-10-29T19:55:07Z</dcterms:created>
  <dcterms:modified xsi:type="dcterms:W3CDTF">2026-10-29T19:55:07Z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Todos los derechos reservados.</vt:lpwstr>
  </property>
  <property fmtid="{D5CDD505-2E9C-101B-9397-08002B2CF9AE}" pid="5" name="toc-title">
    <vt:lpwstr>Índice</vt:lpwstr>
  </property>
</Properties>
</file>